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DC11F">
      <w:pPr>
        <w:rPr>
          <w:color w:val="000000" w:themeColor="text1"/>
          <w14:textFill>
            <w14:solidFill>
              <w14:schemeClr w14:val="tx1"/>
            </w14:solidFill>
          </w14:textFill>
        </w:rPr>
      </w:pPr>
    </w:p>
    <w:p w14:paraId="4BAFEF80">
      <w:pPr>
        <w:ind w:firstLine="0" w:firstLineChars="0"/>
        <w:jc w:val="center"/>
        <w:rPr>
          <w:b/>
          <w:bCs/>
          <w:color w:val="000000" w:themeColor="text1"/>
          <w:sz w:val="44"/>
          <w:szCs w:val="44"/>
          <w14:textFill>
            <w14:solidFill>
              <w14:schemeClr w14:val="tx1"/>
            </w14:solidFill>
          </w14:textFill>
        </w:rPr>
      </w:pPr>
    </w:p>
    <w:p w14:paraId="7D8E8E31">
      <w:pPr>
        <w:ind w:firstLine="0" w:firstLineChars="0"/>
        <w:jc w:val="center"/>
        <w:rPr>
          <w:b/>
          <w:bCs/>
          <w:color w:val="000000" w:themeColor="text1"/>
          <w:sz w:val="44"/>
          <w:szCs w:val="44"/>
          <w14:textFill>
            <w14:solidFill>
              <w14:schemeClr w14:val="tx1"/>
            </w14:solidFill>
          </w14:textFill>
        </w:rPr>
      </w:pPr>
    </w:p>
    <w:p w14:paraId="0977F096">
      <w:pPr>
        <w:ind w:firstLine="0" w:firstLineChars="0"/>
        <w:jc w:val="center"/>
        <w:rPr>
          <w:b/>
          <w:bCs/>
          <w:color w:val="000000" w:themeColor="text1"/>
          <w:sz w:val="44"/>
          <w:szCs w:val="44"/>
          <w14:textFill>
            <w14:solidFill>
              <w14:schemeClr w14:val="tx1"/>
            </w14:solidFill>
          </w14:textFill>
        </w:rPr>
      </w:pPr>
      <w:r>
        <w:rPr>
          <w:b/>
          <w:bCs/>
          <w:color w:val="000000" w:themeColor="text1"/>
          <w:sz w:val="44"/>
          <w:szCs w:val="44"/>
          <w14:textFill>
            <w14:solidFill>
              <w14:schemeClr w14:val="tx1"/>
            </w14:solidFill>
          </w14:textFill>
        </w:rPr>
        <w:t>西双版纳煜坤能源有限公司</w:t>
      </w:r>
    </w:p>
    <w:p w14:paraId="2B49C452">
      <w:pPr>
        <w:ind w:firstLine="0" w:firstLineChars="0"/>
        <w:jc w:val="center"/>
        <w:rPr>
          <w:color w:val="000000" w:themeColor="text1"/>
          <w14:textFill>
            <w14:solidFill>
              <w14:schemeClr w14:val="tx1"/>
            </w14:solidFill>
          </w14:textFill>
        </w:rPr>
      </w:pPr>
      <w:r>
        <w:rPr>
          <w:b/>
          <w:bCs/>
          <w:color w:val="000000" w:themeColor="text1"/>
          <w:sz w:val="44"/>
          <w:szCs w:val="44"/>
          <w14:textFill>
            <w14:solidFill>
              <w14:schemeClr w14:val="tx1"/>
            </w14:solidFill>
          </w14:textFill>
        </w:rPr>
        <w:t>易武加油站</w:t>
      </w:r>
    </w:p>
    <w:p w14:paraId="26398981">
      <w:pPr>
        <w:ind w:firstLine="0" w:firstLineChars="0"/>
        <w:jc w:val="center"/>
        <w:rPr>
          <w:rFonts w:eastAsia="黑体"/>
          <w:color w:val="000000" w:themeColor="text1"/>
          <w:sz w:val="52"/>
          <w:szCs w:val="52"/>
          <w14:textFill>
            <w14:solidFill>
              <w14:schemeClr w14:val="tx1"/>
            </w14:solidFill>
          </w14:textFill>
        </w:rPr>
      </w:pPr>
    </w:p>
    <w:p w14:paraId="22CEDA2D">
      <w:pPr>
        <w:ind w:firstLine="0" w:firstLineChars="0"/>
        <w:jc w:val="center"/>
        <w:rPr>
          <w:rFonts w:eastAsia="黑体"/>
          <w:color w:val="000000" w:themeColor="text1"/>
          <w:sz w:val="52"/>
          <w:szCs w:val="52"/>
          <w14:textFill>
            <w14:solidFill>
              <w14:schemeClr w14:val="tx1"/>
            </w14:solidFill>
          </w14:textFill>
        </w:rPr>
      </w:pPr>
      <w:r>
        <w:rPr>
          <w:b/>
          <w:bCs/>
          <w:color w:val="000000" w:themeColor="text1"/>
          <w:sz w:val="52"/>
          <w:szCs w:val="52"/>
          <w14:textFill>
            <w14:solidFill>
              <w14:schemeClr w14:val="tx1"/>
            </w14:solidFill>
          </w14:textFill>
        </w:rPr>
        <w:t>安全现状评价报告</w:t>
      </w:r>
    </w:p>
    <w:p w14:paraId="6C8DE50F">
      <w:pPr>
        <w:ind w:firstLine="1040"/>
        <w:rPr>
          <w:color w:val="000000" w:themeColor="text1"/>
          <w:sz w:val="52"/>
          <w:szCs w:val="52"/>
          <w14:textFill>
            <w14:solidFill>
              <w14:schemeClr w14:val="tx1"/>
            </w14:solidFill>
          </w14:textFill>
        </w:rPr>
      </w:pPr>
    </w:p>
    <w:p w14:paraId="2E0691BF">
      <w:pPr>
        <w:ind w:firstLine="1040"/>
        <w:rPr>
          <w:color w:val="000000" w:themeColor="text1"/>
          <w:sz w:val="52"/>
          <w:szCs w:val="52"/>
          <w14:textFill>
            <w14:solidFill>
              <w14:schemeClr w14:val="tx1"/>
            </w14:solidFill>
          </w14:textFill>
        </w:rPr>
      </w:pPr>
    </w:p>
    <w:p w14:paraId="06E2452F">
      <w:pPr>
        <w:ind w:firstLine="0" w:firstLineChars="0"/>
        <w:jc w:val="center"/>
        <w:rPr>
          <w:color w:val="000000" w:themeColor="text1"/>
          <w:sz w:val="52"/>
          <w:szCs w:val="52"/>
          <w14:textFill>
            <w14:solidFill>
              <w14:schemeClr w14:val="tx1"/>
            </w14:solidFill>
          </w14:textFill>
        </w:rPr>
      </w:pPr>
      <w:r>
        <w:rPr>
          <w:color w:val="000000" w:themeColor="text1"/>
          <w14:textFill>
            <w14:solidFill>
              <w14:schemeClr w14:val="tx1"/>
            </w14:solidFill>
          </w14:textFill>
        </w:rPr>
        <w:drawing>
          <wp:inline distT="0" distB="0" distL="114300" distR="114300">
            <wp:extent cx="2658110" cy="1631315"/>
            <wp:effectExtent l="0" t="0" r="8890" b="6985"/>
            <wp:docPr id="3" name="图片 2" descr="aa21e77fe407a0da11c082e736ee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aa21e77fe407a0da11c082e736ee588"/>
                    <pic:cNvPicPr>
                      <a:picLocks noChangeAspect="1"/>
                    </pic:cNvPicPr>
                  </pic:nvPicPr>
                  <pic:blipFill>
                    <a:blip r:embed="rId18"/>
                    <a:stretch>
                      <a:fillRect/>
                    </a:stretch>
                  </pic:blipFill>
                  <pic:spPr>
                    <a:xfrm>
                      <a:off x="0" y="0"/>
                      <a:ext cx="2658110" cy="1631315"/>
                    </a:xfrm>
                    <a:prstGeom prst="rect">
                      <a:avLst/>
                    </a:prstGeom>
                    <a:noFill/>
                    <a:ln>
                      <a:noFill/>
                    </a:ln>
                  </pic:spPr>
                </pic:pic>
              </a:graphicData>
            </a:graphic>
          </wp:inline>
        </w:drawing>
      </w:r>
    </w:p>
    <w:p w14:paraId="6CBD75EE">
      <w:pPr>
        <w:ind w:firstLine="1040"/>
        <w:rPr>
          <w:color w:val="000000" w:themeColor="text1"/>
          <w:sz w:val="52"/>
          <w:szCs w:val="52"/>
          <w14:textFill>
            <w14:solidFill>
              <w14:schemeClr w14:val="tx1"/>
            </w14:solidFill>
          </w14:textFill>
        </w:rPr>
      </w:pPr>
    </w:p>
    <w:p w14:paraId="0C57C231">
      <w:pPr>
        <w:ind w:firstLine="0" w:firstLineChars="0"/>
        <w:rPr>
          <w:color w:val="000000" w:themeColor="text1"/>
          <w:sz w:val="52"/>
          <w:szCs w:val="52"/>
          <w14:textFill>
            <w14:solidFill>
              <w14:schemeClr w14:val="tx1"/>
            </w14:solidFill>
          </w14:textFill>
        </w:rPr>
      </w:pPr>
    </w:p>
    <w:p w14:paraId="4D3322E2">
      <w:pPr>
        <w:ind w:firstLine="0" w:firstLineChars="0"/>
        <w:jc w:val="center"/>
        <w:rPr>
          <w:color w:val="000000" w:themeColor="text1"/>
          <w14:textFill>
            <w14:solidFill>
              <w14:schemeClr w14:val="tx1"/>
            </w14:solidFill>
          </w14:textFill>
        </w:rPr>
      </w:pPr>
      <w:r>
        <w:rPr>
          <w:b/>
          <w:bCs/>
          <w:color w:val="000000" w:themeColor="text1"/>
          <w:sz w:val="44"/>
          <w:szCs w:val="44"/>
          <w14:textFill>
            <w14:solidFill>
              <w14:schemeClr w14:val="tx1"/>
            </w14:solidFill>
          </w14:textFill>
        </w:rPr>
        <w:t>辽宁诺诚安全科技有限公司</w:t>
      </w:r>
    </w:p>
    <w:p w14:paraId="5FE669EC">
      <w:pPr>
        <w:ind w:firstLine="0" w:firstLineChars="0"/>
        <w:jc w:val="center"/>
        <w:rPr>
          <w:b/>
          <w:bCs/>
          <w:color w:val="000000" w:themeColor="text1"/>
          <w:sz w:val="32"/>
          <w:szCs w:val="32"/>
          <w14:textFill>
            <w14:solidFill>
              <w14:schemeClr w14:val="tx1"/>
            </w14:solidFill>
          </w14:textFill>
        </w:rPr>
      </w:pPr>
      <w:r>
        <w:rPr>
          <w:b/>
          <w:bCs/>
          <w:color w:val="000000" w:themeColor="text1"/>
          <w:sz w:val="32"/>
          <w:szCs w:val="32"/>
          <w14:textFill>
            <w14:solidFill>
              <w14:schemeClr w14:val="tx1"/>
            </w14:solidFill>
          </w14:textFill>
        </w:rPr>
        <w:t>资质证书编号：APJ-(辽）-021</w:t>
      </w:r>
    </w:p>
    <w:p w14:paraId="0094BBEF">
      <w:pPr>
        <w:ind w:firstLine="0" w:firstLineChars="0"/>
        <w:jc w:val="center"/>
        <w:rPr>
          <w:rFonts w:hint="default" w:eastAsia="宋体"/>
          <w:b/>
          <w:bCs/>
          <w:color w:val="000000" w:themeColor="text1"/>
          <w:sz w:val="32"/>
          <w:szCs w:val="32"/>
          <w:lang w:val="en-US" w:eastAsia="zh-CN"/>
          <w14:textFill>
            <w14:solidFill>
              <w14:schemeClr w14:val="tx1"/>
            </w14:solidFill>
          </w14:textFill>
        </w:rPr>
      </w:pPr>
      <w:r>
        <w:rPr>
          <w:b/>
          <w:bCs/>
          <w:color w:val="000000" w:themeColor="text1"/>
          <w:sz w:val="32"/>
          <w:szCs w:val="32"/>
          <w14:textFill>
            <w14:solidFill>
              <w14:schemeClr w14:val="tx1"/>
            </w14:solidFill>
          </w14:textFill>
        </w:rPr>
        <w:t>完成日期：2026年9月</w:t>
      </w:r>
      <w:r>
        <w:rPr>
          <w:rFonts w:hint="eastAsia"/>
          <w:b/>
          <w:bCs/>
          <w:color w:val="000000" w:themeColor="text1"/>
          <w:sz w:val="32"/>
          <w:szCs w:val="32"/>
          <w:lang w:val="en-US" w:eastAsia="zh-CN"/>
          <w14:textFill>
            <w14:solidFill>
              <w14:schemeClr w14:val="tx1"/>
            </w14:solidFill>
          </w14:textFill>
        </w:rPr>
        <w:t>15日</w:t>
      </w:r>
    </w:p>
    <w:p w14:paraId="65225627">
      <w:pPr>
        <w:ind w:firstLine="640"/>
        <w:rPr>
          <w:color w:val="000000" w:themeColor="text1"/>
          <w:sz w:val="32"/>
          <w:szCs w:val="32"/>
          <w14:textFill>
            <w14:solidFill>
              <w14:schemeClr w14:val="tx1"/>
            </w14:solidFill>
          </w14:textFill>
        </w:rPr>
      </w:pPr>
    </w:p>
    <w:p w14:paraId="5B8F7B53">
      <w:pPr>
        <w:pStyle w:val="34"/>
        <w:ind w:firstLine="640"/>
        <w:rPr>
          <w:rFonts w:hint="default" w:ascii="Times New Roman" w:hAnsi="Times New Roman"/>
          <w:color w:val="000000" w:themeColor="text1"/>
          <w:sz w:val="32"/>
          <w:szCs w:val="32"/>
          <w14:textFill>
            <w14:solidFill>
              <w14:schemeClr w14:val="tx1"/>
            </w14:solidFill>
          </w14:textFill>
        </w:rPr>
      </w:pPr>
    </w:p>
    <w:p w14:paraId="51789AC5">
      <w:pPr>
        <w:pStyle w:val="34"/>
        <w:ind w:firstLine="640"/>
        <w:rPr>
          <w:rFonts w:hint="default" w:ascii="Times New Roman" w:hAnsi="Times New Roman"/>
          <w:color w:val="000000" w:themeColor="text1"/>
          <w:sz w:val="32"/>
          <w:szCs w:val="32"/>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17" w:right="1134" w:bottom="1134" w:left="1587" w:header="851" w:footer="992" w:gutter="0"/>
          <w:cols w:space="720" w:num="1"/>
          <w:docGrid w:type="lines" w:linePitch="386" w:charSpace="0"/>
        </w:sectPr>
      </w:pPr>
    </w:p>
    <w:p w14:paraId="31C8D688">
      <w:pPr>
        <w:ind w:firstLine="562"/>
        <w:jc w:val="right"/>
        <w:rPr>
          <w:color w:val="000000" w:themeColor="text1"/>
          <w:sz w:val="32"/>
          <w:szCs w:val="32"/>
          <w14:textFill>
            <w14:solidFill>
              <w14:schemeClr w14:val="tx1"/>
            </w14:solidFill>
          </w14:textFill>
        </w:rPr>
      </w:pPr>
      <w:r>
        <w:rPr>
          <w:b/>
          <w:bCs/>
          <w:color w:val="000000" w:themeColor="text1"/>
          <w14:textFill>
            <w14:solidFill>
              <w14:schemeClr w14:val="tx1"/>
            </w14:solidFill>
          </w14:textFill>
        </w:rPr>
        <w:t>NCAP/WH-XZ-2026-0</w:t>
      </w:r>
      <w:r>
        <w:rPr>
          <w:rFonts w:hint="eastAsia"/>
          <w:b/>
          <w:bCs/>
          <w:color w:val="000000" w:themeColor="text1"/>
          <w14:textFill>
            <w14:solidFill>
              <w14:schemeClr w14:val="tx1"/>
            </w14:solidFill>
          </w14:textFill>
        </w:rPr>
        <w:t>45</w:t>
      </w:r>
    </w:p>
    <w:p w14:paraId="351BF958">
      <w:pPr>
        <w:ind w:firstLine="0" w:firstLineChars="0"/>
        <w:rPr>
          <w:color w:val="000000" w:themeColor="text1"/>
          <w:sz w:val="32"/>
          <w:szCs w:val="32"/>
          <w14:textFill>
            <w14:solidFill>
              <w14:schemeClr w14:val="tx1"/>
            </w14:solidFill>
          </w14:textFill>
        </w:rPr>
      </w:pPr>
    </w:p>
    <w:p w14:paraId="7CE2B398">
      <w:pPr>
        <w:ind w:firstLine="640"/>
        <w:rPr>
          <w:color w:val="000000" w:themeColor="text1"/>
          <w:sz w:val="32"/>
          <w:szCs w:val="32"/>
          <w14:textFill>
            <w14:solidFill>
              <w14:schemeClr w14:val="tx1"/>
            </w14:solidFill>
          </w14:textFill>
        </w:rPr>
      </w:pPr>
    </w:p>
    <w:p w14:paraId="3E458B77">
      <w:pPr>
        <w:ind w:firstLine="0" w:firstLineChars="0"/>
        <w:rPr>
          <w:color w:val="000000" w:themeColor="text1"/>
          <w:sz w:val="32"/>
          <w:szCs w:val="32"/>
          <w14:textFill>
            <w14:solidFill>
              <w14:schemeClr w14:val="tx1"/>
            </w14:solidFill>
          </w14:textFill>
        </w:rPr>
      </w:pPr>
    </w:p>
    <w:p w14:paraId="0D2D1942">
      <w:pPr>
        <w:ind w:firstLine="0" w:firstLineChars="0"/>
        <w:jc w:val="center"/>
        <w:rPr>
          <w:b/>
          <w:bCs/>
          <w:color w:val="000000" w:themeColor="text1"/>
          <w:sz w:val="32"/>
          <w:szCs w:val="32"/>
          <w14:textFill>
            <w14:solidFill>
              <w14:schemeClr w14:val="tx1"/>
            </w14:solidFill>
          </w14:textFill>
        </w:rPr>
      </w:pPr>
      <w:r>
        <w:rPr>
          <w:b/>
          <w:bCs/>
          <w:color w:val="000000" w:themeColor="text1"/>
          <w:sz w:val="32"/>
          <w:szCs w:val="32"/>
          <w14:textFill>
            <w14:solidFill>
              <w14:schemeClr w14:val="tx1"/>
            </w14:solidFill>
          </w14:textFill>
        </w:rPr>
        <w:t>西双版纳煜坤能源有限公司</w:t>
      </w:r>
    </w:p>
    <w:p w14:paraId="72C4CE50">
      <w:pPr>
        <w:ind w:firstLine="0" w:firstLineChars="0"/>
        <w:jc w:val="center"/>
        <w:rPr>
          <w:b/>
          <w:bCs/>
          <w:color w:val="000000" w:themeColor="text1"/>
          <w:sz w:val="32"/>
          <w:szCs w:val="32"/>
          <w14:textFill>
            <w14:solidFill>
              <w14:schemeClr w14:val="tx1"/>
            </w14:solidFill>
          </w14:textFill>
        </w:rPr>
      </w:pPr>
      <w:r>
        <w:rPr>
          <w:b/>
          <w:bCs/>
          <w:color w:val="000000" w:themeColor="text1"/>
          <w:sz w:val="32"/>
          <w:szCs w:val="32"/>
          <w14:textFill>
            <w14:solidFill>
              <w14:schemeClr w14:val="tx1"/>
            </w14:solidFill>
          </w14:textFill>
        </w:rPr>
        <w:t>易武加油站</w:t>
      </w:r>
    </w:p>
    <w:p w14:paraId="4D7071C5">
      <w:pPr>
        <w:ind w:firstLine="0" w:firstLineChars="0"/>
        <w:jc w:val="center"/>
        <w:rPr>
          <w:b/>
          <w:bCs/>
          <w:color w:val="000000" w:themeColor="text1"/>
          <w:sz w:val="44"/>
          <w:szCs w:val="44"/>
          <w14:textFill>
            <w14:solidFill>
              <w14:schemeClr w14:val="tx1"/>
            </w14:solidFill>
          </w14:textFill>
        </w:rPr>
      </w:pPr>
      <w:r>
        <w:rPr>
          <w:b/>
          <w:bCs/>
          <w:color w:val="000000" w:themeColor="text1"/>
          <w:sz w:val="44"/>
          <w:szCs w:val="44"/>
          <w14:textFill>
            <w14:solidFill>
              <w14:schemeClr w14:val="tx1"/>
            </w14:solidFill>
          </w14:textFill>
        </w:rPr>
        <w:t>安全现状评价报告</w:t>
      </w:r>
    </w:p>
    <w:p w14:paraId="70621AB1">
      <w:pPr>
        <w:ind w:firstLine="640"/>
        <w:rPr>
          <w:color w:val="000000" w:themeColor="text1"/>
          <w:sz w:val="32"/>
          <w:szCs w:val="32"/>
          <w14:textFill>
            <w14:solidFill>
              <w14:schemeClr w14:val="tx1"/>
            </w14:solidFill>
          </w14:textFill>
        </w:rPr>
      </w:pPr>
    </w:p>
    <w:p w14:paraId="3060CBE4">
      <w:pPr>
        <w:ind w:firstLine="640"/>
        <w:rPr>
          <w:color w:val="000000" w:themeColor="text1"/>
          <w:sz w:val="32"/>
          <w:szCs w:val="32"/>
          <w14:textFill>
            <w14:solidFill>
              <w14:schemeClr w14:val="tx1"/>
            </w14:solidFill>
          </w14:textFill>
        </w:rPr>
      </w:pPr>
    </w:p>
    <w:p w14:paraId="4C5C0917">
      <w:pPr>
        <w:ind w:firstLine="640"/>
        <w:rPr>
          <w:color w:val="000000" w:themeColor="text1"/>
          <w:sz w:val="32"/>
          <w:szCs w:val="32"/>
          <w14:textFill>
            <w14:solidFill>
              <w14:schemeClr w14:val="tx1"/>
            </w14:solidFill>
          </w14:textFill>
        </w:rPr>
      </w:pPr>
    </w:p>
    <w:p w14:paraId="45FC7C16">
      <w:pPr>
        <w:ind w:firstLine="640"/>
        <w:rPr>
          <w:color w:val="000000" w:themeColor="text1"/>
          <w:sz w:val="32"/>
          <w:szCs w:val="32"/>
          <w14:textFill>
            <w14:solidFill>
              <w14:schemeClr w14:val="tx1"/>
            </w14:solidFill>
          </w14:textFill>
        </w:rPr>
      </w:pPr>
    </w:p>
    <w:p w14:paraId="5A51B5F2">
      <w:pPr>
        <w:ind w:firstLine="640"/>
        <w:rPr>
          <w:color w:val="000000" w:themeColor="text1"/>
          <w:sz w:val="32"/>
          <w:szCs w:val="32"/>
          <w14:textFill>
            <w14:solidFill>
              <w14:schemeClr w14:val="tx1"/>
            </w14:solidFill>
          </w14:textFill>
        </w:rPr>
      </w:pPr>
    </w:p>
    <w:p w14:paraId="143C8E17">
      <w:pPr>
        <w:ind w:firstLine="3220" w:firstLineChars="1150"/>
        <w:rPr>
          <w:color w:val="000000" w:themeColor="text1"/>
          <w14:textFill>
            <w14:solidFill>
              <w14:schemeClr w14:val="tx1"/>
            </w14:solidFill>
          </w14:textFill>
        </w:rPr>
      </w:pPr>
      <w:r>
        <w:rPr>
          <w:color w:val="000000" w:themeColor="text1"/>
          <w14:textFill>
            <w14:solidFill>
              <w14:schemeClr w14:val="tx1"/>
            </w14:solidFill>
          </w14:textFill>
        </w:rPr>
        <w:t>法定代表人：孙同辉</w:t>
      </w:r>
    </w:p>
    <w:p w14:paraId="339D678D">
      <w:pPr>
        <w:ind w:firstLine="3206" w:firstLineChars="1145"/>
        <w:rPr>
          <w:color w:val="000000" w:themeColor="text1"/>
          <w14:textFill>
            <w14:solidFill>
              <w14:schemeClr w14:val="tx1"/>
            </w14:solidFill>
          </w14:textFill>
        </w:rPr>
      </w:pPr>
      <w:r>
        <w:rPr>
          <w:color w:val="000000" w:themeColor="text1"/>
          <w14:textFill>
            <w14:solidFill>
              <w14:schemeClr w14:val="tx1"/>
            </w14:solidFill>
          </w14:textFill>
        </w:rPr>
        <w:t>技术负责人：林存广</w:t>
      </w:r>
    </w:p>
    <w:p w14:paraId="3516A255">
      <w:pPr>
        <w:ind w:firstLine="3080" w:firstLineChars="1100"/>
        <w:rPr>
          <w:color w:val="000000" w:themeColor="text1"/>
          <w14:textFill>
            <w14:solidFill>
              <w14:schemeClr w14:val="tx1"/>
            </w14:solidFill>
          </w14:textFill>
        </w:rPr>
      </w:pPr>
      <w:r>
        <w:rPr>
          <w:color w:val="000000" w:themeColor="text1"/>
          <w14:textFill>
            <w14:solidFill>
              <w14:schemeClr w14:val="tx1"/>
            </w14:solidFill>
          </w14:textFill>
        </w:rPr>
        <w:t>评价项目负责人：杨会明</w:t>
      </w:r>
    </w:p>
    <w:p w14:paraId="0E393DAB">
      <w:pPr>
        <w:ind w:firstLine="0" w:firstLineChars="0"/>
        <w:jc w:val="center"/>
        <w:rPr>
          <w:rFonts w:hint="default" w:eastAsia="宋体"/>
          <w:b/>
          <w:color w:val="000000" w:themeColor="text1"/>
          <w:sz w:val="24"/>
          <w:lang w:val="en-US" w:eastAsia="zh-CN"/>
          <w14:textFill>
            <w14:solidFill>
              <w14:schemeClr w14:val="tx1"/>
            </w14:solidFill>
          </w14:textFill>
        </w:rPr>
      </w:pPr>
      <w:r>
        <w:rPr>
          <w:b/>
          <w:color w:val="000000" w:themeColor="text1"/>
          <w:sz w:val="24"/>
          <w14:textFill>
            <w14:solidFill>
              <w14:schemeClr w14:val="tx1"/>
            </w14:solidFill>
          </w14:textFill>
        </w:rPr>
        <w:t>完成日期：2026年9月</w:t>
      </w:r>
      <w:r>
        <w:rPr>
          <w:rFonts w:hint="eastAsia"/>
          <w:b/>
          <w:color w:val="000000" w:themeColor="text1"/>
          <w:sz w:val="24"/>
          <w:lang w:val="en-US" w:eastAsia="zh-CN"/>
          <w14:textFill>
            <w14:solidFill>
              <w14:schemeClr w14:val="tx1"/>
            </w14:solidFill>
          </w14:textFill>
        </w:rPr>
        <w:t>15日</w:t>
      </w:r>
    </w:p>
    <w:p w14:paraId="26294D04">
      <w:pPr>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（安全评价机构公章）</w:t>
      </w:r>
    </w:p>
    <w:p w14:paraId="5E0EAE7A">
      <w:pPr>
        <w:ind w:firstLine="0" w:firstLineChars="0"/>
        <w:rPr>
          <w:bCs/>
          <w:color w:val="000000" w:themeColor="text1"/>
          <w:sz w:val="21"/>
          <w:szCs w:val="21"/>
          <w14:textFill>
            <w14:solidFill>
              <w14:schemeClr w14:val="tx1"/>
            </w14:solidFill>
          </w14:textFill>
        </w:rPr>
      </w:pPr>
    </w:p>
    <w:p w14:paraId="381F1636">
      <w:pPr>
        <w:ind w:firstLine="0" w:firstLineChars="0"/>
        <w:jc w:val="center"/>
        <w:rPr>
          <w:bCs/>
          <w:color w:val="000000" w:themeColor="text1"/>
          <w:sz w:val="21"/>
          <w:szCs w:val="21"/>
          <w14:textFill>
            <w14:solidFill>
              <w14:schemeClr w14:val="tx1"/>
            </w14:solidFill>
          </w14:textFill>
        </w:rPr>
      </w:pPr>
    </w:p>
    <w:p w14:paraId="72CD915C">
      <w:pPr>
        <w:ind w:firstLine="0" w:firstLineChars="0"/>
        <w:jc w:val="center"/>
        <w:rPr>
          <w:bCs/>
          <w:color w:val="000000" w:themeColor="text1"/>
          <w:sz w:val="21"/>
          <w:szCs w:val="21"/>
          <w14:textFill>
            <w14:solidFill>
              <w14:schemeClr w14:val="tx1"/>
            </w14:solidFill>
          </w14:textFill>
        </w:rPr>
      </w:pPr>
    </w:p>
    <w:p w14:paraId="19D8D1C5">
      <w:pPr>
        <w:ind w:firstLine="0" w:firstLineChars="0"/>
        <w:jc w:val="center"/>
        <w:rPr>
          <w:bCs/>
          <w:color w:val="000000" w:themeColor="text1"/>
          <w:sz w:val="21"/>
          <w:szCs w:val="21"/>
          <w14:textFill>
            <w14:solidFill>
              <w14:schemeClr w14:val="tx1"/>
            </w14:solidFill>
          </w14:textFill>
        </w:rPr>
      </w:pPr>
    </w:p>
    <w:p w14:paraId="69545788">
      <w:pPr>
        <w:ind w:firstLine="0" w:firstLineChars="0"/>
        <w:jc w:val="center"/>
        <w:rPr>
          <w:bCs/>
          <w:color w:val="000000" w:themeColor="text1"/>
          <w:sz w:val="21"/>
          <w:szCs w:val="21"/>
          <w14:textFill>
            <w14:solidFill>
              <w14:schemeClr w14:val="tx1"/>
            </w14:solidFill>
          </w14:textFill>
        </w:rPr>
      </w:pPr>
    </w:p>
    <w:p w14:paraId="7FC82A31">
      <w:pPr>
        <w:ind w:firstLine="0" w:firstLineChars="0"/>
        <w:jc w:val="center"/>
        <w:rPr>
          <w:bCs/>
          <w:color w:val="000000" w:themeColor="text1"/>
          <w:sz w:val="21"/>
          <w:szCs w:val="21"/>
          <w14:textFill>
            <w14:solidFill>
              <w14:schemeClr w14:val="tx1"/>
            </w14:solidFill>
          </w14:textFill>
        </w:rPr>
      </w:pPr>
    </w:p>
    <w:p w14:paraId="43BA52C4">
      <w:pPr>
        <w:ind w:firstLine="0" w:firstLineChars="0"/>
        <w:jc w:val="center"/>
        <w:rPr>
          <w:bCs/>
          <w:color w:val="000000" w:themeColor="text1"/>
          <w:sz w:val="21"/>
          <w:szCs w:val="21"/>
          <w14:textFill>
            <w14:solidFill>
              <w14:schemeClr w14:val="tx1"/>
            </w14:solidFill>
          </w14:textFill>
        </w:rPr>
      </w:pPr>
    </w:p>
    <w:p w14:paraId="066E90B7">
      <w:pPr>
        <w:ind w:firstLine="0" w:firstLineChars="0"/>
        <w:jc w:val="center"/>
        <w:rPr>
          <w:rFonts w:eastAsia="黑体"/>
          <w:b/>
          <w:bCs/>
          <w:color w:val="000000" w:themeColor="text1"/>
          <w:sz w:val="32"/>
          <w:szCs w:val="32"/>
          <w14:textFill>
            <w14:solidFill>
              <w14:schemeClr w14:val="tx1"/>
            </w14:solidFill>
          </w14:textFill>
        </w:rPr>
      </w:pPr>
      <w:r>
        <w:rPr>
          <w:bCs/>
          <w:color w:val="000000" w:themeColor="text1"/>
          <w:sz w:val="21"/>
          <w:szCs w:val="21"/>
          <w14:textFill>
            <w14:solidFill>
              <w14:schemeClr w14:val="tx1"/>
            </w14:solidFill>
          </w14:textFill>
        </w:rPr>
        <w:br w:type="page"/>
      </w:r>
      <w:bookmarkStart w:id="0" w:name="_Toc14625"/>
      <w:bookmarkStart w:id="1" w:name="_Toc27442"/>
      <w:bookmarkStart w:id="2" w:name="_Toc6838"/>
      <w:bookmarkStart w:id="3" w:name="_Toc30192"/>
      <w:bookmarkStart w:id="4" w:name="_Toc15004"/>
      <w:r>
        <w:rPr>
          <w:rFonts w:eastAsia="黑体"/>
          <w:b/>
          <w:bCs/>
          <w:color w:val="000000" w:themeColor="text1"/>
          <w:sz w:val="32"/>
          <w:szCs w:val="32"/>
          <w14:textFill>
            <w14:solidFill>
              <w14:schemeClr w14:val="tx1"/>
            </w14:solidFill>
          </w14:textFill>
        </w:rPr>
        <w:t>前  言</w:t>
      </w:r>
      <w:bookmarkEnd w:id="0"/>
      <w:bookmarkEnd w:id="1"/>
      <w:bookmarkEnd w:id="2"/>
      <w:bookmarkEnd w:id="3"/>
      <w:bookmarkEnd w:id="4"/>
    </w:p>
    <w:p w14:paraId="32314B92">
      <w:pPr>
        <w:rPr>
          <w:color w:val="000000" w:themeColor="text1"/>
          <w14:textFill>
            <w14:solidFill>
              <w14:schemeClr w14:val="tx1"/>
            </w14:solidFill>
          </w14:textFill>
        </w:rPr>
      </w:pPr>
      <w:r>
        <w:rPr>
          <w:color w:val="000000" w:themeColor="text1"/>
          <w14:textFill>
            <w14:solidFill>
              <w14:schemeClr w14:val="tx1"/>
            </w14:solidFill>
          </w14:textFill>
        </w:rPr>
        <w:t>西双版纳煜坤能源有限公司易武加油站（以下</w:t>
      </w:r>
      <w:r>
        <w:rPr>
          <w:rFonts w:hint="eastAsia"/>
          <w:color w:val="000000" w:themeColor="text1"/>
          <w14:textFill>
            <w14:solidFill>
              <w14:schemeClr w14:val="tx1"/>
            </w14:solidFill>
          </w14:textFill>
        </w:rPr>
        <w:t>简</w:t>
      </w:r>
      <w:r>
        <w:rPr>
          <w:color w:val="000000" w:themeColor="text1"/>
          <w14:textFill>
            <w14:solidFill>
              <w14:schemeClr w14:val="tx1"/>
            </w14:solidFill>
          </w14:textFill>
        </w:rPr>
        <w:t>称易武加油站）位于云南省西双版纳傣族自治州勐腊县易武镇麻黑村委会曼秀（勐绿高速易武出口250m处）</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w:t>
      </w:r>
    </w:p>
    <w:p w14:paraId="35B9C836">
      <w:pPr>
        <w:rPr>
          <w:color w:val="000000" w:themeColor="text1"/>
          <w14:textFill>
            <w14:solidFill>
              <w14:schemeClr w14:val="tx1"/>
            </w14:solidFill>
          </w14:textFill>
        </w:rPr>
      </w:pPr>
      <w:r>
        <w:rPr>
          <w:color w:val="000000" w:themeColor="text1"/>
          <w14:textFill>
            <w14:solidFill>
              <w14:schemeClr w14:val="tx1"/>
            </w14:solidFill>
          </w14:textFill>
        </w:rPr>
        <w:t>根据《中华人民共和国安全生产法》、</w:t>
      </w:r>
      <w:r>
        <w:rPr>
          <w:rFonts w:hint="eastAsia"/>
          <w:color w:val="000000" w:themeColor="text1"/>
          <w14:textFill>
            <w14:solidFill>
              <w14:schemeClr w14:val="tx1"/>
            </w14:solidFill>
          </w14:textFill>
        </w:rPr>
        <w:t>《危险化学品安全法》、</w:t>
      </w:r>
      <w:r>
        <w:rPr>
          <w:color w:val="000000" w:themeColor="text1"/>
          <w14:textFill>
            <w14:solidFill>
              <w14:schemeClr w14:val="tx1"/>
            </w14:solidFill>
          </w14:textFill>
        </w:rPr>
        <w:t>《危险化学品安全管理条例》、《危险化学品经营许可证管理办法》及《云南省安全生产监督管理局关于危险化学品经营行政许可有关事项的通知》等法规文件的要求，其经营许可证有效期为3年。有效期满后，企业需要继续从事危险化学品经营活动的，应当在经营许可证有效期满3个月前，向设区的市级人民政府负有安全生产监督管理职责的部门提出经营许可证的延期申请。安全评价报告是延期申请经营许可证的要件之一。为确定该加油站是否具备安全经营条件，办理延期换证手续，易武加油站委托具有相应安全评价资质的辽宁诺诚安全科技有限公司对其进行安全现状评价工作。</w:t>
      </w:r>
    </w:p>
    <w:p w14:paraId="443917A5">
      <w:pPr>
        <w:rPr>
          <w:color w:val="000000" w:themeColor="text1"/>
          <w14:textFill>
            <w14:solidFill>
              <w14:schemeClr w14:val="tx1"/>
            </w14:solidFill>
          </w14:textFill>
        </w:rPr>
      </w:pPr>
      <w:r>
        <w:rPr>
          <w:color w:val="000000" w:themeColor="text1"/>
          <w14:textFill>
            <w14:solidFill>
              <w14:schemeClr w14:val="tx1"/>
            </w14:solidFill>
          </w14:textFill>
        </w:rPr>
        <w:t>接受委托后，我公司成立了项目评价组，评价组依据《安全评价检测检验机构管理办法》（应急管理部令第1号）、《安全评价通则》（AQ8001-2007）、《危险化学品经营单位安全评价导则（试行）》（安监管管二字〔2003〕38号）等的规定与要求，遵循</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科学公正、独立客观、安全准确、诚实守信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原则和执业准则，经现场勘验和资料收集，依照法律、法规、规章、标准及国家相关文件，对该项目存在的主要危险、有害因素及其危险危害程度进行辨识与分析，对系统配备的安全设施进行有效性、可靠性评价，对项目的安全经营管理条件进行分析评价；并针对项目的安全现状条件，有针对性地提出了消除、减弱和预防该项目风险的对策措施，提高其安全程度；最后得出评价结论，并编制完成了《西双版纳煜坤能源有限公司易武加油站安全现状评价报告》。</w:t>
      </w:r>
    </w:p>
    <w:p w14:paraId="6631B309">
      <w:pPr>
        <w:rPr>
          <w:color w:val="000000" w:themeColor="text1"/>
          <w14:textFill>
            <w14:solidFill>
              <w14:schemeClr w14:val="tx1"/>
            </w14:solidFill>
          </w14:textFill>
        </w:rPr>
      </w:pPr>
      <w:r>
        <w:rPr>
          <w:color w:val="000000" w:themeColor="text1"/>
          <w14:textFill>
            <w14:solidFill>
              <w14:schemeClr w14:val="tx1"/>
            </w14:solidFill>
          </w14:textFill>
        </w:rPr>
        <w:t>本安全评价报告主要内容主要由总论、经营单位概况、主要危险、有害因素辨识与分析、定性定量评价、分析评价、建议补充的安全对策措施、安全评价结论和附件构成。</w:t>
      </w:r>
    </w:p>
    <w:p w14:paraId="48DA5903">
      <w:pPr>
        <w:rPr>
          <w:color w:val="000000" w:themeColor="text1"/>
          <w14:textFill>
            <w14:solidFill>
              <w14:schemeClr w14:val="tx1"/>
            </w14:solidFill>
          </w14:textFill>
        </w:rPr>
      </w:pPr>
      <w:r>
        <w:rPr>
          <w:color w:val="000000" w:themeColor="text1"/>
          <w14:textFill>
            <w14:solidFill>
              <w14:schemeClr w14:val="tx1"/>
            </w14:solidFill>
          </w14:textFill>
        </w:rPr>
        <w:t>报告编制过程中，得到西双版纳煜坤能源有限公司易武加油站的相关负责人的大力支持，在此向他们表示感谢！</w:t>
      </w:r>
    </w:p>
    <w:p w14:paraId="1A9B72BE">
      <w:pPr>
        <w:ind w:firstLine="420"/>
        <w:rPr>
          <w:bCs/>
          <w:color w:val="000000" w:themeColor="text1"/>
          <w:sz w:val="21"/>
          <w:szCs w:val="21"/>
          <w14:textFill>
            <w14:solidFill>
              <w14:schemeClr w14:val="tx1"/>
            </w14:solidFill>
          </w14:textFill>
        </w:rPr>
      </w:pPr>
    </w:p>
    <w:p w14:paraId="0D279347">
      <w:pPr>
        <w:ind w:firstLine="420"/>
        <w:rPr>
          <w:bCs/>
          <w:color w:val="000000" w:themeColor="text1"/>
          <w:sz w:val="21"/>
          <w:szCs w:val="21"/>
          <w14:textFill>
            <w14:solidFill>
              <w14:schemeClr w14:val="tx1"/>
            </w14:solidFill>
          </w14:textFill>
        </w:rPr>
      </w:pPr>
    </w:p>
    <w:p w14:paraId="65A17520">
      <w:pPr>
        <w:ind w:firstLine="420"/>
        <w:rPr>
          <w:bCs/>
          <w:color w:val="000000" w:themeColor="text1"/>
          <w:sz w:val="21"/>
          <w:szCs w:val="21"/>
          <w14:textFill>
            <w14:solidFill>
              <w14:schemeClr w14:val="tx1"/>
            </w14:solidFill>
          </w14:textFill>
        </w:rPr>
      </w:pPr>
    </w:p>
    <w:p w14:paraId="49524BC6">
      <w:pPr>
        <w:ind w:firstLine="420"/>
        <w:rPr>
          <w:bCs/>
          <w:color w:val="000000" w:themeColor="text1"/>
          <w:sz w:val="21"/>
          <w:szCs w:val="21"/>
          <w14:textFill>
            <w14:solidFill>
              <w14:schemeClr w14:val="tx1"/>
            </w14:solidFill>
          </w14:textFill>
        </w:rPr>
        <w:sectPr>
          <w:headerReference r:id="rId11" w:type="default"/>
          <w:footerReference r:id="rId12" w:type="default"/>
          <w:pgSz w:w="11906" w:h="16838"/>
          <w:pgMar w:top="1417" w:right="1134" w:bottom="1134" w:left="1587" w:header="851" w:footer="992" w:gutter="0"/>
          <w:cols w:space="720" w:num="1"/>
          <w:docGrid w:type="lines" w:linePitch="386" w:charSpace="0"/>
        </w:sectPr>
      </w:pPr>
    </w:p>
    <w:p w14:paraId="4B8B46FF">
      <w:pPr>
        <w:ind w:firstLine="0" w:firstLineChars="0"/>
        <w:jc w:val="center"/>
        <w:rPr>
          <w:color w:val="000000" w:themeColor="text1"/>
          <w14:textFill>
            <w14:solidFill>
              <w14:schemeClr w14:val="tx1"/>
            </w14:solidFill>
          </w14:textFill>
        </w:rPr>
      </w:pPr>
      <w:bookmarkStart w:id="5" w:name="_Toc32093"/>
      <w:bookmarkStart w:id="6" w:name="_Toc26378"/>
      <w:bookmarkStart w:id="7" w:name="_Toc28234"/>
      <w:bookmarkStart w:id="8" w:name="_Toc16526"/>
      <w:bookmarkStart w:id="9" w:name="_Toc32178"/>
      <w:r>
        <w:rPr>
          <w:rFonts w:eastAsia="黑体"/>
          <w:b/>
          <w:bCs/>
          <w:color w:val="000000" w:themeColor="text1"/>
          <w:sz w:val="32"/>
          <w:szCs w:val="32"/>
          <w14:textFill>
            <w14:solidFill>
              <w14:schemeClr w14:val="tx1"/>
            </w14:solidFill>
          </w14:textFill>
        </w:rPr>
        <w:t>目  录</w:t>
      </w:r>
      <w:bookmarkEnd w:id="5"/>
      <w:bookmarkEnd w:id="6"/>
      <w:bookmarkEnd w:id="7"/>
      <w:bookmarkEnd w:id="8"/>
      <w:bookmarkEnd w:id="9"/>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TOC \o "1-2" \h \u </w:instrText>
      </w:r>
      <w:r>
        <w:rPr>
          <w:color w:val="000000" w:themeColor="text1"/>
          <w14:textFill>
            <w14:solidFill>
              <w14:schemeClr w14:val="tx1"/>
            </w14:solidFill>
          </w14:textFill>
        </w:rPr>
        <w:fldChar w:fldCharType="separate"/>
      </w:r>
    </w:p>
    <w:p w14:paraId="1F4C499F">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"_Toc1562"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  总论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A82FD6B">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"_Toc16045"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  评价目的</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_Toc16045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BB007F2">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"_Toc13749"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  评价依据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_Toc13749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C81BE2F">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"_Toc16905"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  评价原则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_Toc16905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56416DB">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"_Toc3511"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  评价对象与评价范围</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_Toc3511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2802C2C">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"_Toc18909"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  评价程序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_Toc18909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9CFB445">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"_Toc9289"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  评价基准日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_Toc9289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9F80A1D">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"_Toc25369"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  经营单位概况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_Toc25369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20E5341">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"_Toc3166" </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2.1  加油站基本情况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87F5797">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"_Toc12189" </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2.2</w:t>
      </w:r>
      <w:r>
        <w:rPr>
          <w:color w:val="000000" w:themeColor="text1"/>
          <w14:textFill>
            <w14:solidFill>
              <w14:schemeClr w14:val="tx1"/>
            </w14:solidFill>
          </w14:textFill>
        </w:rPr>
        <w:t xml:space="preserve">  </w:t>
      </w:r>
      <w:r>
        <w:rPr>
          <w:color w:val="000000" w:themeColor="text1"/>
          <w:lang w:val="zh-CN"/>
          <w14:textFill>
            <w14:solidFill>
              <w14:schemeClr w14:val="tx1"/>
            </w14:solidFill>
          </w14:textFill>
        </w:rPr>
        <w:t>自然、地理条件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_Toc12189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645CDD3">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"_Toc14377" </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2.</w:t>
      </w:r>
      <w:r>
        <w:rPr>
          <w:color w:val="000000" w:themeColor="text1"/>
          <w14:textFill>
            <w14:solidFill>
              <w14:schemeClr w14:val="tx1"/>
            </w14:solidFill>
          </w14:textFill>
        </w:rPr>
        <w:t>3</w:t>
      </w: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t>周边环境及总平面布置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_Toc14377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80A5CF3">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"_Toc6490" </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2.4  工艺及设施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_Toc6490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ACFA6B5">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"_Toc20534"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 公辅工程</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_Toc20534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8C9FE9B">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"_Toc31625"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 安全设施及安全投入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_Toc31625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B6EC469">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"_Toc11342"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 安全管理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_Toc11342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5667B89">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"_Toc23154"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  主要危险、有害因素辨识与分析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_Toc23154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338773C">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"_Toc17561"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  物质的危险、有害因素分析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_Toc17561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AEEDE06">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"_Toc18078"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  经营、储存的危险、有害因素分析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_Toc18078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63BAEB8">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"_Toc25744"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  重大危险源辨识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_Toc25744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83F4C88">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"_Toc11882"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  剧毒化学品、易制毒化学品、易制爆化学品、国家监控化学品辨识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_Toc11882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29D9456">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"_Toc30397"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  特别管控危险化学品辨识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_Toc30397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87DB98A">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"_Toc14671"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  重点监管的危险化学品辨识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_Toc14671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41AD3E5">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"_Toc14184"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3.7  事故案例分析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_Toc14184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0E09414">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"_Toc25185" </w:instrText>
      </w:r>
      <w:r>
        <w:rPr>
          <w:color w:val="000000" w:themeColor="text1"/>
          <w14:textFill>
            <w14:solidFill>
              <w14:schemeClr w14:val="tx1"/>
            </w14:solidFill>
          </w14:textFill>
        </w:rPr>
        <w:fldChar w:fldCharType="separate"/>
      </w:r>
      <w:r>
        <w:rPr>
          <w:snapToGrid w:val="0"/>
          <w:color w:val="000000" w:themeColor="text1"/>
          <w14:textFill>
            <w14:solidFill>
              <w14:schemeClr w14:val="tx1"/>
            </w14:solidFill>
          </w14:textFill>
        </w:rPr>
        <w:t>4  评价单元的划分与评价方法的选择</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_Toc25185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452F2BA">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"_Toc19860"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4.1  评价单元的划分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_Toc19860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1DBB7F0">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"_Toc29652"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  评价方法的选择</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_Toc29652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087929F">
      <w:pPr>
        <w:pStyle w:val="22"/>
        <w:tabs>
          <w:tab w:val="right" w:leader="dot" w:pos="9185"/>
        </w:tabs>
        <w:ind w:left="560"/>
        <w:rPr>
          <w:rFonts w:hint="eastAsia" w:ascii="宋体" w:hAnsi="宋体" w:cs="宋体"/>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"_Toc1274"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4.3  选用的评价方法简介</w:t>
      </w:r>
      <w:r>
        <w:rPr>
          <w:rFonts w:hint="eastAsia" w:ascii="宋体" w:hAnsi="宋体" w:cs="宋体"/>
          <w:color w:val="000000" w:themeColor="text1"/>
          <w14:textFill>
            <w14:solidFill>
              <w14:schemeClr w14:val="tx1"/>
            </w14:solidFill>
          </w14:textFill>
        </w:rPr>
        <w:tab/>
      </w: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PAGEREF _Toc1274 \h </w:instrText>
      </w:r>
      <w:r>
        <w:rPr>
          <w:rFonts w:hint="eastAsia" w:ascii="宋体" w:hAnsi="宋体" w:cs="宋体"/>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51</w: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fldChar w:fldCharType="end"/>
      </w:r>
    </w:p>
    <w:p w14:paraId="2196B8F0">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"_Toc30960" </w:instrText>
      </w:r>
      <w:r>
        <w:rPr>
          <w:color w:val="000000" w:themeColor="text1"/>
          <w14:textFill>
            <w14:solidFill>
              <w14:schemeClr w14:val="tx1"/>
            </w14:solidFill>
          </w14:textFill>
        </w:rPr>
        <w:fldChar w:fldCharType="separate"/>
      </w:r>
      <w:r>
        <w:rPr>
          <w:snapToGrid w:val="0"/>
          <w:color w:val="000000" w:themeColor="text1"/>
          <w14:textFill>
            <w14:solidFill>
              <w14:schemeClr w14:val="tx1"/>
            </w14:solidFill>
          </w14:textFill>
        </w:rPr>
        <w:t>5  定性、定量评价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_Toc30960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A0747D0">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"_Toc20678"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5.1  安全检查表法评价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_Toc20678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EEBF695">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"_Toc16211"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5.2  安全检查表检查结果</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_Toc16211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ED18DAF">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"_Toc26163"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5.3  安全检查表附表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_Toc26163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3345628">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"_Toc23531"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  安全对策措施和整改建议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_Toc23531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213E845">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"_Toc13801"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6.1  安全对策措施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_Toc13801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C7C5DD0">
      <w:pPr>
        <w:pStyle w:val="22"/>
        <w:tabs>
          <w:tab w:val="right" w:leader="dot" w:pos="9185"/>
        </w:tabs>
        <w:ind w:left="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"_Toc18415"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  整改建议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_Toc18415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675241A">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"_Toc32143"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  安全评价结论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_Toc32143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6AB1F0B">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"_Toc30342" </w:instrText>
      </w:r>
      <w:r>
        <w:rPr>
          <w:color w:val="000000" w:themeColor="text1"/>
          <w14:textFill>
            <w14:solidFill>
              <w14:schemeClr w14:val="tx1"/>
            </w14:solidFill>
          </w14:textFill>
        </w:rPr>
        <w:fldChar w:fldCharType="separate"/>
      </w:r>
      <w:r>
        <w:rPr>
          <w:snapToGrid w:val="0"/>
          <w:color w:val="000000" w:themeColor="text1"/>
          <w14:textFill>
            <w14:solidFill>
              <w14:schemeClr w14:val="tx1"/>
            </w14:solidFill>
          </w14:textFill>
        </w:rPr>
        <w:t>附  录：加油站内爆炸危险区域的等级范围划分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_Toc30342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EC7279F">
      <w:pPr>
        <w:pStyle w:val="21"/>
        <w:tabs>
          <w:tab w:val="right" w:leader="dot" w:pos="9185"/>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"_Toc26441"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附  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_Toc26441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144F03F">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fldChar w:fldCharType="end"/>
      </w:r>
    </w:p>
    <w:p w14:paraId="0DA062BC">
      <w:pPr>
        <w:pStyle w:val="2"/>
        <w:rPr>
          <w:color w:val="000000" w:themeColor="text1"/>
          <w14:textFill>
            <w14:solidFill>
              <w14:schemeClr w14:val="tx1"/>
            </w14:solidFill>
          </w14:textFill>
        </w:rPr>
        <w:sectPr>
          <w:headerReference r:id="rId13" w:type="default"/>
          <w:footerReference r:id="rId14" w:type="default"/>
          <w:pgSz w:w="11906" w:h="16838"/>
          <w:pgMar w:top="1417" w:right="1134" w:bottom="1134" w:left="1587" w:header="851" w:footer="992" w:gutter="0"/>
          <w:pgNumType w:fmt="upperRoman" w:start="1"/>
          <w:cols w:space="720" w:num="1"/>
          <w:docGrid w:type="lines" w:linePitch="386" w:charSpace="0"/>
        </w:sectPr>
      </w:pPr>
    </w:p>
    <w:p w14:paraId="0022B370">
      <w:pPr>
        <w:pStyle w:val="2"/>
        <w:rPr>
          <w:color w:val="000000" w:themeColor="text1"/>
          <w14:textFill>
            <w14:solidFill>
              <w14:schemeClr w14:val="tx1"/>
            </w14:solidFill>
          </w14:textFill>
        </w:rPr>
      </w:pPr>
      <w:bookmarkStart w:id="10" w:name="_Toc15843"/>
      <w:bookmarkStart w:id="11" w:name="_Toc1562"/>
      <w:bookmarkStart w:id="447" w:name="_GoBack"/>
      <w:bookmarkEnd w:id="447"/>
      <w:r>
        <w:rPr>
          <w:color w:val="000000" w:themeColor="text1"/>
          <w14:textFill>
            <w14:solidFill>
              <w14:schemeClr w14:val="tx1"/>
            </w14:solidFill>
          </w14:textFill>
        </w:rPr>
        <w:t>1  总论</w:t>
      </w:r>
      <w:bookmarkEnd w:id="10"/>
      <w:bookmarkEnd w:id="11"/>
    </w:p>
    <w:p w14:paraId="51D10337">
      <w:pPr>
        <w:pStyle w:val="3"/>
        <w:rPr>
          <w:color w:val="000000" w:themeColor="text1"/>
          <w14:textFill>
            <w14:solidFill>
              <w14:schemeClr w14:val="tx1"/>
            </w14:solidFill>
          </w14:textFill>
        </w:rPr>
      </w:pPr>
      <w:bookmarkStart w:id="12" w:name="_Toc9755108"/>
      <w:bookmarkStart w:id="13" w:name="_Toc3539"/>
      <w:bookmarkStart w:id="14" w:name="_Toc16045"/>
      <w:bookmarkStart w:id="15" w:name="_Toc5186"/>
      <w:r>
        <w:rPr>
          <w:color w:val="000000" w:themeColor="text1"/>
          <w14:textFill>
            <w14:solidFill>
              <w14:schemeClr w14:val="tx1"/>
            </w14:solidFill>
          </w14:textFill>
        </w:rPr>
        <w:t>1.1  评价目的</w:t>
      </w:r>
      <w:bookmarkEnd w:id="12"/>
      <w:bookmarkEnd w:id="13"/>
      <w:bookmarkEnd w:id="14"/>
      <w:bookmarkEnd w:id="15"/>
    </w:p>
    <w:p w14:paraId="7D9A1004">
      <w:pPr>
        <w:rPr>
          <w:color w:val="000000" w:themeColor="text1"/>
          <w14:textFill>
            <w14:solidFill>
              <w14:schemeClr w14:val="tx1"/>
            </w14:solidFill>
          </w14:textFill>
        </w:rPr>
      </w:pPr>
      <w:r>
        <w:rPr>
          <w:color w:val="000000" w:themeColor="text1"/>
          <w14:textFill>
            <w14:solidFill>
              <w14:schemeClr w14:val="tx1"/>
            </w14:solidFill>
          </w14:textFill>
        </w:rPr>
        <w:t>本次安全评价的目的，是通过对该加油站的汽油、柴油的经营场所、安全设施及安全管理体系等系统安全状况与法律法规、标准规范的符合性作出评价，查找、分析和预测该加油站存在的危险有害因素及其危险有害程度，提出合理可行的安全对策措施建议，使加油站采取有效的控制和预防措施，最大程度地消除或减弱各种潜在的不安全因素，提高加油站经营过程中的安全可靠性。</w:t>
      </w:r>
    </w:p>
    <w:p w14:paraId="7CDBB3A6">
      <w:pPr>
        <w:rPr>
          <w:color w:val="000000" w:themeColor="text1"/>
          <w14:textFill>
            <w14:solidFill>
              <w14:schemeClr w14:val="tx1"/>
            </w14:solidFill>
          </w14:textFill>
        </w:rPr>
      </w:pPr>
      <w:r>
        <w:rPr>
          <w:color w:val="000000" w:themeColor="text1"/>
          <w14:textFill>
            <w14:solidFill>
              <w14:schemeClr w14:val="tx1"/>
            </w14:solidFill>
          </w14:textFill>
        </w:rPr>
        <w:t>通过检查，评价其是否符合下列法规规定的必备条件：</w:t>
      </w:r>
    </w:p>
    <w:p w14:paraId="7E5724A1">
      <w:pPr>
        <w:rPr>
          <w:color w:val="000000" w:themeColor="text1"/>
          <w14:textFill>
            <w14:solidFill>
              <w14:schemeClr w14:val="tx1"/>
            </w14:solidFill>
          </w14:textFill>
        </w:rPr>
      </w:pPr>
      <w:r>
        <w:rPr>
          <w:color w:val="000000" w:themeColor="text1"/>
          <w14:textFill>
            <w14:solidFill>
              <w14:schemeClr w14:val="tx1"/>
            </w14:solidFill>
          </w14:textFill>
        </w:rPr>
        <w:t>（1）《汽车加油加气加氢站技术标准》（GB 50156-2021）中汽车加油站应满足的条件。</w:t>
      </w:r>
    </w:p>
    <w:p w14:paraId="03433CEE">
      <w:pPr>
        <w:rPr>
          <w:color w:val="000000" w:themeColor="text1"/>
          <w14:textFill>
            <w14:solidFill>
              <w14:schemeClr w14:val="tx1"/>
            </w14:solidFill>
          </w14:textFill>
        </w:rPr>
      </w:pPr>
      <w:r>
        <w:rPr>
          <w:color w:val="000000" w:themeColor="text1"/>
          <w14:textFill>
            <w14:solidFill>
              <w14:schemeClr w14:val="tx1"/>
            </w14:solidFill>
          </w14:textFill>
        </w:rPr>
        <w:t>（2）《危险化学品安全管理条例》第三十四条规定的经营单位应具备的条件。</w:t>
      </w:r>
    </w:p>
    <w:p w14:paraId="177B6C4D">
      <w:pPr>
        <w:rPr>
          <w:color w:val="000000" w:themeColor="text1"/>
          <w14:textFill>
            <w14:solidFill>
              <w14:schemeClr w14:val="tx1"/>
            </w14:solidFill>
          </w14:textFill>
        </w:rPr>
      </w:pPr>
      <w:r>
        <w:rPr>
          <w:color w:val="000000" w:themeColor="text1"/>
          <w14:textFill>
            <w14:solidFill>
              <w14:schemeClr w14:val="tx1"/>
            </w14:solidFill>
          </w14:textFill>
        </w:rPr>
        <w:t>（3）《危险化学品经营许可证管理办法》第六条、第八条规定的经营单位应具备的条件。</w:t>
      </w:r>
    </w:p>
    <w:p w14:paraId="4694F9A2">
      <w:pPr>
        <w:rPr>
          <w:color w:val="000000" w:themeColor="text1"/>
          <w14:textFill>
            <w14:solidFill>
              <w14:schemeClr w14:val="tx1"/>
            </w14:solidFill>
          </w14:textFill>
        </w:rPr>
      </w:pPr>
      <w:r>
        <w:rPr>
          <w:color w:val="000000" w:themeColor="text1"/>
          <w14:textFill>
            <w14:solidFill>
              <w14:schemeClr w14:val="tx1"/>
            </w14:solidFill>
          </w14:textFill>
        </w:rPr>
        <w:t>（4）《云南省安全生产监督管理局关于危险化学品经营行政许可有关事项的通知》（云安监管〔2013〕13号）规定的经营单位应具备的条件。</w:t>
      </w:r>
    </w:p>
    <w:p w14:paraId="0B772162">
      <w:pPr>
        <w:rPr>
          <w:color w:val="000000" w:themeColor="text1"/>
          <w14:textFill>
            <w14:solidFill>
              <w14:schemeClr w14:val="tx1"/>
            </w14:solidFill>
          </w14:textFill>
        </w:rPr>
      </w:pPr>
      <w:r>
        <w:rPr>
          <w:color w:val="000000" w:themeColor="text1"/>
          <w14:textFill>
            <w14:solidFill>
              <w14:schemeClr w14:val="tx1"/>
            </w14:solidFill>
          </w14:textFill>
        </w:rPr>
        <w:t>本评价报告可为易武加油站强化危险化学品和加油站的安全管理提供参考和依据，作为当地政府负有安全生产监督管理职责的部门对其易武加油站实施延期申请危险化学品经营许可证和日常监管提供技术支撑，同时，可作为该加油站持续改进安全经营条件的参考文件。</w:t>
      </w:r>
    </w:p>
    <w:p w14:paraId="5A6E4970">
      <w:pPr>
        <w:pStyle w:val="3"/>
        <w:rPr>
          <w:color w:val="000000" w:themeColor="text1"/>
          <w14:textFill>
            <w14:solidFill>
              <w14:schemeClr w14:val="tx1"/>
            </w14:solidFill>
          </w14:textFill>
        </w:rPr>
      </w:pPr>
      <w:bookmarkStart w:id="16" w:name="_Toc147388972"/>
      <w:bookmarkStart w:id="17" w:name="_Toc9031"/>
      <w:bookmarkStart w:id="18" w:name="_Toc153082037"/>
      <w:bookmarkStart w:id="19" w:name="_Toc166118043"/>
      <w:bookmarkStart w:id="20" w:name="_Toc146456667"/>
      <w:bookmarkStart w:id="21" w:name="_Toc163648856"/>
      <w:bookmarkStart w:id="22" w:name="_Toc152490373"/>
      <w:bookmarkStart w:id="23" w:name="_Toc3593"/>
      <w:bookmarkStart w:id="24" w:name="_Toc163694485"/>
      <w:bookmarkStart w:id="25" w:name="_Toc147389684"/>
      <w:bookmarkStart w:id="26" w:name="_Toc152490488"/>
      <w:bookmarkStart w:id="27" w:name="_Toc153013322"/>
      <w:bookmarkStart w:id="28" w:name="_Toc392928279"/>
      <w:bookmarkStart w:id="29" w:name="_Toc147388078"/>
      <w:bookmarkStart w:id="30" w:name="_Toc153613477"/>
      <w:bookmarkStart w:id="31" w:name="_Toc152146828"/>
      <w:bookmarkStart w:id="32" w:name="_Toc13749"/>
      <w:bookmarkStart w:id="33" w:name="_Toc152147142"/>
      <w:bookmarkStart w:id="34" w:name="_Toc28181862"/>
      <w:bookmarkStart w:id="35" w:name="_Toc147388785"/>
      <w:bookmarkStart w:id="36" w:name="_Toc156033566"/>
      <w:bookmarkStart w:id="37" w:name="_Toc152401013"/>
      <w:bookmarkStart w:id="38" w:name="_Toc156029806"/>
      <w:bookmarkStart w:id="39" w:name="_Toc150078349"/>
      <w:bookmarkStart w:id="40" w:name="_Toc152145316"/>
      <w:bookmarkStart w:id="41" w:name="_Toc148576384"/>
      <w:r>
        <w:rPr>
          <w:color w:val="000000" w:themeColor="text1"/>
          <w14:textFill>
            <w14:solidFill>
              <w14:schemeClr w14:val="tx1"/>
            </w14:solidFill>
          </w14:textFill>
        </w:rPr>
        <w:t>1.2  评价依据</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487B6D94">
      <w:pPr>
        <w:pStyle w:val="4"/>
        <w:rPr>
          <w:color w:val="000000" w:themeColor="text1"/>
          <w14:textFill>
            <w14:solidFill>
              <w14:schemeClr w14:val="tx1"/>
            </w14:solidFill>
          </w14:textFill>
        </w:rPr>
      </w:pPr>
      <w:r>
        <w:rPr>
          <w:color w:val="000000" w:themeColor="text1"/>
          <w14:textFill>
            <w14:solidFill>
              <w14:schemeClr w14:val="tx1"/>
            </w14:solidFill>
          </w14:textFill>
        </w:rPr>
        <w:t>1.2.1  法律</w:t>
      </w:r>
    </w:p>
    <w:p w14:paraId="62DD8B67">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《中华人民共和国安全生产法》（中华人民共和国主席令〔2021〕第八十八号，2021年09月01日实施）</w:t>
      </w:r>
    </w:p>
    <w:p w14:paraId="14E25077">
      <w:pPr>
        <w:numPr>
          <w:ilvl w:val="0"/>
          <w:numId w:val="1"/>
        </w:numPr>
        <w:ind w:firstLine="56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《中华人民共和国危险化学品安全法》（</w:t>
      </w:r>
      <w:r>
        <w:rPr>
          <w:color w:val="000000" w:themeColor="text1"/>
          <w:szCs w:val="21"/>
          <w14:textFill>
            <w14:solidFill>
              <w14:schemeClr w14:val="tx1"/>
            </w14:solidFill>
          </w14:textFill>
        </w:rPr>
        <w:t>中华人民共和国主席令第</w:t>
      </w:r>
      <w:r>
        <w:rPr>
          <w:rFonts w:hint="eastAsia"/>
          <w:color w:val="000000" w:themeColor="text1"/>
          <w:szCs w:val="21"/>
          <w14:textFill>
            <w14:solidFill>
              <w14:schemeClr w14:val="tx1"/>
            </w14:solidFill>
          </w14:textFill>
        </w:rPr>
        <w:t>六十四</w:t>
      </w:r>
      <w:r>
        <w:rPr>
          <w:color w:val="000000" w:themeColor="text1"/>
          <w:szCs w:val="21"/>
          <w14:textFill>
            <w14:solidFill>
              <w14:schemeClr w14:val="tx1"/>
            </w14:solidFill>
          </w14:textFill>
        </w:rPr>
        <w:t>号，20</w:t>
      </w:r>
      <w:r>
        <w:rPr>
          <w:rFonts w:hint="eastAsia"/>
          <w:color w:val="000000" w:themeColor="text1"/>
          <w:szCs w:val="21"/>
          <w14:textFill>
            <w14:solidFill>
              <w14:schemeClr w14:val="tx1"/>
            </w14:solidFill>
          </w14:textFill>
        </w:rPr>
        <w:t>26</w:t>
      </w:r>
      <w:r>
        <w:rPr>
          <w:color w:val="000000" w:themeColor="text1"/>
          <w:szCs w:val="21"/>
          <w14:textFill>
            <w14:solidFill>
              <w14:schemeClr w14:val="tx1"/>
            </w14:solidFill>
          </w14:textFill>
        </w:rPr>
        <w:t>年</w:t>
      </w:r>
      <w:r>
        <w:rPr>
          <w:rFonts w:hint="eastAsia"/>
          <w:color w:val="000000" w:themeColor="text1"/>
          <w:szCs w:val="21"/>
          <w14:textFill>
            <w14:solidFill>
              <w14:schemeClr w14:val="tx1"/>
            </w14:solidFill>
          </w14:textFill>
        </w:rPr>
        <w:t>5</w:t>
      </w:r>
      <w:r>
        <w:rPr>
          <w:color w:val="000000" w:themeColor="text1"/>
          <w:szCs w:val="21"/>
          <w14:textFill>
            <w14:solidFill>
              <w14:schemeClr w14:val="tx1"/>
            </w14:solidFill>
          </w14:textFill>
        </w:rPr>
        <w:t>月1日实施</w:t>
      </w:r>
      <w:r>
        <w:rPr>
          <w:rFonts w:hint="eastAsia"/>
          <w:color w:val="000000" w:themeColor="text1"/>
          <w:szCs w:val="21"/>
          <w14:textFill>
            <w14:solidFill>
              <w14:schemeClr w14:val="tx1"/>
            </w14:solidFill>
          </w14:textFill>
        </w:rPr>
        <w:t>）</w:t>
      </w:r>
    </w:p>
    <w:p w14:paraId="6807925A">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《中华人民共和国消防法》（中华人民共和国主席令〔2021〕第八十一号，2021年04月29日实施）</w:t>
      </w:r>
    </w:p>
    <w:p w14:paraId="24A4F735">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《中华人民共和国职业病防治法》（中华人民共和国主席令〔2018〕第二十四号，2018年12月29日实施）</w:t>
      </w:r>
    </w:p>
    <w:p w14:paraId="4BA96CD9">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《中华人民共和国气象法》（中华人民共和国主席令〔2016〕第五十七号，2016年11月07日实施）</w:t>
      </w:r>
    </w:p>
    <w:p w14:paraId="3AF868F7">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《中华人民共和国突发事件应对法》（中华人民共和国主席令〔2024〕第二十五号，2024年11月01日实施）</w:t>
      </w:r>
    </w:p>
    <w:p w14:paraId="4102BC9A">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《中华人民共和国建筑法》（中华人民共和国主席令〔2019〕第二十九号，2019年04月23日实施）</w:t>
      </w:r>
    </w:p>
    <w:p w14:paraId="7BE45B2C">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《中华人民共和国社会保险法》（中华人民共和国主席令〔2018〕第二十五号，2018年12月29日实施）</w:t>
      </w:r>
    </w:p>
    <w:p w14:paraId="06A17F10">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《中华人民共和国特种设备安全法》（中华人民共和国主席令〔2013〕第四号，2014年01月01日实施）</w:t>
      </w:r>
    </w:p>
    <w:p w14:paraId="398B136F">
      <w:pPr>
        <w:numPr>
          <w:ilvl w:val="0"/>
          <w:numId w:val="1"/>
        </w:numPr>
        <w:ind w:firstLine="560"/>
        <w:rPr>
          <w:color w:val="000000" w:themeColor="text1"/>
          <w14:textFill>
            <w14:solidFill>
              <w14:schemeClr w14:val="tx1"/>
            </w14:solidFill>
          </w14:textFill>
        </w:rPr>
      </w:pPr>
      <w:r>
        <w:rPr>
          <w:color w:val="000000" w:themeColor="text1"/>
          <w14:textFill>
            <w14:solidFill>
              <w14:schemeClr w14:val="tx1"/>
            </w14:solidFill>
          </w14:textFill>
        </w:rPr>
        <w:t>《中华人民共和国生态环境法典》（中华人民共和国主席令〔2026〕第七十号，2026 年 08 月 15 日实施）</w:t>
      </w:r>
    </w:p>
    <w:p w14:paraId="31CDE3D9">
      <w:pPr>
        <w:pStyle w:val="4"/>
        <w:rPr>
          <w:color w:val="000000" w:themeColor="text1"/>
          <w14:textFill>
            <w14:solidFill>
              <w14:schemeClr w14:val="tx1"/>
            </w14:solidFill>
          </w14:textFill>
        </w:rPr>
      </w:pPr>
      <w:r>
        <w:rPr>
          <w:color w:val="000000" w:themeColor="text1"/>
          <w14:textFill>
            <w14:solidFill>
              <w14:schemeClr w14:val="tx1"/>
            </w14:solidFill>
          </w14:textFill>
        </w:rPr>
        <w:t>1.2.2  法规</w:t>
      </w:r>
    </w:p>
    <w:p w14:paraId="4246849C">
      <w:pPr>
        <w:numPr>
          <w:ilvl w:val="0"/>
          <w:numId w:val="2"/>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《危险化学品安全管理条例》（国务院令第591号，国务院令第645号修订，2013年12月07日实施）</w:t>
      </w:r>
    </w:p>
    <w:p w14:paraId="47CB2BDD">
      <w:pPr>
        <w:numPr>
          <w:ilvl w:val="0"/>
          <w:numId w:val="2"/>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《工伤保险条例》（国务院令第586号，2011年01月01日实施）</w:t>
      </w:r>
    </w:p>
    <w:p w14:paraId="1BFE9FD9">
      <w:pPr>
        <w:numPr>
          <w:ilvl w:val="0"/>
          <w:numId w:val="2"/>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《气象灾害防御条例》（国务院令第687号，2017年10月07日实施）</w:t>
      </w:r>
    </w:p>
    <w:p w14:paraId="593BA7DD">
      <w:pPr>
        <w:numPr>
          <w:ilvl w:val="0"/>
          <w:numId w:val="2"/>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《生产安全事故应急条例》（国务院令第708号，2019年04月01日实施）</w:t>
      </w:r>
    </w:p>
    <w:p w14:paraId="65816DDE">
      <w:pPr>
        <w:numPr>
          <w:ilvl w:val="0"/>
          <w:numId w:val="2"/>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《生产安全事故报告和调查处理条例》（国务院令第493号，2007年06月01日实施）</w:t>
      </w:r>
    </w:p>
    <w:p w14:paraId="486DA002">
      <w:pPr>
        <w:pStyle w:val="4"/>
        <w:rPr>
          <w:color w:val="000000" w:themeColor="text1"/>
          <w14:textFill>
            <w14:solidFill>
              <w14:schemeClr w14:val="tx1"/>
            </w14:solidFill>
          </w14:textFill>
        </w:rPr>
      </w:pPr>
      <w:r>
        <w:rPr>
          <w:color w:val="000000" w:themeColor="text1"/>
          <w14:textFill>
            <w14:solidFill>
              <w14:schemeClr w14:val="tx1"/>
            </w14:solidFill>
          </w14:textFill>
        </w:rPr>
        <w:t>1.2.3  部门规章及规范性文件</w:t>
      </w:r>
    </w:p>
    <w:p w14:paraId="685F0983">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《生产经营单位安全培训规定》（原国家安全生产监督管理总局令第3号，原国家安全生产监督管理总局第80号令修订，2015年07月01日实施）</w:t>
      </w:r>
    </w:p>
    <w:p w14:paraId="5A98C178">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《危险化学品经营许可证管理办法》（原国家安全生产监督管理总局令第55号，原国家安全生产监督管理总局令79号修订，2015年07月01日实施）</w:t>
      </w:r>
    </w:p>
    <w:p w14:paraId="425E04DF">
      <w:pPr>
        <w:numPr>
          <w:ilvl w:val="0"/>
          <w:numId w:val="3"/>
        </w:numPr>
        <w:ind w:firstLine="560"/>
        <w:rPr>
          <w:color w:val="000000" w:themeColor="text1"/>
          <w14:textFill>
            <w14:solidFill>
              <w14:schemeClr w14:val="tx1"/>
            </w14:solidFill>
          </w14:textFill>
        </w:rPr>
      </w:pPr>
      <w:r>
        <w:rPr>
          <w:iCs/>
          <w:color w:val="000000" w:themeColor="text1"/>
          <w14:textFill>
            <w14:solidFill>
              <w14:schemeClr w14:val="tx1"/>
            </w14:solidFill>
          </w14:textFill>
        </w:rPr>
        <w:t>《</w:t>
      </w:r>
      <w:r>
        <w:rPr>
          <w:color w:val="000000" w:themeColor="text1"/>
          <w14:textFill>
            <w14:solidFill>
              <w14:schemeClr w14:val="tx1"/>
            </w14:solidFill>
          </w14:textFill>
        </w:rPr>
        <w:t>国家安全监管总局关于废止和修改劳动防护用品和安全培训等领域十部规章的决定》（</w:t>
      </w:r>
      <w:r>
        <w:rPr>
          <w:rFonts w:hint="eastAsia"/>
          <w:color w:val="000000" w:themeColor="text1"/>
          <w14:textFill>
            <w14:solidFill>
              <w14:schemeClr w14:val="tx1"/>
            </w14:solidFill>
          </w14:textFill>
        </w:rPr>
        <w:t>原</w:t>
      </w:r>
      <w:r>
        <w:rPr>
          <w:color w:val="000000" w:themeColor="text1"/>
          <w14:textFill>
            <w14:solidFill>
              <w14:schemeClr w14:val="tx1"/>
            </w14:solidFill>
          </w14:textFill>
        </w:rPr>
        <w:t>国家安全生产监督管理总局令第80号，2015年07月01日实施）</w:t>
      </w:r>
    </w:p>
    <w:p w14:paraId="325B31A6">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《生产安全事故应急预案管理办法》（应急管理部令第2号修改，2019年09月01日实施）</w:t>
      </w:r>
    </w:p>
    <w:p w14:paraId="6048AF21">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《产业结构调整指导目录（2024年本）》（国家发展和改革委员会令第7号，2024年02月01日施行）</w:t>
      </w:r>
    </w:p>
    <w:p w14:paraId="476C4C01">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《防雷减灾管理办法》（中国气象局令〔2025〕44号，2025年6月1日实施）</w:t>
      </w:r>
    </w:p>
    <w:p w14:paraId="6ACADBFA">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《危险化学品经营单位安全评价导则（试行）》（</w:t>
      </w:r>
      <w:r>
        <w:rPr>
          <w:rFonts w:hint="eastAsia"/>
          <w:color w:val="000000" w:themeColor="text1"/>
          <w14:textFill>
            <w14:solidFill>
              <w14:schemeClr w14:val="tx1"/>
            </w14:solidFill>
          </w14:textFill>
        </w:rPr>
        <w:t>原</w:t>
      </w:r>
      <w:r>
        <w:rPr>
          <w:color w:val="000000" w:themeColor="text1"/>
          <w14:textFill>
            <w14:solidFill>
              <w14:schemeClr w14:val="tx1"/>
            </w14:solidFill>
          </w14:textFill>
        </w:rPr>
        <w:t>国家安全生产监督管理总局，安监管管二字〔2003〕38号，2003年04月01日实施）</w:t>
      </w:r>
    </w:p>
    <w:p w14:paraId="555B9EFB">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《国家安全生产监督管理局关于调整&lt;危险化学品经营单位安全评价导则(试行)&gt;附录A部分内容的通知》（</w:t>
      </w:r>
      <w:r>
        <w:rPr>
          <w:rFonts w:hint="eastAsia"/>
          <w:color w:val="000000" w:themeColor="text1"/>
          <w14:textFill>
            <w14:solidFill>
              <w14:schemeClr w14:val="tx1"/>
            </w14:solidFill>
          </w14:textFill>
        </w:rPr>
        <w:t>原</w:t>
      </w:r>
      <w:r>
        <w:rPr>
          <w:color w:val="000000" w:themeColor="text1"/>
          <w14:textFill>
            <w14:solidFill>
              <w14:schemeClr w14:val="tx1"/>
            </w14:solidFill>
          </w14:textFill>
        </w:rPr>
        <w:t>国家安全生产监督管理总局，安监管函字〔2003〕119号，2003年10月30日实施）</w:t>
      </w:r>
    </w:p>
    <w:p w14:paraId="5090BAF3">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家安全监管总局办公厅关于印发〈化工（危险化学品）企业保障生产安全十条规定〉〈烟花爆竹企业保障生产安全十条规定〉和〈油气罐区防火防爆十条规定〉的通知》（安监总政法〔2017〕15号文，2017年3月6日实施）</w:t>
      </w:r>
    </w:p>
    <w:p w14:paraId="45442E8D">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《危险化学品建设项目安全监督管理办法》（</w:t>
      </w:r>
      <w:r>
        <w:rPr>
          <w:rFonts w:hint="eastAsia"/>
          <w:color w:val="000000" w:themeColor="text1"/>
          <w14:textFill>
            <w14:solidFill>
              <w14:schemeClr w14:val="tx1"/>
            </w14:solidFill>
          </w14:textFill>
        </w:rPr>
        <w:t>原</w:t>
      </w:r>
      <w:r>
        <w:rPr>
          <w:color w:val="000000" w:themeColor="text1"/>
          <w14:textFill>
            <w14:solidFill>
              <w14:schemeClr w14:val="tx1"/>
            </w14:solidFill>
          </w14:textFill>
        </w:rPr>
        <w:t>国家安监总局令第45号公布，79号修正，自2015年7月1日起施行）</w:t>
      </w:r>
    </w:p>
    <w:p w14:paraId="10F35380">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《特种作业人员安全技术培训考核管理规定》（应急管理部令第 19 号，2026 年 06 月 01 日实施）</w:t>
      </w:r>
    </w:p>
    <w:p w14:paraId="7EB08BC5">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《安全生产培训管理办法》（国家安监总局令第44号公布，第80号修正，自2015年7月1日起施行）</w:t>
      </w:r>
    </w:p>
    <w:p w14:paraId="0A222C58">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《危险化学品目录（2015年版）》（</w:t>
      </w:r>
      <w:r>
        <w:rPr>
          <w:rFonts w:hint="eastAsia"/>
          <w:color w:val="000000" w:themeColor="text1"/>
          <w14:textFill>
            <w14:solidFill>
              <w14:schemeClr w14:val="tx1"/>
            </w14:solidFill>
          </w14:textFill>
        </w:rPr>
        <w:t>原</w:t>
      </w:r>
      <w:r>
        <w:rPr>
          <w:color w:val="000000" w:themeColor="text1"/>
          <w14:textFill>
            <w14:solidFill>
              <w14:schemeClr w14:val="tx1"/>
            </w14:solidFill>
          </w14:textFill>
        </w:rPr>
        <w:t>国家安全生产监督管理总局等十部门公告〔2015〕第5号，应急管理部等十部门公告〔2022〕第8号修正，2015年5月1日实施）</w:t>
      </w:r>
    </w:p>
    <w:p w14:paraId="1C26BD75">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《国家安全监管总局办公厅关于印发危险化学品目录（2015版）实施指南（试行）的通知》（安监总厅管三〔2015〕80号，2015年8月19日发布）</w:t>
      </w:r>
    </w:p>
    <w:p w14:paraId="287CF522">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《关于调整危险化学品目录（2015版）的公告》（应急管理部等十部门公告2022年第8号，2023年01月01日实施）</w:t>
      </w:r>
    </w:p>
    <w:p w14:paraId="161CE650">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《应急管理部办公厅关于修改〈危险化学品目录（2015版）实施指南（试行）〉涉及柴油部分内容的通知》（应急厅〔2022〕300号，2023年1月1日实施</w:t>
      </w:r>
      <w:r>
        <w:rPr>
          <w:rFonts w:hint="eastAsia"/>
          <w:color w:val="000000" w:themeColor="text1"/>
          <w14:textFill>
            <w14:solidFill>
              <w14:schemeClr w14:val="tx1"/>
            </w14:solidFill>
          </w14:textFill>
        </w:rPr>
        <w:t>）</w:t>
      </w:r>
    </w:p>
    <w:p w14:paraId="11B057B1">
      <w:pPr>
        <w:numPr>
          <w:ilvl w:val="0"/>
          <w:numId w:val="3"/>
        </w:numPr>
        <w:ind w:firstLine="56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中华人民共和国应急管理部等10部门公告</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（2026年第3号</w:t>
      </w:r>
      <w:r>
        <w:rPr>
          <w:rFonts w:hint="eastAsia"/>
          <w:color w:val="000000" w:themeColor="text1"/>
          <w14:textFill>
            <w14:solidFill>
              <w14:schemeClr w14:val="tx1"/>
            </w14:solidFill>
          </w14:textFill>
        </w:rPr>
        <w:t>，2026年4月9日实施</w:t>
      </w:r>
      <w:r>
        <w:rPr>
          <w:color w:val="000000" w:themeColor="text1"/>
          <w14:textFill>
            <w14:solidFill>
              <w14:schemeClr w14:val="tx1"/>
            </w14:solidFill>
          </w14:textFill>
        </w:rPr>
        <w:t>）</w:t>
      </w:r>
    </w:p>
    <w:p w14:paraId="1D137EF8">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《应急管理部办公厅关于认真做好柴油安全许可有关工作的通知》（应急厅函〔2022〕317号，2022年12月20日实施）</w:t>
      </w:r>
    </w:p>
    <w:p w14:paraId="1A57C0E9">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《应急管理部办公厅关于印发〈危险化学品企业生产安全事故应急准备指南〉的通知》（应急厅〔2019〕62号，2019年12月26日发布）</w:t>
      </w:r>
    </w:p>
    <w:p w14:paraId="5D072A2A">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《国家安全监管总局关于公布首批重点监管的危险化学品名录的通知》（安监总管三〔2011〕95号，2011年06月21日实施）</w:t>
      </w:r>
    </w:p>
    <w:p w14:paraId="7F7B0E31">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《国家安全监管总局关于公布第二批重点监管危险化学品名录的通知》（安监总管三〔2013〕12号，2013年02月05日实施）</w:t>
      </w:r>
    </w:p>
    <w:p w14:paraId="680B490B">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《特别管控危险化学品目录（第一版）》（应急管理部等四部门公告〔2020〕1号，2020年5月30日实施）</w:t>
      </w:r>
    </w:p>
    <w:p w14:paraId="624B5547">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《国家安全监管总局办公厅关于印发首批重点监管的危险化学品安全措施和应急处置原则的通知》（安监总厅管三〔2011〕142号，2011年7月1日实施）</w:t>
      </w:r>
    </w:p>
    <w:p w14:paraId="77BF2F26">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《国家安全监管总局办公厅关于进一步加强加油站安全生产工作的通知》（安监总厅管三〔2016〕8号，2016年2月5日实施）</w:t>
      </w:r>
    </w:p>
    <w:p w14:paraId="02A11145">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《国务院安全生产委员会关于印发〈全国危险化学品安全风险集中治理方案〉的通知》（安委〔2021〕12号，2021年12月31日实施）</w:t>
      </w:r>
    </w:p>
    <w:p w14:paraId="1EA099D4">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《国务院安全生产委员会印发〈关于进一步强化安全生产责任落实坚决防范遏制重特大事故的若干措施〉的通知》（安委〔2022〕6号，2022年4月2日实施）</w:t>
      </w:r>
    </w:p>
    <w:p w14:paraId="50C5A3AD">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《关于印发〈企业安全生产费用提取和使用管理办法〉的通知》（财政部 应急部 财资〔2022〕136号，2022年11月21日实施）</w:t>
      </w:r>
    </w:p>
    <w:p w14:paraId="10932F92">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《国务院安全生产委员会关于印发〈全国安全生产专项整治三年行动计划〉的通知》（安委〔2020〕3号，2020年4月3日实施）</w:t>
      </w:r>
    </w:p>
    <w:p w14:paraId="52CF3C97">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《国务院安委会办公室关于学好用好重大事故隐患判定标准的通知》（安委〔2024〕2号，2024年4月9日实施）</w:t>
      </w:r>
    </w:p>
    <w:p w14:paraId="5A360008">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《国务院安全生产委员会关于印发〈关于强化危险化学品</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一件事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全链条安全管理的措施〉的通知》（安委〔2025〕4号）</w:t>
      </w:r>
    </w:p>
    <w:p w14:paraId="1C1D259D">
      <w:pPr>
        <w:numPr>
          <w:ilvl w:val="0"/>
          <w:numId w:val="3"/>
        </w:numPr>
        <w:ind w:firstLine="560"/>
        <w:rPr>
          <w:color w:val="000000" w:themeColor="text1"/>
          <w14:textFill>
            <w14:solidFill>
              <w14:schemeClr w14:val="tx1"/>
            </w14:solidFill>
          </w14:textFill>
        </w:rPr>
      </w:pPr>
      <w:r>
        <w:rPr>
          <w:color w:val="000000" w:themeColor="text1"/>
          <w14:textFill>
            <w14:solidFill>
              <w14:schemeClr w14:val="tx1"/>
            </w14:solidFill>
          </w14:textFill>
        </w:rPr>
        <w:t>《国务院办公厅关于推动成品油流通高质量发展的意见》（国办发〔2025〕5号，2025年1月27日实施）</w:t>
      </w:r>
    </w:p>
    <w:p w14:paraId="7762C9F2">
      <w:pPr>
        <w:pStyle w:val="4"/>
        <w:rPr>
          <w:color w:val="000000" w:themeColor="text1"/>
          <w14:textFill>
            <w14:solidFill>
              <w14:schemeClr w14:val="tx1"/>
            </w14:solidFill>
          </w14:textFill>
        </w:rPr>
      </w:pPr>
      <w:r>
        <w:rPr>
          <w:color w:val="000000" w:themeColor="text1"/>
          <w14:textFill>
            <w14:solidFill>
              <w14:schemeClr w14:val="tx1"/>
            </w14:solidFill>
          </w14:textFill>
        </w:rPr>
        <w:t>1.2.4  地方性法规及文件</w:t>
      </w:r>
    </w:p>
    <w:p w14:paraId="3118DF2E">
      <w:pPr>
        <w:numPr>
          <w:ilvl w:val="0"/>
          <w:numId w:val="4"/>
        </w:numPr>
        <w:ind w:firstLine="560"/>
        <w:rPr>
          <w:color w:val="000000" w:themeColor="text1"/>
          <w14:textFill>
            <w14:solidFill>
              <w14:schemeClr w14:val="tx1"/>
            </w14:solidFill>
          </w14:textFill>
        </w:rPr>
      </w:pPr>
      <w:r>
        <w:rPr>
          <w:color w:val="000000" w:themeColor="text1"/>
          <w14:textFill>
            <w14:solidFill>
              <w14:schemeClr w14:val="tx1"/>
            </w14:solidFill>
          </w14:textFill>
        </w:rPr>
        <w:t>《云南省安全生产条例》（云南省第十二届人民代表大会常务委员会公告第63号，2018年1月1日起施行）</w:t>
      </w:r>
    </w:p>
    <w:p w14:paraId="75BA6104">
      <w:pPr>
        <w:numPr>
          <w:ilvl w:val="0"/>
          <w:numId w:val="4"/>
        </w:numPr>
        <w:ind w:firstLine="560"/>
        <w:rPr>
          <w:color w:val="000000" w:themeColor="text1"/>
          <w14:textFill>
            <w14:solidFill>
              <w14:schemeClr w14:val="tx1"/>
            </w14:solidFill>
          </w14:textFill>
        </w:rPr>
      </w:pPr>
      <w:r>
        <w:rPr>
          <w:color w:val="000000" w:themeColor="text1"/>
          <w14:textFill>
            <w14:solidFill>
              <w14:schemeClr w14:val="tx1"/>
            </w14:solidFill>
          </w14:textFill>
        </w:rPr>
        <w:t>《云南省消防条例》（云南省第十一届人民代表大会常务委员会第十九次会议修订通过，根据 2020 年 11 月 25 日云南省第十三届人大常委会第二十一次会议修正，2011年1月1日实施）</w:t>
      </w:r>
    </w:p>
    <w:p w14:paraId="55A4970E">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《云南省安全生产监督管理局关于印发云南省危险化学品生产（储存）企业安全风险分级标准和安全风险分级指导标准的通知》（云安监管〔2017〕75号，2017年11月29日实施）</w:t>
      </w:r>
    </w:p>
    <w:p w14:paraId="6578D0DB">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《云南省消防安全责任制实施办法》（云政办规〔2019〕7号，2019年10月1日实施）</w:t>
      </w:r>
    </w:p>
    <w:p w14:paraId="423D31E4">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《云南省安委会办公室关于切实做好危险化学品安全生产专项整治行动的通知》（云安办函〔2017〕93号，2017年10月31日实施）</w:t>
      </w:r>
    </w:p>
    <w:p w14:paraId="7B29917C">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《关于印发云南省危险化学品安全综合治理实施方案的通知》（云政办函〔2017〕17号，2017年1月25日实施）</w:t>
      </w:r>
    </w:p>
    <w:p w14:paraId="26943B2E">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《关于进一步推进危险化学品（化工）等行业安全生产大检查长效机制建设的通知》（云安监管﹝2016﹞1号，2016年1月4日实施）</w:t>
      </w:r>
    </w:p>
    <w:p w14:paraId="55430523">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《云南省安全生产委员会办公室关于印发生产安全事故隐患排查治理实施细则的通知》（云安办〔2017〕66号，2017年11月24日实施）</w:t>
      </w:r>
    </w:p>
    <w:p w14:paraId="360FFE62">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《云南省安全生产监督管理局关于危险化学品经营行政许可有关事项的通知》（云安监管〔2013〕13号，2013年3月1日实施）</w:t>
      </w:r>
    </w:p>
    <w:p w14:paraId="7F95F184">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《云南省人民政府关于印发云南省生产经营单位安全生产主体责任规定的通知》（云政规〔2022〕4号，2022年11月12日实施）</w:t>
      </w:r>
    </w:p>
    <w:p w14:paraId="426629E6">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《关于进一步加快推进加油站地下油罐防渗改造工作的通知》（云污防通〔2018〕9号，2018年11月27日实施）</w:t>
      </w:r>
    </w:p>
    <w:p w14:paraId="48CCA097">
      <w:pPr>
        <w:numPr>
          <w:ilvl w:val="0"/>
          <w:numId w:val="4"/>
        </w:numPr>
        <w:overflowPunct w:val="0"/>
        <w:autoSpaceDE w:val="0"/>
        <w:autoSpaceDN w:val="0"/>
        <w:adjustRightInd w:val="0"/>
        <w:snapToGrid w:val="0"/>
        <w:ind w:firstLine="560"/>
        <w:rPr>
          <w:color w:val="000000" w:themeColor="text1"/>
          <w14:textFill>
            <w14:solidFill>
              <w14:schemeClr w14:val="tx1"/>
            </w14:solidFill>
          </w14:textFill>
        </w:rPr>
      </w:pPr>
      <w:r>
        <w:rPr>
          <w:color w:val="000000" w:themeColor="text1"/>
          <w14:textFill>
            <w14:solidFill>
              <w14:schemeClr w14:val="tx1"/>
            </w14:solidFill>
          </w14:textFill>
        </w:rPr>
        <w:t>《云南省生产安全事故应急办法》（云南省政府令第227号，2024年2月1日施行）</w:t>
      </w:r>
    </w:p>
    <w:p w14:paraId="4598A4D7">
      <w:pPr>
        <w:numPr>
          <w:ilvl w:val="0"/>
          <w:numId w:val="4"/>
        </w:numPr>
        <w:ind w:firstLine="560"/>
        <w:rPr>
          <w:rFonts w:hint="eastAsia" w:hAnsiTheme="minorEastAsia" w:eastAsiaTheme="minorEastAsia"/>
          <w:color w:val="000000" w:themeColor="text1"/>
          <w:szCs w:val="21"/>
          <w14:textFill>
            <w14:solidFill>
              <w14:schemeClr w14:val="tx1"/>
            </w14:solidFill>
          </w14:textFill>
        </w:rPr>
      </w:pPr>
      <w:r>
        <w:rPr>
          <w:color w:val="000000" w:themeColor="text1"/>
          <w14:textFill>
            <w14:solidFill>
              <w14:schemeClr w14:val="tx1"/>
            </w14:solidFill>
          </w14:textFill>
        </w:rPr>
        <w:t>《云南省应急管理厅、云南银保监局关于规范推进安全生产责任保险工作的通知》（云应急〔2022〕48号，2021年9月1日实施）</w:t>
      </w:r>
    </w:p>
    <w:p w14:paraId="722C1128">
      <w:pPr>
        <w:numPr>
          <w:ilvl w:val="0"/>
          <w:numId w:val="4"/>
        </w:numPr>
        <w:ind w:firstLine="560"/>
        <w:rPr>
          <w:rFonts w:hint="eastAsia" w:hAnsiTheme="minorEastAsia" w:eastAsiaTheme="minorEastAsia"/>
          <w:color w:val="000000" w:themeColor="text1"/>
          <w:szCs w:val="21"/>
          <w14:textFill>
            <w14:solidFill>
              <w14:schemeClr w14:val="tx1"/>
            </w14:solidFill>
          </w14:textFill>
        </w:rPr>
      </w:pPr>
      <w:r>
        <w:rPr>
          <w:rFonts w:hAnsiTheme="minorEastAsia" w:eastAsiaTheme="minorEastAsia"/>
          <w:color w:val="000000" w:themeColor="text1"/>
          <w:szCs w:val="21"/>
          <w14:textFill>
            <w14:solidFill>
              <w14:schemeClr w14:val="tx1"/>
            </w14:solidFill>
          </w14:textFill>
        </w:rPr>
        <w:t>《云南省突发事件应对条例》</w:t>
      </w:r>
      <w:r>
        <w:rPr>
          <w:rFonts w:hint="eastAsia" w:hAnsiTheme="minorEastAsia" w:eastAsiaTheme="minorEastAsia"/>
          <w:color w:val="000000" w:themeColor="text1"/>
          <w:szCs w:val="21"/>
          <w14:textFill>
            <w14:solidFill>
              <w14:schemeClr w14:val="tx1"/>
            </w14:solidFill>
          </w14:textFill>
        </w:rPr>
        <w:t>（</w:t>
      </w:r>
      <w:r>
        <w:rPr>
          <w:rFonts w:hAnsiTheme="minorEastAsia" w:eastAsiaTheme="minorEastAsia"/>
          <w:color w:val="000000" w:themeColor="text1"/>
          <w:szCs w:val="21"/>
          <w14:textFill>
            <w14:solidFill>
              <w14:schemeClr w14:val="tx1"/>
            </w14:solidFill>
          </w14:textFill>
        </w:rPr>
        <w:t>2014年7月27日云南省第十二届人民代表大会常务委员会第十次会议通过，2014年12月1日起施行</w:t>
      </w:r>
      <w:r>
        <w:rPr>
          <w:rFonts w:hint="eastAsia" w:hAnsiTheme="minorEastAsia" w:eastAsiaTheme="minorEastAsia"/>
          <w:color w:val="000000" w:themeColor="text1"/>
          <w:szCs w:val="21"/>
          <w14:textFill>
            <w14:solidFill>
              <w14:schemeClr w14:val="tx1"/>
            </w14:solidFill>
          </w14:textFill>
        </w:rPr>
        <w:t>）</w:t>
      </w:r>
    </w:p>
    <w:p w14:paraId="318D6A9E">
      <w:pPr>
        <w:numPr>
          <w:ilvl w:val="0"/>
          <w:numId w:val="4"/>
        </w:numPr>
        <w:ind w:firstLine="560"/>
        <w:rPr>
          <w:color w:val="000000" w:themeColor="text1"/>
          <w14:textFill>
            <w14:solidFill>
              <w14:schemeClr w14:val="tx1"/>
            </w14:solidFill>
          </w14:textFill>
        </w:rPr>
      </w:pPr>
      <w:r>
        <w:rPr>
          <w:rFonts w:hint="eastAsia" w:hAnsiTheme="minorEastAsia" w:eastAsiaTheme="minorEastAsia"/>
          <w:color w:val="000000" w:themeColor="text1"/>
          <w:szCs w:val="21"/>
          <w14:textFill>
            <w14:solidFill>
              <w14:schemeClr w14:val="tx1"/>
            </w14:solidFill>
          </w14:textFill>
        </w:rPr>
        <w:t>《</w:t>
      </w:r>
      <w:r>
        <w:rPr>
          <w:rFonts w:hAnsiTheme="minorEastAsia" w:eastAsiaTheme="minorEastAsia"/>
          <w:color w:val="000000" w:themeColor="text1"/>
          <w:szCs w:val="21"/>
          <w14:textFill>
            <w14:solidFill>
              <w14:schemeClr w14:val="tx1"/>
            </w14:solidFill>
          </w14:textFill>
        </w:rPr>
        <w:t>云南省生产安全事故应急办法</w:t>
      </w:r>
      <w:r>
        <w:rPr>
          <w:rFonts w:hint="eastAsia" w:hAnsiTheme="minorEastAsia" w:eastAsiaTheme="minorEastAsia"/>
          <w:color w:val="000000" w:themeColor="text1"/>
          <w:szCs w:val="21"/>
          <w14:textFill>
            <w14:solidFill>
              <w14:schemeClr w14:val="tx1"/>
            </w14:solidFill>
          </w14:textFill>
        </w:rPr>
        <w:t>》（2023年11月27日第十四届云南省人民政府第23次常务会议通过，2024年2月1日）</w:t>
      </w:r>
    </w:p>
    <w:p w14:paraId="69CFF789">
      <w:pPr>
        <w:numPr>
          <w:ilvl w:val="0"/>
          <w:numId w:val="4"/>
        </w:numPr>
        <w:ind w:firstLine="560"/>
        <w:rPr>
          <w:color w:val="000000" w:themeColor="text1"/>
          <w14:textFill>
            <w14:solidFill>
              <w14:schemeClr w14:val="tx1"/>
            </w14:solidFill>
          </w14:textFill>
        </w:rPr>
      </w:pPr>
      <w:r>
        <w:rPr>
          <w:rFonts w:hint="eastAsia" w:hAnsiTheme="minorEastAsia" w:eastAsiaTheme="minorEastAsia"/>
          <w:color w:val="000000" w:themeColor="text1"/>
          <w:szCs w:val="21"/>
          <w14:textFill>
            <w14:solidFill>
              <w14:schemeClr w14:val="tx1"/>
            </w14:solidFill>
          </w14:textFill>
        </w:rPr>
        <w:t>云南省应急管理厅关于印发《云南省化工和危险化学品安全生产治本攻坚三年行动实施方案（2024-2026年）》的通知（云应急函〔2024〕35号，2024年2月27日）</w:t>
      </w:r>
    </w:p>
    <w:p w14:paraId="30C7E85F">
      <w:pPr>
        <w:pStyle w:val="4"/>
        <w:rPr>
          <w:color w:val="000000" w:themeColor="text1"/>
          <w14:textFill>
            <w14:solidFill>
              <w14:schemeClr w14:val="tx1"/>
            </w14:solidFill>
          </w14:textFill>
        </w:rPr>
      </w:pPr>
      <w:r>
        <w:rPr>
          <w:color w:val="000000" w:themeColor="text1"/>
          <w14:textFill>
            <w14:solidFill>
              <w14:schemeClr w14:val="tx1"/>
            </w14:solidFill>
          </w14:textFill>
        </w:rPr>
        <w:t>1.2.5  技术标准</w:t>
      </w:r>
    </w:p>
    <w:p w14:paraId="3DD88C1C">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《汽车加油加气加氢站技术标准》（GB 50156-2021）</w:t>
      </w:r>
    </w:p>
    <w:p w14:paraId="74C20DE9">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《生产设备安全卫生设计总则》（GB 5083-2023）</w:t>
      </w:r>
    </w:p>
    <w:p w14:paraId="7ABAEA32">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《生产过程安全卫生要求总则》（GB/T 12801-2008）</w:t>
      </w:r>
    </w:p>
    <w:p w14:paraId="5DDB27A0">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《加油站作业安全规范》（AQ 3010-2022）</w:t>
      </w:r>
    </w:p>
    <w:p w14:paraId="38981DC8">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《建筑设计防火规范（2018年版）》（GB 50016-2014）</w:t>
      </w:r>
    </w:p>
    <w:p w14:paraId="5B643E40">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《建筑防火通用规范》（GB 55037-2022）</w:t>
      </w:r>
    </w:p>
    <w:p w14:paraId="10AB101B">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《车用柴油》（GB 19147-2016）</w:t>
      </w:r>
    </w:p>
    <w:p w14:paraId="4FFE9732">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《车用柴油》（国家标准第1号修改单GB 19147-2016/XG1-2018）</w:t>
      </w:r>
    </w:p>
    <w:p w14:paraId="696A5067">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《车用汽油》（GB17930-2016）</w:t>
      </w:r>
    </w:p>
    <w:p w14:paraId="744B0A7C">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《加油站大气污染物排放标准》（GB 20952-2020）</w:t>
      </w:r>
    </w:p>
    <w:p w14:paraId="587115D2">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《油气回收系统防爆技术要求》（GB/T 34661-2017）</w:t>
      </w:r>
    </w:p>
    <w:p w14:paraId="521B8F84">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《油气回收装置通用技术条件》（GB/T 35579-2017）</w:t>
      </w:r>
    </w:p>
    <w:p w14:paraId="0C99A2D9">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《加油站用埋地钢-玻璃纤维增强塑料双层油罐工程技术规范》（SH/T 3178-2015）</w:t>
      </w:r>
    </w:p>
    <w:p w14:paraId="64EC00D6">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《燃油加油站防爆安全技术 第1部分：燃油加油机防爆安全技术要求》（GB/T 22380.1-2017）</w:t>
      </w:r>
    </w:p>
    <w:p w14:paraId="7AFCE468">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《燃油加油站防爆安全技术 第2部分：加油机用安全拉断阀结构和性能的安全要求》（GB/T 22380.2-2019）</w:t>
      </w:r>
    </w:p>
    <w:p w14:paraId="0B92CB9C">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《消防设施通用规范》（GB 55036-2022）</w:t>
      </w:r>
    </w:p>
    <w:p w14:paraId="65F07A73">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《石油化工可燃气体和有毒气体检测报警设计标准》（GB/T 50493-2019）</w:t>
      </w:r>
    </w:p>
    <w:p w14:paraId="5DD63F46">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《爆炸危险环境电力装置设计规范》（GB 50058-2014）</w:t>
      </w:r>
    </w:p>
    <w:p w14:paraId="53F299A1">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《重大火灾隐患判定规则》（GB 35181-2025）</w:t>
      </w:r>
    </w:p>
    <w:p w14:paraId="58DC129A">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《供配电系统设计规范》（GB 50052-2009）</w:t>
      </w:r>
    </w:p>
    <w:p w14:paraId="68CC645D">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《20kV及以下变电所设计规范》（GB 50053-2013）</w:t>
      </w:r>
    </w:p>
    <w:p w14:paraId="0D5C1424">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《防止静电事故通用要求》（GB12158-2024，2026年01月01日实施）</w:t>
      </w:r>
    </w:p>
    <w:p w14:paraId="38BBC416">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《建筑物防雷设计规范》（GB 50057-2010）</w:t>
      </w:r>
    </w:p>
    <w:p w14:paraId="3C66604D">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《建筑照明设计标准》（GB 50034-2024）</w:t>
      </w:r>
    </w:p>
    <w:p w14:paraId="38104A16">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《建筑灭火器配置设计规范》（GB 50140-2005）</w:t>
      </w:r>
    </w:p>
    <w:p w14:paraId="5F02E4CC">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《建筑抗震设计标准》（GB/T50011-2010[2024年版]）</w:t>
      </w:r>
    </w:p>
    <w:p w14:paraId="118E5045">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《视频安防监控系统工程设计规范》（GB 50395-2007）</w:t>
      </w:r>
    </w:p>
    <w:p w14:paraId="529D8AE8">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《建筑物电子信息系统防雷技术规范》（GB 50343-2012）</w:t>
      </w:r>
    </w:p>
    <w:p w14:paraId="6BA49613">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《安全色和安全标志》（GB 2894-2025）</w:t>
      </w:r>
    </w:p>
    <w:p w14:paraId="7A6FEC3E">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《危险化学品重大危险源辨识》（GB 18218-2018）</w:t>
      </w:r>
    </w:p>
    <w:p w14:paraId="2EEA318C">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《危险货物品名表》（GB 12268-2025）</w:t>
      </w:r>
    </w:p>
    <w:p w14:paraId="755BE9E7">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《危险货物分类和品名编号》（GB 6944-2025）</w:t>
      </w:r>
    </w:p>
    <w:p w14:paraId="3C2A7D39">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《化学品分类和标签规范 第1部分：通则》（GB30000.1-2024，2025年8月1日实施）</w:t>
      </w:r>
    </w:p>
    <w:p w14:paraId="2A5EC4BB">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《易燃易爆性商品储存养护技术条件》（GB 17914-2013）</w:t>
      </w:r>
    </w:p>
    <w:p w14:paraId="29D45A5C">
      <w:pPr>
        <w:numPr>
          <w:ilvl w:val="0"/>
          <w:numId w:val="5"/>
        </w:numPr>
        <w:ind w:left="0" w:firstLine="560"/>
        <w:rPr>
          <w:color w:val="000000" w:themeColor="text1"/>
          <w14:textFill>
            <w14:solidFill>
              <w14:schemeClr w14:val="tx1"/>
            </w14:solidFill>
          </w14:textFill>
        </w:rPr>
      </w:pPr>
      <w:r>
        <w:rPr>
          <w:color w:val="000000" w:themeColor="text1"/>
          <w:lang w:val="zh-CN"/>
          <w14:textFill>
            <w14:solidFill>
              <w14:schemeClr w14:val="tx1"/>
            </w14:solidFill>
          </w14:textFill>
        </w:rPr>
        <w:t>《生产安全事故分类与编码》（GB</w:t>
      </w:r>
      <w:r>
        <w:rPr>
          <w:color w:val="000000" w:themeColor="text1"/>
          <w14:textFill>
            <w14:solidFill>
              <w14:schemeClr w14:val="tx1"/>
            </w14:solidFill>
          </w14:textFill>
        </w:rPr>
        <w:t xml:space="preserve"> </w:t>
      </w:r>
      <w:r>
        <w:rPr>
          <w:color w:val="000000" w:themeColor="text1"/>
          <w:lang w:val="zh-CN"/>
          <w14:textFill>
            <w14:solidFill>
              <w14:schemeClr w14:val="tx1"/>
            </w14:solidFill>
          </w14:textFill>
        </w:rPr>
        <w:t>6441-2025）</w:t>
      </w:r>
    </w:p>
    <w:p w14:paraId="45B1B7C7">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《生产过程危险和有害因素分类与代码》（GB/T13861-2022）</w:t>
      </w:r>
    </w:p>
    <w:p w14:paraId="787492CB">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《职业性接触毒物危害程度分级》（GBZ/T 230-2010）</w:t>
      </w:r>
    </w:p>
    <w:p w14:paraId="0F4D7451">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《工作场所有害因素职业接触限值 第1部分：化学有害因素》（第2号修改单GBZ2.1-2019/XG2-2024）</w:t>
      </w:r>
    </w:p>
    <w:p w14:paraId="3AF4EDF6">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《工作场所有害因素职业接触限值 第2部分：物理因素》（GBZ2.2-2007）</w:t>
      </w:r>
    </w:p>
    <w:p w14:paraId="41BB1069">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《生产经营单位生产安全事故应急预案编制导则》（GB/T 29639-2020）</w:t>
      </w:r>
    </w:p>
    <w:p w14:paraId="2B59A00D">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《危险化学品企业特殊作业安全规范》（GB 30871-2022）</w:t>
      </w:r>
    </w:p>
    <w:p w14:paraId="22BEC9E9">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《危险化学品单位应急救援物资配备要求》（GB 30077-2023）</w:t>
      </w:r>
    </w:p>
    <w:p w14:paraId="15CBD557">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《生产安全事故应急演练基本规范》（YJ/T 9007-2019）</w:t>
      </w:r>
    </w:p>
    <w:p w14:paraId="69E6A22E">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《化工和危险化学品生产经营企业重大生产安全事故隐患判定准则》（AQ</w:t>
      </w:r>
      <w:r>
        <w:rPr>
          <w:rFonts w:hint="eastAsia"/>
          <w:color w:val="000000" w:themeColor="text1"/>
          <w14:textFill>
            <w14:solidFill>
              <w14:schemeClr w14:val="tx1"/>
            </w14:solidFill>
          </w14:textFill>
        </w:rPr>
        <w:t>/T</w:t>
      </w:r>
      <w:r>
        <w:rPr>
          <w:color w:val="000000" w:themeColor="text1"/>
          <w14:textFill>
            <w14:solidFill>
              <w14:schemeClr w14:val="tx1"/>
            </w14:solidFill>
          </w14:textFill>
        </w:rPr>
        <w:t xml:space="preserve"> 3067-2026）</w:t>
      </w:r>
    </w:p>
    <w:p w14:paraId="78962E07">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《汽车加油加气站消防安全管理》（XF∕T 3004-2020）</w:t>
      </w:r>
    </w:p>
    <w:p w14:paraId="7C8EFF5F">
      <w:pPr>
        <w:numPr>
          <w:ilvl w:val="0"/>
          <w:numId w:val="5"/>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《安全评价通则》（AQ 8001-2007）</w:t>
      </w:r>
    </w:p>
    <w:p w14:paraId="43DD22FD">
      <w:pPr>
        <w:pStyle w:val="4"/>
        <w:rPr>
          <w:color w:val="000000" w:themeColor="text1"/>
          <w14:textFill>
            <w14:solidFill>
              <w14:schemeClr w14:val="tx1"/>
            </w14:solidFill>
          </w14:textFill>
        </w:rPr>
      </w:pPr>
      <w:r>
        <w:rPr>
          <w:color w:val="000000" w:themeColor="text1"/>
          <w14:textFill>
            <w14:solidFill>
              <w14:schemeClr w14:val="tx1"/>
            </w14:solidFill>
          </w14:textFill>
        </w:rPr>
        <w:t>1.2.6  参考文献</w:t>
      </w:r>
    </w:p>
    <w:p w14:paraId="5EA345B6">
      <w:pPr>
        <w:rPr>
          <w:color w:val="000000" w:themeColor="text1"/>
          <w14:textFill>
            <w14:solidFill>
              <w14:schemeClr w14:val="tx1"/>
            </w14:solidFill>
          </w14:textFill>
        </w:rPr>
      </w:pPr>
      <w:r>
        <w:rPr>
          <w:color w:val="000000" w:themeColor="text1"/>
          <w14:textFill>
            <w14:solidFill>
              <w14:schemeClr w14:val="tx1"/>
            </w14:solidFill>
          </w14:textFill>
        </w:rPr>
        <w:t>（1）《危险化学品安全技术全书》（周国泰  化学工业出版社）</w:t>
      </w:r>
    </w:p>
    <w:p w14:paraId="1AE2C69C">
      <w:pPr>
        <w:rPr>
          <w:color w:val="000000" w:themeColor="text1"/>
          <w14:textFill>
            <w14:solidFill>
              <w14:schemeClr w14:val="tx1"/>
            </w14:solidFill>
          </w14:textFill>
        </w:rPr>
      </w:pPr>
      <w:r>
        <w:rPr>
          <w:color w:val="000000" w:themeColor="text1"/>
          <w14:textFill>
            <w14:solidFill>
              <w14:schemeClr w14:val="tx1"/>
            </w14:solidFill>
          </w14:textFill>
        </w:rPr>
        <w:t>（2）《新编危险物品安全手册》（余志明  化学工业出版社）</w:t>
      </w:r>
    </w:p>
    <w:p w14:paraId="10EE8D5A">
      <w:pPr>
        <w:pStyle w:val="4"/>
        <w:rPr>
          <w:color w:val="000000" w:themeColor="text1"/>
          <w14:textFill>
            <w14:solidFill>
              <w14:schemeClr w14:val="tx1"/>
            </w14:solidFill>
          </w14:textFill>
        </w:rPr>
      </w:pPr>
      <w:r>
        <w:rPr>
          <w:color w:val="000000" w:themeColor="text1"/>
          <w14:textFill>
            <w14:solidFill>
              <w14:schemeClr w14:val="tx1"/>
            </w14:solidFill>
          </w14:textFill>
        </w:rPr>
        <w:t>1.2.7  其他</w:t>
      </w:r>
    </w:p>
    <w:p w14:paraId="433F93B0">
      <w:pPr>
        <w:numPr>
          <w:ilvl w:val="0"/>
          <w:numId w:val="6"/>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安全评价委托书；</w:t>
      </w:r>
    </w:p>
    <w:p w14:paraId="258A51AF">
      <w:pPr>
        <w:numPr>
          <w:ilvl w:val="0"/>
          <w:numId w:val="6"/>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《营业执照》；</w:t>
      </w:r>
    </w:p>
    <w:p w14:paraId="6553D1C4">
      <w:pPr>
        <w:numPr>
          <w:ilvl w:val="0"/>
          <w:numId w:val="6"/>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《危险化学品经营许可证》；</w:t>
      </w:r>
    </w:p>
    <w:p w14:paraId="28876E92">
      <w:pPr>
        <w:numPr>
          <w:ilvl w:val="0"/>
          <w:numId w:val="6"/>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《成品油零售经营批准证书》；</w:t>
      </w:r>
    </w:p>
    <w:p w14:paraId="10717CD1">
      <w:pPr>
        <w:numPr>
          <w:ilvl w:val="0"/>
          <w:numId w:val="6"/>
        </w:numPr>
        <w:ind w:left="0" w:firstLine="560"/>
        <w:rPr>
          <w:color w:val="000000" w:themeColor="text1"/>
          <w14:textFill>
            <w14:solidFill>
              <w14:schemeClr w14:val="tx1"/>
            </w14:solidFill>
          </w14:textFill>
        </w:rPr>
      </w:pPr>
      <w:r>
        <w:rPr>
          <w:color w:val="000000" w:themeColor="text1"/>
          <w14:textFill>
            <w14:solidFill>
              <w14:schemeClr w14:val="tx1"/>
            </w14:solidFill>
          </w14:textFill>
        </w:rPr>
        <w:t>西双版纳煜坤能源有限公司易武加油站提供的其他相关资料。</w:t>
      </w:r>
    </w:p>
    <w:p w14:paraId="4DA091B6">
      <w:pPr>
        <w:pStyle w:val="3"/>
        <w:rPr>
          <w:color w:val="000000" w:themeColor="text1"/>
          <w14:textFill>
            <w14:solidFill>
              <w14:schemeClr w14:val="tx1"/>
            </w14:solidFill>
          </w14:textFill>
        </w:rPr>
      </w:pPr>
      <w:bookmarkStart w:id="42" w:name="_Toc16905"/>
      <w:bookmarkStart w:id="43" w:name="_Toc32248"/>
      <w:bookmarkStart w:id="44" w:name="_Toc9755109"/>
      <w:bookmarkStart w:id="45" w:name="_Toc392928280"/>
      <w:bookmarkStart w:id="46" w:name="_Toc21444"/>
      <w:bookmarkStart w:id="47" w:name="_Toc153082038"/>
      <w:bookmarkStart w:id="48" w:name="_Toc150078350"/>
      <w:bookmarkStart w:id="49" w:name="_Toc153013323"/>
      <w:bookmarkStart w:id="50" w:name="_Toc152146829"/>
      <w:bookmarkStart w:id="51" w:name="_Toc163694486"/>
      <w:bookmarkStart w:id="52" w:name="_Toc146456668"/>
      <w:bookmarkStart w:id="53" w:name="_Toc152490374"/>
      <w:bookmarkStart w:id="54" w:name="_Toc147389685"/>
      <w:bookmarkStart w:id="55" w:name="_Toc152145317"/>
      <w:bookmarkStart w:id="56" w:name="_Toc153613478"/>
      <w:bookmarkStart w:id="57" w:name="_Toc166118044"/>
      <w:bookmarkStart w:id="58" w:name="_Toc152147143"/>
      <w:bookmarkStart w:id="59" w:name="_Toc152401014"/>
      <w:bookmarkStart w:id="60" w:name="_Toc163648857"/>
      <w:bookmarkStart w:id="61" w:name="_Toc152490489"/>
      <w:bookmarkStart w:id="62" w:name="_Toc156033567"/>
      <w:bookmarkStart w:id="63" w:name="_Toc156029807"/>
      <w:bookmarkStart w:id="64" w:name="_Toc147388079"/>
      <w:bookmarkStart w:id="65" w:name="_Toc147388973"/>
      <w:bookmarkStart w:id="66" w:name="_Toc147388786"/>
      <w:bookmarkStart w:id="67" w:name="_Toc148576385"/>
      <w:r>
        <w:rPr>
          <w:color w:val="000000" w:themeColor="text1"/>
          <w14:textFill>
            <w14:solidFill>
              <w14:schemeClr w14:val="tx1"/>
            </w14:solidFill>
          </w14:textFill>
        </w:rPr>
        <w:t>1.3  评价原则</w:t>
      </w:r>
      <w:bookmarkEnd w:id="42"/>
      <w:bookmarkEnd w:id="43"/>
    </w:p>
    <w:p w14:paraId="65E40EA4">
      <w:pPr>
        <w:rPr>
          <w:color w:val="000000" w:themeColor="text1"/>
          <w14:textFill>
            <w14:solidFill>
              <w14:schemeClr w14:val="tx1"/>
            </w14:solidFill>
          </w14:textFill>
        </w:rPr>
      </w:pPr>
      <w:r>
        <w:rPr>
          <w:color w:val="000000" w:themeColor="text1"/>
          <w14:textFill>
            <w14:solidFill>
              <w14:schemeClr w14:val="tx1"/>
            </w14:solidFill>
          </w14:textFill>
        </w:rPr>
        <w:t>依据《安全评价通则》（AQ8001-2007）和《安全评价检测检验机构管理办法》（应急管理部令第 1 号），安全评价机构及其从业人员应当依照法律、法规、规章、标准，遵循科学公正、独立客观、安全准确、诚实守信的原则和执业准则，独立开展安全评价，并对其作出的安全评价结果负责。</w:t>
      </w:r>
    </w:p>
    <w:p w14:paraId="13E3A4D7">
      <w:pPr>
        <w:rPr>
          <w:color w:val="000000" w:themeColor="text1"/>
          <w14:textFill>
            <w14:solidFill>
              <w14:schemeClr w14:val="tx1"/>
            </w14:solidFill>
          </w14:textFill>
        </w:rPr>
      </w:pPr>
      <w:r>
        <w:rPr>
          <w:color w:val="000000" w:themeColor="text1"/>
          <w14:textFill>
            <w14:solidFill>
              <w14:schemeClr w14:val="tx1"/>
            </w14:solidFill>
          </w14:textFill>
        </w:rPr>
        <w:t>评价机构在对该企业安全评价工作中，坚持以下原则：</w:t>
      </w:r>
    </w:p>
    <w:p w14:paraId="55991D38">
      <w:pPr>
        <w:rPr>
          <w:color w:val="000000" w:themeColor="text1"/>
          <w14:textFill>
            <w14:solidFill>
              <w14:schemeClr w14:val="tx1"/>
            </w14:solidFill>
          </w14:textFill>
        </w:rPr>
      </w:pPr>
      <w:r>
        <w:rPr>
          <w:color w:val="000000" w:themeColor="text1"/>
          <w14:textFill>
            <w14:solidFill>
              <w14:schemeClr w14:val="tx1"/>
            </w14:solidFill>
          </w14:textFill>
        </w:rPr>
        <w:t>1.严格执行国家现行有关法律、法规、标准和规范的要求，保证对该企业申请危险化学品经营许可证应当具备的安全生产条件进行科学、公正、合法、自主的评价；</w:t>
      </w:r>
    </w:p>
    <w:p w14:paraId="2843CE66">
      <w:pPr>
        <w:rPr>
          <w:color w:val="000000" w:themeColor="text1"/>
          <w14:textFill>
            <w14:solidFill>
              <w14:schemeClr w14:val="tx1"/>
            </w14:solidFill>
          </w14:textFill>
        </w:rPr>
      </w:pPr>
      <w:r>
        <w:rPr>
          <w:color w:val="000000" w:themeColor="text1"/>
          <w14:textFill>
            <w14:solidFill>
              <w14:schemeClr w14:val="tx1"/>
            </w14:solidFill>
          </w14:textFill>
        </w:rPr>
        <w:t>2.执行行业现行有关法规、标准、规范和政策的要求，保证评价与当地经济发展的适应性；</w:t>
      </w:r>
    </w:p>
    <w:p w14:paraId="43C5BB4D">
      <w:pPr>
        <w:rPr>
          <w:color w:val="000000" w:themeColor="text1"/>
          <w14:textFill>
            <w14:solidFill>
              <w14:schemeClr w14:val="tx1"/>
            </w14:solidFill>
          </w14:textFill>
        </w:rPr>
      </w:pPr>
      <w:r>
        <w:rPr>
          <w:color w:val="000000" w:themeColor="text1"/>
          <w14:textFill>
            <w14:solidFill>
              <w14:schemeClr w14:val="tx1"/>
            </w14:solidFill>
          </w14:textFill>
        </w:rPr>
        <w:t>3.采用可靠、适用的评价技术和评价方法，保证评价的针对性，确保评价质量；</w:t>
      </w:r>
    </w:p>
    <w:p w14:paraId="5EF98973">
      <w:pPr>
        <w:rPr>
          <w:color w:val="000000" w:themeColor="text1"/>
          <w14:textFill>
            <w14:solidFill>
              <w14:schemeClr w14:val="tx1"/>
            </w14:solidFill>
          </w14:textFill>
        </w:rPr>
      </w:pPr>
      <w:r>
        <w:rPr>
          <w:color w:val="000000" w:themeColor="text1"/>
          <w14:textFill>
            <w14:solidFill>
              <w14:schemeClr w14:val="tx1"/>
            </w14:solidFill>
          </w14:textFill>
        </w:rPr>
        <w:t>4.遵守职业道德，遵循诚实守信的原则，对被评价企业的技术资料和商业运作保密。</w:t>
      </w:r>
    </w:p>
    <w:p w14:paraId="313AE383">
      <w:pPr>
        <w:pStyle w:val="3"/>
        <w:rPr>
          <w:color w:val="000000" w:themeColor="text1"/>
          <w14:textFill>
            <w14:solidFill>
              <w14:schemeClr w14:val="tx1"/>
            </w14:solidFill>
          </w14:textFill>
        </w:rPr>
      </w:pPr>
      <w:bookmarkStart w:id="68" w:name="_Toc23187"/>
      <w:bookmarkStart w:id="69" w:name="_Toc3511"/>
      <w:r>
        <w:rPr>
          <w:color w:val="000000" w:themeColor="text1"/>
          <w14:textFill>
            <w14:solidFill>
              <w14:schemeClr w14:val="tx1"/>
            </w14:solidFill>
          </w14:textFill>
        </w:rPr>
        <w:t>1.4  评价</w:t>
      </w:r>
      <w:bookmarkEnd w:id="44"/>
      <w:bookmarkEnd w:id="45"/>
      <w:r>
        <w:rPr>
          <w:color w:val="000000" w:themeColor="text1"/>
          <w14:textFill>
            <w14:solidFill>
              <w14:schemeClr w14:val="tx1"/>
            </w14:solidFill>
          </w14:textFill>
        </w:rPr>
        <w:t>对象与评价</w:t>
      </w:r>
      <w:bookmarkEnd w:id="46"/>
      <w:r>
        <w:rPr>
          <w:color w:val="000000" w:themeColor="text1"/>
          <w14:textFill>
            <w14:solidFill>
              <w14:schemeClr w14:val="tx1"/>
            </w14:solidFill>
          </w14:textFill>
        </w:rPr>
        <w:t>范围</w:t>
      </w:r>
      <w:bookmarkEnd w:id="68"/>
      <w:bookmarkEnd w:id="69"/>
    </w:p>
    <w:p w14:paraId="4DC7271B">
      <w:pPr>
        <w:rPr>
          <w:color w:val="000000" w:themeColor="text1"/>
          <w14:textFill>
            <w14:solidFill>
              <w14:schemeClr w14:val="tx1"/>
            </w14:solidFill>
          </w14:textFill>
        </w:rPr>
      </w:pPr>
      <w:r>
        <w:rPr>
          <w:color w:val="000000" w:themeColor="text1"/>
          <w14:textFill>
            <w14:solidFill>
              <w14:schemeClr w14:val="tx1"/>
            </w14:solidFill>
          </w14:textFill>
        </w:rPr>
        <w:t>评价对象：西双版纳煜坤能源有限公司易武加油站。</w:t>
      </w:r>
    </w:p>
    <w:p w14:paraId="55BC3BFC">
      <w:pPr>
        <w:rPr>
          <w:color w:val="000000" w:themeColor="text1"/>
          <w14:textFill>
            <w14:solidFill>
              <w14:schemeClr w14:val="tx1"/>
            </w14:solidFill>
          </w14:textFill>
        </w:rPr>
      </w:pPr>
      <w:r>
        <w:rPr>
          <w:color w:val="000000" w:themeColor="text1"/>
          <w14:textFill>
            <w14:solidFill>
              <w14:schemeClr w14:val="tx1"/>
            </w14:solidFill>
          </w14:textFill>
        </w:rPr>
        <w:t>本次安全评价的范围为：加油站站址、站内平面布置、加油工艺、设备安全设施、公辅设施及安全管理等内容。</w:t>
      </w:r>
    </w:p>
    <w:p w14:paraId="10B0E8C6">
      <w:pPr>
        <w:rPr>
          <w:color w:val="000000" w:themeColor="text1"/>
          <w14:textFill>
            <w14:solidFill>
              <w14:schemeClr w14:val="tx1"/>
            </w14:solidFill>
          </w14:textFill>
        </w:rPr>
      </w:pPr>
      <w:r>
        <w:rPr>
          <w:color w:val="000000" w:themeColor="text1"/>
          <w14:textFill>
            <w14:solidFill>
              <w14:schemeClr w14:val="tx1"/>
            </w14:solidFill>
          </w14:textFill>
        </w:rPr>
        <w:t>涉及该加油站的站外运输、环境保护、职业卫生及该加油站除成品油经营外的其他经营业务等不在本次评价范围内，但在本报告中将有所提及。</w:t>
      </w:r>
    </w:p>
    <w:p w14:paraId="076AF61A">
      <w:pPr>
        <w:rPr>
          <w:color w:val="000000" w:themeColor="text1"/>
          <w14:textFill>
            <w14:solidFill>
              <w14:schemeClr w14:val="tx1"/>
            </w14:solidFill>
          </w14:textFill>
        </w:rPr>
      </w:pPr>
      <w:r>
        <w:rPr>
          <w:color w:val="000000" w:themeColor="text1"/>
          <w14:textFill>
            <w14:solidFill>
              <w14:schemeClr w14:val="tx1"/>
            </w14:solidFill>
          </w14:textFill>
        </w:rPr>
        <w:t>评价内容：</w:t>
      </w:r>
    </w:p>
    <w:p w14:paraId="72D536A5">
      <w:pPr>
        <w:rPr>
          <w:color w:val="000000" w:themeColor="text1"/>
          <w14:textFill>
            <w14:solidFill>
              <w14:schemeClr w14:val="tx1"/>
            </w14:solidFill>
          </w14:textFill>
        </w:rPr>
      </w:pPr>
      <w:bookmarkStart w:id="70" w:name="_Toc1714"/>
      <w:bookmarkStart w:id="71" w:name="_Toc9755110"/>
      <w:r>
        <w:rPr>
          <w:color w:val="000000" w:themeColor="text1"/>
          <w14:textFill>
            <w14:solidFill>
              <w14:schemeClr w14:val="tx1"/>
            </w14:solidFill>
          </w14:textFill>
        </w:rPr>
        <w:t>（1）基本条件；</w:t>
      </w:r>
    </w:p>
    <w:p w14:paraId="51A27FF6">
      <w:pPr>
        <w:rPr>
          <w:color w:val="000000" w:themeColor="text1"/>
          <w14:textFill>
            <w14:solidFill>
              <w14:schemeClr w14:val="tx1"/>
            </w14:solidFill>
          </w14:textFill>
        </w:rPr>
      </w:pPr>
      <w:r>
        <w:rPr>
          <w:color w:val="000000" w:themeColor="text1"/>
          <w14:textFill>
            <w14:solidFill>
              <w14:schemeClr w14:val="tx1"/>
            </w14:solidFill>
          </w14:textFill>
        </w:rPr>
        <w:t>（2）选址及总平面布置；</w:t>
      </w:r>
    </w:p>
    <w:p w14:paraId="1DCFF392">
      <w:pPr>
        <w:rPr>
          <w:color w:val="000000" w:themeColor="text1"/>
          <w14:textFill>
            <w14:solidFill>
              <w14:schemeClr w14:val="tx1"/>
            </w14:solidFill>
          </w14:textFill>
        </w:rPr>
      </w:pPr>
      <w:r>
        <w:rPr>
          <w:color w:val="000000" w:themeColor="text1"/>
          <w14:textFill>
            <w14:solidFill>
              <w14:schemeClr w14:val="tx1"/>
            </w14:solidFill>
          </w14:textFill>
        </w:rPr>
        <w:t>（3）加油工艺及设施；</w:t>
      </w:r>
    </w:p>
    <w:p w14:paraId="1D3512F6">
      <w:pPr>
        <w:rPr>
          <w:color w:val="000000" w:themeColor="text1"/>
          <w14:textFill>
            <w14:solidFill>
              <w14:schemeClr w14:val="tx1"/>
            </w14:solidFill>
          </w14:textFill>
        </w:rPr>
      </w:pPr>
      <w:r>
        <w:rPr>
          <w:color w:val="000000" w:themeColor="text1"/>
          <w14:textFill>
            <w14:solidFill>
              <w14:schemeClr w14:val="tx1"/>
            </w14:solidFill>
          </w14:textFill>
        </w:rPr>
        <w:t>（4）消防设施及给排水；</w:t>
      </w:r>
    </w:p>
    <w:p w14:paraId="67783F02">
      <w:pPr>
        <w:rPr>
          <w:color w:val="000000" w:themeColor="text1"/>
          <w14:textFill>
            <w14:solidFill>
              <w14:schemeClr w14:val="tx1"/>
            </w14:solidFill>
          </w14:textFill>
        </w:rPr>
      </w:pPr>
      <w:r>
        <w:rPr>
          <w:color w:val="000000" w:themeColor="text1"/>
          <w14:textFill>
            <w14:solidFill>
              <w14:schemeClr w14:val="tx1"/>
            </w14:solidFill>
          </w14:textFill>
        </w:rPr>
        <w:t>（5）电气、报警和紧急切断系统；</w:t>
      </w:r>
    </w:p>
    <w:p w14:paraId="45856A7A">
      <w:pPr>
        <w:rPr>
          <w:color w:val="000000" w:themeColor="text1"/>
          <w14:textFill>
            <w14:solidFill>
              <w14:schemeClr w14:val="tx1"/>
            </w14:solidFill>
          </w14:textFill>
        </w:rPr>
      </w:pPr>
      <w:r>
        <w:rPr>
          <w:color w:val="000000" w:themeColor="text1"/>
          <w14:textFill>
            <w14:solidFill>
              <w14:schemeClr w14:val="tx1"/>
            </w14:solidFill>
          </w14:textFill>
        </w:rPr>
        <w:t>（6）采暖通风、建（构）筑物、绿化；</w:t>
      </w:r>
    </w:p>
    <w:p w14:paraId="371DE3D8">
      <w:pPr>
        <w:rPr>
          <w:bCs/>
          <w:color w:val="000000" w:themeColor="text1"/>
          <w14:textFill>
            <w14:solidFill>
              <w14:schemeClr w14:val="tx1"/>
            </w14:solidFill>
          </w14:textFill>
        </w:rPr>
      </w:pPr>
      <w:r>
        <w:rPr>
          <w:color w:val="000000" w:themeColor="text1"/>
          <w14:textFill>
            <w14:solidFill>
              <w14:schemeClr w14:val="tx1"/>
            </w14:solidFill>
          </w14:textFill>
        </w:rPr>
        <w:t>（7）安全管理。</w:t>
      </w:r>
    </w:p>
    <w:p w14:paraId="1526F880">
      <w:pPr>
        <w:pStyle w:val="3"/>
        <w:rPr>
          <w:color w:val="000000" w:themeColor="text1"/>
          <w14:textFill>
            <w14:solidFill>
              <w14:schemeClr w14:val="tx1"/>
            </w14:solidFill>
          </w14:textFill>
        </w:rPr>
      </w:pPr>
      <w:bookmarkStart w:id="72" w:name="_Toc18909"/>
      <w:bookmarkStart w:id="73" w:name="_Toc13055"/>
      <w:r>
        <w:rPr>
          <w:color w:val="000000" w:themeColor="text1"/>
          <w14:textFill>
            <w14:solidFill>
              <w14:schemeClr w14:val="tx1"/>
            </w14:solidFill>
          </w14:textFill>
        </w:rPr>
        <w:t>1.5  评价程序</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0"/>
      <w:bookmarkEnd w:id="71"/>
      <w:bookmarkEnd w:id="72"/>
      <w:bookmarkEnd w:id="73"/>
    </w:p>
    <w:p w14:paraId="1672EA92">
      <w:pPr>
        <w:rPr>
          <w:color w:val="000000" w:themeColor="text1"/>
          <w14:textFill>
            <w14:solidFill>
              <w14:schemeClr w14:val="tx1"/>
            </w14:solidFill>
          </w14:textFill>
        </w:rPr>
      </w:pPr>
      <w:r>
        <w:rPr>
          <w:color w:val="000000" w:themeColor="text1"/>
          <w14:textFill>
            <w14:solidFill>
              <w14:schemeClr w14:val="tx1"/>
            </w14:solidFill>
          </w14:textFill>
        </w:rPr>
        <w:t>辽宁诺诚安全科技有限公司与西双版纳煜坤能源有限公司易武加油站签订技术咨询合同后，组织技术人员对易武加油站的建（构）筑物、电气线路、消防设施及其他公用设施，相邻公路、建筑的防火距离等方面进行考察，并对事故应急措施、安全管理规章制度等进行查验，依据国家有关规范、标准，对</w:t>
      </w:r>
      <w:r>
        <w:rPr>
          <w:color w:val="000000" w:themeColor="text1"/>
          <w:lang w:val="zh-CN"/>
          <w14:textFill>
            <w14:solidFill>
              <w14:schemeClr w14:val="tx1"/>
            </w14:solidFill>
          </w14:textFill>
        </w:rPr>
        <w:t>易武加油站</w:t>
      </w:r>
      <w:r>
        <w:rPr>
          <w:color w:val="000000" w:themeColor="text1"/>
          <w14:textFill>
            <w14:solidFill>
              <w14:schemeClr w14:val="tx1"/>
            </w14:solidFill>
          </w14:textFill>
        </w:rPr>
        <w:t>做出安全评价并编写出安全评价报告。</w:t>
      </w:r>
    </w:p>
    <w:p w14:paraId="05C1061B">
      <w:pPr>
        <w:rPr>
          <w:color w:val="000000" w:themeColor="text1"/>
          <w14:textFill>
            <w14:solidFill>
              <w14:schemeClr w14:val="tx1"/>
            </w14:solidFill>
          </w14:textFill>
        </w:rPr>
      </w:pPr>
      <w:r>
        <w:rPr>
          <w:color w:val="000000" w:themeColor="text1"/>
          <w14:textFill>
            <w14:solidFill>
              <w14:schemeClr w14:val="tx1"/>
            </w14:solidFill>
          </w14:textFill>
        </w:rPr>
        <w:t>安全评价程序包括前期准备，辨识与分析危险、有害因素，划分评价单元，定性、定量评价，提出安全对策措施建议，作出评价结论，编制安全评价报告。安全评价工作的主要内容及其工作程序如图1.5-1。</w:t>
      </w:r>
    </w:p>
    <w:p w14:paraId="09F38AE9">
      <w:pPr>
        <w:pStyle w:val="42"/>
        <w:rPr>
          <w:rFonts w:eastAsia="黑体"/>
          <w:color w:val="000000" w:themeColor="text1"/>
          <w14:textFill>
            <w14:solidFill>
              <w14:schemeClr w14:val="tx1"/>
            </w14:solidFill>
          </w14:textFill>
        </w:rPr>
      </w:pPr>
      <w:r>
        <w:rPr>
          <w:color w:val="000000" w:themeColor="text1"/>
          <w14:textFill>
            <w14:solidFill>
              <w14:schemeClr w14:val="tx1"/>
            </w14:solidFill>
          </w14:textFill>
        </w:rPr>
        <mc:AlternateContent>
          <mc:Choice Requires="wpc">
            <w:drawing>
              <wp:anchor distT="0" distB="0" distL="114300" distR="114300" simplePos="0" relativeHeight="251659264" behindDoc="0" locked="0" layoutInCell="1" allowOverlap="1">
                <wp:simplePos x="0" y="0"/>
                <wp:positionH relativeFrom="column">
                  <wp:posOffset>40640</wp:posOffset>
                </wp:positionH>
                <wp:positionV relativeFrom="paragraph">
                  <wp:posOffset>29845</wp:posOffset>
                </wp:positionV>
                <wp:extent cx="5648960" cy="5248910"/>
                <wp:effectExtent l="0" t="0" r="0" b="0"/>
                <wp:wrapTopAndBottom/>
                <wp:docPr id="1" name="画布 1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92485897" name="矩形 1105"/>
                        <wps:cNvSpPr>
                          <a:spLocks noChangeArrowheads="1"/>
                        </wps:cNvSpPr>
                        <wps:spPr bwMode="auto">
                          <a:xfrm>
                            <a:off x="1904365" y="207010"/>
                            <a:ext cx="1978660" cy="291465"/>
                          </a:xfrm>
                          <a:prstGeom prst="rect">
                            <a:avLst/>
                          </a:prstGeom>
                          <a:solidFill>
                            <a:srgbClr val="FFFFFF"/>
                          </a:solidFill>
                          <a:ln w="9525" cmpd="sng">
                            <a:solidFill>
                              <a:srgbClr val="000000"/>
                            </a:solidFill>
                            <a:miter lim="800000"/>
                          </a:ln>
                          <a:effectLst/>
                        </wps:spPr>
                        <wps:txbx>
                          <w:txbxContent>
                            <w:p w14:paraId="43271EE4">
                              <w:pPr>
                                <w:ind w:firstLine="0" w:firstLineChars="0"/>
                                <w:jc w:val="center"/>
                                <w:rPr>
                                  <w:sz w:val="21"/>
                                  <w:szCs w:val="21"/>
                                </w:rPr>
                              </w:pPr>
                              <w:r>
                                <w:rPr>
                                  <w:rFonts w:hint="eastAsia"/>
                                  <w:sz w:val="21"/>
                                  <w:szCs w:val="21"/>
                                </w:rPr>
                                <w:t>前期准备</w:t>
                              </w:r>
                            </w:p>
                          </w:txbxContent>
                        </wps:txbx>
                        <wps:bodyPr rot="0" vert="horz" wrap="square" lIns="91440" tIns="46800" rIns="91440" bIns="45720" anchor="t" anchorCtr="0" upright="1">
                          <a:noAutofit/>
                        </wps:bodyPr>
                      </wps:wsp>
                      <wps:wsp>
                        <wps:cNvPr id="1738152904" name="矩形 1106"/>
                        <wps:cNvSpPr>
                          <a:spLocks noChangeArrowheads="1"/>
                        </wps:cNvSpPr>
                        <wps:spPr bwMode="auto">
                          <a:xfrm>
                            <a:off x="1941830" y="858520"/>
                            <a:ext cx="1941195" cy="310858"/>
                          </a:xfrm>
                          <a:prstGeom prst="rect">
                            <a:avLst/>
                          </a:prstGeom>
                          <a:solidFill>
                            <a:srgbClr val="FFFFFF"/>
                          </a:solidFill>
                          <a:ln w="9525" cmpd="sng">
                            <a:solidFill>
                              <a:srgbClr val="000000"/>
                            </a:solidFill>
                            <a:miter lim="800000"/>
                          </a:ln>
                          <a:effectLst/>
                        </wps:spPr>
                        <wps:txbx>
                          <w:txbxContent>
                            <w:p w14:paraId="3C0413CA">
                              <w:pPr>
                                <w:ind w:firstLine="0" w:firstLineChars="0"/>
                                <w:jc w:val="center"/>
                                <w:rPr>
                                  <w:szCs w:val="21"/>
                                </w:rPr>
                              </w:pPr>
                              <w:r>
                                <w:rPr>
                                  <w:rFonts w:hint="eastAsia"/>
                                  <w:sz w:val="21"/>
                                  <w:szCs w:val="21"/>
                                </w:rPr>
                                <w:t>辨识与分析危险、有害因素</w:t>
                              </w:r>
                            </w:p>
                          </w:txbxContent>
                        </wps:txbx>
                        <wps:bodyPr rot="0" vert="horz" wrap="square" lIns="91440" tIns="46800" rIns="91440" bIns="45720" anchor="t" anchorCtr="0" upright="1">
                          <a:noAutofit/>
                        </wps:bodyPr>
                      </wps:wsp>
                      <wps:wsp>
                        <wps:cNvPr id="1966753663" name="矩形 1107"/>
                        <wps:cNvSpPr>
                          <a:spLocks noChangeArrowheads="1"/>
                        </wps:cNvSpPr>
                        <wps:spPr bwMode="auto">
                          <a:xfrm>
                            <a:off x="1941830" y="1536408"/>
                            <a:ext cx="1941195" cy="280182"/>
                          </a:xfrm>
                          <a:prstGeom prst="rect">
                            <a:avLst/>
                          </a:prstGeom>
                          <a:solidFill>
                            <a:srgbClr val="FFFFFF"/>
                          </a:solidFill>
                          <a:ln w="9525" cmpd="sng">
                            <a:solidFill>
                              <a:srgbClr val="000000"/>
                            </a:solidFill>
                            <a:miter lim="800000"/>
                          </a:ln>
                          <a:effectLst/>
                        </wps:spPr>
                        <wps:txbx>
                          <w:txbxContent>
                            <w:p w14:paraId="7FE26726">
                              <w:pPr>
                                <w:ind w:firstLine="0" w:firstLineChars="0"/>
                                <w:jc w:val="center"/>
                                <w:rPr>
                                  <w:sz w:val="21"/>
                                  <w:szCs w:val="21"/>
                                </w:rPr>
                              </w:pPr>
                              <w:r>
                                <w:rPr>
                                  <w:rFonts w:hint="eastAsia"/>
                                  <w:sz w:val="21"/>
                                  <w:szCs w:val="21"/>
                                </w:rPr>
                                <w:t>划分评价单元</w:t>
                              </w:r>
                            </w:p>
                          </w:txbxContent>
                        </wps:txbx>
                        <wps:bodyPr rot="0" vert="horz" wrap="square" lIns="91440" tIns="46800" rIns="91440" bIns="45720" anchor="t" anchorCtr="0" upright="1">
                          <a:noAutofit/>
                        </wps:bodyPr>
                      </wps:wsp>
                      <wps:wsp>
                        <wps:cNvPr id="1360760432" name="矩形 1108"/>
                        <wps:cNvSpPr>
                          <a:spLocks noChangeArrowheads="1"/>
                        </wps:cNvSpPr>
                        <wps:spPr bwMode="auto">
                          <a:xfrm>
                            <a:off x="1941830" y="2778956"/>
                            <a:ext cx="1941195" cy="298352"/>
                          </a:xfrm>
                          <a:prstGeom prst="rect">
                            <a:avLst/>
                          </a:prstGeom>
                          <a:solidFill>
                            <a:srgbClr val="FFFFFF"/>
                          </a:solidFill>
                          <a:ln w="9525" cmpd="sng">
                            <a:solidFill>
                              <a:srgbClr val="000000"/>
                            </a:solidFill>
                            <a:miter lim="800000"/>
                          </a:ln>
                          <a:effectLst/>
                        </wps:spPr>
                        <wps:txbx>
                          <w:txbxContent>
                            <w:p w14:paraId="6DBD311F">
                              <w:pPr>
                                <w:ind w:firstLine="0" w:firstLineChars="0"/>
                                <w:jc w:val="center"/>
                                <w:rPr>
                                  <w:sz w:val="21"/>
                                  <w:szCs w:val="21"/>
                                </w:rPr>
                              </w:pPr>
                              <w:r>
                                <w:rPr>
                                  <w:rFonts w:hint="eastAsia"/>
                                  <w:sz w:val="21"/>
                                  <w:szCs w:val="21"/>
                                </w:rPr>
                                <w:t>定性、定量评价</w:t>
                              </w:r>
                            </w:p>
                          </w:txbxContent>
                        </wps:txbx>
                        <wps:bodyPr rot="0" vert="horz" wrap="square" lIns="91440" tIns="46800" rIns="91440" bIns="45720" anchor="t" anchorCtr="0" upright="1">
                          <a:noAutofit/>
                        </wps:bodyPr>
                      </wps:wsp>
                      <wps:wsp>
                        <wps:cNvPr id="1741365269" name="矩形 1109"/>
                        <wps:cNvSpPr>
                          <a:spLocks noChangeArrowheads="1"/>
                        </wps:cNvSpPr>
                        <wps:spPr bwMode="auto">
                          <a:xfrm>
                            <a:off x="1930400" y="3443068"/>
                            <a:ext cx="1941195" cy="293663"/>
                          </a:xfrm>
                          <a:prstGeom prst="rect">
                            <a:avLst/>
                          </a:prstGeom>
                          <a:solidFill>
                            <a:srgbClr val="FFFFFF"/>
                          </a:solidFill>
                          <a:ln w="9525" cmpd="sng">
                            <a:solidFill>
                              <a:srgbClr val="000000"/>
                            </a:solidFill>
                            <a:miter lim="800000"/>
                          </a:ln>
                          <a:effectLst/>
                        </wps:spPr>
                        <wps:txbx>
                          <w:txbxContent>
                            <w:p w14:paraId="0F1A050C">
                              <w:pPr>
                                <w:ind w:firstLine="0" w:firstLineChars="0"/>
                                <w:jc w:val="center"/>
                                <w:rPr>
                                  <w:szCs w:val="21"/>
                                </w:rPr>
                              </w:pPr>
                              <w:r>
                                <w:rPr>
                                  <w:rFonts w:hint="eastAsia"/>
                                  <w:sz w:val="21"/>
                                  <w:szCs w:val="21"/>
                                </w:rPr>
                                <w:t>提出安全对策措施建议</w:t>
                              </w:r>
                            </w:p>
                          </w:txbxContent>
                        </wps:txbx>
                        <wps:bodyPr rot="0" vert="horz" wrap="square" lIns="91440" tIns="46800" rIns="91440" bIns="45720" anchor="t" anchorCtr="0" upright="1">
                          <a:noAutofit/>
                        </wps:bodyPr>
                      </wps:wsp>
                      <wps:wsp>
                        <wps:cNvPr id="789898725" name="矩形 1110"/>
                        <wps:cNvSpPr>
                          <a:spLocks noChangeArrowheads="1"/>
                        </wps:cNvSpPr>
                        <wps:spPr bwMode="auto">
                          <a:xfrm>
                            <a:off x="1941830" y="4103126"/>
                            <a:ext cx="1941195" cy="328197"/>
                          </a:xfrm>
                          <a:prstGeom prst="rect">
                            <a:avLst/>
                          </a:prstGeom>
                          <a:solidFill>
                            <a:srgbClr val="FFFFFF"/>
                          </a:solidFill>
                          <a:ln w="9525" cmpd="sng">
                            <a:solidFill>
                              <a:srgbClr val="000000"/>
                            </a:solidFill>
                            <a:miter lim="800000"/>
                          </a:ln>
                          <a:effectLst/>
                        </wps:spPr>
                        <wps:txbx>
                          <w:txbxContent>
                            <w:p w14:paraId="378E14CE">
                              <w:pPr>
                                <w:ind w:firstLine="0" w:firstLineChars="0"/>
                                <w:jc w:val="center"/>
                                <w:rPr>
                                  <w:sz w:val="21"/>
                                  <w:szCs w:val="21"/>
                                </w:rPr>
                              </w:pPr>
                              <w:r>
                                <w:rPr>
                                  <w:rFonts w:hint="eastAsia"/>
                                  <w:sz w:val="21"/>
                                  <w:szCs w:val="21"/>
                                </w:rPr>
                                <w:t>做出评价结论</w:t>
                              </w:r>
                            </w:p>
                          </w:txbxContent>
                        </wps:txbx>
                        <wps:bodyPr rot="0" vert="horz" wrap="square" lIns="91440" tIns="46800" rIns="91440" bIns="45720" anchor="t" anchorCtr="0" upright="1">
                          <a:noAutofit/>
                        </wps:bodyPr>
                      </wps:wsp>
                      <wps:wsp>
                        <wps:cNvPr id="1149385779" name="矩形 1111"/>
                        <wps:cNvSpPr>
                          <a:spLocks noChangeArrowheads="1"/>
                        </wps:cNvSpPr>
                        <wps:spPr bwMode="auto">
                          <a:xfrm>
                            <a:off x="1930400" y="4808855"/>
                            <a:ext cx="1952625" cy="290684"/>
                          </a:xfrm>
                          <a:prstGeom prst="rect">
                            <a:avLst/>
                          </a:prstGeom>
                          <a:solidFill>
                            <a:srgbClr val="FFFFFF"/>
                          </a:solidFill>
                          <a:ln w="9525" cmpd="sng">
                            <a:solidFill>
                              <a:srgbClr val="000000"/>
                            </a:solidFill>
                            <a:miter lim="800000"/>
                          </a:ln>
                          <a:effectLst/>
                        </wps:spPr>
                        <wps:txbx>
                          <w:txbxContent>
                            <w:p w14:paraId="6E439B90">
                              <w:pPr>
                                <w:ind w:firstLine="0" w:firstLineChars="0"/>
                                <w:jc w:val="center"/>
                                <w:rPr>
                                  <w:sz w:val="21"/>
                                  <w:szCs w:val="21"/>
                                </w:rPr>
                              </w:pPr>
                              <w:r>
                                <w:rPr>
                                  <w:rFonts w:hint="eastAsia"/>
                                  <w:sz w:val="21"/>
                                  <w:szCs w:val="21"/>
                                </w:rPr>
                                <w:t>编制安全评价报告</w:t>
                              </w:r>
                            </w:p>
                          </w:txbxContent>
                        </wps:txbx>
                        <wps:bodyPr rot="0" vert="horz" wrap="square" lIns="91440" tIns="46800" rIns="91440" bIns="45720" anchor="t" anchorCtr="0" upright="1">
                          <a:noAutofit/>
                        </wps:bodyPr>
                      </wps:wsp>
                      <wps:wsp>
                        <wps:cNvPr id="1530842202" name="矩形 1112"/>
                        <wps:cNvSpPr>
                          <a:spLocks noChangeArrowheads="1"/>
                        </wps:cNvSpPr>
                        <wps:spPr bwMode="auto">
                          <a:xfrm>
                            <a:off x="1941830" y="2132820"/>
                            <a:ext cx="1941195" cy="276273"/>
                          </a:xfrm>
                          <a:prstGeom prst="rect">
                            <a:avLst/>
                          </a:prstGeom>
                          <a:solidFill>
                            <a:srgbClr val="FFFFFF"/>
                          </a:solidFill>
                          <a:ln w="9525" cmpd="sng">
                            <a:solidFill>
                              <a:srgbClr val="000000"/>
                            </a:solidFill>
                            <a:miter lim="800000"/>
                          </a:ln>
                          <a:effectLst/>
                        </wps:spPr>
                        <wps:txbx>
                          <w:txbxContent>
                            <w:p w14:paraId="1BDE0480">
                              <w:pPr>
                                <w:ind w:firstLine="0" w:firstLineChars="0"/>
                                <w:jc w:val="center"/>
                                <w:rPr>
                                  <w:sz w:val="21"/>
                                  <w:szCs w:val="21"/>
                                </w:rPr>
                              </w:pPr>
                              <w:r>
                                <w:rPr>
                                  <w:rFonts w:hint="eastAsia"/>
                                  <w:sz w:val="21"/>
                                  <w:szCs w:val="21"/>
                                </w:rPr>
                                <w:t>选择评价方法</w:t>
                              </w:r>
                            </w:p>
                          </w:txbxContent>
                        </wps:txbx>
                        <wps:bodyPr rot="0" vert="horz" wrap="square" lIns="91440" tIns="46800" rIns="91440" bIns="45720" anchor="t" anchorCtr="0" upright="1">
                          <a:noAutofit/>
                        </wps:bodyPr>
                      </wps:wsp>
                      <wps:wsp>
                        <wps:cNvPr id="1514971244" name="直线 1113"/>
                        <wps:cNvCnPr>
                          <a:cxnSpLocks noChangeShapeType="1"/>
                        </wps:cNvCnPr>
                        <wps:spPr bwMode="auto">
                          <a:xfrm>
                            <a:off x="2850172" y="498475"/>
                            <a:ext cx="0" cy="366395"/>
                          </a:xfrm>
                          <a:prstGeom prst="line">
                            <a:avLst/>
                          </a:prstGeom>
                          <a:noFill/>
                          <a:ln w="9525" cmpd="sng">
                            <a:solidFill>
                              <a:srgbClr val="000000"/>
                            </a:solidFill>
                            <a:round/>
                            <a:tailEnd type="triangle" w="med" len="med"/>
                          </a:ln>
                          <a:effectLst/>
                        </wps:spPr>
                        <wps:bodyPr/>
                      </wps:wsp>
                      <wps:wsp>
                        <wps:cNvPr id="2144051269" name="直线 1114"/>
                        <wps:cNvCnPr>
                          <a:cxnSpLocks noChangeShapeType="1"/>
                        </wps:cNvCnPr>
                        <wps:spPr bwMode="auto">
                          <a:xfrm>
                            <a:off x="2850172" y="1169378"/>
                            <a:ext cx="635" cy="367030"/>
                          </a:xfrm>
                          <a:prstGeom prst="line">
                            <a:avLst/>
                          </a:prstGeom>
                          <a:noFill/>
                          <a:ln w="9525" cmpd="sng">
                            <a:solidFill>
                              <a:srgbClr val="000000"/>
                            </a:solidFill>
                            <a:round/>
                            <a:tailEnd type="triangle" w="med" len="med"/>
                          </a:ln>
                          <a:effectLst/>
                        </wps:spPr>
                        <wps:bodyPr/>
                      </wps:wsp>
                      <wps:wsp>
                        <wps:cNvPr id="650057105" name="直线 1115"/>
                        <wps:cNvCnPr>
                          <a:cxnSpLocks noChangeShapeType="1"/>
                        </wps:cNvCnPr>
                        <wps:spPr bwMode="auto">
                          <a:xfrm>
                            <a:off x="2861138" y="1816590"/>
                            <a:ext cx="0" cy="316230"/>
                          </a:xfrm>
                          <a:prstGeom prst="line">
                            <a:avLst/>
                          </a:prstGeom>
                          <a:noFill/>
                          <a:ln w="9525" cmpd="sng">
                            <a:solidFill>
                              <a:srgbClr val="000000"/>
                            </a:solidFill>
                            <a:round/>
                            <a:tailEnd type="triangle" w="med" len="med"/>
                          </a:ln>
                          <a:effectLst/>
                        </wps:spPr>
                        <wps:bodyPr/>
                      </wps:wsp>
                      <wps:wsp>
                        <wps:cNvPr id="1848448668" name="直线 1116"/>
                        <wps:cNvCnPr>
                          <a:cxnSpLocks noChangeShapeType="1"/>
                        </wps:cNvCnPr>
                        <wps:spPr bwMode="auto">
                          <a:xfrm>
                            <a:off x="2862602" y="2409093"/>
                            <a:ext cx="635" cy="366395"/>
                          </a:xfrm>
                          <a:prstGeom prst="line">
                            <a:avLst/>
                          </a:prstGeom>
                          <a:noFill/>
                          <a:ln w="9525" cmpd="sng">
                            <a:solidFill>
                              <a:srgbClr val="000000"/>
                            </a:solidFill>
                            <a:round/>
                            <a:tailEnd type="triangle" w="med" len="med"/>
                          </a:ln>
                          <a:effectLst/>
                        </wps:spPr>
                        <wps:bodyPr/>
                      </wps:wsp>
                      <wps:wsp>
                        <wps:cNvPr id="525111206" name="直线 1117"/>
                        <wps:cNvCnPr>
                          <a:cxnSpLocks noChangeShapeType="1"/>
                        </wps:cNvCnPr>
                        <wps:spPr bwMode="auto">
                          <a:xfrm>
                            <a:off x="2877890" y="3077308"/>
                            <a:ext cx="635" cy="365760"/>
                          </a:xfrm>
                          <a:prstGeom prst="line">
                            <a:avLst/>
                          </a:prstGeom>
                          <a:noFill/>
                          <a:ln w="9525" cmpd="sng">
                            <a:solidFill>
                              <a:srgbClr val="000000"/>
                            </a:solidFill>
                            <a:round/>
                            <a:tailEnd type="triangle" w="med" len="med"/>
                          </a:ln>
                          <a:effectLst/>
                        </wps:spPr>
                        <wps:bodyPr/>
                      </wps:wsp>
                      <wps:wsp>
                        <wps:cNvPr id="1121518797" name="直线 1118"/>
                        <wps:cNvCnPr>
                          <a:cxnSpLocks noChangeShapeType="1"/>
                        </wps:cNvCnPr>
                        <wps:spPr bwMode="auto">
                          <a:xfrm>
                            <a:off x="2884386" y="3736731"/>
                            <a:ext cx="635" cy="366395"/>
                          </a:xfrm>
                          <a:prstGeom prst="line">
                            <a:avLst/>
                          </a:prstGeom>
                          <a:noFill/>
                          <a:ln w="9525" cmpd="sng">
                            <a:solidFill>
                              <a:srgbClr val="000000"/>
                            </a:solidFill>
                            <a:round/>
                            <a:tailEnd type="triangle" w="med" len="med"/>
                          </a:ln>
                          <a:effectLst/>
                        </wps:spPr>
                        <wps:bodyPr/>
                      </wps:wsp>
                      <wps:wsp>
                        <wps:cNvPr id="1087910797" name="直线 1119"/>
                        <wps:cNvCnPr>
                          <a:cxnSpLocks noChangeShapeType="1"/>
                        </wps:cNvCnPr>
                        <wps:spPr bwMode="auto">
                          <a:xfrm>
                            <a:off x="2885021" y="4442460"/>
                            <a:ext cx="635" cy="366395"/>
                          </a:xfrm>
                          <a:prstGeom prst="line">
                            <a:avLst/>
                          </a:prstGeom>
                          <a:noFill/>
                          <a:ln w="9525" cmpd="sng">
                            <a:solidFill>
                              <a:srgbClr val="000000"/>
                            </a:solidFill>
                            <a:round/>
                            <a:tailEnd type="triangle" w="med" len="med"/>
                          </a:ln>
                          <a:effectLst/>
                        </wps:spPr>
                        <wps:bodyPr/>
                      </wps:wsp>
                    </wpc:wpc>
                  </a:graphicData>
                </a:graphic>
              </wp:anchor>
            </w:drawing>
          </mc:Choice>
          <mc:Fallback>
            <w:pict>
              <v:group id="画布 1103" o:spid="_x0000_s1026" o:spt="203" style="position:absolute;left:0pt;margin-left:3.2pt;margin-top:2.35pt;height:413.3pt;width:444.8pt;mso-wrap-distance-bottom:0pt;mso-wrap-distance-top:0pt;z-index:251659264;mso-width-relative:page;mso-height-relative:page;" coordsize="5648960,5248910" editas="canvas" o:gfxdata="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">
                <o:lock v:ext="edit" aspectratio="f"/>
                <v:shape id="画布 1103" o:spid="_x0000_s1026" style="position:absolute;left:0;top:0;height:5248910;width:5648960;" filled="f" stroked="f" coordsize="21600,21600" o:gfxdata="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">
                  <v:fill on="f" focussize="0,0"/>
                  <v:stroke on="f"/>
                  <v:imagedata o:title=""/>
                  <o:lock v:ext="edit" aspectratio="t"/>
                </v:shape>
                <v:rect id="矩形 1105" o:spid="_x0000_s1026" o:spt="1" style="position:absolute;left:1904365;top:207010;height:291465;width:1978660;"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ehpfU1gAAAAcB&#10;AAAPAAAAAAAAAAEAIAAAACIAAABkcnMvZG93bnJldi54bWxQSwECFAAUAAAACACHTuJAvVND0VYC&#10;AACpBAAADgAAAAAAAAABACAAAAAlAQAAZHJzL2Uyb0RvYy54bWxQSwUGAAAAAAYABgBZAQAA7QUA&#10;AAAA&#10;">
                  <v:fill on="t" focussize="0,0"/>
                  <v:stroke color="#000000" miterlimit="8" joinstyle="miter"/>
                  <v:imagedata o:title=""/>
                  <o:lock v:ext="edit" aspectratio="f"/>
                  <v:textbox inset="2.54mm,1.3mm,2.54mm,1.27mm">
                    <w:txbxContent>
                      <w:p w14:paraId="43271EE4">
                        <w:pPr>
                          <w:ind w:firstLine="0" w:firstLineChars="0"/>
                          <w:jc w:val="center"/>
                          <w:rPr>
                            <w:sz w:val="21"/>
                            <w:szCs w:val="21"/>
                          </w:rPr>
                        </w:pPr>
                        <w:r>
                          <w:rPr>
                            <w:rFonts w:hint="eastAsia"/>
                            <w:sz w:val="21"/>
                            <w:szCs w:val="21"/>
                          </w:rPr>
                          <w:t>前期准备</w:t>
                        </w:r>
                      </w:p>
                    </w:txbxContent>
                  </v:textbox>
                </v:rect>
                <v:rect id="矩形 1106" o:spid="_x0000_s1026" o:spt="1" style="position:absolute;left:1941830;top:858520;height:310858;width:1941195;"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HoaX1NYAAAAH&#10;AQAADwAAAAAAAAABACAAAAAiAAAAZHJzL2Rvd25yZXYueG1sUEsBAhQAFAAAAAgAh07iQFE3jl9X&#10;AgAAqgQAAA4AAAAAAAAAAQAgAAAAJQEAAGRycy9lMm9Eb2MueG1sUEsFBgAAAAAGAAYAWQEAAO4F&#10;AAAAAA==&#10;">
                  <v:fill on="t" focussize="0,0"/>
                  <v:stroke color="#000000" miterlimit="8" joinstyle="miter"/>
                  <v:imagedata o:title=""/>
                  <o:lock v:ext="edit" aspectratio="f"/>
                  <v:textbox inset="2.54mm,1.3mm,2.54mm,1.27mm">
                    <w:txbxContent>
                      <w:p w14:paraId="3C0413CA">
                        <w:pPr>
                          <w:ind w:firstLine="0" w:firstLineChars="0"/>
                          <w:jc w:val="center"/>
                          <w:rPr>
                            <w:szCs w:val="21"/>
                          </w:rPr>
                        </w:pPr>
                        <w:r>
                          <w:rPr>
                            <w:rFonts w:hint="eastAsia"/>
                            <w:sz w:val="21"/>
                            <w:szCs w:val="21"/>
                          </w:rPr>
                          <w:t>辨识与分析危险、有害因素</w:t>
                        </w:r>
                      </w:p>
                    </w:txbxContent>
                  </v:textbox>
                </v:rect>
                <v:rect id="矩形 1107" o:spid="_x0000_s1026" o:spt="1" style="position:absolute;left:1941830;top:1536408;height:280182;width:1941195;"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6Gl9TWAAAA&#10;BwEAAA8AAAAAAAAAAQAgAAAAIgAAAGRycy9kb3ducmV2LnhtbFBLAQIUABQAAAAIAIdO4kBeEfja&#10;WAIAAKsEAAAOAAAAAAAAAAEAIAAAACUBAABkcnMvZTJvRG9jLnhtbFBLBQYAAAAABgAGAFkBAADv&#10;BQAAAAA=&#10;">
                  <v:fill on="t" focussize="0,0"/>
                  <v:stroke color="#000000" miterlimit="8" joinstyle="miter"/>
                  <v:imagedata o:title=""/>
                  <o:lock v:ext="edit" aspectratio="f"/>
                  <v:textbox inset="2.54mm,1.3mm,2.54mm,1.27mm">
                    <w:txbxContent>
                      <w:p w14:paraId="7FE26726">
                        <w:pPr>
                          <w:ind w:firstLine="0" w:firstLineChars="0"/>
                          <w:jc w:val="center"/>
                          <w:rPr>
                            <w:sz w:val="21"/>
                            <w:szCs w:val="21"/>
                          </w:rPr>
                        </w:pPr>
                        <w:r>
                          <w:rPr>
                            <w:rFonts w:hint="eastAsia"/>
                            <w:sz w:val="21"/>
                            <w:szCs w:val="21"/>
                          </w:rPr>
                          <w:t>划分评价单元</w:t>
                        </w:r>
                      </w:p>
                    </w:txbxContent>
                  </v:textbox>
                </v:rect>
                <v:rect id="矩形 1108" o:spid="_x0000_s1026" o:spt="1" style="position:absolute;left:1941830;top:2778956;height:298352;width:1941195;"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ehpfU1gAA&#10;AAcBAAAPAAAAAAAAAAEAIAAAACIAAABkcnMvZG93bnJldi54bWxQSwECFAAUAAAACACHTuJAceaS&#10;kFkCAACrBAAADgAAAAAAAAABACAAAAAlAQAAZHJzL2Uyb0RvYy54bWxQSwUGAAAAAAYABgBZAQAA&#10;8AUAAAAA&#10;">
                  <v:fill on="t" focussize="0,0"/>
                  <v:stroke color="#000000" miterlimit="8" joinstyle="miter"/>
                  <v:imagedata o:title=""/>
                  <o:lock v:ext="edit" aspectratio="f"/>
                  <v:textbox inset="2.54mm,1.3mm,2.54mm,1.27mm">
                    <w:txbxContent>
                      <w:p w14:paraId="6DBD311F">
                        <w:pPr>
                          <w:ind w:firstLine="0" w:firstLineChars="0"/>
                          <w:jc w:val="center"/>
                          <w:rPr>
                            <w:sz w:val="21"/>
                            <w:szCs w:val="21"/>
                          </w:rPr>
                        </w:pPr>
                        <w:r>
                          <w:rPr>
                            <w:rFonts w:hint="eastAsia"/>
                            <w:sz w:val="21"/>
                            <w:szCs w:val="21"/>
                          </w:rPr>
                          <w:t>定性、定量评价</w:t>
                        </w:r>
                      </w:p>
                    </w:txbxContent>
                  </v:textbox>
                </v:rect>
                <v:rect id="矩形 1109" o:spid="_x0000_s1026" o:spt="1" style="position:absolute;left:1930400;top:3443068;height:293663;width:1941195;"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ehpfU&#10;1gAAAAcBAAAPAAAAAAAAAAEAIAAAACIAAABkcnMvZG93bnJldi54bWxQSwECFAAUAAAACACHTuJA&#10;jzzt3VwCAACrBAAADgAAAAAAAAABACAAAAAlAQAAZHJzL2Uyb0RvYy54bWxQSwUGAAAAAAYABgBZ&#10;AQAA8wUAAAAA&#10;">
                  <v:fill on="t" focussize="0,0"/>
                  <v:stroke color="#000000" miterlimit="8" joinstyle="miter"/>
                  <v:imagedata o:title=""/>
                  <o:lock v:ext="edit" aspectratio="f"/>
                  <v:textbox inset="2.54mm,1.3mm,2.54mm,1.27mm">
                    <w:txbxContent>
                      <w:p w14:paraId="0F1A050C">
                        <w:pPr>
                          <w:ind w:firstLine="0" w:firstLineChars="0"/>
                          <w:jc w:val="center"/>
                          <w:rPr>
                            <w:szCs w:val="21"/>
                          </w:rPr>
                        </w:pPr>
                        <w:r>
                          <w:rPr>
                            <w:rFonts w:hint="eastAsia"/>
                            <w:sz w:val="21"/>
                            <w:szCs w:val="21"/>
                          </w:rPr>
                          <w:t>提出安全对策措施建议</w:t>
                        </w:r>
                      </w:p>
                    </w:txbxContent>
                  </v:textbox>
                </v:rect>
                <v:rect id="矩形 1110" o:spid="_x0000_s1026" o:spt="1" style="position:absolute;left:1941830;top:4103126;height:328197;width:1941195;"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ehpfU1gAA&#10;AAcBAAAPAAAAAAAAAAEAIAAAACIAAABkcnMvZG93bnJldi54bWxQSwECFAAUAAAACACHTuJAeBGe&#10;J1kCAACqBAAADgAAAAAAAAABACAAAAAlAQAAZHJzL2Uyb0RvYy54bWxQSwUGAAAAAAYABgBZAQAA&#10;8AUAAAAA&#10;">
                  <v:fill on="t" focussize="0,0"/>
                  <v:stroke color="#000000" miterlimit="8" joinstyle="miter"/>
                  <v:imagedata o:title=""/>
                  <o:lock v:ext="edit" aspectratio="f"/>
                  <v:textbox inset="2.54mm,1.3mm,2.54mm,1.27mm">
                    <w:txbxContent>
                      <w:p w14:paraId="378E14CE">
                        <w:pPr>
                          <w:ind w:firstLine="0" w:firstLineChars="0"/>
                          <w:jc w:val="center"/>
                          <w:rPr>
                            <w:sz w:val="21"/>
                            <w:szCs w:val="21"/>
                          </w:rPr>
                        </w:pPr>
                        <w:r>
                          <w:rPr>
                            <w:rFonts w:hint="eastAsia"/>
                            <w:sz w:val="21"/>
                            <w:szCs w:val="21"/>
                          </w:rPr>
                          <w:t>做出评价结论</w:t>
                        </w:r>
                      </w:p>
                    </w:txbxContent>
                  </v:textbox>
                </v:rect>
                <v:rect id="矩形 1111" o:spid="_x0000_s1026" o:spt="1" style="position:absolute;left:1930400;top:4808855;height:290684;width:1952625;"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ehpfU1gAA&#10;AAcBAAAPAAAAAAAAAAEAIAAAACIAAABkcnMvZG93bnJldi54bWxQSwECFAAUAAAACACHTuJA6De/&#10;V1kCAACrBAAADgAAAAAAAAABACAAAAAlAQAAZHJzL2Uyb0RvYy54bWxQSwUGAAAAAAYABgBZAQAA&#10;8AUAAAAA&#10;">
                  <v:fill on="t" focussize="0,0"/>
                  <v:stroke color="#000000" miterlimit="8" joinstyle="miter"/>
                  <v:imagedata o:title=""/>
                  <o:lock v:ext="edit" aspectratio="f"/>
                  <v:textbox inset="2.54mm,1.3mm,2.54mm,1.27mm">
                    <w:txbxContent>
                      <w:p w14:paraId="6E439B90">
                        <w:pPr>
                          <w:ind w:firstLine="0" w:firstLineChars="0"/>
                          <w:jc w:val="center"/>
                          <w:rPr>
                            <w:sz w:val="21"/>
                            <w:szCs w:val="21"/>
                          </w:rPr>
                        </w:pPr>
                        <w:r>
                          <w:rPr>
                            <w:rFonts w:hint="eastAsia"/>
                            <w:sz w:val="21"/>
                            <w:szCs w:val="21"/>
                          </w:rPr>
                          <w:t>编制安全评价报告</w:t>
                        </w:r>
                      </w:p>
                    </w:txbxContent>
                  </v:textbox>
                </v:rect>
                <v:rect id="矩形 1112" o:spid="_x0000_s1026" o:spt="1" style="position:absolute;left:1941830;top:2132820;height:276273;width:1941195;" fillcolor="#FFFFFF" filled="t" stroked="t" coordsize="21600,21600" o:gfxdata="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6Gl9TWAAAA&#10;BwEAAA8AAAAAAAAAAQAgAAAAIgAAAGRycy9kb3ducmV2LnhtbFBLAQIUABQAAAAIAIdO4kCzkzUz&#10;WAIAAKsEAAAOAAAAAAAAAAEAIAAAACUBAABkcnMvZTJvRG9jLnhtbFBLBQYAAAAABgAGAFkBAADv&#10;BQAAAAA=&#10;">
                  <v:fill on="t" focussize="0,0"/>
                  <v:stroke color="#000000" miterlimit="8" joinstyle="miter"/>
                  <v:imagedata o:title=""/>
                  <o:lock v:ext="edit" aspectratio="f"/>
                  <v:textbox inset="2.54mm,1.3mm,2.54mm,1.27mm">
                    <w:txbxContent>
                      <w:p w14:paraId="1BDE0480">
                        <w:pPr>
                          <w:ind w:firstLine="0" w:firstLineChars="0"/>
                          <w:jc w:val="center"/>
                          <w:rPr>
                            <w:sz w:val="21"/>
                            <w:szCs w:val="21"/>
                          </w:rPr>
                        </w:pPr>
                        <w:r>
                          <w:rPr>
                            <w:rFonts w:hint="eastAsia"/>
                            <w:sz w:val="21"/>
                            <w:szCs w:val="21"/>
                          </w:rPr>
                          <w:t>选择评价方法</w:t>
                        </w:r>
                      </w:p>
                    </w:txbxContent>
                  </v:textbox>
                </v:rect>
                <v:line id="直线 1113" o:spid="_x0000_s1026" o:spt="20" style="position:absolute;left:2850172;top:498475;height:366395;width:0;" filled="f" stroked="t" coordsize="21600,21600" o:gfxdata="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BceIPYAAAABwEAAA8AAAAA&#10;AAAAAQAgAAAAIgAAAGRycy9kb3ducmV2LnhtbFBLAQIUABQAAAAIAIdO4kA/14giFAIAAP4DAAAO&#10;AAAAAAAAAAEAIAAAACcBAABkcnMvZTJvRG9jLnhtbFBLBQYAAAAABgAGAFkBAACtBQAAAAA=&#10;">
                  <v:fill on="f" focussize="0,0"/>
                  <v:stroke color="#000000" joinstyle="round" endarrow="block"/>
                  <v:imagedata o:title=""/>
                  <o:lock v:ext="edit" aspectratio="f"/>
                </v:line>
                <v:line id="直线 1114" o:spid="_x0000_s1026" o:spt="20" style="position:absolute;left:2850172;top:1169378;height:367030;width:635;" filled="f" stroked="t" coordsize="21600,21600" o:gfxdata="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Fx4g9gAAAAHAQAADwAA&#10;AAAAAAABACAAAAAiAAAAZHJzL2Rvd25yZXYueG1sUEsBAhQAFAAAAAgAh07iQLKLfpoWAgAAAQQA&#10;AA4AAAAAAAAAAQAgAAAAJwEAAGRycy9lMm9Eb2MueG1sUEsFBgAAAAAGAAYAWQEAAK8FAAAAAA==&#10;">
                  <v:fill on="f" focussize="0,0"/>
                  <v:stroke color="#000000" joinstyle="round" endarrow="block"/>
                  <v:imagedata o:title=""/>
                  <o:lock v:ext="edit" aspectratio="f"/>
                </v:line>
                <v:line id="直线 1115" o:spid="_x0000_s1026" o:spt="20" style="position:absolute;left:2861138;top:1816590;height:316230;width:0;" filled="f" stroked="t" coordsize="21600,21600" o:gfxdata="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Fx4g9gAAAAHAQAADwAAAAAA&#10;AAABACAAAAAiAAAAZHJzL2Rvd25yZXYueG1sUEsBAhQAFAAAAAgAh07iQGBXnC4TAgAA/gMAAA4A&#10;AAAAAAAAAQAgAAAAJwEAAGRycy9lMm9Eb2MueG1sUEsFBgAAAAAGAAYAWQEAAKwFAAAAAA==&#10;">
                  <v:fill on="f" focussize="0,0"/>
                  <v:stroke color="#000000" joinstyle="round" endarrow="block"/>
                  <v:imagedata o:title=""/>
                  <o:lock v:ext="edit" aspectratio="f"/>
                </v:line>
                <v:line id="直线 1116" o:spid="_x0000_s1026" o:spt="20" style="position:absolute;left:2862602;top:2409093;height:366395;width:635;" filled="f" stroked="t" coordsize="21600,21600" o:gfxdata="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gXHiD2AAAAAcBAAAPAAAA&#10;AAAAAAEAIAAAACIAAABkcnMvZG93bnJldi54bWxQSwECFAAUAAAACACHTuJAUB4mOhUCAAABBAAA&#10;DgAAAAAAAAABACAAAAAnAQAAZHJzL2Uyb0RvYy54bWxQSwUGAAAAAAYABgBZAQAArgUAAAAA&#10;">
                  <v:fill on="f" focussize="0,0"/>
                  <v:stroke color="#000000" joinstyle="round" endarrow="block"/>
                  <v:imagedata o:title=""/>
                  <o:lock v:ext="edit" aspectratio="f"/>
                </v:line>
                <v:line id="直线 1117" o:spid="_x0000_s1026" o:spt="20" style="position:absolute;left:2877890;top:3077308;height:365760;width:635;" filled="f" stroked="t" coordsize="21600,21600" o:gfxdata="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gXHiD2AAAAAcBAAAPAAAA&#10;AAAAAAEAIAAAACIAAABkcnMvZG93bnJldi54bWxQSwECFAAUAAAACACHTuJAh3HPphUCAAAABAAA&#10;DgAAAAAAAAABACAAAAAnAQAAZHJzL2Uyb0RvYy54bWxQSwUGAAAAAAYABgBZAQAArgUAAAAA&#10;">
                  <v:fill on="f" focussize="0,0"/>
                  <v:stroke color="#000000" joinstyle="round" endarrow="block"/>
                  <v:imagedata o:title=""/>
                  <o:lock v:ext="edit" aspectratio="f"/>
                </v:line>
                <v:line id="直线 1118" o:spid="_x0000_s1026" o:spt="20" style="position:absolute;left:2884386;top:3736731;height:366395;width:635;" filled="f" stroked="t" coordsize="21600,21600" o:gfxdata="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gXHiD2AAAAAcBAAAPAAAA&#10;AAAAAAEAIAAAACIAAABkcnMvZG93bnJldi54bWxQSwECFAAUAAAACACHTuJAdxpzQxUCAAABBAAA&#10;DgAAAAAAAAABACAAAAAnAQAAZHJzL2Uyb0RvYy54bWxQSwUGAAAAAAYABgBZAQAArgUAAAAA&#10;">
                  <v:fill on="f" focussize="0,0"/>
                  <v:stroke color="#000000" joinstyle="round" endarrow="block"/>
                  <v:imagedata o:title=""/>
                  <o:lock v:ext="edit" aspectratio="f"/>
                </v:line>
                <v:line id="直线 1119" o:spid="_x0000_s1026" o:spt="20" style="position:absolute;left:2885021;top:4442460;height:366395;width:635;" filled="f" stroked="t" coordsize="21600,21600" o:gfxdata="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BceIPYAAAABwEAAA8AAAAA&#10;AAAAAQAgAAAAIgAAAGRycy9kb3ducmV2LnhtbFBLAQIUABQAAAAIAIdO4kCqZbVTFAIAAAEEAAAO&#10;AAAAAAAAAAEAIAAAACcBAABkcnMvZTJvRG9jLnhtbFBLBQYAAAAABgAGAFkBAACtBQAAAAA=&#10;">
                  <v:fill on="f" focussize="0,0"/>
                  <v:stroke color="#000000" joinstyle="round" endarrow="block"/>
                  <v:imagedata o:title=""/>
                  <o:lock v:ext="edit" aspectratio="f"/>
                </v:line>
                <w10:wrap type="topAndBottom"/>
              </v:group>
            </w:pict>
          </mc:Fallback>
        </mc:AlternateContent>
      </w:r>
      <w:r>
        <w:rPr>
          <w:color w:val="000000" w:themeColor="text1"/>
          <w14:textFill>
            <w14:solidFill>
              <w14:schemeClr w14:val="tx1"/>
            </w14:solidFill>
          </w14:textFill>
        </w:rPr>
        <w:t>图1.5-1  安全评价工作程序框图</w:t>
      </w:r>
    </w:p>
    <w:p w14:paraId="10006CF5">
      <w:pPr>
        <w:pStyle w:val="3"/>
        <w:rPr>
          <w:color w:val="000000" w:themeColor="text1"/>
          <w14:textFill>
            <w14:solidFill>
              <w14:schemeClr w14:val="tx1"/>
            </w14:solidFill>
          </w14:textFill>
        </w:rPr>
      </w:pPr>
      <w:bookmarkStart w:id="74" w:name="_Toc17586"/>
      <w:bookmarkStart w:id="75" w:name="_Toc9289"/>
      <w:r>
        <w:rPr>
          <w:color w:val="000000" w:themeColor="text1"/>
          <w14:textFill>
            <w14:solidFill>
              <w14:schemeClr w14:val="tx1"/>
            </w14:solidFill>
          </w14:textFill>
        </w:rPr>
        <w:t>1.6  评价基准日</w:t>
      </w:r>
      <w:bookmarkEnd w:id="74"/>
      <w:bookmarkEnd w:id="75"/>
    </w:p>
    <w:p w14:paraId="717D179A">
      <w:pPr>
        <w:rPr>
          <w:color w:val="000000" w:themeColor="text1"/>
          <w14:textFill>
            <w14:solidFill>
              <w14:schemeClr w14:val="tx1"/>
            </w14:solidFill>
          </w14:textFill>
        </w:rPr>
        <w:sectPr>
          <w:pgSz w:w="11906" w:h="16838"/>
          <w:pgMar w:top="1417" w:right="1134" w:bottom="1134" w:left="1587" w:header="850" w:footer="992" w:gutter="0"/>
          <w:pgNumType w:start="1"/>
          <w:cols w:space="720" w:num="1"/>
          <w:docGrid w:linePitch="381" w:charSpace="0"/>
        </w:sectPr>
      </w:pPr>
      <w:r>
        <w:rPr>
          <w:color w:val="000000" w:themeColor="text1"/>
          <w14:textFill>
            <w14:solidFill>
              <w14:schemeClr w14:val="tx1"/>
            </w14:solidFill>
          </w14:textFill>
        </w:rPr>
        <w:t>评价组于2026年08月2</w:t>
      </w:r>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日到项目现场进行勘验检查，</w:t>
      </w:r>
      <w:r>
        <w:rPr>
          <w:rFonts w:hint="eastAsia"/>
          <w:color w:val="000000" w:themeColor="text1"/>
          <w14:textFill>
            <w14:solidFill>
              <w14:schemeClr w14:val="tx1"/>
            </w14:solidFill>
          </w14:textFill>
        </w:rPr>
        <w:t>项目资料于2026年09月1</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日收集完全，故评价基准日为2026年09月1</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日</w:t>
      </w:r>
      <w:r>
        <w:rPr>
          <w:color w:val="000000" w:themeColor="text1"/>
          <w14:textFill>
            <w14:solidFill>
              <w14:schemeClr w14:val="tx1"/>
            </w14:solidFill>
          </w14:textFill>
        </w:rPr>
        <w:t>。</w:t>
      </w:r>
    </w:p>
    <w:p w14:paraId="37BE625D">
      <w:pPr>
        <w:pStyle w:val="2"/>
        <w:rPr>
          <w:color w:val="000000" w:themeColor="text1"/>
          <w14:textFill>
            <w14:solidFill>
              <w14:schemeClr w14:val="tx1"/>
            </w14:solidFill>
          </w14:textFill>
        </w:rPr>
      </w:pPr>
      <w:bookmarkStart w:id="76" w:name="_Toc146456446"/>
      <w:bookmarkStart w:id="77" w:name="_Toc156029808"/>
      <w:bookmarkStart w:id="78" w:name="_Toc144691491"/>
      <w:bookmarkStart w:id="79" w:name="_Toc152146830"/>
      <w:bookmarkStart w:id="80" w:name="_Toc9755111"/>
      <w:bookmarkStart w:id="81" w:name="_Toc148576386"/>
      <w:bookmarkStart w:id="82" w:name="_Toc153613479"/>
      <w:bookmarkStart w:id="83" w:name="_Toc150078351"/>
      <w:bookmarkStart w:id="84" w:name="_Toc152490490"/>
      <w:bookmarkStart w:id="85" w:name="_Toc144693709"/>
      <w:bookmarkStart w:id="86" w:name="_Toc163648858"/>
      <w:bookmarkStart w:id="87" w:name="_Toc144873840"/>
      <w:bookmarkStart w:id="88" w:name="_Toc152401015"/>
      <w:bookmarkStart w:id="89" w:name="_Toc146454764"/>
      <w:bookmarkStart w:id="90" w:name="_Toc144886770"/>
      <w:bookmarkStart w:id="91" w:name="_Toc19876"/>
      <w:bookmarkStart w:id="92" w:name="_Toc147388787"/>
      <w:bookmarkStart w:id="93" w:name="_Toc152147144"/>
      <w:bookmarkStart w:id="94" w:name="_Toc147388974"/>
      <w:bookmarkStart w:id="95" w:name="_Toc153082039"/>
      <w:bookmarkStart w:id="96" w:name="_Toc152490375"/>
      <w:bookmarkStart w:id="97" w:name="_Toc7144"/>
      <w:bookmarkStart w:id="98" w:name="_Toc153013324"/>
      <w:bookmarkStart w:id="99" w:name="_Toc166118045"/>
      <w:bookmarkStart w:id="100" w:name="_Toc156033568"/>
      <w:bookmarkStart w:id="101" w:name="_Toc25369"/>
      <w:bookmarkStart w:id="102" w:name="_Toc163694487"/>
      <w:bookmarkStart w:id="103" w:name="_Toc147389686"/>
      <w:bookmarkStart w:id="104" w:name="_Toc147388080"/>
      <w:bookmarkStart w:id="105" w:name="_Toc152145318"/>
      <w:bookmarkStart w:id="106" w:name="_Toc144691722"/>
      <w:bookmarkStart w:id="107" w:name="_Toc146456669"/>
      <w:bookmarkStart w:id="108" w:name="_Toc145472670"/>
      <w:r>
        <w:rPr>
          <w:color w:val="000000" w:themeColor="text1"/>
          <w14:textFill>
            <w14:solidFill>
              <w14:schemeClr w14:val="tx1"/>
            </w14:solidFill>
          </w14:textFill>
        </w:rPr>
        <w:t>2  经营单位概况</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77241DE3">
      <w:pPr>
        <w:pStyle w:val="3"/>
        <w:rPr>
          <w:color w:val="000000" w:themeColor="text1"/>
          <w:lang w:val="zh-CN"/>
          <w14:textFill>
            <w14:solidFill>
              <w14:schemeClr w14:val="tx1"/>
            </w14:solidFill>
          </w14:textFill>
        </w:rPr>
      </w:pPr>
      <w:bookmarkStart w:id="109" w:name="_Toc145472671"/>
      <w:bookmarkStart w:id="110" w:name="_Toc156033569"/>
      <w:bookmarkStart w:id="111" w:name="_Toc153013325"/>
      <w:bookmarkStart w:id="112" w:name="_Toc150078352"/>
      <w:bookmarkStart w:id="113" w:name="_Toc146456670"/>
      <w:bookmarkStart w:id="114" w:name="_Toc152146831"/>
      <w:bookmarkStart w:id="115" w:name="_Toc147388081"/>
      <w:bookmarkStart w:id="116" w:name="_Toc156029809"/>
      <w:bookmarkStart w:id="117" w:name="_Toc144693710"/>
      <w:bookmarkStart w:id="118" w:name="_Toc147389687"/>
      <w:bookmarkStart w:id="119" w:name="_Toc144873841"/>
      <w:bookmarkStart w:id="120" w:name="_Toc3166"/>
      <w:bookmarkStart w:id="121" w:name="_Toc163694488"/>
      <w:bookmarkStart w:id="122" w:name="_Toc144886771"/>
      <w:bookmarkStart w:id="123" w:name="_Toc152490376"/>
      <w:bookmarkStart w:id="124" w:name="_Toc144691723"/>
      <w:bookmarkStart w:id="125" w:name="_Toc9755112"/>
      <w:bookmarkStart w:id="126" w:name="_Toc152147145"/>
      <w:bookmarkStart w:id="127" w:name="_Toc8373"/>
      <w:bookmarkStart w:id="128" w:name="_Toc144691492"/>
      <w:bookmarkStart w:id="129" w:name="_Toc153082040"/>
      <w:bookmarkStart w:id="130" w:name="_Toc166118046"/>
      <w:bookmarkStart w:id="131" w:name="_Toc146454765"/>
      <w:bookmarkStart w:id="132" w:name="_Toc163648859"/>
      <w:bookmarkStart w:id="133" w:name="_Toc152490491"/>
      <w:bookmarkStart w:id="134" w:name="_Toc152401016"/>
      <w:bookmarkStart w:id="135" w:name="_Toc146456447"/>
      <w:bookmarkStart w:id="136" w:name="_Toc152145319"/>
      <w:bookmarkStart w:id="137" w:name="_Toc153613480"/>
      <w:bookmarkStart w:id="138" w:name="_Toc148576387"/>
      <w:bookmarkStart w:id="139" w:name="_Toc3037"/>
      <w:bookmarkStart w:id="140" w:name="_Toc147388975"/>
      <w:bookmarkStart w:id="141" w:name="_Toc147388788"/>
      <w:r>
        <w:rPr>
          <w:color w:val="000000" w:themeColor="text1"/>
          <w:lang w:val="zh-CN"/>
          <w14:textFill>
            <w14:solidFill>
              <w14:schemeClr w14:val="tx1"/>
            </w14:solidFill>
          </w14:textFill>
        </w:rPr>
        <w:t>2.1  加油站基本情况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0D0547D2">
      <w:pPr>
        <w:rPr>
          <w:color w:val="000000" w:themeColor="text1"/>
          <w14:textFill>
            <w14:solidFill>
              <w14:schemeClr w14:val="tx1"/>
            </w14:solidFill>
          </w14:textFill>
        </w:rPr>
      </w:pPr>
      <w:bookmarkStart w:id="142" w:name="_Toc147389688"/>
      <w:bookmarkStart w:id="143" w:name="_Toc148576388"/>
      <w:bookmarkStart w:id="144" w:name="_Toc147388082"/>
      <w:bookmarkStart w:id="145" w:name="_Toc144691724"/>
      <w:bookmarkStart w:id="146" w:name="_Toc147388976"/>
      <w:bookmarkStart w:id="147" w:name="_Toc144886772"/>
      <w:bookmarkStart w:id="148" w:name="_Toc152490377"/>
      <w:bookmarkStart w:id="149" w:name="_Toc147388789"/>
      <w:bookmarkStart w:id="150" w:name="_Toc145472672"/>
      <w:bookmarkStart w:id="151" w:name="_Toc146456671"/>
      <w:bookmarkStart w:id="152" w:name="_Toc152147146"/>
      <w:bookmarkStart w:id="153" w:name="_Toc152145320"/>
      <w:bookmarkStart w:id="154" w:name="_Toc146454766"/>
      <w:bookmarkStart w:id="155" w:name="_Toc146456448"/>
      <w:bookmarkStart w:id="156" w:name="_Toc152401017"/>
      <w:bookmarkStart w:id="157" w:name="_Toc144691493"/>
      <w:bookmarkStart w:id="158" w:name="_Toc144693711"/>
      <w:bookmarkStart w:id="159" w:name="_Toc152490492"/>
      <w:bookmarkStart w:id="160" w:name="_Toc150078353"/>
      <w:bookmarkStart w:id="161" w:name="_Toc152146832"/>
      <w:bookmarkStart w:id="162" w:name="_Toc144873842"/>
      <w:r>
        <w:rPr>
          <w:color w:val="000000" w:themeColor="text1"/>
          <w:lang w:val="zh-CN"/>
          <w14:textFill>
            <w14:solidFill>
              <w14:schemeClr w14:val="tx1"/>
            </w14:solidFill>
          </w14:textFill>
        </w:rPr>
        <w:t>西双版纳煜坤能源有限公司易武加油站位于云南省西双版纳傣族自治州勐腊县易武镇麻黑村委会曼秀（勐绿高速易武出口250m处）。勐腊恒清商贸有限责任公司易武加油站成立于2023年10月16日，统一社会信用代码：91532823MACYRK4R8W，负责人：刘建清，经营场所：云南省西双版纳傣族自治州勐腊县易武镇岔口。因税务申报需要独立核算，经勐腊县市场监督管理局核准，于2026年6月17日将单位名称变更为：西双版纳煜坤能源有限公司易武加油站，统一社会信用代码：91532823MAKH1W8U8N，负责人：刘伟令，经营场所：云南省西双版纳傣族自治州勐腊县易武镇麻黑村委会曼秀（勐绿高速易武出口250米处）。</w:t>
      </w:r>
      <w:r>
        <w:rPr>
          <w:snapToGrid w:val="0"/>
          <w:color w:val="000000" w:themeColor="text1"/>
          <w:kern w:val="24"/>
          <w14:textFill>
            <w14:solidFill>
              <w14:schemeClr w14:val="tx1"/>
            </w14:solidFill>
          </w14:textFill>
        </w:rPr>
        <w:t>公司为</w:t>
      </w:r>
      <w:r>
        <w:rPr>
          <w:color w:val="000000" w:themeColor="text1"/>
          <w14:textFill>
            <w14:solidFill>
              <w14:schemeClr w14:val="tx1"/>
            </w14:solidFill>
          </w14:textFill>
        </w:rPr>
        <w:t>有限责任公司分公司（自然人投资或控股），经营范围为：一般项目：润滑油销售；日用百货销售；食品销售（仅销售预包装食品）。（除依法须经批准的项目外，凭营业执照依法自主开展经营活动）。站内现有从业人员共</w:t>
      </w:r>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人，其中法人1人，</w:t>
      </w:r>
      <w:r>
        <w:rPr>
          <w:rFonts w:hint="eastAsia"/>
          <w:color w:val="000000" w:themeColor="text1"/>
          <w:lang w:val="en-US" w:eastAsia="zh-CN"/>
          <w14:textFill>
            <w14:solidFill>
              <w14:schemeClr w14:val="tx1"/>
            </w14:solidFill>
          </w14:textFill>
        </w:rPr>
        <w:t>主要负责人</w:t>
      </w:r>
      <w:r>
        <w:rPr>
          <w:color w:val="000000" w:themeColor="text1"/>
          <w14:textFill>
            <w14:solidFill>
              <w14:schemeClr w14:val="tx1"/>
            </w14:solidFill>
          </w14:textFill>
        </w:rPr>
        <w:t>1人，安全生产管理人员1名。</w:t>
      </w:r>
    </w:p>
    <w:p w14:paraId="151A8B8A">
      <w:pPr>
        <w:rPr>
          <w:color w:val="000000" w:themeColor="text1"/>
          <w14:textFill>
            <w14:solidFill>
              <w14:schemeClr w14:val="tx1"/>
            </w14:solidFill>
          </w14:textFill>
        </w:rPr>
      </w:pPr>
      <w:r>
        <w:rPr>
          <w:color w:val="000000" w:themeColor="text1"/>
          <w:lang w:val="zh-CN"/>
          <w14:textFill>
            <w14:solidFill>
              <w14:schemeClr w14:val="tx1"/>
            </w14:solidFill>
          </w14:textFill>
        </w:rPr>
        <w:t>易武加油站</w:t>
      </w:r>
      <w:r>
        <w:rPr>
          <w:color w:val="000000" w:themeColor="text1"/>
          <w:kern w:val="0"/>
          <w14:textFill>
            <w14:solidFill>
              <w14:schemeClr w14:val="tx1"/>
            </w14:solidFill>
          </w14:textFill>
        </w:rPr>
        <w:t>埋地罐区设有</w:t>
      </w:r>
      <w:r>
        <w:rPr>
          <w:color w:val="000000" w:themeColor="text1"/>
          <w:spacing w:val="-53"/>
          <w14:textFill>
            <w14:solidFill>
              <w14:schemeClr w14:val="tx1"/>
            </w14:solidFill>
          </w14:textFill>
        </w:rPr>
        <w:t xml:space="preserve"> </w:t>
      </w:r>
      <w:r>
        <w:rPr>
          <w:color w:val="000000" w:themeColor="text1"/>
          <w:spacing w:val="-4"/>
          <w14:textFill>
            <w14:solidFill>
              <w14:schemeClr w14:val="tx1"/>
            </w14:solidFill>
          </w14:textFill>
        </w:rPr>
        <w:t>3</w:t>
      </w:r>
      <w:r>
        <w:rPr>
          <w:color w:val="000000" w:themeColor="text1"/>
          <w:spacing w:val="-53"/>
          <w14:textFill>
            <w14:solidFill>
              <w14:schemeClr w14:val="tx1"/>
            </w14:solidFill>
          </w14:textFill>
        </w:rPr>
        <w:t xml:space="preserve"> </w:t>
      </w:r>
      <w:r>
        <w:rPr>
          <w:color w:val="000000" w:themeColor="text1"/>
          <w:spacing w:val="-4"/>
          <w14:textFill>
            <w14:solidFill>
              <w14:schemeClr w14:val="tx1"/>
            </w14:solidFill>
          </w14:textFill>
        </w:rPr>
        <w:t>具</w:t>
      </w:r>
      <w:r>
        <w:rPr>
          <w:color w:val="000000" w:themeColor="text1"/>
          <w:spacing w:val="-54"/>
          <w14:textFill>
            <w14:solidFill>
              <w14:schemeClr w14:val="tx1"/>
            </w14:solidFill>
          </w14:textFill>
        </w:rPr>
        <w:t xml:space="preserve"> </w:t>
      </w:r>
      <w:r>
        <w:rPr>
          <w:color w:val="000000" w:themeColor="text1"/>
          <w:spacing w:val="-4"/>
          <w14:textFill>
            <w14:solidFill>
              <w14:schemeClr w14:val="tx1"/>
            </w14:solidFill>
          </w14:textFill>
        </w:rPr>
        <w:t>30m</w:t>
      </w:r>
      <w:r>
        <w:rPr>
          <w:color w:val="000000" w:themeColor="text1"/>
          <w:spacing w:val="-4"/>
          <w:position w:val="13"/>
          <w:sz w:val="13"/>
          <w:szCs w:val="13"/>
          <w14:textFill>
            <w14:solidFill>
              <w14:schemeClr w14:val="tx1"/>
            </w14:solidFill>
          </w14:textFill>
        </w:rPr>
        <w:t>3</w:t>
      </w:r>
      <w:r>
        <w:rPr>
          <w:color w:val="000000" w:themeColor="text1"/>
          <w:spacing w:val="-4"/>
          <w14:textFill>
            <w14:solidFill>
              <w14:schemeClr w14:val="tx1"/>
            </w14:solidFill>
          </w14:textFill>
        </w:rPr>
        <w:t>SF</w:t>
      </w:r>
      <w:r>
        <w:rPr>
          <w:color w:val="000000" w:themeColor="text1"/>
          <w:spacing w:val="-45"/>
          <w14:textFill>
            <w14:solidFill>
              <w14:schemeClr w14:val="tx1"/>
            </w14:solidFill>
          </w14:textFill>
        </w:rPr>
        <w:t xml:space="preserve"> </w:t>
      </w:r>
      <w:r>
        <w:rPr>
          <w:color w:val="000000" w:themeColor="text1"/>
          <w:spacing w:val="-4"/>
          <w14:textFill>
            <w14:solidFill>
              <w14:schemeClr w14:val="tx1"/>
            </w14:solidFill>
          </w14:textFill>
        </w:rPr>
        <w:t>卧式油罐（0#、0#、92#</w:t>
      </w:r>
      <w:r>
        <w:rPr>
          <w:color w:val="000000" w:themeColor="text1"/>
          <w:spacing w:val="12"/>
          <w14:textFill>
            <w14:solidFill>
              <w14:schemeClr w14:val="tx1"/>
            </w14:solidFill>
          </w14:textFill>
        </w:rPr>
        <w:t>），</w:t>
      </w:r>
      <w:r>
        <w:rPr>
          <w:color w:val="000000" w:themeColor="text1"/>
          <w:spacing w:val="-4"/>
          <w14:textFill>
            <w14:solidFill>
              <w14:schemeClr w14:val="tx1"/>
            </w14:solidFill>
          </w14:textFill>
        </w:rPr>
        <w:t>1</w:t>
      </w:r>
      <w:r>
        <w:rPr>
          <w:color w:val="000000" w:themeColor="text1"/>
          <w:spacing w:val="-55"/>
          <w14:textFill>
            <w14:solidFill>
              <w14:schemeClr w14:val="tx1"/>
            </w14:solidFill>
          </w14:textFill>
        </w:rPr>
        <w:t xml:space="preserve"> </w:t>
      </w:r>
      <w:r>
        <w:rPr>
          <w:color w:val="000000" w:themeColor="text1"/>
          <w:spacing w:val="-4"/>
          <w14:textFill>
            <w14:solidFill>
              <w14:schemeClr w14:val="tx1"/>
            </w14:solidFill>
          </w14:textFill>
        </w:rPr>
        <w:t>具</w:t>
      </w:r>
      <w:r>
        <w:rPr>
          <w:color w:val="000000" w:themeColor="text1"/>
          <w:spacing w:val="-54"/>
          <w14:textFill>
            <w14:solidFill>
              <w14:schemeClr w14:val="tx1"/>
            </w14:solidFill>
          </w14:textFill>
        </w:rPr>
        <w:t xml:space="preserve"> </w:t>
      </w:r>
      <w:r>
        <w:rPr>
          <w:color w:val="000000" w:themeColor="text1"/>
          <w:spacing w:val="-4"/>
          <w14:textFill>
            <w14:solidFill>
              <w14:schemeClr w14:val="tx1"/>
            </w14:solidFill>
          </w14:textFill>
        </w:rPr>
        <w:t>30m</w:t>
      </w:r>
      <w:r>
        <w:rPr>
          <w:color w:val="000000" w:themeColor="text1"/>
          <w:spacing w:val="-4"/>
          <w:position w:val="13"/>
          <w:sz w:val="13"/>
          <w:szCs w:val="13"/>
          <w14:textFill>
            <w14:solidFill>
              <w14:schemeClr w14:val="tx1"/>
            </w14:solidFill>
          </w14:textFill>
        </w:rPr>
        <w:t>3</w:t>
      </w:r>
      <w:r>
        <w:rPr>
          <w:color w:val="000000" w:themeColor="text1"/>
          <w:spacing w:val="-4"/>
          <w14:textFill>
            <w14:solidFill>
              <w14:schemeClr w14:val="tx1"/>
            </w14:solidFill>
          </w14:textFill>
        </w:rPr>
        <w:t>SF</w:t>
      </w:r>
      <w:r>
        <w:rPr>
          <w:color w:val="000000" w:themeColor="text1"/>
          <w:spacing w:val="-3"/>
          <w14:textFill>
            <w14:solidFill>
              <w14:schemeClr w14:val="tx1"/>
            </w14:solidFill>
          </w14:textFill>
        </w:rPr>
        <w:t>卧式隔舱油罐（15m</w:t>
      </w:r>
      <w:r>
        <w:rPr>
          <w:color w:val="000000" w:themeColor="text1"/>
          <w:spacing w:val="-3"/>
          <w:position w:val="13"/>
          <w:sz w:val="13"/>
          <w:szCs w:val="13"/>
          <w14:textFill>
            <w14:solidFill>
              <w14:schemeClr w14:val="tx1"/>
            </w14:solidFill>
          </w14:textFill>
        </w:rPr>
        <w:t>3</w:t>
      </w:r>
      <w:r>
        <w:rPr>
          <w:color w:val="000000" w:themeColor="text1"/>
          <w:spacing w:val="-14"/>
          <w:position w:val="13"/>
          <w:sz w:val="13"/>
          <w:szCs w:val="13"/>
          <w14:textFill>
            <w14:solidFill>
              <w14:schemeClr w14:val="tx1"/>
            </w14:solidFill>
          </w14:textFill>
        </w:rPr>
        <w:t xml:space="preserve"> </w:t>
      </w:r>
      <w:r>
        <w:rPr>
          <w:color w:val="000000" w:themeColor="text1"/>
          <w:spacing w:val="-3"/>
          <w14:textFill>
            <w14:solidFill>
              <w14:schemeClr w14:val="tx1"/>
            </w14:solidFill>
          </w14:textFill>
        </w:rPr>
        <w:t>为</w:t>
      </w:r>
      <w:r>
        <w:rPr>
          <w:color w:val="000000" w:themeColor="text1"/>
          <w:spacing w:val="-58"/>
          <w14:textFill>
            <w14:solidFill>
              <w14:schemeClr w14:val="tx1"/>
            </w14:solidFill>
          </w14:textFill>
        </w:rPr>
        <w:t xml:space="preserve"> </w:t>
      </w:r>
      <w:r>
        <w:rPr>
          <w:color w:val="000000" w:themeColor="text1"/>
          <w:spacing w:val="-3"/>
          <w14:textFill>
            <w14:solidFill>
              <w14:schemeClr w14:val="tx1"/>
            </w14:solidFill>
          </w14:textFill>
        </w:rPr>
        <w:t>95#，15m</w:t>
      </w:r>
      <w:r>
        <w:rPr>
          <w:color w:val="000000" w:themeColor="text1"/>
          <w:spacing w:val="-3"/>
          <w:position w:val="13"/>
          <w:sz w:val="13"/>
          <w:szCs w:val="13"/>
          <w14:textFill>
            <w14:solidFill>
              <w14:schemeClr w14:val="tx1"/>
            </w14:solidFill>
          </w14:textFill>
        </w:rPr>
        <w:t>3</w:t>
      </w:r>
      <w:r>
        <w:rPr>
          <w:color w:val="000000" w:themeColor="text1"/>
          <w:spacing w:val="-15"/>
          <w:position w:val="13"/>
          <w:sz w:val="13"/>
          <w:szCs w:val="13"/>
          <w14:textFill>
            <w14:solidFill>
              <w14:schemeClr w14:val="tx1"/>
            </w14:solidFill>
          </w14:textFill>
        </w:rPr>
        <w:t xml:space="preserve"> </w:t>
      </w:r>
      <w:r>
        <w:rPr>
          <w:color w:val="000000" w:themeColor="text1"/>
          <w:spacing w:val="-3"/>
          <w14:textFill>
            <w14:solidFill>
              <w14:schemeClr w14:val="tx1"/>
            </w14:solidFill>
          </w14:textFill>
        </w:rPr>
        <w:t>为</w:t>
      </w:r>
      <w:r>
        <w:rPr>
          <w:color w:val="000000" w:themeColor="text1"/>
          <w:spacing w:val="-58"/>
          <w14:textFill>
            <w14:solidFill>
              <w14:schemeClr w14:val="tx1"/>
            </w14:solidFill>
          </w14:textFill>
        </w:rPr>
        <w:t xml:space="preserve"> </w:t>
      </w:r>
      <w:r>
        <w:rPr>
          <w:color w:val="000000" w:themeColor="text1"/>
          <w:spacing w:val="-3"/>
          <w14:textFill>
            <w14:solidFill>
              <w14:schemeClr w14:val="tx1"/>
            </w14:solidFill>
          </w14:textFill>
        </w:rPr>
        <w:t>9</w:t>
      </w:r>
      <w:r>
        <w:rPr>
          <w:color w:val="000000" w:themeColor="text1"/>
          <w:spacing w:val="-4"/>
          <w14:textFill>
            <w14:solidFill>
              <w14:schemeClr w14:val="tx1"/>
            </w14:solidFill>
          </w14:textFill>
        </w:rPr>
        <w:t>2#</w:t>
      </w:r>
      <w:r>
        <w:rPr>
          <w:color w:val="000000" w:themeColor="text1"/>
          <w:spacing w:val="6"/>
          <w14:textFill>
            <w14:solidFill>
              <w14:schemeClr w14:val="tx1"/>
            </w14:solidFill>
          </w14:textFill>
        </w:rPr>
        <w:t>），</w:t>
      </w:r>
      <w:r>
        <w:rPr>
          <w:color w:val="000000" w:themeColor="text1"/>
          <w:spacing w:val="-4"/>
          <w14:textFill>
            <w14:solidFill>
              <w14:schemeClr w14:val="tx1"/>
            </w14:solidFill>
          </w14:textFill>
        </w:rPr>
        <w:t>总罐容</w:t>
      </w:r>
      <w:r>
        <w:rPr>
          <w:color w:val="000000" w:themeColor="text1"/>
          <w:spacing w:val="-36"/>
          <w14:textFill>
            <w14:solidFill>
              <w14:schemeClr w14:val="tx1"/>
            </w14:solidFill>
          </w14:textFill>
        </w:rPr>
        <w:t xml:space="preserve"> </w:t>
      </w:r>
      <w:r>
        <w:rPr>
          <w:rFonts w:eastAsia="Times New Roman"/>
          <w:color w:val="000000" w:themeColor="text1"/>
          <w:spacing w:val="-4"/>
          <w14:textFill>
            <w14:solidFill>
              <w14:schemeClr w14:val="tx1"/>
            </w14:solidFill>
          </w14:textFill>
        </w:rPr>
        <w:t>120m</w:t>
      </w:r>
      <w:r>
        <w:rPr>
          <w:rFonts w:eastAsia="Times New Roman"/>
          <w:color w:val="000000" w:themeColor="text1"/>
          <w:spacing w:val="-4"/>
          <w:position w:val="8"/>
          <w:sz w:val="18"/>
          <w:szCs w:val="18"/>
          <w14:textFill>
            <w14:solidFill>
              <w14:schemeClr w14:val="tx1"/>
            </w14:solidFill>
          </w14:textFill>
        </w:rPr>
        <w:t>3</w:t>
      </w:r>
      <w:r>
        <w:rPr>
          <w:rFonts w:eastAsia="Times New Roman"/>
          <w:color w:val="000000" w:themeColor="text1"/>
          <w:spacing w:val="-13"/>
          <w:position w:val="8"/>
          <w:sz w:val="18"/>
          <w:szCs w:val="18"/>
          <w14:textFill>
            <w14:solidFill>
              <w14:schemeClr w14:val="tx1"/>
            </w14:solidFill>
          </w14:textFill>
        </w:rPr>
        <w:t xml:space="preserve"> </w:t>
      </w:r>
      <w:r>
        <w:rPr>
          <w:color w:val="000000" w:themeColor="text1"/>
          <w:spacing w:val="-4"/>
          <w14:textFill>
            <w14:solidFill>
              <w14:schemeClr w14:val="tx1"/>
            </w14:solidFill>
          </w14:textFill>
        </w:rPr>
        <w:t>，</w:t>
      </w:r>
      <w:r>
        <w:rPr>
          <w:color w:val="000000" w:themeColor="text1"/>
          <w14:textFill>
            <w14:solidFill>
              <w14:schemeClr w14:val="tx1"/>
            </w14:solidFill>
          </w14:textFill>
        </w:rPr>
        <w:t>按《汽车加油加气加氢站技术标准》（GB 50156-2021）3.0.9中规定，</w:t>
      </w:r>
      <w:r>
        <w:rPr>
          <w:color w:val="000000" w:themeColor="text1"/>
          <w:spacing w:val="-4"/>
          <w14:textFill>
            <w14:solidFill>
              <w14:schemeClr w14:val="tx1"/>
            </w14:solidFill>
          </w14:textFill>
        </w:rPr>
        <w:t>折合油罐总容</w:t>
      </w:r>
      <w:r>
        <w:rPr>
          <w:color w:val="000000" w:themeColor="text1"/>
          <w:spacing w:val="-2"/>
          <w14:textFill>
            <w14:solidFill>
              <w14:schemeClr w14:val="tx1"/>
            </w14:solidFill>
          </w14:textFill>
        </w:rPr>
        <w:t>积</w:t>
      </w:r>
      <w:r>
        <w:rPr>
          <w:color w:val="000000" w:themeColor="text1"/>
          <w:spacing w:val="-45"/>
          <w14:textFill>
            <w14:solidFill>
              <w14:schemeClr w14:val="tx1"/>
            </w14:solidFill>
          </w14:textFill>
        </w:rPr>
        <w:t xml:space="preserve"> </w:t>
      </w:r>
      <w:r>
        <w:rPr>
          <w:rFonts w:eastAsia="Times New Roman"/>
          <w:color w:val="000000" w:themeColor="text1"/>
          <w:spacing w:val="-2"/>
          <w14:textFill>
            <w14:solidFill>
              <w14:schemeClr w14:val="tx1"/>
            </w14:solidFill>
          </w14:textFill>
        </w:rPr>
        <w:t>90m</w:t>
      </w:r>
      <w:r>
        <w:rPr>
          <w:rFonts w:eastAsia="Times New Roman"/>
          <w:color w:val="000000" w:themeColor="text1"/>
          <w:spacing w:val="-2"/>
          <w:position w:val="9"/>
          <w:sz w:val="18"/>
          <w:szCs w:val="18"/>
          <w14:textFill>
            <w14:solidFill>
              <w14:schemeClr w14:val="tx1"/>
            </w14:solidFill>
          </w14:textFill>
        </w:rPr>
        <w:t>3</w:t>
      </w:r>
      <w:r>
        <w:rPr>
          <w:color w:val="000000" w:themeColor="text1"/>
          <w14:textFill>
            <w14:solidFill>
              <w14:schemeClr w14:val="tx1"/>
            </w14:solidFill>
          </w14:textFill>
        </w:rPr>
        <w:t>（柴油罐容积折半计入）</w:t>
      </w:r>
      <w:r>
        <w:rPr>
          <w:rFonts w:eastAsia="Times New Roman"/>
          <w:color w:val="000000" w:themeColor="text1"/>
          <w:spacing w:val="-13"/>
          <w:position w:val="9"/>
          <w:sz w:val="18"/>
          <w:szCs w:val="18"/>
          <w14:textFill>
            <w14:solidFill>
              <w14:schemeClr w14:val="tx1"/>
            </w14:solidFill>
          </w14:textFill>
        </w:rPr>
        <w:t xml:space="preserve"> </w:t>
      </w:r>
      <w:r>
        <w:rPr>
          <w:color w:val="000000" w:themeColor="text1"/>
          <w:spacing w:val="-2"/>
          <w14:textFill>
            <w14:solidFill>
              <w14:schemeClr w14:val="tx1"/>
            </w14:solidFill>
          </w14:textFill>
        </w:rPr>
        <w:t>，属于三级加油站。</w:t>
      </w:r>
    </w:p>
    <w:p w14:paraId="540E0FFE">
      <w:pPr>
        <w:adjustRightInd w:val="0"/>
        <w:snapToGrid w:val="0"/>
        <w:rPr>
          <w:color w:val="000000" w:themeColor="text1"/>
          <w14:textFill>
            <w14:solidFill>
              <w14:schemeClr w14:val="tx1"/>
            </w14:solidFill>
          </w14:textFill>
        </w:rPr>
      </w:pPr>
      <w:r>
        <w:rPr>
          <w:color w:val="000000" w:themeColor="text1"/>
          <w:lang w:val="zh-CN"/>
          <w14:textFill>
            <w14:solidFill>
              <w14:schemeClr w14:val="tx1"/>
            </w14:solidFill>
          </w14:textFill>
        </w:rPr>
        <w:t>易武加油站</w:t>
      </w:r>
      <w:r>
        <w:rPr>
          <w:color w:val="000000" w:themeColor="text1"/>
          <w14:textFill>
            <w14:solidFill>
              <w14:schemeClr w14:val="tx1"/>
            </w14:solidFill>
          </w14:textFill>
        </w:rPr>
        <w:t>设有3台</w:t>
      </w:r>
      <w:r>
        <w:rPr>
          <w:color w:val="000000" w:themeColor="text1"/>
          <w:spacing w:val="-3"/>
          <w14:textFill>
            <w14:solidFill>
              <w14:schemeClr w14:val="tx1"/>
            </w14:solidFill>
          </w14:textFill>
        </w:rPr>
        <w:t>双枪单油品潜油泵加油机、</w:t>
      </w:r>
      <w:r>
        <w:rPr>
          <w:rFonts w:eastAsia="Times New Roman"/>
          <w:color w:val="000000" w:themeColor="text1"/>
          <w:spacing w:val="-3"/>
          <w14:textFill>
            <w14:solidFill>
              <w14:schemeClr w14:val="tx1"/>
            </w14:solidFill>
          </w14:textFill>
        </w:rPr>
        <w:t>1</w:t>
      </w:r>
      <w:r>
        <w:rPr>
          <w:color w:val="000000" w:themeColor="text1"/>
          <w:spacing w:val="-3"/>
          <w14:textFill>
            <w14:solidFill>
              <w14:schemeClr w14:val="tx1"/>
            </w14:solidFill>
          </w14:textFill>
        </w:rPr>
        <w:t>台四枪</w:t>
      </w:r>
      <w:r>
        <w:rPr>
          <w:color w:val="000000" w:themeColor="text1"/>
          <w:spacing w:val="-4"/>
          <w14:textFill>
            <w14:solidFill>
              <w14:schemeClr w14:val="tx1"/>
            </w14:solidFill>
          </w14:textFill>
        </w:rPr>
        <w:t>双油品潜油泵加</w:t>
      </w:r>
      <w:r>
        <w:rPr>
          <w:color w:val="000000" w:themeColor="text1"/>
          <w:spacing w:val="2"/>
          <w14:textFill>
            <w14:solidFill>
              <w14:schemeClr w14:val="tx1"/>
            </w14:solidFill>
          </w14:textFill>
        </w:rPr>
        <w:t>油机</w:t>
      </w:r>
      <w:r>
        <w:rPr>
          <w:color w:val="000000" w:themeColor="text1"/>
          <w14:textFill>
            <w14:solidFill>
              <w14:schemeClr w14:val="tx1"/>
            </w14:solidFill>
          </w14:textFill>
        </w:rPr>
        <w:t>，卸油、加油油气回收系统，视频监控系统，油罐设有液位监控仪。</w:t>
      </w:r>
      <w:r>
        <w:rPr>
          <w:color w:val="000000" w:themeColor="text1"/>
          <w:spacing w:val="-1"/>
          <w14:textFill>
            <w14:solidFill>
              <w14:schemeClr w14:val="tx1"/>
            </w14:solidFill>
          </w14:textFill>
        </w:rPr>
        <w:t>本站设置有渗漏在线监测系统，</w:t>
      </w:r>
      <w:r>
        <w:rPr>
          <w:color w:val="000000" w:themeColor="text1"/>
          <w:spacing w:val="-2"/>
          <w14:textFill>
            <w14:solidFill>
              <w14:schemeClr w14:val="tx1"/>
            </w14:solidFill>
          </w14:textFill>
        </w:rPr>
        <w:t>在办务室</w:t>
      </w:r>
      <w:r>
        <w:rPr>
          <w:color w:val="000000" w:themeColor="text1"/>
          <w:spacing w:val="-5"/>
          <w14:textFill>
            <w14:solidFill>
              <w14:schemeClr w14:val="tx1"/>
            </w14:solidFill>
          </w14:textFill>
        </w:rPr>
        <w:t>设有管道、油罐渗漏控制器，对油罐和管道具有检漏</w:t>
      </w:r>
      <w:r>
        <w:rPr>
          <w:color w:val="000000" w:themeColor="text1"/>
          <w:spacing w:val="-6"/>
          <w14:textFill>
            <w14:solidFill>
              <w14:schemeClr w14:val="tx1"/>
            </w14:solidFill>
          </w14:textFill>
        </w:rPr>
        <w:t>功能，可对油罐、感到</w:t>
      </w:r>
      <w:r>
        <w:rPr>
          <w:color w:val="000000" w:themeColor="text1"/>
          <w:spacing w:val="-3"/>
          <w14:textFill>
            <w14:solidFill>
              <w14:schemeClr w14:val="tx1"/>
            </w14:solidFill>
          </w14:textFill>
        </w:rPr>
        <w:t>是否漏油进行检测。液位计采用隔爆型产品。</w:t>
      </w:r>
      <w:r>
        <w:rPr>
          <w:color w:val="000000" w:themeColor="text1"/>
          <w:spacing w:val="3"/>
          <w14:textFill>
            <w14:solidFill>
              <w14:schemeClr w14:val="tx1"/>
            </w14:solidFill>
          </w14:textFill>
        </w:rPr>
        <w:t>双层油罐、加油管道渗漏检测控制器设置在办公室内，双层管线、双层罐渗漏检测探头设置在人孔井内。</w:t>
      </w:r>
    </w:p>
    <w:p w14:paraId="17DB6C73">
      <w:pPr>
        <w:rPr>
          <w:color w:val="000000" w:themeColor="text1"/>
          <w14:textFill>
            <w14:solidFill>
              <w14:schemeClr w14:val="tx1"/>
            </w14:solidFill>
          </w14:textFill>
        </w:rPr>
      </w:pPr>
      <w:r>
        <w:rPr>
          <w:color w:val="000000" w:themeColor="text1"/>
          <w14:textFill>
            <w14:solidFill>
              <w14:schemeClr w14:val="tx1"/>
            </w14:solidFill>
          </w14:textFill>
        </w:rPr>
        <w:t>站内近三年总平面布置未发生变化，经营状况良好，也未发生生产安全事故。</w:t>
      </w:r>
    </w:p>
    <w:p w14:paraId="26D05D1A">
      <w:pPr>
        <w:adjustRightInd w:val="0"/>
        <w:snapToGrid w:val="0"/>
        <w:rPr>
          <w:color w:val="000000" w:themeColor="text1"/>
          <w14:textFill>
            <w14:solidFill>
              <w14:schemeClr w14:val="tx1"/>
            </w14:solidFill>
          </w14:textFill>
        </w:rPr>
      </w:pPr>
      <w:bookmarkStart w:id="163" w:name="_Toc390416542"/>
      <w:bookmarkStart w:id="164" w:name="_Toc19690997"/>
      <w:bookmarkStart w:id="165" w:name="_Toc37494688"/>
      <w:r>
        <w:rPr>
          <w:color w:val="000000" w:themeColor="text1"/>
          <w14:textFill>
            <w14:solidFill>
              <w14:schemeClr w14:val="tx1"/>
            </w14:solidFill>
          </w14:textFill>
        </w:rPr>
        <w:t>加油站现有的相关证照分列如下：</w:t>
      </w:r>
    </w:p>
    <w:p w14:paraId="6E402827">
      <w:pPr>
        <w:adjustRightInd w:val="0"/>
        <w:snapToGrid w:val="0"/>
        <w:ind w:firstLine="562"/>
        <w:rPr>
          <w:b/>
          <w:bCs/>
          <w:color w:val="000000" w:themeColor="text1"/>
          <w14:textFill>
            <w14:solidFill>
              <w14:schemeClr w14:val="tx1"/>
            </w14:solidFill>
          </w14:textFill>
        </w:rPr>
      </w:pPr>
      <w:r>
        <w:rPr>
          <w:b/>
          <w:bCs/>
          <w:color w:val="000000" w:themeColor="text1"/>
          <w14:textFill>
            <w14:solidFill>
              <w14:schemeClr w14:val="tx1"/>
            </w14:solidFill>
          </w14:textFill>
        </w:rPr>
        <w:t>（1）营业执照</w:t>
      </w:r>
    </w:p>
    <w:p w14:paraId="6F3A3B74">
      <w:pPr>
        <w:adjustRightInd w:val="0"/>
        <w:snapToGrid w:val="0"/>
        <w:ind w:firstLine="562"/>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t>
      </w:r>
    </w:p>
    <w:p w14:paraId="3034F4CC">
      <w:pPr>
        <w:adjustRightInd w:val="0"/>
        <w:snapToGrid w:val="0"/>
        <w:ind w:firstLine="562"/>
        <w:rPr>
          <w:b/>
          <w:bCs/>
          <w:color w:val="000000" w:themeColor="text1"/>
          <w14:textFill>
            <w14:solidFill>
              <w14:schemeClr w14:val="tx1"/>
            </w14:solidFill>
          </w14:textFill>
        </w:rPr>
      </w:pPr>
      <w:r>
        <w:rPr>
          <w:b/>
          <w:bCs/>
          <w:color w:val="000000" w:themeColor="text1"/>
          <w14:textFill>
            <w14:solidFill>
              <w14:schemeClr w14:val="tx1"/>
            </w14:solidFill>
          </w14:textFill>
        </w:rPr>
        <w:t>（2）成品油零售经营批准证书</w:t>
      </w:r>
    </w:p>
    <w:p w14:paraId="0A60AC91">
      <w:pPr>
        <w:adjustRightInd w:val="0"/>
        <w:snapToGrid w:val="0"/>
        <w:ind w:firstLine="562"/>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t>
      </w:r>
    </w:p>
    <w:p w14:paraId="2A7B5212">
      <w:pPr>
        <w:adjustRightInd w:val="0"/>
        <w:snapToGrid w:val="0"/>
        <w:ind w:firstLine="562"/>
        <w:rPr>
          <w:b/>
          <w:bCs/>
          <w:color w:val="000000" w:themeColor="text1"/>
          <w14:textFill>
            <w14:solidFill>
              <w14:schemeClr w14:val="tx1"/>
            </w14:solidFill>
          </w14:textFill>
        </w:rPr>
      </w:pPr>
      <w:r>
        <w:rPr>
          <w:b/>
          <w:bCs/>
          <w:color w:val="000000" w:themeColor="text1"/>
          <w14:textFill>
            <w14:solidFill>
              <w14:schemeClr w14:val="tx1"/>
            </w14:solidFill>
          </w14:textFill>
        </w:rPr>
        <w:t>（3）危险化学品经营许可证（已过期）</w:t>
      </w:r>
    </w:p>
    <w:p w14:paraId="43097E86">
      <w:pPr>
        <w:adjustRightInd w:val="0"/>
        <w:snapToGrid w:val="0"/>
        <w:ind w:firstLine="562"/>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t>
      </w:r>
    </w:p>
    <w:p w14:paraId="15840244">
      <w:pPr>
        <w:adjustRightInd w:val="0"/>
        <w:snapToGrid w:val="0"/>
        <w:ind w:firstLine="562"/>
        <w:rPr>
          <w:b/>
          <w:bCs/>
          <w:color w:val="000000" w:themeColor="text1"/>
          <w14:textFill>
            <w14:solidFill>
              <w14:schemeClr w14:val="tx1"/>
            </w14:solidFill>
          </w14:textFill>
        </w:rPr>
      </w:pPr>
      <w:r>
        <w:rPr>
          <w:b/>
          <w:bCs/>
          <w:color w:val="000000" w:themeColor="text1"/>
          <w14:textFill>
            <w14:solidFill>
              <w14:schemeClr w14:val="tx1"/>
            </w14:solidFill>
          </w14:textFill>
        </w:rPr>
        <w:t>（4）不动产权证书</w:t>
      </w:r>
    </w:p>
    <w:p w14:paraId="215080A0">
      <w:pPr>
        <w:adjustRightInd w:val="0"/>
        <w:snapToGrid w:val="0"/>
        <w:ind w:firstLine="562"/>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t>
      </w:r>
    </w:p>
    <w:p w14:paraId="7F40B017">
      <w:pPr>
        <w:adjustRightInd w:val="0"/>
        <w:snapToGrid w:val="0"/>
        <w:ind w:firstLine="562"/>
        <w:rPr>
          <w:b/>
          <w:bCs/>
          <w:color w:val="000000" w:themeColor="text1"/>
          <w14:textFill>
            <w14:solidFill>
              <w14:schemeClr w14:val="tx1"/>
            </w14:solidFill>
          </w14:textFill>
        </w:rPr>
      </w:pPr>
      <w:r>
        <w:rPr>
          <w:b/>
          <w:bCs/>
          <w:color w:val="000000" w:themeColor="text1"/>
          <w14:textFill>
            <w14:solidFill>
              <w14:schemeClr w14:val="tx1"/>
            </w14:solidFill>
          </w14:textFill>
        </w:rPr>
        <w:t>（5）雷电防护装置检测报告</w:t>
      </w:r>
    </w:p>
    <w:p w14:paraId="49FAC86E">
      <w:pPr>
        <w:adjustRightInd w:val="0"/>
        <w:snapToGrid w:val="0"/>
        <w:ind w:firstLine="562"/>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t>
      </w:r>
    </w:p>
    <w:p w14:paraId="6F3C10B0">
      <w:pPr>
        <w:adjustRightInd w:val="0"/>
        <w:snapToGrid w:val="0"/>
        <w:ind w:firstLine="562"/>
        <w:rPr>
          <w:b/>
          <w:bCs/>
          <w:color w:val="000000" w:themeColor="text1"/>
          <w14:textFill>
            <w14:solidFill>
              <w14:schemeClr w14:val="tx1"/>
            </w14:solidFill>
          </w14:textFill>
        </w:rPr>
      </w:pPr>
      <w:r>
        <w:rPr>
          <w:b/>
          <w:bCs/>
          <w:color w:val="000000" w:themeColor="text1"/>
          <w14:textFill>
            <w14:solidFill>
              <w14:schemeClr w14:val="tx1"/>
            </w14:solidFill>
          </w14:textFill>
        </w:rPr>
        <w:t>（6）安全资格证书</w:t>
      </w:r>
    </w:p>
    <w:p w14:paraId="7C953886">
      <w:pPr>
        <w:pStyle w:val="3"/>
        <w:rPr>
          <w:rFonts w:hint="eastAsia"/>
          <w:b/>
          <w:bCs/>
          <w:color w:val="000000" w:themeColor="text1"/>
          <w:lang w:eastAsia="zh-CN"/>
          <w14:textFill>
            <w14:solidFill>
              <w14:schemeClr w14:val="tx1"/>
            </w14:solidFill>
          </w14:textFill>
        </w:rPr>
      </w:pPr>
      <w:bookmarkStart w:id="166" w:name="_Toc6582"/>
      <w:bookmarkStart w:id="167" w:name="_Toc12189"/>
      <w:bookmarkStart w:id="168" w:name="_Toc19573"/>
      <w:r>
        <w:rPr>
          <w:rFonts w:hint="eastAsia"/>
          <w:b/>
          <w:bCs/>
          <w:color w:val="000000" w:themeColor="text1"/>
          <w:lang w:eastAsia="zh-CN"/>
          <w14:textFill>
            <w14:solidFill>
              <w14:schemeClr w14:val="tx1"/>
            </w14:solidFill>
          </w14:textFill>
        </w:rPr>
        <w:t>……</w:t>
      </w:r>
    </w:p>
    <w:p w14:paraId="1F0916FF">
      <w:pPr>
        <w:pStyle w:val="3"/>
        <w:rPr>
          <w:color w:val="000000" w:themeColor="text1"/>
          <w14:textFill>
            <w14:solidFill>
              <w14:schemeClr w14:val="tx1"/>
            </w14:solidFill>
          </w14:textFill>
        </w:rPr>
      </w:pPr>
      <w:r>
        <w:rPr>
          <w:color w:val="000000" w:themeColor="text1"/>
          <w:lang w:val="zh-CN"/>
          <w14:textFill>
            <w14:solidFill>
              <w14:schemeClr w14:val="tx1"/>
            </w14:solidFill>
          </w14:textFill>
        </w:rPr>
        <w:t>2.2</w:t>
      </w:r>
      <w:r>
        <w:rPr>
          <w:color w:val="000000" w:themeColor="text1"/>
          <w14:textFill>
            <w14:solidFill>
              <w14:schemeClr w14:val="tx1"/>
            </w14:solidFill>
          </w14:textFill>
        </w:rPr>
        <w:t xml:space="preserve">  </w:t>
      </w:r>
      <w:r>
        <w:rPr>
          <w:color w:val="000000" w:themeColor="text1"/>
          <w:lang w:val="zh-CN"/>
          <w14:textFill>
            <w14:solidFill>
              <w14:schemeClr w14:val="tx1"/>
            </w14:solidFill>
          </w14:textFill>
        </w:rPr>
        <w:t>自然、地理条件</w:t>
      </w:r>
      <w:bookmarkEnd w:id="163"/>
      <w:bookmarkEnd w:id="164"/>
      <w:bookmarkEnd w:id="165"/>
      <w:bookmarkEnd w:id="166"/>
      <w:bookmarkEnd w:id="167"/>
      <w:bookmarkEnd w:id="168"/>
    </w:p>
    <w:p w14:paraId="7AFB2CC7">
      <w:pPr>
        <w:pStyle w:val="4"/>
        <w:rPr>
          <w:color w:val="000000" w:themeColor="text1"/>
          <w14:textFill>
            <w14:solidFill>
              <w14:schemeClr w14:val="tx1"/>
            </w14:solidFill>
          </w14:textFill>
        </w:rPr>
      </w:pPr>
      <w:r>
        <w:rPr>
          <w:color w:val="000000" w:themeColor="text1"/>
          <w14:textFill>
            <w14:solidFill>
              <w14:schemeClr w14:val="tx1"/>
            </w14:solidFill>
          </w14:textFill>
        </w:rPr>
        <w:t>2.2.1  地理位置及交通情况</w:t>
      </w:r>
    </w:p>
    <w:p w14:paraId="7B4776BD">
      <w:pPr>
        <w:rPr>
          <w:color w:val="000000" w:themeColor="text1"/>
          <w:lang w:val="zh-CN"/>
          <w14:textFill>
            <w14:solidFill>
              <w14:schemeClr w14:val="tx1"/>
            </w14:solidFill>
          </w14:textFill>
        </w:rPr>
      </w:pPr>
      <w:r>
        <w:rPr>
          <w:color w:val="000000" w:themeColor="text1"/>
          <w14:textFill>
            <w14:solidFill>
              <w14:schemeClr w14:val="tx1"/>
            </w14:solidFill>
          </w14:textFill>
        </w:rPr>
        <w:t>勐腊县位于云南省最南端，隶属西双版纳傣族自治州。地处北纬21°08′至22°25′，东经101°06′至100°50′之间，辖区国土面积6860.84km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山地占95.63%，山间盆地（坝子）占4.37%。东、南部与老挝山水相连，西与缅甸隔澜沧江相望，北与江城县毗邻，有着独特的区位优势，是背靠祖国大西南，面向东南亚重要的陆路和水路口岸，国境线长740.8km。县城驻勐腊镇，海拔640m，国际大通道昆曼公路从这里穿过。县城距省会昆明631km，距州府允景洪136km，距国家一级口岸磨憨58km，距</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澜沧江上第一港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—关累码头70km，距著名的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金三角</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230km。现有5条公路直抵老挝、缅甸边境口岸，其中有3条柏油公路直通老挝北部三省省会。勐腊还是素有</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东方多瑙河</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之美称的澜沧江—湄公河黄金水道的结合部，是中国大陆通向中南半岛的走廊。</w:t>
      </w:r>
    </w:p>
    <w:p w14:paraId="71BC7D9A">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该加油站位于云南省西双版纳傣族自治州勐腊县易武镇麻黑村委会曼秀（勐绿高速易武出口250m处），交通便利加油站地理位置图见图</w:t>
      </w:r>
      <w:r>
        <w:rPr>
          <w:color w:val="000000" w:themeColor="text1"/>
          <w14:textFill>
            <w14:solidFill>
              <w14:schemeClr w14:val="tx1"/>
            </w14:solidFill>
          </w14:textFill>
        </w:rPr>
        <w:t>2.2</w:t>
      </w:r>
      <w:r>
        <w:rPr>
          <w:color w:val="000000" w:themeColor="text1"/>
          <w:lang w:val="zh-CN"/>
          <w14:textFill>
            <w14:solidFill>
              <w14:schemeClr w14:val="tx1"/>
            </w14:solidFill>
          </w14:textFill>
        </w:rPr>
        <w:t>-1。</w:t>
      </w:r>
    </w:p>
    <w:p w14:paraId="333DAC63">
      <w:pPr>
        <w:pStyle w:val="4"/>
        <w:rPr>
          <w:color w:val="000000" w:themeColor="text1"/>
          <w14:textFill>
            <w14:solidFill>
              <w14:schemeClr w14:val="tx1"/>
            </w14:solidFill>
          </w14:textFill>
        </w:rPr>
      </w:pPr>
      <w:r>
        <w:rPr>
          <w:color w:val="000000" w:themeColor="text1"/>
          <w14:textFill>
            <w14:solidFill>
              <w14:schemeClr w14:val="tx1"/>
            </w14:solidFill>
          </w14:textFill>
        </w:rPr>
        <w:t>2.2.2  地形、地貌</w:t>
      </w:r>
    </w:p>
    <w:p w14:paraId="480B25DE">
      <w:pPr>
        <w:rPr>
          <w:color w:val="000000" w:themeColor="text1"/>
          <w:kern w:val="0"/>
          <w:lang w:bidi="en-US"/>
          <w14:textFill>
            <w14:solidFill>
              <w14:schemeClr w14:val="tx1"/>
            </w14:solidFill>
          </w14:textFill>
        </w:rPr>
      </w:pPr>
      <w:r>
        <w:rPr>
          <w:color w:val="000000" w:themeColor="text1"/>
          <w:kern w:val="0"/>
          <w:lang w:bidi="en-US"/>
          <w14:textFill>
            <w14:solidFill>
              <w14:schemeClr w14:val="tx1"/>
            </w14:solidFill>
          </w14:textFill>
        </w:rPr>
        <w:t>勐腊县位于扬子地块西南缘，属于印度板块与欧亚板块碰撞挤压形成的缝合带附近，地质构造复杂。境内主要由古生代地层组成，如寒武系、奥陶系、志留系等，这些地层中富含各种矿产资源，如铁矿、铜矿、铅锌矿等。勐腊县地形以山地为主，山地面积占全县总面积的80%以上。山脉多为南北走向，如无量山南延尾梢的南贡山，主峰海拔1580.6m，山势险峻，山高谷深，形成了典型的山地地貌景观。这些山地为热带雨林的形成和发育提供了良好的地形条件，同时也为当地的生态环境和生物多样性保护起到了重要作用。勐腊县境内河流众多，主要有南腊河、罗梭江等，这些河流在长期的侵蚀作用下，形成了宽阔的河谷地貌。河谷两岸地势平坦，土壤肥沃，是当地农业和城镇发展的主要区域。</w:t>
      </w:r>
    </w:p>
    <w:p w14:paraId="7AE363A2">
      <w:pPr>
        <w:rPr>
          <w:color w:val="000000" w:themeColor="text1"/>
          <w:kern w:val="0"/>
          <w:lang w:bidi="en-US"/>
          <w14:textFill>
            <w14:solidFill>
              <w14:schemeClr w14:val="tx1"/>
            </w14:solidFill>
          </w14:textFill>
        </w:rPr>
      </w:pPr>
      <w:r>
        <w:rPr>
          <w:color w:val="000000" w:themeColor="text1"/>
          <w:kern w:val="0"/>
          <w:lang w:bidi="en-US"/>
          <w14:textFill>
            <w14:solidFill>
              <w14:schemeClr w14:val="tx1"/>
            </w14:solidFill>
          </w14:textFill>
        </w:rPr>
        <w:t>勐腊县的土壤类型丰富多样，主要受地形、气候和植被等因素的影响。在山地地区，由于岩石风化程度不同，形成了红壤、黄壤等土壤类型。这些土壤肥力较低，但适合一些耐旱、耐瘠薄的植物生长。在河谷地区，河流冲积物堆积形成了肥沃的冲积土，土壤肥力较高，适合水稻、甘蔗等农作物的种植。此外，在一些喀斯特地貌地区，还分布着石灰土，这种土壤呈碱性，对一些喜碱植物的生长较为有利。</w:t>
      </w:r>
    </w:p>
    <w:p w14:paraId="6D67A4F3">
      <w:pPr>
        <w:adjustRightInd w:val="0"/>
        <w:snapToGrid w:val="0"/>
        <w:rPr>
          <w:color w:val="000000" w:themeColor="text1"/>
          <w:kern w:val="0"/>
          <w:lang w:bidi="en-US"/>
          <w14:textFill>
            <w14:solidFill>
              <w14:schemeClr w14:val="tx1"/>
            </w14:solidFill>
          </w14:textFill>
        </w:rPr>
      </w:pPr>
      <w:r>
        <w:rPr>
          <w:color w:val="000000" w:themeColor="text1"/>
          <w14:textFill>
            <w14:solidFill>
              <w14:schemeClr w14:val="tx1"/>
            </w14:solidFill>
          </w14:textFill>
        </w:rPr>
        <w:t>建设场地位于云南省西双版纳傣族自治州勐腊县易武镇麻黑村委会曼秀（勐绿高速易武出口250m处），项目区域地形平坦，</w:t>
      </w:r>
      <w:r>
        <w:rPr>
          <w:color w:val="000000" w:themeColor="text1"/>
          <w:kern w:val="0"/>
          <w:lang w:bidi="en-US"/>
          <w14:textFill>
            <w14:solidFill>
              <w14:schemeClr w14:val="tx1"/>
            </w14:solidFill>
          </w14:textFill>
        </w:rPr>
        <w:t>由于加油站未提供地质勘察资料，根据评价组现场勘察并结合加油站运行多年，且该加油站所在地未见坍塌、开裂等不良地质现象，初步判断，工程地质较为稳定。</w:t>
      </w:r>
    </w:p>
    <w:p w14:paraId="3649E1D8">
      <w:pPr>
        <w:adjustRightInd w:val="0"/>
        <w:snapToGrid w:val="0"/>
        <w:rPr>
          <w:color w:val="000000" w:themeColor="text1"/>
          <w:kern w:val="0"/>
          <w:lang w:bidi="en-US"/>
          <w14:textFill>
            <w14:solidFill>
              <w14:schemeClr w14:val="tx1"/>
            </w14:solidFill>
          </w14:textFill>
        </w:rPr>
      </w:pPr>
      <w:r>
        <w:rPr>
          <w:color w:val="000000" w:themeColor="text1"/>
          <w:kern w:val="0"/>
          <w:lang w:bidi="en-US"/>
          <w14:textFill>
            <w14:solidFill>
              <w14:schemeClr w14:val="tx1"/>
            </w14:solidFill>
          </w14:textFill>
        </w:rPr>
        <w:t>根据《中国地震动参数区划图》（GB18306-2015）以及《建筑抗震设计标准》（GB/T 50011-2010[2024年版]）附录A.0.25划分，建设场地所在地区抗震设防烈度为7度，设计基本地震动峰值加速度值为0.15g，设计地震分组为第三组。抗震等级按 7 度的抗震要求设防。</w:t>
      </w:r>
    </w:p>
    <w:p w14:paraId="05A1B589">
      <w:pPr>
        <w:pStyle w:val="4"/>
        <w:rPr>
          <w:rFonts w:eastAsia="黑体"/>
          <w:bCs/>
          <w:color w:val="000000" w:themeColor="text1"/>
          <w:lang w:val="zh-CN"/>
          <w14:textFill>
            <w14:solidFill>
              <w14:schemeClr w14:val="tx1"/>
            </w14:solidFill>
          </w14:textFill>
        </w:rPr>
      </w:pPr>
      <w:r>
        <w:rPr>
          <w:rFonts w:eastAsia="黑体"/>
          <w:bCs/>
          <w:color w:val="000000" w:themeColor="text1"/>
          <w14:textFill>
            <w14:solidFill>
              <w14:schemeClr w14:val="tx1"/>
            </w14:solidFill>
          </w14:textFill>
        </w:rPr>
        <w:t xml:space="preserve">2.2.3  </w:t>
      </w:r>
      <w:r>
        <w:rPr>
          <w:rFonts w:eastAsia="黑体"/>
          <w:bCs/>
          <w:color w:val="000000" w:themeColor="text1"/>
          <w:lang w:val="zh-CN"/>
          <w14:textFill>
            <w14:solidFill>
              <w14:schemeClr w14:val="tx1"/>
            </w14:solidFill>
          </w14:textFill>
        </w:rPr>
        <w:t>气</w:t>
      </w:r>
      <w:r>
        <w:rPr>
          <w:rFonts w:eastAsia="黑体"/>
          <w:bCs/>
          <w:color w:val="000000" w:themeColor="text1"/>
          <w14:textFill>
            <w14:solidFill>
              <w14:schemeClr w14:val="tx1"/>
            </w14:solidFill>
          </w14:textFill>
        </w:rPr>
        <w:t>象</w:t>
      </w:r>
      <w:r>
        <w:rPr>
          <w:rFonts w:eastAsia="黑体"/>
          <w:bCs/>
          <w:color w:val="000000" w:themeColor="text1"/>
          <w:lang w:val="zh-CN"/>
          <w14:textFill>
            <w14:solidFill>
              <w14:schemeClr w14:val="tx1"/>
            </w14:solidFill>
          </w14:textFill>
        </w:rPr>
        <w:t>、</w:t>
      </w:r>
      <w:r>
        <w:rPr>
          <w:rFonts w:eastAsia="黑体"/>
          <w:bCs/>
          <w:color w:val="000000" w:themeColor="text1"/>
          <w14:textFill>
            <w14:solidFill>
              <w14:schemeClr w14:val="tx1"/>
            </w14:solidFill>
          </w14:textFill>
        </w:rPr>
        <w:t>水文</w:t>
      </w:r>
      <w:r>
        <w:rPr>
          <w:rFonts w:eastAsia="黑体"/>
          <w:bCs/>
          <w:color w:val="000000" w:themeColor="text1"/>
          <w:lang w:val="zh-CN"/>
          <w14:textFill>
            <w14:solidFill>
              <w14:schemeClr w14:val="tx1"/>
            </w14:solidFill>
          </w14:textFill>
        </w:rPr>
        <w:t>条件</w:t>
      </w:r>
    </w:p>
    <w:p w14:paraId="3F45B20A">
      <w:pPr>
        <w:rPr>
          <w:color w:val="000000" w:themeColor="text1"/>
          <w14:textFill>
            <w14:solidFill>
              <w14:schemeClr w14:val="tx1"/>
            </w14:solidFill>
          </w14:textFill>
        </w:rPr>
      </w:pPr>
      <w:r>
        <w:rPr>
          <w:color w:val="000000" w:themeColor="text1"/>
          <w14:textFill>
            <w14:solidFill>
              <w14:schemeClr w14:val="tx1"/>
            </w14:solidFill>
          </w14:textFill>
        </w:rPr>
        <w:t>勐腊县自然条件十分优越，地处北回归线以南，属亚热带季风气候，终年暖热，冬无严寒，夏无酷暑，县城海拔640m。县内平均气温22.1℃，年平均最高气温29.9℃，年平均最低气温18.1℃，平均风速0.7m/s；平均相对湿度为84%，最低点74%，出现于3月，最高点89%，出现于9月，是云南省3个湿度最大的县份之一；年降水量1486.5mm；年日照时数只有1984.1小时左右。该项目所在地区常年主导风向为南风、次主导风向为西南风。</w:t>
      </w:r>
    </w:p>
    <w:p w14:paraId="06E73E33">
      <w:pPr>
        <w:rPr>
          <w:color w:val="000000" w:themeColor="text1"/>
          <w14:textFill>
            <w14:solidFill>
              <w14:schemeClr w14:val="tx1"/>
            </w14:solidFill>
          </w14:textFill>
        </w:rPr>
      </w:pPr>
      <w:r>
        <w:rPr>
          <w:color w:val="000000" w:themeColor="text1"/>
          <w14:textFill>
            <w14:solidFill>
              <w14:schemeClr w14:val="tx1"/>
            </w14:solidFill>
          </w14:textFill>
        </w:rPr>
        <w:t>勐腊县境内河流众多，主要有南腊河、罗梭江等，这些河流都属于澜沧江水系。南腊河是勐腊县境内南部最大的河流，流域面积广阔，河水流量较大，是当地重要的灌溉水源和航运通道。罗梭江是县境内澜沧江第一大支流，发源于磨黑、勐先等地，流经勐仑镇等地区，为当地的农业生产和居民生活提供了重要的水资源。</w:t>
      </w:r>
    </w:p>
    <w:p w14:paraId="0C1F3382">
      <w:pPr>
        <w:rPr>
          <w:color w:val="000000" w:themeColor="text1"/>
          <w14:textFill>
            <w14:solidFill>
              <w14:schemeClr w14:val="tx1"/>
            </w14:solidFill>
          </w14:textFill>
        </w:rPr>
      </w:pPr>
      <w:r>
        <w:rPr>
          <w:color w:val="000000" w:themeColor="text1"/>
          <w14:textFill>
            <w14:solidFill>
              <w14:schemeClr w14:val="tx1"/>
            </w14:solidFill>
          </w14:textFill>
        </w:rPr>
        <w:t>勐腊县的地下水主要来源于大气降水的补给，由于当地的岩石类型和地质构造复杂，地下水的分布和赋存条件也较为复杂。在一些山地地区，地下水主要以裂隙水的形式存在，而在河谷地区，地下水则主要以孔隙水的形式存在。这些地下水是当地居民生活和生产的重要水源之一。</w:t>
      </w:r>
    </w:p>
    <w:p w14:paraId="7C653755">
      <w:pPr>
        <w:pStyle w:val="3"/>
        <w:rPr>
          <w:rFonts w:eastAsia="楷体"/>
          <w:color w:val="000000" w:themeColor="text1"/>
          <w14:textFill>
            <w14:solidFill>
              <w14:schemeClr w14:val="tx1"/>
            </w14:solidFill>
          </w14:textFill>
        </w:rPr>
      </w:pPr>
      <w:bookmarkStart w:id="169" w:name="_Toc153613481"/>
      <w:bookmarkStart w:id="170" w:name="_Toc153013326"/>
      <w:bookmarkStart w:id="171" w:name="_Toc9755113"/>
      <w:bookmarkStart w:id="172" w:name="_Toc153082041"/>
      <w:bookmarkStart w:id="173" w:name="_Toc163694489"/>
      <w:bookmarkStart w:id="174" w:name="_Toc166118047"/>
      <w:bookmarkStart w:id="175" w:name="_Toc163648860"/>
      <w:bookmarkStart w:id="176" w:name="_Toc156029810"/>
      <w:bookmarkStart w:id="177" w:name="_Toc156033570"/>
      <w:bookmarkStart w:id="178" w:name="_Toc23147"/>
      <w:bookmarkStart w:id="179" w:name="_Toc17812"/>
      <w:bookmarkStart w:id="180" w:name="_Toc14377"/>
      <w:r>
        <w:rPr>
          <w:color w:val="000000" w:themeColor="text1"/>
          <w:lang w:val="zh-CN"/>
          <w14:textFill>
            <w14:solidFill>
              <w14:schemeClr w14:val="tx1"/>
            </w14:solidFill>
          </w14:textFill>
        </w:rPr>
        <w:t>2.</w:t>
      </w:r>
      <w:r>
        <w:rPr>
          <w:color w:val="000000" w:themeColor="text1"/>
          <w14:textFill>
            <w14:solidFill>
              <w14:schemeClr w14:val="tx1"/>
            </w14:solidFill>
          </w14:textFill>
        </w:rPr>
        <w:t>3</w:t>
      </w:r>
      <w:r>
        <w:rPr>
          <w:color w:val="000000" w:themeColor="text1"/>
          <w:lang w:val="zh-CN"/>
          <w14:textFill>
            <w14:solidFill>
              <w14:schemeClr w14:val="tx1"/>
            </w14:solidFill>
          </w14:textFill>
        </w:rPr>
        <w:t xml:space="preserve">  </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9"/>
      <w:bookmarkEnd w:id="170"/>
      <w:bookmarkEnd w:id="171"/>
      <w:bookmarkEnd w:id="172"/>
      <w:bookmarkEnd w:id="173"/>
      <w:bookmarkEnd w:id="174"/>
      <w:bookmarkEnd w:id="175"/>
      <w:bookmarkEnd w:id="176"/>
      <w:bookmarkEnd w:id="177"/>
      <w:r>
        <w:rPr>
          <w:color w:val="000000" w:themeColor="text1"/>
          <w14:textFill>
            <w14:solidFill>
              <w14:schemeClr w14:val="tx1"/>
            </w14:solidFill>
          </w14:textFill>
        </w:rPr>
        <w:t>周边环境及总平面布置</w:t>
      </w:r>
      <w:bookmarkEnd w:id="178"/>
      <w:bookmarkEnd w:id="179"/>
      <w:bookmarkEnd w:id="180"/>
    </w:p>
    <w:p w14:paraId="6C1BB0A0">
      <w:pPr>
        <w:pStyle w:val="4"/>
        <w:rPr>
          <w:color w:val="000000" w:themeColor="text1"/>
          <w14:textFill>
            <w14:solidFill>
              <w14:schemeClr w14:val="tx1"/>
            </w14:solidFill>
          </w14:textFill>
        </w:rPr>
      </w:pPr>
      <w:r>
        <w:rPr>
          <w:color w:val="000000" w:themeColor="text1"/>
          <w14:textFill>
            <w14:solidFill>
              <w14:schemeClr w14:val="tx1"/>
            </w14:solidFill>
          </w14:textFill>
        </w:rPr>
        <w:t>2.3.1  周边环境</w:t>
      </w:r>
    </w:p>
    <w:p w14:paraId="0CA15408">
      <w:pPr>
        <w:rPr>
          <w:color w:val="000000" w:themeColor="text1"/>
          <w14:textFill>
            <w14:solidFill>
              <w14:schemeClr w14:val="tx1"/>
            </w14:solidFill>
          </w14:textFill>
        </w:rPr>
      </w:pPr>
      <w:bookmarkStart w:id="181" w:name="_Toc145924301"/>
      <w:bookmarkStart w:id="182" w:name="_Toc150078354"/>
      <w:bookmarkStart w:id="183" w:name="_Toc152401018"/>
      <w:bookmarkStart w:id="184" w:name="_Toc152490378"/>
      <w:bookmarkStart w:id="185" w:name="_Toc152146833"/>
      <w:bookmarkStart w:id="186" w:name="_Toc147388083"/>
      <w:bookmarkStart w:id="187" w:name="_Toc147388790"/>
      <w:bookmarkStart w:id="188" w:name="_Toc147389689"/>
      <w:bookmarkStart w:id="189" w:name="_Toc146685128"/>
      <w:bookmarkStart w:id="190" w:name="_Toc152147147"/>
      <w:bookmarkStart w:id="191" w:name="_Toc145922389"/>
      <w:bookmarkStart w:id="192" w:name="_Toc148576389"/>
      <w:bookmarkStart w:id="193" w:name="_Toc147388977"/>
      <w:bookmarkStart w:id="194" w:name="_Toc152490493"/>
      <w:bookmarkStart w:id="195" w:name="_Toc152145321"/>
      <w:bookmarkStart w:id="196" w:name="_Toc144873844"/>
      <w:bookmarkStart w:id="197" w:name="_Toc144886774"/>
      <w:bookmarkStart w:id="198" w:name="_Toc144691726"/>
      <w:bookmarkStart w:id="199" w:name="_Toc144693713"/>
      <w:bookmarkStart w:id="200" w:name="_Toc145472674"/>
      <w:r>
        <w:rPr>
          <w:color w:val="000000" w:themeColor="text1"/>
          <w14:textFill>
            <w14:solidFill>
              <w14:schemeClr w14:val="tx1"/>
            </w14:solidFill>
          </w14:textFill>
        </w:rPr>
        <w:t>西双版纳煜坤能源有限公司易武加油站位于云南省西双版纳傣族自治州勐腊县易武镇麻黑村委会曼秀（勐绿高速易武出口250m处），周边情况如下：</w:t>
      </w:r>
    </w:p>
    <w:p w14:paraId="53EA7C85">
      <w:pPr>
        <w:rPr>
          <w:color w:val="000000" w:themeColor="text1"/>
          <w14:textFill>
            <w14:solidFill>
              <w14:schemeClr w14:val="tx1"/>
            </w14:solidFill>
          </w14:textFill>
        </w:rPr>
      </w:pPr>
      <w:r>
        <w:rPr>
          <w:color w:val="000000" w:themeColor="text1"/>
          <w14:textFill>
            <w14:solidFill>
              <w14:schemeClr w14:val="tx1"/>
            </w14:solidFill>
          </w14:textFill>
        </w:rPr>
        <w:t>东北面：云南交投高速施工队员临时住房，现已无人居住。</w:t>
      </w:r>
    </w:p>
    <w:p w14:paraId="4A92E6A8">
      <w:pPr>
        <w:rPr>
          <w:color w:val="000000" w:themeColor="text1"/>
          <w14:textFill>
            <w14:solidFill>
              <w14:schemeClr w14:val="tx1"/>
            </w14:solidFill>
          </w14:textFill>
        </w:rPr>
      </w:pPr>
      <w:r>
        <w:rPr>
          <w:color w:val="000000" w:themeColor="text1"/>
          <w14:textFill>
            <w14:solidFill>
              <w14:schemeClr w14:val="tx1"/>
            </w14:solidFill>
          </w14:textFill>
        </w:rPr>
        <w:t>西南面：林地，林地上有一东西走向的架空通信线。</w:t>
      </w:r>
    </w:p>
    <w:p w14:paraId="2BEA76F9">
      <w:pPr>
        <w:rPr>
          <w:color w:val="000000" w:themeColor="text1"/>
          <w14:textFill>
            <w14:solidFill>
              <w14:schemeClr w14:val="tx1"/>
            </w14:solidFill>
          </w14:textFill>
        </w:rPr>
      </w:pPr>
      <w:r>
        <w:rPr>
          <w:color w:val="000000" w:themeColor="text1"/>
          <w14:textFill>
            <w14:solidFill>
              <w14:schemeClr w14:val="tx1"/>
            </w14:solidFill>
          </w14:textFill>
        </w:rPr>
        <w:t>西北面：林地，林地上有一南北走向的架空通信线和架空电力线。</w:t>
      </w:r>
    </w:p>
    <w:p w14:paraId="2E17485C">
      <w:pPr>
        <w:rPr>
          <w:color w:val="000000" w:themeColor="text1"/>
          <w14:textFill>
            <w14:solidFill>
              <w14:schemeClr w14:val="tx1"/>
            </w14:solidFill>
          </w14:textFill>
        </w:rPr>
      </w:pPr>
      <w:r>
        <w:rPr>
          <w:color w:val="000000" w:themeColor="text1"/>
          <w14:textFill>
            <w14:solidFill>
              <w14:schemeClr w14:val="tx1"/>
            </w14:solidFill>
          </w14:textFill>
        </w:rPr>
        <w:t>东面：G219国道，隔道路为民房。</w:t>
      </w:r>
    </w:p>
    <w:p w14:paraId="6DD0733A">
      <w:pPr>
        <w:rPr>
          <w:color w:val="000000" w:themeColor="text1"/>
          <w14:textFill>
            <w14:solidFill>
              <w14:schemeClr w14:val="tx1"/>
            </w14:solidFill>
          </w14:textFill>
        </w:rPr>
      </w:pPr>
      <w:r>
        <w:rPr>
          <w:color w:val="000000" w:themeColor="text1"/>
          <w14:textFill>
            <w14:solidFill>
              <w14:schemeClr w14:val="tx1"/>
            </w14:solidFill>
          </w14:textFill>
        </w:rPr>
        <w:t>东南面：隔G219国道为民房和一条西北—东南走向的架空电力线（杆高约9m）。</w:t>
      </w:r>
    </w:p>
    <w:p w14:paraId="741E45E1">
      <w:pPr>
        <w:rPr>
          <w:color w:val="000000" w:themeColor="text1"/>
          <w14:textFill>
            <w14:solidFill>
              <w14:schemeClr w14:val="tx1"/>
            </w14:solidFill>
          </w14:textFill>
        </w:rPr>
      </w:pPr>
      <w:r>
        <w:rPr>
          <w:color w:val="000000" w:themeColor="text1"/>
          <w14:textFill>
            <w14:solidFill>
              <w14:schemeClr w14:val="tx1"/>
            </w14:solidFill>
          </w14:textFill>
        </w:rPr>
        <w:t>经现场检查，加油站出入口分开设置。站区西侧以挡土墙相隔，挡土墙后设置防洪沟，南侧和北侧以围墙相隔 。</w:t>
      </w:r>
    </w:p>
    <w:p w14:paraId="1C5C78B8">
      <w:pPr>
        <w:rPr>
          <w:color w:val="000000" w:themeColor="text1"/>
          <w14:textFill>
            <w14:solidFill>
              <w14:schemeClr w14:val="tx1"/>
            </w14:solidFill>
          </w14:textFill>
        </w:rPr>
      </w:pPr>
      <w:r>
        <w:rPr>
          <w:color w:val="000000" w:themeColor="text1"/>
          <w14:textFill>
            <w14:solidFill>
              <w14:schemeClr w14:val="tx1"/>
            </w14:solidFill>
          </w14:textFill>
        </w:rPr>
        <w:t>正常情况下，周边环境对该项目的影响不大。</w:t>
      </w:r>
    </w:p>
    <w:p w14:paraId="42DF8998">
      <w:pPr>
        <w:rPr>
          <w:color w:val="000000" w:themeColor="text1"/>
          <w14:textFill>
            <w14:solidFill>
              <w14:schemeClr w14:val="tx1"/>
            </w14:solidFill>
          </w14:textFill>
        </w:rPr>
      </w:pPr>
      <w:r>
        <w:rPr>
          <w:color w:val="000000" w:themeColor="text1"/>
          <w14:textFill>
            <w14:solidFill>
              <w14:schemeClr w14:val="tx1"/>
            </w14:solidFill>
          </w14:textFill>
        </w:rPr>
        <w:t>加油站周边关系详见下图。</w:t>
      </w:r>
    </w:p>
    <w:p w14:paraId="549DC7A1">
      <w:pPr>
        <w:pStyle w:val="4"/>
        <w:rPr>
          <w:color w:val="000000" w:themeColor="text1"/>
          <w14:textFill>
            <w14:solidFill>
              <w14:schemeClr w14:val="tx1"/>
            </w14:solidFill>
          </w14:textFill>
        </w:rPr>
      </w:pPr>
      <w:r>
        <w:rPr>
          <w:color w:val="000000" w:themeColor="text1"/>
          <w14:textFill>
            <w14:solidFill>
              <w14:schemeClr w14:val="tx1"/>
            </w14:solidFill>
          </w14:textFill>
        </w:rPr>
        <w:t>2.3.2  总平面布置</w:t>
      </w:r>
    </w:p>
    <w:p w14:paraId="634D8CFB">
      <w:pPr>
        <w:spacing w:before="195" w:line="352" w:lineRule="auto"/>
        <w:ind w:left="39"/>
        <w:rPr>
          <w:color w:val="000000" w:themeColor="text1"/>
          <w14:textFill>
            <w14:solidFill>
              <w14:schemeClr w14:val="tx1"/>
            </w14:solidFill>
          </w14:textFill>
        </w:rPr>
      </w:pPr>
      <w:r>
        <w:rPr>
          <w:color w:val="000000" w:themeColor="text1"/>
          <w14:textFill>
            <w14:solidFill>
              <w14:schemeClr w14:val="tx1"/>
            </w14:solidFill>
          </w14:textFill>
        </w:rPr>
        <w:t>易武加油站在总平面布置上进行功能分区，主要包括油罐区、加油区、卸油区、辅助服务区（站房、辅房）等。油罐区南侧设有1座水位监测井和1个2m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消防沙池箱；加油站进、出口分开设置，出入口中间设置绿化带，绿化带中间设置隔油池，加油站出入口敞开设置外，</w:t>
      </w:r>
      <w:r>
        <w:rPr>
          <w:color w:val="000000" w:themeColor="text1"/>
          <w:spacing w:val="2"/>
          <w14:textFill>
            <w14:solidFill>
              <w14:schemeClr w14:val="tx1"/>
            </w14:solidFill>
          </w14:textFill>
        </w:rPr>
        <w:t>站区西侧内</w:t>
      </w:r>
      <w:r>
        <w:rPr>
          <w:color w:val="000000" w:themeColor="text1"/>
          <w:spacing w:val="3"/>
          <w14:textFill>
            <w14:solidFill>
              <w14:schemeClr w14:val="tx1"/>
            </w14:solidFill>
          </w14:textFill>
        </w:rPr>
        <w:t>外存在高差，以挡土墙相隔，挡土墙后设置防洪沟，</w:t>
      </w:r>
      <w:r>
        <w:rPr>
          <w:color w:val="000000" w:themeColor="text1"/>
          <w:spacing w:val="-1"/>
          <w14:textFill>
            <w14:solidFill>
              <w14:schemeClr w14:val="tx1"/>
            </w14:solidFill>
          </w14:textFill>
        </w:rPr>
        <w:t>南侧和北侧以围墙相隔。</w:t>
      </w:r>
      <w:r>
        <w:rPr>
          <w:color w:val="000000" w:themeColor="text1"/>
          <w14:textFill>
            <w14:solidFill>
              <w14:schemeClr w14:val="tx1"/>
            </w14:solidFill>
          </w14:textFill>
        </w:rPr>
        <w:t>具体布置如下：</w:t>
      </w:r>
    </w:p>
    <w:p w14:paraId="2E15FC14">
      <w:pPr>
        <w:rPr>
          <w:color w:val="000000" w:themeColor="text1"/>
          <w14:textFill>
            <w14:solidFill>
              <w14:schemeClr w14:val="tx1"/>
            </w14:solidFill>
          </w14:textFill>
        </w:rPr>
      </w:pPr>
      <w:r>
        <w:rPr>
          <w:color w:val="000000" w:themeColor="text1"/>
          <w14:textFill>
            <w14:solidFill>
              <w14:schemeClr w14:val="tx1"/>
            </w14:solidFill>
          </w14:textFill>
        </w:rPr>
        <w:t>1.油罐区</w:t>
      </w:r>
    </w:p>
    <w:p w14:paraId="5C46E68B">
      <w:pPr>
        <w:rPr>
          <w:color w:val="000000" w:themeColor="text1"/>
          <w14:textFill>
            <w14:solidFill>
              <w14:schemeClr w14:val="tx1"/>
            </w14:solidFill>
          </w14:textFill>
        </w:rPr>
      </w:pPr>
      <w:r>
        <w:rPr>
          <w:color w:val="000000" w:themeColor="text1"/>
          <w14:textFill>
            <w14:solidFill>
              <w14:schemeClr w14:val="tx1"/>
            </w14:solidFill>
          </w14:textFill>
        </w:rPr>
        <w:t>油罐区布置在站区西南侧，设有围堰，罐区内设有</w:t>
      </w:r>
      <w:r>
        <w:rPr>
          <w:color w:val="000000" w:themeColor="text1"/>
          <w:spacing w:val="-67"/>
          <w14:textFill>
            <w14:solidFill>
              <w14:schemeClr w14:val="tx1"/>
            </w14:solidFill>
          </w14:textFill>
        </w:rPr>
        <w:t xml:space="preserve"> </w:t>
      </w:r>
      <w:r>
        <w:rPr>
          <w:rFonts w:eastAsia="Calibri"/>
          <w:color w:val="000000" w:themeColor="text1"/>
          <w:spacing w:val="-4"/>
          <w14:textFill>
            <w14:solidFill>
              <w14:schemeClr w14:val="tx1"/>
            </w14:solidFill>
          </w14:textFill>
        </w:rPr>
        <w:t>4</w:t>
      </w:r>
      <w:r>
        <w:rPr>
          <w:color w:val="000000" w:themeColor="text1"/>
          <w:spacing w:val="-4"/>
          <w14:textFill>
            <w14:solidFill>
              <w14:schemeClr w14:val="tx1"/>
            </w14:solidFill>
          </w14:textFill>
        </w:rPr>
        <w:t>具</w:t>
      </w:r>
      <w:r>
        <w:rPr>
          <w:color w:val="000000" w:themeColor="text1"/>
          <w:spacing w:val="-54"/>
          <w14:textFill>
            <w14:solidFill>
              <w14:schemeClr w14:val="tx1"/>
            </w14:solidFill>
          </w14:textFill>
        </w:rPr>
        <w:t xml:space="preserve"> </w:t>
      </w:r>
      <w:r>
        <w:rPr>
          <w:color w:val="000000" w:themeColor="text1"/>
          <w:spacing w:val="-4"/>
          <w14:textFill>
            <w14:solidFill>
              <w14:schemeClr w14:val="tx1"/>
            </w14:solidFill>
          </w14:textFill>
        </w:rPr>
        <w:t>3</w:t>
      </w:r>
      <w:r>
        <w:rPr>
          <w:color w:val="000000" w:themeColor="text1"/>
          <w14:textFill>
            <w14:solidFill>
              <w14:schemeClr w14:val="tx1"/>
            </w14:solidFill>
          </w14:textFill>
        </w:rPr>
        <w:t>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SF</w:t>
      </w:r>
      <w:r>
        <w:rPr>
          <w:color w:val="000000" w:themeColor="text1"/>
          <w:spacing w:val="-4"/>
          <w14:textFill>
            <w14:solidFill>
              <w14:schemeClr w14:val="tx1"/>
            </w14:solidFill>
          </w14:textFill>
        </w:rPr>
        <w:t>卧式油罐（0#、0#、92#、95#</w:t>
      </w:r>
      <w:r>
        <w:rPr>
          <w:color w:val="000000" w:themeColor="text1"/>
          <w:spacing w:val="-74"/>
          <w14:textFill>
            <w14:solidFill>
              <w14:schemeClr w14:val="tx1"/>
            </w14:solidFill>
          </w14:textFill>
        </w:rPr>
        <w:t>），</w:t>
      </w:r>
      <w:r>
        <w:rPr>
          <w:color w:val="000000" w:themeColor="text1"/>
          <w:spacing w:val="-4"/>
          <w14:textFill>
            <w14:solidFill>
              <w14:schemeClr w14:val="tx1"/>
            </w14:solidFill>
          </w14:textFill>
        </w:rPr>
        <w:t>其中一具汽</w:t>
      </w:r>
      <w:r>
        <w:rPr>
          <w:color w:val="000000" w:themeColor="text1"/>
          <w:spacing w:val="-5"/>
          <w14:textFill>
            <w14:solidFill>
              <w14:schemeClr w14:val="tx1"/>
            </w14:solidFill>
          </w14:textFill>
        </w:rPr>
        <w:t>油罐为隔</w:t>
      </w:r>
      <w:r>
        <w:rPr>
          <w:color w:val="000000" w:themeColor="text1"/>
          <w:spacing w:val="3"/>
          <w14:textFill>
            <w14:solidFill>
              <w14:schemeClr w14:val="tx1"/>
            </w14:solidFill>
          </w14:textFill>
        </w:rPr>
        <w:t>舱罐</w:t>
      </w:r>
      <w:r>
        <w:rPr>
          <w:color w:val="000000" w:themeColor="text1"/>
          <w14:textFill>
            <w14:solidFill>
              <w14:schemeClr w14:val="tx1"/>
            </w14:solidFill>
          </w14:textFill>
        </w:rPr>
        <w:t>，并设置了汽油卸油油气回收系统；油罐周围回填干净的细沙，厚度大于500mm；各油罐均设置2个人孔，各油罐量油口、通气管、进油管、出油管、油气回收管、液位监测仪、双层管及双层罐泄漏检测仪均设置在人孔盖上；各人孔处设有操作井，操作井顶部设有井盖，日常运行过程中井盖关闭；每个油罐设置检测立管，单独设置通气管，通气管管口高出地面4.5m，公称直径为50mm，汽油罐和柴油罐的通气管分开设置，通气管管口高出地面4</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m。柴油罐的通气管管口设置阻火器，汽油罐的通气管管口设置带有阻火功能的呼吸器。加油站采用潜油泵加油工艺，油罐安设有高低液位报警仪和泄漏检测报警仪。油罐设泄</w:t>
      </w:r>
      <w:r>
        <w:rPr>
          <w:rFonts w:hint="eastAsia"/>
          <w:color w:val="000000" w:themeColor="text1"/>
          <w14:textFill>
            <w14:solidFill>
              <w14:schemeClr w14:val="tx1"/>
            </w14:solidFill>
          </w14:textFill>
        </w:rPr>
        <w:t>漏</w:t>
      </w:r>
      <w:r>
        <w:rPr>
          <w:color w:val="000000" w:themeColor="text1"/>
          <w14:textFill>
            <w14:solidFill>
              <w14:schemeClr w14:val="tx1"/>
            </w14:solidFill>
          </w14:textFill>
        </w:rPr>
        <w:t>检测立管，检测立管采用钢管，直径89mm，壁厚不小于4mm，检测立管位于油罐顶部的纵向中心线上，底部管口与油罐内、外壁间隙相连通。受地形限制，加油油气回收管道向油罐的坡度无法满足要求，因此在管道附近油罐的位置设置了集液器。油罐区设有1座观察井，观察井口设置了盖板，并内有积水。</w:t>
      </w:r>
    </w:p>
    <w:p w14:paraId="59D9D1EC">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2.加油区</w:t>
      </w:r>
    </w:p>
    <w:p w14:paraId="16F4419E">
      <w:pPr>
        <w:adjustRightInd w:val="0"/>
        <w:snapToGrid w:val="0"/>
        <w:ind w:firstLine="564"/>
        <w:rPr>
          <w:color w:val="000000" w:themeColor="text1"/>
          <w:spacing w:val="1"/>
          <w14:textFill>
            <w14:solidFill>
              <w14:schemeClr w14:val="tx1"/>
            </w14:solidFill>
          </w14:textFill>
        </w:rPr>
      </w:pPr>
      <w:r>
        <w:rPr>
          <w:color w:val="000000" w:themeColor="text1"/>
          <w:spacing w:val="1"/>
          <w14:textFill>
            <w14:solidFill>
              <w14:schemeClr w14:val="tx1"/>
            </w14:solidFill>
          </w14:textFill>
        </w:rPr>
        <w:t>加油区布置在站区中部，主要由罩棚、加油岛、加油机构成。</w:t>
      </w:r>
    </w:p>
    <w:p w14:paraId="13FB789B">
      <w:pPr>
        <w:adjustRightInd w:val="0"/>
        <w:snapToGrid w:val="0"/>
        <w:ind w:firstLine="564"/>
        <w:rPr>
          <w:color w:val="000000" w:themeColor="text1"/>
          <w:spacing w:val="1"/>
          <w14:textFill>
            <w14:solidFill>
              <w14:schemeClr w14:val="tx1"/>
            </w14:solidFill>
          </w14:textFill>
        </w:rPr>
      </w:pPr>
      <w:r>
        <w:rPr>
          <w:color w:val="000000" w:themeColor="text1"/>
          <w:spacing w:val="1"/>
          <w14:textFill>
            <w14:solidFill>
              <w14:schemeClr w14:val="tx1"/>
            </w14:solidFill>
          </w14:textFill>
        </w:rPr>
        <w:t>加油区设钢网架结构罩棚1座，新建罩棚建筑面积293.75 m</w:t>
      </w:r>
      <w:r>
        <w:rPr>
          <w:color w:val="000000" w:themeColor="text1"/>
          <w:spacing w:val="1"/>
          <w:vertAlign w:val="superscript"/>
          <w14:textFill>
            <w14:solidFill>
              <w14:schemeClr w14:val="tx1"/>
            </w14:solidFill>
          </w14:textFill>
        </w:rPr>
        <w:t>2</w:t>
      </w:r>
      <w:r>
        <w:rPr>
          <w:color w:val="000000" w:themeColor="text1"/>
          <w:spacing w:val="1"/>
          <w14:textFill>
            <w14:solidFill>
              <w14:schemeClr w14:val="tx1"/>
            </w14:solidFill>
          </w14:textFill>
        </w:rPr>
        <w:t>（投影面积587.5 m</w:t>
      </w:r>
      <w:r>
        <w:rPr>
          <w:color w:val="000000" w:themeColor="text1"/>
          <w:spacing w:val="1"/>
          <w:vertAlign w:val="superscript"/>
          <w14:textFill>
            <w14:solidFill>
              <w14:schemeClr w14:val="tx1"/>
            </w14:solidFill>
          </w14:textFill>
        </w:rPr>
        <w:t>2</w:t>
      </w:r>
      <w:r>
        <w:rPr>
          <w:color w:val="000000" w:themeColor="text1"/>
          <w:spacing w:val="1"/>
          <w14:textFill>
            <w14:solidFill>
              <w14:schemeClr w14:val="tx1"/>
            </w14:solidFill>
          </w14:textFill>
        </w:rPr>
        <w:t>），罩棚净高度8.25m，网架采用螺栓球钢网架形式，罩棚立柱为单排两柱式，罩棚立柱位于4座加油岛上，罩棚立柱边缘距岛端部距离为0.6m（规范要求不小于0.6m），罩棚耐火等级达到二级。罩棚下设置3台双枪税控加油机和1台四枪双油品税控加油机，总共配加油枪10支，其中柴油加油枪4支，92#汽油加油枪4支，95#汽油加油枪2支，每台加油机双面面板上均设有各加油机的急停按钮，汽油机设置了加油油气回收系统，每台加油机设有明显的油品标识，加油机底部已填细沙；加油区设置加油岛4座，岛宽1.2m，高出地面0.2m，加油岛两端端部设防撞柱，其高度为0.6m。加油机设汽油加油油气回收系统。罩棚下设置2条单车道1条双车道，外车道宽9m，中间双车道宽8m，内车道宽5m。加油区共设置了8块灭火毯，4台35kg推车式干粉灭火器和8具5kg手提式干粉灭火器。站房，辅房，罩棚下设置了1套视频监控摄像头，能对加油区、出入口、罐区等处进行监控；加油区设有</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严禁烟火</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禁止吸烟</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停车熄火</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禁打手机</w:t>
      </w:r>
      <w:r>
        <w:rPr>
          <w:rFonts w:hint="eastAsia"/>
          <w:color w:val="000000" w:themeColor="text1"/>
          <w:spacing w:val="1"/>
          <w14:textFill>
            <w14:solidFill>
              <w14:schemeClr w14:val="tx1"/>
            </w14:solidFill>
          </w14:textFill>
        </w:rPr>
        <w:t>”</w:t>
      </w:r>
      <w:r>
        <w:rPr>
          <w:color w:val="000000" w:themeColor="text1"/>
          <w:spacing w:val="1"/>
          <w14:textFill>
            <w14:solidFill>
              <w14:schemeClr w14:val="tx1"/>
            </w14:solidFill>
          </w14:textFill>
        </w:rPr>
        <w:t>等安全警示标识。</w:t>
      </w:r>
      <w:r>
        <w:rPr>
          <w:rFonts w:hint="eastAsia"/>
          <w:color w:val="000000" w:themeColor="text1"/>
          <w:spacing w:val="1"/>
          <w14:textFill>
            <w14:solidFill>
              <w14:schemeClr w14:val="tx1"/>
            </w14:solidFill>
          </w14:textFill>
        </w:rPr>
        <w:t>每台加油机设有1个</w:t>
      </w:r>
      <w:r>
        <w:rPr>
          <w:rFonts w:hint="eastAsia"/>
          <w:color w:val="000000" w:themeColor="text1"/>
          <w14:textFill>
            <w14:solidFill>
              <w14:schemeClr w14:val="tx1"/>
            </w14:solidFill>
          </w14:textFill>
        </w:rPr>
        <w:t>可燃气体检测报警仪。</w:t>
      </w:r>
    </w:p>
    <w:p w14:paraId="5A8D661D">
      <w:pPr>
        <w:adjustRightInd w:val="0"/>
        <w:snapToGrid w:val="0"/>
        <w:rPr>
          <w:color w:val="000000" w:themeColor="text1"/>
          <w:spacing w:val="1"/>
          <w14:textFill>
            <w14:solidFill>
              <w14:schemeClr w14:val="tx1"/>
            </w14:solidFill>
          </w14:textFill>
        </w:rPr>
      </w:pPr>
      <w:r>
        <w:rPr>
          <w:color w:val="000000" w:themeColor="text1"/>
          <w14:textFill>
            <w14:solidFill>
              <w14:schemeClr w14:val="tx1"/>
            </w14:solidFill>
          </w14:textFill>
        </w:rPr>
        <w:t>3.卸油区</w:t>
      </w:r>
    </w:p>
    <w:p w14:paraId="1D48F5F1">
      <w:pPr>
        <w:adjustRightInd w:val="0"/>
        <w:snapToGrid w:val="0"/>
        <w:ind w:firstLine="564"/>
        <w:rPr>
          <w:color w:val="000000" w:themeColor="text1"/>
          <w:spacing w:val="1"/>
          <w14:textFill>
            <w14:solidFill>
              <w14:schemeClr w14:val="tx1"/>
            </w14:solidFill>
          </w14:textFill>
        </w:rPr>
      </w:pPr>
      <w:r>
        <w:rPr>
          <w:color w:val="000000" w:themeColor="text1"/>
          <w:spacing w:val="1"/>
          <w14:textFill>
            <w14:solidFill>
              <w14:schemeClr w14:val="tx1"/>
            </w14:solidFill>
          </w14:textFill>
        </w:rPr>
        <w:t>卸油区设置在油罐区西侧。卸油区设置有密闭卸油口、人体静电释放桩、1个消防器材箱和1个2m³的消防沙箱，消防沙箱内配备4只消防铲、4个消防桶。每个油罐各自设置卸油管道和卸油接口，各卸油接口及油气回收接口有明显的油品标识。卸油接口装设快速接头及密封盖。卸油区设置了卸车用的静电接地报警器。消防器材箱内配置1台35kg推车式干粉灭火器、2具5kg手提式干粉灭火器。</w:t>
      </w:r>
    </w:p>
    <w:p w14:paraId="6D43F9AA">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4.辅助服务区（站房、辅房）</w:t>
      </w:r>
    </w:p>
    <w:p w14:paraId="47865ADE">
      <w:pPr>
        <w:ind w:firstLine="568"/>
        <w:rPr>
          <w:rFonts w:eastAsia="Times New Roman"/>
          <w:color w:val="000000" w:themeColor="text1"/>
          <w:spacing w:val="1"/>
          <w14:textFill>
            <w14:solidFill>
              <w14:schemeClr w14:val="tx1"/>
            </w14:solidFill>
          </w14:textFill>
        </w:rPr>
      </w:pPr>
      <w:r>
        <w:rPr>
          <w:color w:val="000000" w:themeColor="text1"/>
          <w:spacing w:val="2"/>
          <w14:textFill>
            <w14:solidFill>
              <w14:schemeClr w14:val="tx1"/>
            </w14:solidFill>
          </w14:textFill>
        </w:rPr>
        <w:t>站房位于站区西面，采用框架结构，站房建筑面积</w:t>
      </w:r>
      <w:r>
        <w:rPr>
          <w:rFonts w:eastAsia="Times New Roman"/>
          <w:color w:val="000000" w:themeColor="text1"/>
          <w:spacing w:val="1"/>
          <w14:textFill>
            <w14:solidFill>
              <w14:schemeClr w14:val="tx1"/>
            </w14:solidFill>
          </w14:textFill>
        </w:rPr>
        <w:t>293.3</w:t>
      </w:r>
      <w:r>
        <w:rPr>
          <w:color w:val="000000" w:themeColor="text1"/>
          <w:spacing w:val="1"/>
          <w14:textFill>
            <w14:solidFill>
              <w14:schemeClr w14:val="tx1"/>
            </w14:solidFill>
          </w14:textFill>
        </w:rPr>
        <w:t>m</w:t>
      </w:r>
      <w:r>
        <w:rPr>
          <w:color w:val="000000" w:themeColor="text1"/>
          <w:spacing w:val="1"/>
          <w:vertAlign w:val="superscript"/>
          <w14:textFill>
            <w14:solidFill>
              <w14:schemeClr w14:val="tx1"/>
            </w14:solidFill>
          </w14:textFill>
        </w:rPr>
        <w:t>2</w:t>
      </w:r>
      <w:r>
        <w:rPr>
          <w:color w:val="000000" w:themeColor="text1"/>
          <w:spacing w:val="2"/>
          <w14:textFill>
            <w14:solidFill>
              <w14:schemeClr w14:val="tx1"/>
            </w14:solidFill>
          </w14:textFill>
        </w:rPr>
        <w:t>，为一栋2层建筑，耐火等级为二级。站房一层为便利店、办公室、卫生间，二层为值班室、卫浴室。</w:t>
      </w:r>
    </w:p>
    <w:p w14:paraId="623225DC">
      <w:pPr>
        <w:ind w:firstLine="564"/>
        <w:rPr>
          <w:color w:val="000000" w:themeColor="text1"/>
          <w:spacing w:val="2"/>
          <w14:textFill>
            <w14:solidFill>
              <w14:schemeClr w14:val="tx1"/>
            </w14:solidFill>
          </w14:textFill>
        </w:rPr>
      </w:pPr>
      <w:r>
        <w:rPr>
          <w:rFonts w:eastAsia="Times New Roman"/>
          <w:color w:val="000000" w:themeColor="text1"/>
          <w:spacing w:val="1"/>
          <w14:textFill>
            <w14:solidFill>
              <w14:schemeClr w14:val="tx1"/>
            </w14:solidFill>
          </w14:textFill>
        </w:rPr>
        <w:t>辅房位于站区西北面，采用框架结构，辅房建筑面积323.33</w:t>
      </w:r>
      <w:r>
        <w:rPr>
          <w:color w:val="000000" w:themeColor="text1"/>
          <w:spacing w:val="1"/>
          <w14:textFill>
            <w14:solidFill>
              <w14:schemeClr w14:val="tx1"/>
            </w14:solidFill>
          </w14:textFill>
        </w:rPr>
        <w:t>m</w:t>
      </w:r>
      <w:r>
        <w:rPr>
          <w:color w:val="000000" w:themeColor="text1"/>
          <w:spacing w:val="1"/>
          <w:vertAlign w:val="superscript"/>
          <w14:textFill>
            <w14:solidFill>
              <w14:schemeClr w14:val="tx1"/>
            </w14:solidFill>
          </w14:textFill>
        </w:rPr>
        <w:t>2</w:t>
      </w:r>
      <w:r>
        <w:rPr>
          <w:rFonts w:eastAsia="Times New Roman"/>
          <w:color w:val="000000" w:themeColor="text1"/>
          <w:spacing w:val="1"/>
          <w14:textFill>
            <w14:solidFill>
              <w14:schemeClr w14:val="tx1"/>
            </w14:solidFill>
          </w14:textFill>
        </w:rPr>
        <w:t>，为一栋2层建筑，耐火等级为二级。辅房包含卫生间，厨房，接待室</w:t>
      </w:r>
      <w:r>
        <w:rPr>
          <w:color w:val="000000" w:themeColor="text1"/>
          <w:spacing w:val="2"/>
          <w14:textFill>
            <w14:solidFill>
              <w14:schemeClr w14:val="tx1"/>
            </w14:solidFill>
          </w14:textFill>
        </w:rPr>
        <w:t>，发电机房、配电室、值班室。厨房采用用电厨具做饭，未使用会产生明火的设施。</w:t>
      </w:r>
    </w:p>
    <w:p w14:paraId="613FF609">
      <w:pPr>
        <w:adjustRightInd w:val="0"/>
        <w:snapToGrid w:val="0"/>
        <w:ind w:firstLine="568"/>
        <w:rPr>
          <w:color w:val="000000" w:themeColor="text1"/>
          <w14:textFill>
            <w14:solidFill>
              <w14:schemeClr w14:val="tx1"/>
            </w14:solidFill>
          </w14:textFill>
        </w:rPr>
      </w:pPr>
      <w:r>
        <w:rPr>
          <w:color w:val="000000" w:themeColor="text1"/>
          <w:spacing w:val="2"/>
          <w14:textFill>
            <w14:solidFill>
              <w14:schemeClr w14:val="tx1"/>
            </w14:solidFill>
          </w14:textFill>
        </w:rPr>
        <w:t>加油站在站房设置通讯网络，确保加油站通讯的正常运行。在站房外墙处及收银台旁各设置一个急停按钮，紧急情况按下时切断潜泵及加油机电源</w:t>
      </w:r>
      <w:r>
        <w:rPr>
          <w:color w:val="000000" w:themeColor="text1"/>
          <w14:textFill>
            <w14:solidFill>
              <w14:schemeClr w14:val="tx1"/>
            </w14:solidFill>
          </w14:textFill>
        </w:rPr>
        <w:t>。</w:t>
      </w:r>
    </w:p>
    <w:p w14:paraId="6C7CC71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营业室内设有视频监控显示器，视频监控留存时间大于90天。监控室内设有液位监测仪、双层管及双层罐泄漏检测仪终端。双层管及双层罐泄漏检测仪显示数量与现场设备数量一致；监控室内设有UPS电源。</w:t>
      </w:r>
    </w:p>
    <w:p w14:paraId="31DCD72C">
      <w:pPr>
        <w:ind w:firstLine="556"/>
        <w:rPr>
          <w:color w:val="000000" w:themeColor="text1"/>
          <w:spacing w:val="2"/>
          <w14:textFill>
            <w14:solidFill>
              <w14:schemeClr w14:val="tx1"/>
            </w14:solidFill>
          </w14:textFill>
        </w:rPr>
      </w:pPr>
      <w:r>
        <w:rPr>
          <w:color w:val="000000" w:themeColor="text1"/>
          <w:spacing w:val="-1"/>
          <w14:textFill>
            <w14:solidFill>
              <w14:schemeClr w14:val="tx1"/>
            </w14:solidFill>
          </w14:textFill>
        </w:rPr>
        <w:t>本站在设</w:t>
      </w:r>
      <w:r>
        <w:rPr>
          <w:color w:val="000000" w:themeColor="text1"/>
          <w:spacing w:val="2"/>
          <w14:textFill>
            <w14:solidFill>
              <w14:schemeClr w14:val="tx1"/>
            </w14:solidFill>
          </w14:textFill>
        </w:rPr>
        <w:t>备间设30kW 柴油发电机，以便在加油站电源突然中断时作为保障加油站正常营业的备用电源，满足加油站使用要求。</w:t>
      </w:r>
    </w:p>
    <w:p w14:paraId="63F7E4A9">
      <w:pPr>
        <w:ind w:firstLine="568"/>
        <w:rPr>
          <w:color w:val="000000" w:themeColor="text1"/>
          <w:spacing w:val="2"/>
          <w14:textFill>
            <w14:solidFill>
              <w14:schemeClr w14:val="tx1"/>
            </w14:solidFill>
          </w14:textFill>
        </w:rPr>
      </w:pPr>
      <w:r>
        <w:rPr>
          <w:rFonts w:hint="eastAsia"/>
          <w:color w:val="000000" w:themeColor="text1"/>
          <w:spacing w:val="2"/>
          <w14:textFill>
            <w14:solidFill>
              <w14:schemeClr w14:val="tx1"/>
            </w14:solidFill>
          </w14:textFill>
        </w:rPr>
        <w:t>站区辅房前设有一全自动洗车机。</w:t>
      </w:r>
    </w:p>
    <w:p w14:paraId="6C237F86">
      <w:pPr>
        <w:ind w:firstLine="568"/>
        <w:rPr>
          <w:color w:val="000000" w:themeColor="text1"/>
          <w:spacing w:val="2"/>
          <w14:textFill>
            <w14:solidFill>
              <w14:schemeClr w14:val="tx1"/>
            </w14:solidFill>
          </w14:textFill>
        </w:rPr>
      </w:pPr>
      <w:r>
        <w:rPr>
          <w:color w:val="000000" w:themeColor="text1"/>
          <w:spacing w:val="2"/>
          <w14:textFill>
            <w14:solidFill>
              <w14:schemeClr w14:val="tx1"/>
            </w14:solidFill>
          </w14:textFill>
        </w:rPr>
        <w:t>5.站区道路</w:t>
      </w:r>
    </w:p>
    <w:p w14:paraId="3A7DA154">
      <w:pPr>
        <w:ind w:firstLine="568"/>
        <w:rPr>
          <w:color w:val="000000" w:themeColor="text1"/>
          <w:spacing w:val="2"/>
          <w14:textFill>
            <w14:solidFill>
              <w14:schemeClr w14:val="tx1"/>
            </w14:solidFill>
          </w14:textFill>
        </w:rPr>
      </w:pPr>
      <w:r>
        <w:rPr>
          <w:color w:val="000000" w:themeColor="text1"/>
          <w:spacing w:val="2"/>
          <w14:textFill>
            <w14:solidFill>
              <w14:schemeClr w14:val="tx1"/>
            </w14:solidFill>
          </w14:textFill>
        </w:rPr>
        <w:t>站内设置2条单车道1条双车道，外车道宽9m，中间双车道宽8m，内车道宽5m。站内道路采用混凝土路面；站内的道路转弯半径按行驶车型确定，小车转弯半径不小于9m，大车转弯半径不小于12m。</w:t>
      </w:r>
      <w:bookmarkStart w:id="201" w:name="_Toc163694490"/>
      <w:bookmarkStart w:id="202" w:name="_Toc153013327"/>
      <w:bookmarkStart w:id="203" w:name="_Toc153082042"/>
      <w:bookmarkStart w:id="204" w:name="_Toc166118048"/>
      <w:bookmarkStart w:id="205" w:name="_Toc163648861"/>
      <w:bookmarkStart w:id="206" w:name="_Toc9755114"/>
      <w:bookmarkStart w:id="207" w:name="_Toc153613482"/>
      <w:bookmarkStart w:id="208" w:name="_Toc3921"/>
      <w:bookmarkStart w:id="209" w:name="_Toc156033571"/>
      <w:bookmarkStart w:id="210" w:name="_Toc156029811"/>
      <w:r>
        <w:rPr>
          <w:color w:val="000000" w:themeColor="text1"/>
          <w:spacing w:val="2"/>
          <w14:textFill>
            <w14:solidFill>
              <w14:schemeClr w14:val="tx1"/>
            </w14:solidFill>
          </w14:textFill>
        </w:rPr>
        <w:t>站内停车位为平坡，道路坡度不大于8%，且坡向站外。</w:t>
      </w:r>
    </w:p>
    <w:p w14:paraId="69500FA0">
      <w:pPr>
        <w:pStyle w:val="3"/>
        <w:rPr>
          <w:color w:val="000000" w:themeColor="text1"/>
          <w:lang w:val="zh-CN"/>
          <w14:textFill>
            <w14:solidFill>
              <w14:schemeClr w14:val="tx1"/>
            </w14:solidFill>
          </w14:textFill>
        </w:rPr>
      </w:pPr>
      <w:bookmarkStart w:id="211" w:name="_Toc25462"/>
      <w:bookmarkStart w:id="212" w:name="_Toc6490"/>
      <w:r>
        <w:rPr>
          <w:color w:val="000000" w:themeColor="text1"/>
          <w:lang w:val="zh-CN"/>
          <w14:textFill>
            <w14:solidFill>
              <w14:schemeClr w14:val="tx1"/>
            </w14:solidFill>
          </w14:textFill>
        </w:rPr>
        <w:t>2.4  工艺及设施</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201"/>
      <w:bookmarkEnd w:id="202"/>
      <w:bookmarkEnd w:id="203"/>
      <w:bookmarkEnd w:id="204"/>
      <w:bookmarkEnd w:id="205"/>
      <w:bookmarkEnd w:id="206"/>
      <w:bookmarkEnd w:id="207"/>
      <w:bookmarkEnd w:id="208"/>
      <w:bookmarkEnd w:id="209"/>
      <w:bookmarkEnd w:id="210"/>
      <w:bookmarkEnd w:id="211"/>
      <w:bookmarkEnd w:id="212"/>
    </w:p>
    <w:p w14:paraId="59027891">
      <w:pPr>
        <w:pStyle w:val="4"/>
        <w:rPr>
          <w:color w:val="000000" w:themeColor="text1"/>
          <w14:textFill>
            <w14:solidFill>
              <w14:schemeClr w14:val="tx1"/>
            </w14:solidFill>
          </w14:textFill>
        </w:rPr>
      </w:pPr>
      <w:r>
        <w:rPr>
          <w:color w:val="000000" w:themeColor="text1"/>
          <w14:textFill>
            <w14:solidFill>
              <w14:schemeClr w14:val="tx1"/>
            </w14:solidFill>
          </w14:textFill>
        </w:rPr>
        <w:t>2.4.1加油、卸油工艺流程</w:t>
      </w:r>
    </w:p>
    <w:p w14:paraId="76C6FE97">
      <w:pPr>
        <w:rPr>
          <w:color w:val="000000" w:themeColor="text1"/>
          <w14:textFill>
            <w14:solidFill>
              <w14:schemeClr w14:val="tx1"/>
            </w14:solidFill>
          </w14:textFill>
        </w:rPr>
      </w:pPr>
      <w:r>
        <w:rPr>
          <w:color w:val="000000" w:themeColor="text1"/>
          <w14:textFill>
            <w14:solidFill>
              <w14:schemeClr w14:val="tx1"/>
            </w14:solidFill>
          </w14:textFill>
        </w:rPr>
        <w:t>该站采用密闭式卸油工艺（采用汽油卸油油气回收）和潜油泵加油工艺（采用汽油加油油气回收），通过潜油泵把油品从储油罐打出，经过加油机的计量器再经加油枪加到汽车油箱中。</w:t>
      </w:r>
    </w:p>
    <w:p w14:paraId="132BC495">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该加油站卸油时采用防止油品满溢的自动截止阀—机械式防满溢阀；油罐内设置带有高液位报警功能的液位监测仪；加油软管上设置安全拉断阀，同时，加油机底部的供油管道上设置剪切阀。</w:t>
      </w:r>
    </w:p>
    <w:p w14:paraId="6F566339">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1.卸油及卸油油气回收</w:t>
      </w:r>
    </w:p>
    <w:p w14:paraId="03A73D75">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卸油：该站采用密闭卸油，油罐车经连通软管与油罐卸油口连通卸油的方式卸油。装载汽油、柴油的油罐车到达加油站罐区后，在油罐卸油口附近停稳熄火，先接好静电接地装置，待油罐车熄火并静止15min后，用导静电耐油胶管将油罐车的卸油口、储罐进油的密闭快速接头连接好，经计量后准备接卸，卸油前，核对罐车与油罐中油品的品名、牌号是否一致，各项准备工作检查无误后，开始自流卸油。油品卸完后，拆卸油管与油罐车连接端头，并将卸油管抬高使管内油料流入油罐内并防止溅出，盖严卸油口处的快速接头密封盖，拆除静电接地装置，卸油完毕罐车静止5min后，发动油罐车缓慢离开罐区。</w:t>
      </w:r>
    </w:p>
    <w:p w14:paraId="12695913">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汽油卸油过程中的油气通过储罐上的油气回收管道与储罐车的油气回收接口连接将埋地储罐中的油气回收至油罐车内。</w:t>
      </w:r>
    </w:p>
    <w:p w14:paraId="510D590A">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2.加油</w:t>
      </w:r>
    </w:p>
    <w:p w14:paraId="4CE02DB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加油：加油机加油采用潜油泵加油工艺，将油品从储油罐打出，经过加油机的计量器，再经加油枪加到汽车油箱中。</w:t>
      </w:r>
    </w:p>
    <w:p w14:paraId="22DDFED6">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加油油气回收是利用加油枪上特殊装置（加油机内设真空泵， 自带紧急停机按钮），将原本由油箱</w:t>
      </w:r>
      <w:r>
        <w:rPr>
          <w:rFonts w:hint="eastAsia"/>
          <w:color w:val="000000" w:themeColor="text1"/>
          <w14:textFill>
            <w14:solidFill>
              <w14:schemeClr w14:val="tx1"/>
            </w14:solidFill>
          </w14:textFill>
        </w:rPr>
        <w:t>逸散</w:t>
      </w:r>
      <w:r>
        <w:rPr>
          <w:color w:val="000000" w:themeColor="text1"/>
          <w14:textFill>
            <w14:solidFill>
              <w14:schemeClr w14:val="tx1"/>
            </w14:solidFill>
          </w14:textFill>
        </w:rPr>
        <w:t>于空气中的油气，经加油枪、真空泵回收入汽油罐内。</w:t>
      </w:r>
    </w:p>
    <w:p w14:paraId="2AF5C9B6">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汽油加油及油气回收工艺流程方块图如下：</w:t>
      </w:r>
    </w:p>
    <w:p w14:paraId="30A130B9">
      <w:pPr>
        <w:pStyle w:val="4"/>
        <w:rPr>
          <w:color w:val="000000" w:themeColor="text1"/>
          <w14:textFill>
            <w14:solidFill>
              <w14:schemeClr w14:val="tx1"/>
            </w14:solidFill>
          </w14:textFill>
        </w:rPr>
      </w:pPr>
      <w:r>
        <w:rPr>
          <w:color w:val="000000" w:themeColor="text1"/>
          <w14:textFill>
            <w14:solidFill>
              <w14:schemeClr w14:val="tx1"/>
            </w14:solidFill>
          </w14:textFill>
        </w:rPr>
        <w:t>2.4.2主要设备</w:t>
      </w:r>
    </w:p>
    <w:p w14:paraId="504D9E38">
      <w:pPr>
        <w:rPr>
          <w:color w:val="000000" w:themeColor="text1"/>
          <w14:textFill>
            <w14:solidFill>
              <w14:schemeClr w14:val="tx1"/>
            </w14:solidFill>
          </w14:textFill>
        </w:rPr>
      </w:pPr>
      <w:r>
        <w:rPr>
          <w:color w:val="000000" w:themeColor="text1"/>
          <w14:textFill>
            <w14:solidFill>
              <w14:schemeClr w14:val="tx1"/>
            </w14:solidFill>
          </w14:textFill>
        </w:rPr>
        <w:t>主要设备，详见表2.4-1。</w:t>
      </w:r>
    </w:p>
    <w:p w14:paraId="15D585C9">
      <w:pPr>
        <w:pStyle w:val="4"/>
        <w:ind w:firstLine="560" w:firstLineChars="200"/>
        <w:rPr>
          <w:rFonts w:hint="eastAsia" w:ascii="Times New Roman" w:hAnsi="Times New Roman" w:eastAsia="宋体" w:cs="Times New Roman"/>
          <w:b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8"/>
          <w:szCs w:val="28"/>
          <w:lang w:val="en-US" w:eastAsia="zh-CN" w:bidi="ar-SA"/>
          <w14:textFill>
            <w14:solidFill>
              <w14:schemeClr w14:val="tx1"/>
            </w14:solidFill>
          </w14:textFill>
        </w:rPr>
        <w:t>……</w:t>
      </w:r>
    </w:p>
    <w:p w14:paraId="563F1396">
      <w:pPr>
        <w:pStyle w:val="4"/>
        <w:rPr>
          <w:color w:val="000000" w:themeColor="text1"/>
          <w14:textFill>
            <w14:solidFill>
              <w14:schemeClr w14:val="tx1"/>
            </w14:solidFill>
          </w14:textFill>
        </w:rPr>
      </w:pPr>
      <w:r>
        <w:rPr>
          <w:color w:val="000000" w:themeColor="text1"/>
          <w14:textFill>
            <w14:solidFill>
              <w14:schemeClr w14:val="tx1"/>
            </w14:solidFill>
          </w14:textFill>
        </w:rPr>
        <w:t>2.4.3主要建（构）筑物</w:t>
      </w:r>
    </w:p>
    <w:p w14:paraId="79115525">
      <w:pPr>
        <w:rPr>
          <w:color w:val="000000" w:themeColor="text1"/>
          <w14:textFill>
            <w14:solidFill>
              <w14:schemeClr w14:val="tx1"/>
            </w14:solidFill>
          </w14:textFill>
        </w:rPr>
      </w:pPr>
      <w:r>
        <w:rPr>
          <w:color w:val="000000" w:themeColor="text1"/>
          <w14:textFill>
            <w14:solidFill>
              <w14:schemeClr w14:val="tx1"/>
            </w14:solidFill>
          </w14:textFill>
        </w:rPr>
        <w:t>易武加油站主要建（构）筑物见表2.4-2。</w:t>
      </w:r>
    </w:p>
    <w:p w14:paraId="6C232FA7">
      <w:pPr>
        <w:pStyle w:val="42"/>
        <w:rPr>
          <w:color w:val="000000" w:themeColor="text1"/>
          <w14:textFill>
            <w14:solidFill>
              <w14:schemeClr w14:val="tx1"/>
            </w14:solidFill>
          </w14:textFill>
        </w:rPr>
      </w:pPr>
      <w:r>
        <w:rPr>
          <w:color w:val="000000" w:themeColor="text1"/>
          <w14:textFill>
            <w14:solidFill>
              <w14:schemeClr w14:val="tx1"/>
            </w14:solidFill>
          </w14:textFill>
        </w:rPr>
        <w:t>表2.4-2  主要建（构）筑物明细表</w:t>
      </w:r>
    </w:p>
    <w:tbl>
      <w:tblPr>
        <w:tblStyle w:val="48"/>
        <w:tblW w:w="924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4"/>
        <w:gridCol w:w="660"/>
        <w:gridCol w:w="660"/>
        <w:gridCol w:w="2823"/>
        <w:gridCol w:w="2232"/>
        <w:gridCol w:w="2232"/>
      </w:tblGrid>
      <w:tr w14:paraId="6FDCC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jc w:val="center"/>
        </w:trPr>
        <w:tc>
          <w:tcPr>
            <w:tcW w:w="0" w:type="auto"/>
            <w:vAlign w:val="center"/>
          </w:tcPr>
          <w:p w14:paraId="130C118C">
            <w:pPr>
              <w:pStyle w:val="41"/>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0" w:type="auto"/>
            <w:vAlign w:val="center"/>
          </w:tcPr>
          <w:p w14:paraId="1D0A21BA">
            <w:pPr>
              <w:pStyle w:val="41"/>
              <w:rPr>
                <w:color w:val="000000" w:themeColor="text1"/>
                <w14:textFill>
                  <w14:solidFill>
                    <w14:schemeClr w14:val="tx1"/>
                  </w14:solidFill>
                </w14:textFill>
              </w:rPr>
            </w:pPr>
            <w:r>
              <w:rPr>
                <w:color w:val="000000" w:themeColor="text1"/>
                <w14:textFill>
                  <w14:solidFill>
                    <w14:schemeClr w14:val="tx1"/>
                  </w14:solidFill>
                </w14:textFill>
              </w:rPr>
              <w:t>名称</w:t>
            </w:r>
          </w:p>
        </w:tc>
        <w:tc>
          <w:tcPr>
            <w:tcW w:w="0" w:type="auto"/>
            <w:vAlign w:val="center"/>
          </w:tcPr>
          <w:p w14:paraId="29AE35C5">
            <w:pPr>
              <w:pStyle w:val="41"/>
              <w:rPr>
                <w:color w:val="000000" w:themeColor="text1"/>
                <w14:textFill>
                  <w14:solidFill>
                    <w14:schemeClr w14:val="tx1"/>
                  </w14:solidFill>
                </w14:textFill>
              </w:rPr>
            </w:pPr>
            <w:r>
              <w:rPr>
                <w:color w:val="000000" w:themeColor="text1"/>
                <w14:textFill>
                  <w14:solidFill>
                    <w14:schemeClr w14:val="tx1"/>
                  </w14:solidFill>
                </w14:textFill>
              </w:rPr>
              <w:t>层数</w:t>
            </w:r>
          </w:p>
        </w:tc>
        <w:tc>
          <w:tcPr>
            <w:tcW w:w="0" w:type="auto"/>
            <w:vAlign w:val="center"/>
          </w:tcPr>
          <w:p w14:paraId="03B90BCA">
            <w:pPr>
              <w:pStyle w:val="41"/>
              <w:rPr>
                <w:color w:val="000000" w:themeColor="text1"/>
                <w14:textFill>
                  <w14:solidFill>
                    <w14:schemeClr w14:val="tx1"/>
                  </w14:solidFill>
                </w14:textFill>
              </w:rPr>
            </w:pPr>
            <w:r>
              <w:rPr>
                <w:color w:val="000000" w:themeColor="text1"/>
                <w14:textFill>
                  <w14:solidFill>
                    <w14:schemeClr w14:val="tx1"/>
                  </w14:solidFill>
                </w14:textFill>
              </w:rPr>
              <w:t>结构型式</w:t>
            </w:r>
          </w:p>
        </w:tc>
        <w:tc>
          <w:tcPr>
            <w:tcW w:w="0" w:type="auto"/>
            <w:vAlign w:val="center"/>
          </w:tcPr>
          <w:p w14:paraId="3CDDB625">
            <w:pPr>
              <w:pStyle w:val="41"/>
              <w:rPr>
                <w:color w:val="000000" w:themeColor="text1"/>
                <w14:textFill>
                  <w14:solidFill>
                    <w14:schemeClr w14:val="tx1"/>
                  </w14:solidFill>
                </w14:textFill>
              </w:rPr>
            </w:pPr>
            <w:r>
              <w:rPr>
                <w:color w:val="000000" w:themeColor="text1"/>
                <w14:textFill>
                  <w14:solidFill>
                    <w14:schemeClr w14:val="tx1"/>
                  </w14:solidFill>
                </w14:textFill>
              </w:rPr>
              <w:t>占地面积（m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tc>
        <w:tc>
          <w:tcPr>
            <w:tcW w:w="2232" w:type="dxa"/>
            <w:vAlign w:val="center"/>
          </w:tcPr>
          <w:p w14:paraId="16881159">
            <w:pPr>
              <w:pStyle w:val="41"/>
              <w:rPr>
                <w:color w:val="000000" w:themeColor="text1"/>
                <w14:textFill>
                  <w14:solidFill>
                    <w14:schemeClr w14:val="tx1"/>
                  </w14:solidFill>
                </w14:textFill>
              </w:rPr>
            </w:pPr>
            <w:r>
              <w:rPr>
                <w:color w:val="000000" w:themeColor="text1"/>
                <w14:textFill>
                  <w14:solidFill>
                    <w14:schemeClr w14:val="tx1"/>
                  </w14:solidFill>
                </w14:textFill>
              </w:rPr>
              <w:t>建筑面积（m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tc>
      </w:tr>
      <w:tr w14:paraId="6989F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0" w:type="auto"/>
            <w:vAlign w:val="center"/>
          </w:tcPr>
          <w:p w14:paraId="666181F8">
            <w:pPr>
              <w:pStyle w:val="41"/>
              <w:rPr>
                <w:color w:val="000000" w:themeColor="text1"/>
                <w14:textFill>
                  <w14:solidFill>
                    <w14:schemeClr w14:val="tx1"/>
                  </w14:solidFill>
                </w14:textFill>
              </w:rPr>
            </w:pPr>
            <w:r>
              <w:rPr>
                <w:color w:val="000000" w:themeColor="text1"/>
                <w14:textFill>
                  <w14:solidFill>
                    <w14:schemeClr w14:val="tx1"/>
                  </w14:solidFill>
                </w14:textFill>
              </w:rPr>
              <w:t>1</w:t>
            </w:r>
          </w:p>
        </w:tc>
        <w:tc>
          <w:tcPr>
            <w:tcW w:w="0" w:type="auto"/>
            <w:vAlign w:val="center"/>
          </w:tcPr>
          <w:p w14:paraId="5B7D51A5">
            <w:pPr>
              <w:pStyle w:val="41"/>
              <w:rPr>
                <w:color w:val="000000" w:themeColor="text1"/>
                <w14:textFill>
                  <w14:solidFill>
                    <w14:schemeClr w14:val="tx1"/>
                  </w14:solidFill>
                </w14:textFill>
              </w:rPr>
            </w:pPr>
            <w:r>
              <w:rPr>
                <w:color w:val="000000" w:themeColor="text1"/>
                <w14:textFill>
                  <w14:solidFill>
                    <w14:schemeClr w14:val="tx1"/>
                  </w14:solidFill>
                </w14:textFill>
              </w:rPr>
              <w:t>罩棚</w:t>
            </w:r>
          </w:p>
        </w:tc>
        <w:tc>
          <w:tcPr>
            <w:tcW w:w="0" w:type="auto"/>
            <w:vAlign w:val="center"/>
          </w:tcPr>
          <w:p w14:paraId="3FAAE03F">
            <w:pPr>
              <w:pStyle w:val="41"/>
              <w:rPr>
                <w:color w:val="000000" w:themeColor="text1"/>
                <w14:textFill>
                  <w14:solidFill>
                    <w14:schemeClr w14:val="tx1"/>
                  </w14:solidFill>
                </w14:textFill>
              </w:rPr>
            </w:pPr>
            <w:r>
              <w:rPr>
                <w:color w:val="000000" w:themeColor="text1"/>
                <w14:textFill>
                  <w14:solidFill>
                    <w14:schemeClr w14:val="tx1"/>
                  </w14:solidFill>
                </w14:textFill>
              </w:rPr>
              <w:t>地上</w:t>
            </w:r>
          </w:p>
          <w:p w14:paraId="582FC162">
            <w:pPr>
              <w:pStyle w:val="41"/>
              <w:rPr>
                <w:color w:val="000000" w:themeColor="text1"/>
                <w14:textFill>
                  <w14:solidFill>
                    <w14:schemeClr w14:val="tx1"/>
                  </w14:solidFill>
                </w14:textFill>
              </w:rPr>
            </w:pPr>
            <w:r>
              <w:rPr>
                <w:color w:val="000000" w:themeColor="text1"/>
                <w14:textFill>
                  <w14:solidFill>
                    <w14:schemeClr w14:val="tx1"/>
                  </w14:solidFill>
                </w14:textFill>
              </w:rPr>
              <w:t>单层</w:t>
            </w:r>
          </w:p>
        </w:tc>
        <w:tc>
          <w:tcPr>
            <w:tcW w:w="0" w:type="auto"/>
            <w:vAlign w:val="center"/>
          </w:tcPr>
          <w:p w14:paraId="325F5590">
            <w:pPr>
              <w:pStyle w:val="41"/>
              <w:rPr>
                <w:color w:val="000000" w:themeColor="text1"/>
                <w14:textFill>
                  <w14:solidFill>
                    <w14:schemeClr w14:val="tx1"/>
                  </w14:solidFill>
                </w14:textFill>
              </w:rPr>
            </w:pPr>
            <w:r>
              <w:rPr>
                <w:color w:val="000000" w:themeColor="text1"/>
                <w14:textFill>
                  <w14:solidFill>
                    <w14:schemeClr w14:val="tx1"/>
                  </w14:solidFill>
                </w14:textFill>
              </w:rPr>
              <w:t>钢制螺栓球网架结构</w:t>
            </w:r>
          </w:p>
        </w:tc>
        <w:tc>
          <w:tcPr>
            <w:tcW w:w="0" w:type="auto"/>
            <w:vAlign w:val="center"/>
          </w:tcPr>
          <w:p w14:paraId="07085F9F">
            <w:pPr>
              <w:pStyle w:val="41"/>
              <w:rPr>
                <w:color w:val="000000" w:themeColor="text1"/>
                <w14:textFill>
                  <w14:solidFill>
                    <w14:schemeClr w14:val="tx1"/>
                  </w14:solidFill>
                </w14:textFill>
              </w:rPr>
            </w:pPr>
            <w:r>
              <w:rPr>
                <w:color w:val="000000" w:themeColor="text1"/>
                <w14:textFill>
                  <w14:solidFill>
                    <w14:schemeClr w14:val="tx1"/>
                  </w14:solidFill>
                </w14:textFill>
              </w:rPr>
              <w:t>587.50</w:t>
            </w:r>
          </w:p>
        </w:tc>
        <w:tc>
          <w:tcPr>
            <w:tcW w:w="2232" w:type="dxa"/>
            <w:vAlign w:val="center"/>
          </w:tcPr>
          <w:p w14:paraId="5C62B3CA">
            <w:pPr>
              <w:pStyle w:val="41"/>
              <w:rPr>
                <w:color w:val="000000" w:themeColor="text1"/>
                <w14:textFill>
                  <w14:solidFill>
                    <w14:schemeClr w14:val="tx1"/>
                  </w14:solidFill>
                </w14:textFill>
              </w:rPr>
            </w:pPr>
            <w:r>
              <w:rPr>
                <w:color w:val="000000" w:themeColor="text1"/>
                <w14:textFill>
                  <w14:solidFill>
                    <w14:schemeClr w14:val="tx1"/>
                  </w14:solidFill>
                </w14:textFill>
              </w:rPr>
              <w:t>293.75</w:t>
            </w:r>
          </w:p>
        </w:tc>
      </w:tr>
      <w:tr w14:paraId="31061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0" w:type="auto"/>
            <w:vAlign w:val="center"/>
          </w:tcPr>
          <w:p w14:paraId="47B57705">
            <w:pPr>
              <w:pStyle w:val="41"/>
              <w:rPr>
                <w:color w:val="000000" w:themeColor="text1"/>
                <w14:textFill>
                  <w14:solidFill>
                    <w14:schemeClr w14:val="tx1"/>
                  </w14:solidFill>
                </w14:textFill>
              </w:rPr>
            </w:pPr>
            <w:r>
              <w:rPr>
                <w:color w:val="000000" w:themeColor="text1"/>
                <w14:textFill>
                  <w14:solidFill>
                    <w14:schemeClr w14:val="tx1"/>
                  </w14:solidFill>
                </w14:textFill>
              </w:rPr>
              <w:t>2</w:t>
            </w:r>
          </w:p>
        </w:tc>
        <w:tc>
          <w:tcPr>
            <w:tcW w:w="0" w:type="auto"/>
            <w:vAlign w:val="center"/>
          </w:tcPr>
          <w:p w14:paraId="369A7ED8">
            <w:pPr>
              <w:pStyle w:val="41"/>
              <w:rPr>
                <w:color w:val="000000" w:themeColor="text1"/>
                <w14:textFill>
                  <w14:solidFill>
                    <w14:schemeClr w14:val="tx1"/>
                  </w14:solidFill>
                </w14:textFill>
              </w:rPr>
            </w:pPr>
            <w:r>
              <w:rPr>
                <w:color w:val="000000" w:themeColor="text1"/>
                <w14:textFill>
                  <w14:solidFill>
                    <w14:schemeClr w14:val="tx1"/>
                  </w14:solidFill>
                </w14:textFill>
              </w:rPr>
              <w:t>站房</w:t>
            </w:r>
          </w:p>
        </w:tc>
        <w:tc>
          <w:tcPr>
            <w:tcW w:w="0" w:type="auto"/>
            <w:vAlign w:val="center"/>
          </w:tcPr>
          <w:p w14:paraId="2E0B8CA2">
            <w:pPr>
              <w:pStyle w:val="41"/>
              <w:rPr>
                <w:color w:val="000000" w:themeColor="text1"/>
                <w14:textFill>
                  <w14:solidFill>
                    <w14:schemeClr w14:val="tx1"/>
                  </w14:solidFill>
                </w14:textFill>
              </w:rPr>
            </w:pPr>
            <w:r>
              <w:rPr>
                <w:color w:val="000000" w:themeColor="text1"/>
                <w14:textFill>
                  <w14:solidFill>
                    <w14:schemeClr w14:val="tx1"/>
                  </w14:solidFill>
                </w14:textFill>
              </w:rPr>
              <w:t>地上</w:t>
            </w:r>
          </w:p>
          <w:p w14:paraId="12508510">
            <w:pPr>
              <w:pStyle w:val="41"/>
              <w:rPr>
                <w:color w:val="000000" w:themeColor="text1"/>
                <w14:textFill>
                  <w14:solidFill>
                    <w14:schemeClr w14:val="tx1"/>
                  </w14:solidFill>
                </w14:textFill>
              </w:rPr>
            </w:pPr>
            <w:r>
              <w:rPr>
                <w:color w:val="000000" w:themeColor="text1"/>
                <w14:textFill>
                  <w14:solidFill>
                    <w14:schemeClr w14:val="tx1"/>
                  </w14:solidFill>
                </w14:textFill>
              </w:rPr>
              <w:t>二层</w:t>
            </w:r>
          </w:p>
        </w:tc>
        <w:tc>
          <w:tcPr>
            <w:tcW w:w="0" w:type="auto"/>
            <w:vAlign w:val="center"/>
          </w:tcPr>
          <w:p w14:paraId="603C9E6F">
            <w:pPr>
              <w:pStyle w:val="41"/>
              <w:rPr>
                <w:color w:val="000000" w:themeColor="text1"/>
                <w14:textFill>
                  <w14:solidFill>
                    <w14:schemeClr w14:val="tx1"/>
                  </w14:solidFill>
                </w14:textFill>
              </w:rPr>
            </w:pPr>
            <w:r>
              <w:rPr>
                <w:color w:val="000000" w:themeColor="text1"/>
                <w14:textFill>
                  <w14:solidFill>
                    <w14:schemeClr w14:val="tx1"/>
                  </w14:solidFill>
                </w14:textFill>
              </w:rPr>
              <w:t>钢筋混凝土框架结构</w:t>
            </w:r>
          </w:p>
        </w:tc>
        <w:tc>
          <w:tcPr>
            <w:tcW w:w="0" w:type="auto"/>
            <w:vAlign w:val="center"/>
          </w:tcPr>
          <w:p w14:paraId="33D89A99">
            <w:pPr>
              <w:pStyle w:val="41"/>
              <w:rPr>
                <w:color w:val="000000" w:themeColor="text1"/>
                <w14:textFill>
                  <w14:solidFill>
                    <w14:schemeClr w14:val="tx1"/>
                  </w14:solidFill>
                </w14:textFill>
              </w:rPr>
            </w:pPr>
            <w:r>
              <w:rPr>
                <w:color w:val="000000" w:themeColor="text1"/>
                <w14:textFill>
                  <w14:solidFill>
                    <w14:schemeClr w14:val="tx1"/>
                  </w14:solidFill>
                </w14:textFill>
              </w:rPr>
              <w:t>138.23</w:t>
            </w:r>
          </w:p>
        </w:tc>
        <w:tc>
          <w:tcPr>
            <w:tcW w:w="2232" w:type="dxa"/>
            <w:vAlign w:val="center"/>
          </w:tcPr>
          <w:p w14:paraId="68D41401">
            <w:pPr>
              <w:pStyle w:val="41"/>
              <w:rPr>
                <w:color w:val="000000" w:themeColor="text1"/>
                <w14:textFill>
                  <w14:solidFill>
                    <w14:schemeClr w14:val="tx1"/>
                  </w14:solidFill>
                </w14:textFill>
              </w:rPr>
            </w:pPr>
            <w:r>
              <w:rPr>
                <w:color w:val="000000" w:themeColor="text1"/>
                <w14:textFill>
                  <w14:solidFill>
                    <w14:schemeClr w14:val="tx1"/>
                  </w14:solidFill>
                </w14:textFill>
              </w:rPr>
              <w:t>293.3</w:t>
            </w:r>
          </w:p>
        </w:tc>
      </w:tr>
      <w:tr w14:paraId="5DAD1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634" w:type="dxa"/>
            <w:vAlign w:val="center"/>
          </w:tcPr>
          <w:p w14:paraId="6A948B6D">
            <w:pPr>
              <w:pStyle w:val="41"/>
              <w:rPr>
                <w:color w:val="000000" w:themeColor="text1"/>
                <w14:textFill>
                  <w14:solidFill>
                    <w14:schemeClr w14:val="tx1"/>
                  </w14:solidFill>
                </w14:textFill>
              </w:rPr>
            </w:pPr>
            <w:r>
              <w:rPr>
                <w:color w:val="000000" w:themeColor="text1"/>
                <w14:textFill>
                  <w14:solidFill>
                    <w14:schemeClr w14:val="tx1"/>
                  </w14:solidFill>
                </w14:textFill>
              </w:rPr>
              <w:t>3</w:t>
            </w:r>
          </w:p>
        </w:tc>
        <w:tc>
          <w:tcPr>
            <w:tcW w:w="660" w:type="dxa"/>
            <w:vAlign w:val="center"/>
          </w:tcPr>
          <w:p w14:paraId="0B35A451">
            <w:pPr>
              <w:pStyle w:val="41"/>
              <w:rPr>
                <w:color w:val="000000" w:themeColor="text1"/>
                <w14:textFill>
                  <w14:solidFill>
                    <w14:schemeClr w14:val="tx1"/>
                  </w14:solidFill>
                </w14:textFill>
              </w:rPr>
            </w:pPr>
            <w:r>
              <w:rPr>
                <w:color w:val="000000" w:themeColor="text1"/>
                <w14:textFill>
                  <w14:solidFill>
                    <w14:schemeClr w14:val="tx1"/>
                  </w14:solidFill>
                </w14:textFill>
              </w:rPr>
              <w:t>辅房</w:t>
            </w:r>
          </w:p>
        </w:tc>
        <w:tc>
          <w:tcPr>
            <w:tcW w:w="660" w:type="dxa"/>
            <w:vAlign w:val="center"/>
          </w:tcPr>
          <w:p w14:paraId="36693464">
            <w:pPr>
              <w:pStyle w:val="41"/>
              <w:rPr>
                <w:color w:val="000000" w:themeColor="text1"/>
                <w14:textFill>
                  <w14:solidFill>
                    <w14:schemeClr w14:val="tx1"/>
                  </w14:solidFill>
                </w14:textFill>
              </w:rPr>
            </w:pPr>
            <w:r>
              <w:rPr>
                <w:color w:val="000000" w:themeColor="text1"/>
                <w14:textFill>
                  <w14:solidFill>
                    <w14:schemeClr w14:val="tx1"/>
                  </w14:solidFill>
                </w14:textFill>
              </w:rPr>
              <w:t>地上</w:t>
            </w:r>
          </w:p>
          <w:p w14:paraId="0AC76FC7">
            <w:pPr>
              <w:pStyle w:val="41"/>
              <w:rPr>
                <w:color w:val="000000" w:themeColor="text1"/>
                <w14:textFill>
                  <w14:solidFill>
                    <w14:schemeClr w14:val="tx1"/>
                  </w14:solidFill>
                </w14:textFill>
              </w:rPr>
            </w:pPr>
            <w:r>
              <w:rPr>
                <w:color w:val="000000" w:themeColor="text1"/>
                <w14:textFill>
                  <w14:solidFill>
                    <w14:schemeClr w14:val="tx1"/>
                  </w14:solidFill>
                </w14:textFill>
              </w:rPr>
              <w:t>二层</w:t>
            </w:r>
          </w:p>
        </w:tc>
        <w:tc>
          <w:tcPr>
            <w:tcW w:w="2823" w:type="dxa"/>
            <w:vAlign w:val="center"/>
          </w:tcPr>
          <w:p w14:paraId="02950C94">
            <w:pPr>
              <w:pStyle w:val="41"/>
              <w:rPr>
                <w:color w:val="000000" w:themeColor="text1"/>
                <w14:textFill>
                  <w14:solidFill>
                    <w14:schemeClr w14:val="tx1"/>
                  </w14:solidFill>
                </w14:textFill>
              </w:rPr>
            </w:pPr>
            <w:r>
              <w:rPr>
                <w:color w:val="000000" w:themeColor="text1"/>
                <w14:textFill>
                  <w14:solidFill>
                    <w14:schemeClr w14:val="tx1"/>
                  </w14:solidFill>
                </w14:textFill>
              </w:rPr>
              <w:t>钢筋混凝土框架结构</w:t>
            </w:r>
          </w:p>
        </w:tc>
        <w:tc>
          <w:tcPr>
            <w:tcW w:w="2232" w:type="dxa"/>
            <w:vAlign w:val="center"/>
          </w:tcPr>
          <w:p w14:paraId="25ED9736">
            <w:pPr>
              <w:pStyle w:val="41"/>
              <w:rPr>
                <w:color w:val="000000" w:themeColor="text1"/>
                <w14:textFill>
                  <w14:solidFill>
                    <w14:schemeClr w14:val="tx1"/>
                  </w14:solidFill>
                </w14:textFill>
              </w:rPr>
            </w:pPr>
            <w:r>
              <w:rPr>
                <w:color w:val="000000" w:themeColor="text1"/>
                <w14:textFill>
                  <w14:solidFill>
                    <w14:schemeClr w14:val="tx1"/>
                  </w14:solidFill>
                </w14:textFill>
              </w:rPr>
              <w:t>152.52</w:t>
            </w:r>
          </w:p>
        </w:tc>
        <w:tc>
          <w:tcPr>
            <w:tcW w:w="2232" w:type="dxa"/>
            <w:vAlign w:val="center"/>
          </w:tcPr>
          <w:p w14:paraId="7D5F709D">
            <w:pPr>
              <w:pStyle w:val="41"/>
              <w:rPr>
                <w:color w:val="000000" w:themeColor="text1"/>
                <w14:textFill>
                  <w14:solidFill>
                    <w14:schemeClr w14:val="tx1"/>
                  </w14:solidFill>
                </w14:textFill>
              </w:rPr>
            </w:pPr>
            <w:r>
              <w:rPr>
                <w:color w:val="000000" w:themeColor="text1"/>
                <w14:textFill>
                  <w14:solidFill>
                    <w14:schemeClr w14:val="tx1"/>
                  </w14:solidFill>
                </w14:textFill>
              </w:rPr>
              <w:t>323.33</w:t>
            </w:r>
          </w:p>
        </w:tc>
      </w:tr>
      <w:bookmarkEnd w:id="196"/>
      <w:bookmarkEnd w:id="197"/>
      <w:bookmarkEnd w:id="198"/>
      <w:bookmarkEnd w:id="199"/>
      <w:bookmarkEnd w:id="200"/>
    </w:tbl>
    <w:p w14:paraId="6AC4C3B1">
      <w:pPr>
        <w:pStyle w:val="3"/>
        <w:rPr>
          <w:color w:val="000000" w:themeColor="text1"/>
          <w14:textFill>
            <w14:solidFill>
              <w14:schemeClr w14:val="tx1"/>
            </w14:solidFill>
          </w14:textFill>
        </w:rPr>
      </w:pPr>
      <w:bookmarkStart w:id="213" w:name="_Toc9755117"/>
      <w:bookmarkStart w:id="214" w:name="_Toc31365"/>
      <w:bookmarkStart w:id="215" w:name="_Toc392928288"/>
      <w:bookmarkStart w:id="216" w:name="_Toc66"/>
      <w:bookmarkStart w:id="217" w:name="_Toc20534"/>
      <w:bookmarkStart w:id="218" w:name="_Toc163694493"/>
      <w:bookmarkStart w:id="219" w:name="_Toc152401021"/>
      <w:bookmarkStart w:id="220" w:name="_Toc152147150"/>
      <w:bookmarkStart w:id="221" w:name="_Toc152145324"/>
      <w:bookmarkStart w:id="222" w:name="_Toc150078357"/>
      <w:bookmarkStart w:id="223" w:name="_Toc147388086"/>
      <w:bookmarkStart w:id="224" w:name="_Toc156033574"/>
      <w:bookmarkStart w:id="225" w:name="_Toc166118051"/>
      <w:bookmarkStart w:id="226" w:name="_Toc153082045"/>
      <w:bookmarkStart w:id="227" w:name="_Toc152490381"/>
      <w:bookmarkStart w:id="228" w:name="_Toc146456674"/>
      <w:bookmarkStart w:id="229" w:name="_Toc146456451"/>
      <w:bookmarkStart w:id="230" w:name="_Toc148576392"/>
      <w:bookmarkStart w:id="231" w:name="_Toc152146836"/>
      <w:bookmarkStart w:id="232" w:name="_Toc147389692"/>
      <w:bookmarkStart w:id="233" w:name="_Toc152490496"/>
      <w:bookmarkStart w:id="234" w:name="_Toc146454769"/>
      <w:bookmarkStart w:id="235" w:name="_Toc147388793"/>
      <w:bookmarkStart w:id="236" w:name="_Toc153613485"/>
      <w:bookmarkStart w:id="237" w:name="_Toc153013330"/>
      <w:bookmarkStart w:id="238" w:name="_Toc156029814"/>
      <w:bookmarkStart w:id="239" w:name="_Toc147388980"/>
      <w:bookmarkStart w:id="240" w:name="_Toc163648864"/>
      <w:r>
        <w:rPr>
          <w:color w:val="000000" w:themeColor="text1"/>
          <w14:textFill>
            <w14:solidFill>
              <w14:schemeClr w14:val="tx1"/>
            </w14:solidFill>
          </w14:textFill>
        </w:rPr>
        <w:t>2.5 公辅工程</w:t>
      </w:r>
      <w:bookmarkEnd w:id="213"/>
      <w:bookmarkEnd w:id="214"/>
      <w:bookmarkEnd w:id="215"/>
      <w:bookmarkEnd w:id="216"/>
      <w:bookmarkEnd w:id="217"/>
    </w:p>
    <w:p w14:paraId="23562407">
      <w:pPr>
        <w:pStyle w:val="4"/>
        <w:rPr>
          <w:color w:val="000000" w:themeColor="text1"/>
          <w14:textFill>
            <w14:solidFill>
              <w14:schemeClr w14:val="tx1"/>
            </w14:solidFill>
          </w14:textFill>
        </w:rPr>
      </w:pPr>
      <w:r>
        <w:rPr>
          <w:color w:val="000000" w:themeColor="text1"/>
          <w14:textFill>
            <w14:solidFill>
              <w14:schemeClr w14:val="tx1"/>
            </w14:solidFill>
          </w14:textFill>
        </w:rPr>
        <w:t>2.5.1给排水</w:t>
      </w:r>
    </w:p>
    <w:p w14:paraId="53EE460E">
      <w:pPr>
        <w:rPr>
          <w:color w:val="000000" w:themeColor="text1"/>
          <w14:textFill>
            <w14:solidFill>
              <w14:schemeClr w14:val="tx1"/>
            </w14:solidFill>
          </w14:textFill>
        </w:rPr>
      </w:pPr>
      <w:r>
        <w:rPr>
          <w:color w:val="000000" w:themeColor="text1"/>
          <w14:textFill>
            <w14:solidFill>
              <w14:schemeClr w14:val="tx1"/>
            </w14:solidFill>
          </w14:textFill>
        </w:rPr>
        <w:t>（1）给水</w:t>
      </w:r>
    </w:p>
    <w:p w14:paraId="08E3AE3B">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水源：本项目用水接市政给水管网。</w:t>
      </w:r>
    </w:p>
    <w:p w14:paraId="7DBC3C72">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加油站内用水主要为日常生活用水，站内最高日用水量为2.0m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/d，最大时用水量为0.16m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/h，供水压力为0.20MPa。给水管材采用PP-</w:t>
      </w:r>
      <w:r>
        <w:rPr>
          <w:color w:val="000000" w:themeColor="text1"/>
          <w:spacing w:val="1"/>
          <w14:textFill>
            <w14:solidFill>
              <w14:schemeClr w14:val="tx1"/>
            </w14:solidFill>
          </w14:textFill>
        </w:rPr>
        <w:t>R</w:t>
      </w:r>
      <w:r>
        <w:rPr>
          <w:color w:val="000000" w:themeColor="text1"/>
          <w14:textFill>
            <w14:solidFill>
              <w14:schemeClr w14:val="tx1"/>
            </w14:solidFill>
          </w14:textFill>
        </w:rPr>
        <w:t>管，热熔连接，水量水压符合站内需要。</w:t>
      </w:r>
    </w:p>
    <w:p w14:paraId="05DAC1E8">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（2）排水</w:t>
      </w:r>
    </w:p>
    <w:p w14:paraId="0FB68450">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加油站的污水主要来源于站内生活废水、冲洗废水，地面雨水。</w:t>
      </w:r>
    </w:p>
    <w:p w14:paraId="2C1868CC">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雨水：该项目设置站内排水系统，排水系统实行雨、污分流。地面雨水、站房屋顶及罩棚顶面雨水散流排出站外；</w:t>
      </w:r>
    </w:p>
    <w:p w14:paraId="3901B9A7">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生活污水：生活污水经化粪池处理后由外部专业人员定期统一抽排；</w:t>
      </w:r>
    </w:p>
    <w:p w14:paraId="15AAF62F">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冲洗地面水：加油区设置环保沟，冲洗地坪污水排至三级隔油池，经过处理达标后排至站外。</w:t>
      </w:r>
    </w:p>
    <w:p w14:paraId="68FB0BC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洗车污水排至隔油沉淀池，隔油沉淀池出口封堵，定期清掏。</w:t>
      </w:r>
    </w:p>
    <w:p w14:paraId="01707E40">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清洗油罐采用无水工艺，油污由专业工作人员通过活动式回收桶收集后集中处理，不会对周围环境造成污染。</w:t>
      </w:r>
    </w:p>
    <w:p w14:paraId="7FAC488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站内已设置隔油池，</w:t>
      </w:r>
      <w:r>
        <w:rPr>
          <w:color w:val="000000" w:themeColor="text1"/>
          <w:spacing w:val="3"/>
          <w14:textFill>
            <w14:solidFill>
              <w14:schemeClr w14:val="tx1"/>
            </w14:solidFill>
          </w14:textFill>
        </w:rPr>
        <w:t>用于收集加油区和卸油区地面的含</w:t>
      </w:r>
      <w:r>
        <w:rPr>
          <w:color w:val="000000" w:themeColor="text1"/>
          <w:spacing w:val="-1"/>
          <w14:textFill>
            <w14:solidFill>
              <w14:schemeClr w14:val="tx1"/>
            </w14:solidFill>
          </w14:textFill>
        </w:rPr>
        <w:t>油污水，含油污水有组织排入隔油池，隔油池出口封堵，定期清掏</w:t>
      </w:r>
      <w:r>
        <w:rPr>
          <w:color w:val="000000" w:themeColor="text1"/>
          <w14:textFill>
            <w14:solidFill>
              <w14:schemeClr w14:val="tx1"/>
            </w14:solidFill>
          </w14:textFill>
        </w:rPr>
        <w:t>。</w:t>
      </w:r>
    </w:p>
    <w:p w14:paraId="50E5A719">
      <w:pPr>
        <w:pStyle w:val="4"/>
        <w:rPr>
          <w:color w:val="000000" w:themeColor="text1"/>
          <w14:textFill>
            <w14:solidFill>
              <w14:schemeClr w14:val="tx1"/>
            </w14:solidFill>
          </w14:textFill>
        </w:rPr>
      </w:pPr>
      <w:r>
        <w:rPr>
          <w:color w:val="000000" w:themeColor="text1"/>
          <w14:textFill>
            <w14:solidFill>
              <w14:schemeClr w14:val="tx1"/>
            </w14:solidFill>
          </w14:textFill>
        </w:rPr>
        <w:t>2.5.2供配电</w:t>
      </w:r>
    </w:p>
    <w:p w14:paraId="594E6C3D">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项目为三级负荷，配电系统接地型式采用TN-S系统。项目电源引自站内变压器，配电电压为 AC220/380V。在电源总配电柜内、信息系统设备箱内装设电涌保护器。信息系统设 UPS 不间断供电电源（后备式、输出功率 3000VA-1800W），UPS 的后备断供电时间为2h，切换时间≤5ms。</w:t>
      </w:r>
    </w:p>
    <w:p w14:paraId="5350A24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罩棚顶部设置有防护等级为IP44的照明灯具。本站设应急照明，站区内各建、构筑物内的照明满足照度要求。通道、房间内照明采用就地控制的方式，室外照明采用集中控制。</w:t>
      </w:r>
    </w:p>
    <w:p w14:paraId="3F0CE53B">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本站在发电间设30kW 柴油发电机，以便在加油站电源突然中断时作为保障加油站正常营业的备用电源，满足加油站使用要求。</w:t>
      </w:r>
    </w:p>
    <w:p w14:paraId="6D117E75">
      <w:pPr>
        <w:pStyle w:val="4"/>
        <w:rPr>
          <w:color w:val="000000" w:themeColor="text1"/>
          <w14:textFill>
            <w14:solidFill>
              <w14:schemeClr w14:val="tx1"/>
            </w14:solidFill>
          </w14:textFill>
        </w:rPr>
      </w:pPr>
      <w:r>
        <w:rPr>
          <w:color w:val="000000" w:themeColor="text1"/>
          <w14:textFill>
            <w14:solidFill>
              <w14:schemeClr w14:val="tx1"/>
            </w14:solidFill>
          </w14:textFill>
        </w:rPr>
        <w:t>2.5.3防雷、防静电接地</w:t>
      </w:r>
    </w:p>
    <w:p w14:paraId="308F3D03">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加油站存在多个爆炸危险区域，静电聚集或雷电都有触发爆炸的危险，因此，加油站特别加强了防雷防静电管理。</w:t>
      </w:r>
    </w:p>
    <w:p w14:paraId="31BD4236">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1.加油站的每一个油罐组均设两组接地极。</w:t>
      </w:r>
    </w:p>
    <w:p w14:paraId="13F6811A">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2.油罐等设备与外露工艺管线、量油孔、阻火器、法兰等金属附件相互作电气连接并接地。</w:t>
      </w:r>
    </w:p>
    <w:p w14:paraId="3BBFE87A">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3.</w:t>
      </w:r>
      <w:r>
        <w:rPr>
          <w:color w:val="000000" w:themeColor="text1"/>
          <w:spacing w:val="2"/>
          <w14:textFill>
            <w14:solidFill>
              <w14:schemeClr w14:val="tx1"/>
            </w14:solidFill>
          </w14:textFill>
        </w:rPr>
        <w:t>所有</w:t>
      </w:r>
      <w:r>
        <w:rPr>
          <w:color w:val="000000" w:themeColor="text1"/>
          <w:spacing w:val="1"/>
          <w14:textFill>
            <w14:solidFill>
              <w14:schemeClr w14:val="tx1"/>
            </w14:solidFill>
          </w14:textFill>
        </w:rPr>
        <w:t>工艺管</w:t>
      </w:r>
      <w:r>
        <w:rPr>
          <w:color w:val="000000" w:themeColor="text1"/>
          <w:spacing w:val="-2"/>
          <w14:textFill>
            <w14:solidFill>
              <w14:schemeClr w14:val="tx1"/>
            </w14:solidFill>
          </w14:textFill>
        </w:rPr>
        <w:t>线的法兰均用</w:t>
      </w:r>
      <w:r>
        <w:rPr>
          <w:rFonts w:eastAsia="Calibri"/>
          <w:color w:val="000000" w:themeColor="text1"/>
          <w:spacing w:val="-2"/>
          <w14:textFill>
            <w14:solidFill>
              <w14:schemeClr w14:val="tx1"/>
            </w14:solidFill>
          </w14:textFill>
        </w:rPr>
        <w:t>TRJ-10mm</w:t>
      </w:r>
      <w:r>
        <w:rPr>
          <w:rFonts w:eastAsia="Calibri"/>
          <w:color w:val="000000" w:themeColor="text1"/>
          <w:spacing w:val="-2"/>
          <w:position w:val="9"/>
          <w:sz w:val="18"/>
          <w:szCs w:val="18"/>
          <w14:textFill>
            <w14:solidFill>
              <w14:schemeClr w14:val="tx1"/>
            </w14:solidFill>
          </w14:textFill>
        </w:rPr>
        <w:t>2</w:t>
      </w:r>
      <w:r>
        <w:rPr>
          <w:color w:val="000000" w:themeColor="text1"/>
          <w:spacing w:val="-2"/>
          <w14:textFill>
            <w14:solidFill>
              <w14:schemeClr w14:val="tx1"/>
            </w14:solidFill>
          </w14:textFill>
        </w:rPr>
        <w:t>作防静电跨接</w:t>
      </w:r>
      <w:r>
        <w:rPr>
          <w:color w:val="000000" w:themeColor="text1"/>
          <w:lang w:val="zh-CN"/>
          <w14:textFill>
            <w14:solidFill>
              <w14:schemeClr w14:val="tx1"/>
            </w14:solidFill>
          </w14:textFill>
        </w:rPr>
        <w:t>。</w:t>
      </w:r>
    </w:p>
    <w:p w14:paraId="7AB0E8EA">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4.加油机壳体已做接地处理。</w:t>
      </w:r>
    </w:p>
    <w:p w14:paraId="66696DD0">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5.加油区罩棚、站房、配电室等建构筑物采用避雷带保护。</w:t>
      </w:r>
    </w:p>
    <w:p w14:paraId="1FE55F55">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6.加油站380/220V供配电系统采用TN-S系统。</w:t>
      </w:r>
    </w:p>
    <w:p w14:paraId="1F933FB7">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7.加油站卸油场地设置有油罐车卸油的防静电接地及报警装置。</w:t>
      </w:r>
    </w:p>
    <w:p w14:paraId="49635DF8">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8.加油站的防雷防静电设施经符合资质要求的单位检测合格。</w:t>
      </w:r>
    </w:p>
    <w:p w14:paraId="198A5B1C">
      <w:pPr>
        <w:adjustRightInd w:val="0"/>
        <w:snapToGrid w:val="0"/>
        <w:rPr>
          <w:color w:val="000000" w:themeColor="text1"/>
          <w:lang w:val="zh-CN"/>
          <w14:textFill>
            <w14:solidFill>
              <w14:schemeClr w14:val="tx1"/>
            </w14:solidFill>
          </w14:textFill>
        </w:rPr>
      </w:pPr>
      <w:r>
        <w:rPr>
          <w:color w:val="000000" w:themeColor="text1"/>
          <w:lang w:val="zh-CN"/>
          <w14:textFill>
            <w14:solidFill>
              <w14:schemeClr w14:val="tx1"/>
            </w14:solidFill>
          </w14:textFill>
        </w:rPr>
        <w:t>9.加油站的加油机经西双版纳傣族自治州检验检测认证院检定合格。</w:t>
      </w:r>
    </w:p>
    <w:p w14:paraId="3F0ABAFE">
      <w:pPr>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10.卸油区已设置人体静电释放仪。</w:t>
      </w:r>
    </w:p>
    <w:p w14:paraId="67AF5791">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易武加油站已于2026年4月8日，经云南省气象灾害防御技术中心对站内防雷装置进行了检测，经检测：加油站建（构）筑物防雷分类、接闪器、引下线、接地装置等电位连接、电涌保护器（SPD）、防静电装置检测结果符合标准。</w:t>
      </w:r>
    </w:p>
    <w:p w14:paraId="62292557">
      <w:pPr>
        <w:pStyle w:val="4"/>
        <w:rPr>
          <w:color w:val="000000" w:themeColor="text1"/>
          <w14:textFill>
            <w14:solidFill>
              <w14:schemeClr w14:val="tx1"/>
            </w14:solidFill>
          </w14:textFill>
        </w:rPr>
      </w:pPr>
      <w:r>
        <w:rPr>
          <w:color w:val="000000" w:themeColor="text1"/>
          <w14:textFill>
            <w14:solidFill>
              <w14:schemeClr w14:val="tx1"/>
            </w14:solidFill>
          </w14:textFill>
        </w:rPr>
        <w:t>2.5.4控制系统</w:t>
      </w:r>
    </w:p>
    <w:p w14:paraId="7BD23EB8">
      <w:pPr>
        <w:rPr>
          <w:color w:val="000000" w:themeColor="text1"/>
          <w14:textFill>
            <w14:solidFill>
              <w14:schemeClr w14:val="tx1"/>
            </w14:solidFill>
          </w14:textFill>
        </w:rPr>
      </w:pPr>
      <w:bookmarkStart w:id="241" w:name="_Toc9755118"/>
      <w:r>
        <w:rPr>
          <w:color w:val="000000" w:themeColor="text1"/>
          <w14:textFill>
            <w14:solidFill>
              <w14:schemeClr w14:val="tx1"/>
            </w14:solidFill>
          </w14:textFill>
        </w:rPr>
        <w:t>油罐采用液位监控系统，每台油罐上设置一台具有高液位报警功能的远传液位计，仪表检测信号远传至站房内。</w:t>
      </w:r>
      <w:r>
        <w:rPr>
          <w:rFonts w:ascii="宋体" w:hAnsi="宋体" w:cs="宋体"/>
          <w:color w:val="000000" w:themeColor="text1"/>
          <w:spacing w:val="-2"/>
          <w14:textFill>
            <w14:solidFill>
              <w14:schemeClr w14:val="tx1"/>
            </w14:solidFill>
          </w14:textFill>
        </w:rPr>
        <w:t>当卸油液面达</w:t>
      </w:r>
      <w:r>
        <w:rPr>
          <w:rFonts w:ascii="宋体" w:hAnsi="宋体" w:cs="宋体"/>
          <w:color w:val="000000" w:themeColor="text1"/>
          <w14:textFill>
            <w14:solidFill>
              <w14:schemeClr w14:val="tx1"/>
            </w14:solidFill>
          </w14:textFill>
        </w:rPr>
        <w:t>到油罐容积的90%时启动高液位报警；当液面低于油罐容积的</w:t>
      </w:r>
      <w:r>
        <w:rPr>
          <w:rFonts w:ascii="宋体" w:hAnsi="宋体" w:cs="宋体"/>
          <w:color w:val="000000" w:themeColor="text1"/>
          <w:spacing w:val="-41"/>
          <w14:textFill>
            <w14:solidFill>
              <w14:schemeClr w14:val="tx1"/>
            </w14:solidFill>
          </w14:textFill>
        </w:rPr>
        <w:t xml:space="preserve"> </w:t>
      </w:r>
      <w:r>
        <w:rPr>
          <w:rFonts w:ascii="宋体" w:hAnsi="宋体" w:cs="宋体"/>
          <w:color w:val="000000" w:themeColor="text1"/>
          <w14:textFill>
            <w14:solidFill>
              <w14:schemeClr w14:val="tx1"/>
            </w14:solidFill>
          </w14:textFill>
        </w:rPr>
        <w:t>10%</w:t>
      </w:r>
      <w:r>
        <w:rPr>
          <w:rFonts w:ascii="宋体" w:hAnsi="宋体" w:cs="宋体"/>
          <w:color w:val="000000" w:themeColor="text1"/>
          <w:spacing w:val="-1"/>
          <w14:textFill>
            <w14:solidFill>
              <w14:schemeClr w14:val="tx1"/>
            </w14:solidFill>
          </w14:textFill>
        </w:rPr>
        <w:t>时启动低</w:t>
      </w:r>
      <w:r>
        <w:rPr>
          <w:rFonts w:ascii="宋体" w:hAnsi="宋体" w:cs="宋体"/>
          <w:color w:val="000000" w:themeColor="text1"/>
          <w:spacing w:val="-3"/>
          <w14:textFill>
            <w14:solidFill>
              <w14:schemeClr w14:val="tx1"/>
            </w14:solidFill>
          </w14:textFill>
        </w:rPr>
        <w:t>液位报警</w:t>
      </w:r>
      <w:r>
        <w:rPr>
          <w:rFonts w:hint="eastAsia" w:ascii="宋体" w:hAnsi="宋体" w:cs="宋体"/>
          <w:color w:val="000000" w:themeColor="text1"/>
          <w:spacing w:val="-3"/>
          <w14:textFill>
            <w14:solidFill>
              <w14:schemeClr w14:val="tx1"/>
            </w14:solidFill>
          </w14:textFill>
        </w:rPr>
        <w:t>，</w:t>
      </w:r>
      <w:r>
        <w:rPr>
          <w:rFonts w:ascii="宋体" w:hAnsi="宋体" w:cs="宋体"/>
          <w:color w:val="000000" w:themeColor="text1"/>
          <w14:textFill>
            <w14:solidFill>
              <w14:schemeClr w14:val="tx1"/>
            </w14:solidFill>
          </w14:textFill>
        </w:rPr>
        <w:t xml:space="preserve"> 油罐采用卸油时的防满溢措施：油料达到油罐容量</w:t>
      </w:r>
      <w:r>
        <w:rPr>
          <w:rFonts w:ascii="宋体" w:hAnsi="宋体" w:cs="宋体"/>
          <w:color w:val="000000" w:themeColor="text1"/>
          <w:spacing w:val="-49"/>
          <w14:textFill>
            <w14:solidFill>
              <w14:schemeClr w14:val="tx1"/>
            </w14:solidFill>
          </w14:textFill>
        </w:rPr>
        <w:t xml:space="preserve"> </w:t>
      </w:r>
      <w:r>
        <w:rPr>
          <w:rFonts w:ascii="宋体" w:hAnsi="宋体" w:cs="宋体"/>
          <w:color w:val="000000" w:themeColor="text1"/>
          <w14:textFill>
            <w14:solidFill>
              <w14:schemeClr w14:val="tx1"/>
            </w14:solidFill>
          </w14:textFill>
        </w:rPr>
        <w:t>95%时，卸油防</w:t>
      </w:r>
      <w:r>
        <w:rPr>
          <w:rFonts w:ascii="宋体" w:hAnsi="宋体" w:cs="宋体"/>
          <w:color w:val="000000" w:themeColor="text1"/>
          <w:spacing w:val="-1"/>
          <w14:textFill>
            <w14:solidFill>
              <w14:schemeClr w14:val="tx1"/>
            </w14:solidFill>
          </w14:textFill>
        </w:rPr>
        <w:t>溢阀能自动停止油料继续进罐</w:t>
      </w:r>
      <w:r>
        <w:rPr>
          <w:rFonts w:hint="eastAsia" w:ascii="宋体" w:hAnsi="宋体" w:cs="宋体"/>
          <w:color w:val="000000" w:themeColor="text1"/>
          <w:spacing w:val="-1"/>
          <w14:textFill>
            <w14:solidFill>
              <w14:schemeClr w14:val="tx1"/>
            </w14:solidFill>
          </w14:textFill>
        </w:rPr>
        <w:t>。</w:t>
      </w:r>
    </w:p>
    <w:p w14:paraId="2995201E">
      <w:pPr>
        <w:rPr>
          <w:color w:val="000000" w:themeColor="text1"/>
          <w14:textFill>
            <w14:solidFill>
              <w14:schemeClr w14:val="tx1"/>
            </w14:solidFill>
          </w14:textFill>
        </w:rPr>
      </w:pPr>
      <w:r>
        <w:rPr>
          <w:color w:val="000000" w:themeColor="text1"/>
          <w14:textFill>
            <w14:solidFill>
              <w14:schemeClr w14:val="tx1"/>
            </w14:solidFill>
          </w14:textFill>
        </w:rPr>
        <w:t>油罐和双层管道设有一套油气渗漏检测报警装置。</w:t>
      </w:r>
    </w:p>
    <w:p w14:paraId="2710B8EB">
      <w:pPr>
        <w:rPr>
          <w:color w:val="000000" w:themeColor="text1"/>
          <w14:textFill>
            <w14:solidFill>
              <w14:schemeClr w14:val="tx1"/>
            </w14:solidFill>
          </w14:textFill>
        </w:rPr>
      </w:pPr>
      <w:r>
        <w:rPr>
          <w:color w:val="000000" w:themeColor="text1"/>
          <w14:textFill>
            <w14:solidFill>
              <w14:schemeClr w14:val="tx1"/>
            </w14:solidFill>
          </w14:textFill>
        </w:rPr>
        <w:t>站房内设置1套视频监控系统，显示器设置在营业室内，监控范围可覆盖作业区，均布置在爆炸危险区域外，监控信号远传至站房监控室显示屏，可实现24h实时在线监控，视频监控保留时间大于90d。</w:t>
      </w:r>
    </w:p>
    <w:p w14:paraId="7300BAE2">
      <w:pPr>
        <w:pStyle w:val="3"/>
        <w:rPr>
          <w:color w:val="000000" w:themeColor="text1"/>
          <w14:textFill>
            <w14:solidFill>
              <w14:schemeClr w14:val="tx1"/>
            </w14:solidFill>
          </w14:textFill>
        </w:rPr>
      </w:pPr>
      <w:bookmarkStart w:id="242" w:name="_Toc31625"/>
      <w:bookmarkStart w:id="243" w:name="_Toc20467"/>
      <w:r>
        <w:rPr>
          <w:color w:val="000000" w:themeColor="text1"/>
          <w14:textFill>
            <w14:solidFill>
              <w14:schemeClr w14:val="tx1"/>
            </w14:solidFill>
          </w14:textFill>
        </w:rPr>
        <w:t>2.6 安全设施及安全投入</w:t>
      </w:r>
      <w:bookmarkEnd w:id="242"/>
      <w:bookmarkEnd w:id="243"/>
    </w:p>
    <w:p w14:paraId="6C4334D8">
      <w:pPr>
        <w:pStyle w:val="4"/>
        <w:rPr>
          <w:color w:val="000000" w:themeColor="text1"/>
          <w14:textFill>
            <w14:solidFill>
              <w14:schemeClr w14:val="tx1"/>
            </w14:solidFill>
          </w14:textFill>
        </w:rPr>
      </w:pPr>
      <w:r>
        <w:rPr>
          <w:color w:val="000000" w:themeColor="text1"/>
          <w14:textFill>
            <w14:solidFill>
              <w14:schemeClr w14:val="tx1"/>
            </w14:solidFill>
          </w14:textFill>
        </w:rPr>
        <w:t>2.6.1预防事故设施</w:t>
      </w:r>
    </w:p>
    <w:p w14:paraId="500CBA5F">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1.检测、报警设施：</w:t>
      </w:r>
    </w:p>
    <w:p w14:paraId="539F2904">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各储油罐设有液位计、双层管及双层罐</w:t>
      </w:r>
      <w:r>
        <w:rPr>
          <w:rFonts w:hint="eastAsia"/>
          <w:color w:val="000000" w:themeColor="text1"/>
          <w14:textFill>
            <w14:solidFill>
              <w14:schemeClr w14:val="tx1"/>
            </w14:solidFill>
          </w14:textFill>
        </w:rPr>
        <w:t>泄漏</w:t>
      </w:r>
      <w:r>
        <w:rPr>
          <w:color w:val="000000" w:themeColor="text1"/>
          <w14:textFill>
            <w14:solidFill>
              <w14:schemeClr w14:val="tx1"/>
            </w14:solidFill>
          </w14:textFill>
        </w:rPr>
        <w:t>检测系统，配套液位显示报警及</w:t>
      </w:r>
      <w:r>
        <w:rPr>
          <w:rFonts w:hint="eastAsia"/>
          <w:color w:val="000000" w:themeColor="text1"/>
          <w14:textFill>
            <w14:solidFill>
              <w14:schemeClr w14:val="tx1"/>
            </w14:solidFill>
          </w14:textFill>
        </w:rPr>
        <w:t>泄漏</w:t>
      </w:r>
      <w:r>
        <w:rPr>
          <w:color w:val="000000" w:themeColor="text1"/>
          <w14:textFill>
            <w14:solidFill>
              <w14:schemeClr w14:val="tx1"/>
            </w14:solidFill>
          </w14:textFill>
        </w:rPr>
        <w:t>检测终端在监控室。</w:t>
      </w:r>
    </w:p>
    <w:p w14:paraId="32085EB9">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2.设备安全防护设施：</w:t>
      </w:r>
    </w:p>
    <w:p w14:paraId="5C1DB703">
      <w:pPr>
        <w:rPr>
          <w:color w:val="000000" w:themeColor="text1"/>
          <w14:textFill>
            <w14:solidFill>
              <w14:schemeClr w14:val="tx1"/>
            </w14:solidFill>
          </w14:textFill>
        </w:rPr>
      </w:pPr>
      <w:r>
        <w:rPr>
          <w:color w:val="000000" w:themeColor="text1"/>
          <w14:textFill>
            <w14:solidFill>
              <w14:schemeClr w14:val="tx1"/>
            </w14:solidFill>
          </w14:textFill>
        </w:rPr>
        <w:t>①在站房、加油罩棚等建（构）筑物处设有防雷装置；</w:t>
      </w:r>
    </w:p>
    <w:p w14:paraId="5C779FB8">
      <w:pPr>
        <w:rPr>
          <w:color w:val="000000" w:themeColor="text1"/>
          <w14:textFill>
            <w14:solidFill>
              <w14:schemeClr w14:val="tx1"/>
            </w14:solidFill>
          </w14:textFill>
        </w:rPr>
      </w:pPr>
      <w:r>
        <w:rPr>
          <w:color w:val="000000" w:themeColor="text1"/>
          <w14:textFill>
            <w14:solidFill>
              <w14:schemeClr w14:val="tx1"/>
            </w14:solidFill>
          </w14:textFill>
        </w:rPr>
        <w:t>②各汽油、柴油罐以及加油机、工艺管道等处设置了防静电接地设施；</w:t>
      </w:r>
    </w:p>
    <w:p w14:paraId="5697BC23">
      <w:pPr>
        <w:rPr>
          <w:color w:val="000000" w:themeColor="text1"/>
          <w14:textFill>
            <w14:solidFill>
              <w14:schemeClr w14:val="tx1"/>
            </w14:solidFill>
          </w14:textFill>
        </w:rPr>
      </w:pPr>
      <w:r>
        <w:rPr>
          <w:color w:val="000000" w:themeColor="text1"/>
          <w14:textFill>
            <w14:solidFill>
              <w14:schemeClr w14:val="tx1"/>
            </w14:solidFill>
          </w14:textFill>
        </w:rPr>
        <w:t>③各输油管道四孔及以下法兰连接已做静电跨接；</w:t>
      </w:r>
    </w:p>
    <w:p w14:paraId="6FED9FB1">
      <w:pPr>
        <w:rPr>
          <w:color w:val="000000" w:themeColor="text1"/>
          <w14:textFill>
            <w14:solidFill>
              <w14:schemeClr w14:val="tx1"/>
            </w14:solidFill>
          </w14:textFill>
        </w:rPr>
      </w:pPr>
      <w:r>
        <w:rPr>
          <w:color w:val="000000" w:themeColor="text1"/>
          <w14:textFill>
            <w14:solidFill>
              <w14:schemeClr w14:val="tx1"/>
            </w14:solidFill>
          </w14:textFill>
        </w:rPr>
        <w:t>④油管人孔处设置操作井，操作井上面设置了盖板，操作井底已做防渗处理；</w:t>
      </w:r>
    </w:p>
    <w:p w14:paraId="5E0FB244">
      <w:pPr>
        <w:rPr>
          <w:color w:val="000000" w:themeColor="text1"/>
          <w14:textFill>
            <w14:solidFill>
              <w14:schemeClr w14:val="tx1"/>
            </w14:solidFill>
          </w14:textFill>
        </w:rPr>
      </w:pPr>
      <w:r>
        <w:rPr>
          <w:color w:val="000000" w:themeColor="text1"/>
          <w14:textFill>
            <w14:solidFill>
              <w14:schemeClr w14:val="tx1"/>
            </w14:solidFill>
          </w14:textFill>
        </w:rPr>
        <w:t>⑤加油机加油软管上设置了拉断阀；</w:t>
      </w:r>
    </w:p>
    <w:p w14:paraId="02F89051">
      <w:pPr>
        <w:rPr>
          <w:color w:val="000000" w:themeColor="text1"/>
          <w14:textFill>
            <w14:solidFill>
              <w14:schemeClr w14:val="tx1"/>
            </w14:solidFill>
          </w14:textFill>
        </w:rPr>
      </w:pPr>
      <w:r>
        <w:rPr>
          <w:color w:val="000000" w:themeColor="text1"/>
          <w14:textFill>
            <w14:solidFill>
              <w14:schemeClr w14:val="tx1"/>
            </w14:solidFill>
          </w14:textFill>
        </w:rPr>
        <w:t>⑥各油管采用密闭卸油方式，汽油设施设置了卸油、加油油气回收系统；</w:t>
      </w:r>
    </w:p>
    <w:p w14:paraId="4381A8C7">
      <w:pPr>
        <w:rPr>
          <w:color w:val="000000" w:themeColor="text1"/>
          <w14:textFill>
            <w14:solidFill>
              <w14:schemeClr w14:val="tx1"/>
            </w14:solidFill>
          </w14:textFill>
        </w:rPr>
      </w:pPr>
      <w:r>
        <w:rPr>
          <w:color w:val="000000" w:themeColor="text1"/>
          <w14:textFill>
            <w14:solidFill>
              <w14:schemeClr w14:val="tx1"/>
            </w14:solidFill>
          </w14:textFill>
        </w:rPr>
        <w:t>⑦电源引入的总配电箱处设电涌保护器。</w:t>
      </w:r>
    </w:p>
    <w:p w14:paraId="5F5B42D0">
      <w:pPr>
        <w:numPr>
          <w:ilvl w:val="0"/>
          <w:numId w:val="7"/>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作业场所防护设施：</w:t>
      </w:r>
    </w:p>
    <w:p w14:paraId="623D8C76">
      <w:pPr>
        <w:rPr>
          <w:color w:val="000000" w:themeColor="text1"/>
          <w14:textFill>
            <w14:solidFill>
              <w14:schemeClr w14:val="tx1"/>
            </w14:solidFill>
          </w14:textFill>
        </w:rPr>
      </w:pPr>
      <w:r>
        <w:rPr>
          <w:color w:val="000000" w:themeColor="text1"/>
          <w14:textFill>
            <w14:solidFill>
              <w14:schemeClr w14:val="tx1"/>
            </w14:solidFill>
          </w14:textFill>
        </w:rPr>
        <w:t>①汽油、柴油加油机设置在加油罩棚下，加油区通风良好；</w:t>
      </w:r>
    </w:p>
    <w:p w14:paraId="2087E647">
      <w:pPr>
        <w:rPr>
          <w:color w:val="000000" w:themeColor="text1"/>
          <w14:textFill>
            <w14:solidFill>
              <w14:schemeClr w14:val="tx1"/>
            </w14:solidFill>
          </w14:textFill>
        </w:rPr>
      </w:pPr>
      <w:r>
        <w:rPr>
          <w:color w:val="000000" w:themeColor="text1"/>
          <w14:textFill>
            <w14:solidFill>
              <w14:schemeClr w14:val="tx1"/>
            </w14:solidFill>
          </w14:textFill>
        </w:rPr>
        <w:t>②加油岛端部设置了防撞栏，防撞栏高度为0.6m；</w:t>
      </w:r>
    </w:p>
    <w:p w14:paraId="451EA194">
      <w:pPr>
        <w:rPr>
          <w:color w:val="000000" w:themeColor="text1"/>
          <w14:textFill>
            <w14:solidFill>
              <w14:schemeClr w14:val="tx1"/>
            </w14:solidFill>
          </w14:textFill>
        </w:rPr>
      </w:pPr>
      <w:r>
        <w:rPr>
          <w:color w:val="000000" w:themeColor="text1"/>
          <w14:textFill>
            <w14:solidFill>
              <w14:schemeClr w14:val="tx1"/>
            </w14:solidFill>
          </w14:textFill>
        </w:rPr>
        <w:t>③卸油区设置了静电接地夹；</w:t>
      </w:r>
    </w:p>
    <w:p w14:paraId="68B61E5A">
      <w:pPr>
        <w:rPr>
          <w:color w:val="000000" w:themeColor="text1"/>
          <w14:textFill>
            <w14:solidFill>
              <w14:schemeClr w14:val="tx1"/>
            </w14:solidFill>
          </w14:textFill>
        </w:rPr>
      </w:pPr>
      <w:r>
        <w:rPr>
          <w:color w:val="000000" w:themeColor="text1"/>
          <w14:textFill>
            <w14:solidFill>
              <w14:schemeClr w14:val="tx1"/>
            </w14:solidFill>
          </w14:textFill>
        </w:rPr>
        <w:t>④卸油区设置了人体静电消除设施。</w:t>
      </w:r>
    </w:p>
    <w:p w14:paraId="457E90DC">
      <w:pPr>
        <w:numPr>
          <w:ilvl w:val="0"/>
          <w:numId w:val="7"/>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防火防爆设施：</w:t>
      </w:r>
    </w:p>
    <w:p w14:paraId="3FA3573F">
      <w:pPr>
        <w:rPr>
          <w:color w:val="000000" w:themeColor="text1"/>
          <w14:textFill>
            <w14:solidFill>
              <w14:schemeClr w14:val="tx1"/>
            </w14:solidFill>
          </w14:textFill>
        </w:rPr>
      </w:pPr>
      <w:r>
        <w:rPr>
          <w:color w:val="000000" w:themeColor="text1"/>
          <w14:textFill>
            <w14:solidFill>
              <w14:schemeClr w14:val="tx1"/>
            </w14:solidFill>
          </w14:textFill>
        </w:rPr>
        <w:t>①加油罩棚下等易燃、易爆区的电缆已穿钢管敷设；</w:t>
      </w:r>
    </w:p>
    <w:p w14:paraId="37587D32">
      <w:pPr>
        <w:rPr>
          <w:color w:val="000000" w:themeColor="text1"/>
          <w14:textFill>
            <w14:solidFill>
              <w14:schemeClr w14:val="tx1"/>
            </w14:solidFill>
          </w14:textFill>
        </w:rPr>
      </w:pPr>
      <w:r>
        <w:rPr>
          <w:color w:val="000000" w:themeColor="text1"/>
          <w14:textFill>
            <w14:solidFill>
              <w14:schemeClr w14:val="tx1"/>
            </w14:solidFill>
          </w14:textFill>
        </w:rPr>
        <w:t>②加油机均采用了防爆型；</w:t>
      </w:r>
    </w:p>
    <w:p w14:paraId="630BFFFB">
      <w:pPr>
        <w:adjustRightInd w:val="0"/>
        <w:snapToGrid w:val="0"/>
        <w:ind w:left="560" w:leftChars="200" w:firstLine="0" w:firstLineChars="0"/>
        <w:rPr>
          <w:color w:val="000000" w:themeColor="text1"/>
          <w14:textFill>
            <w14:solidFill>
              <w14:schemeClr w14:val="tx1"/>
            </w14:solidFill>
          </w14:textFill>
        </w:rPr>
      </w:pPr>
      <w:r>
        <w:rPr>
          <w:color w:val="000000" w:themeColor="text1"/>
          <w14:textFill>
            <w14:solidFill>
              <w14:schemeClr w14:val="tx1"/>
            </w14:solidFill>
          </w14:textFill>
        </w:rPr>
        <w:t>③卸油区、加油区地面为不发生火花地面。</w:t>
      </w:r>
    </w:p>
    <w:p w14:paraId="37FDEC92">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5.安全警示标志：加油站在危险区域设置有相关的安全警示标志，在出入站口设有进站须知。</w:t>
      </w:r>
    </w:p>
    <w:p w14:paraId="0C33FD54">
      <w:pPr>
        <w:pStyle w:val="4"/>
        <w:rPr>
          <w:color w:val="000000" w:themeColor="text1"/>
          <w14:textFill>
            <w14:solidFill>
              <w14:schemeClr w14:val="tx1"/>
            </w14:solidFill>
          </w14:textFill>
        </w:rPr>
      </w:pPr>
      <w:r>
        <w:rPr>
          <w:color w:val="000000" w:themeColor="text1"/>
          <w14:textFill>
            <w14:solidFill>
              <w14:schemeClr w14:val="tx1"/>
            </w14:solidFill>
          </w14:textFill>
        </w:rPr>
        <w:t>2.6.2控制事故设施</w:t>
      </w:r>
    </w:p>
    <w:p w14:paraId="04DB67EA">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1.泄压和止逆设施：油罐设置有通气管，油气回收系统通气管口安装有带呼吸阀的阻火器。</w:t>
      </w:r>
    </w:p>
    <w:p w14:paraId="4A571A2D">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2.紧急处理设施：加油站罩棚、便利店、站长室等处设置有应急照明，加油区设置有消防器材。</w:t>
      </w:r>
    </w:p>
    <w:p w14:paraId="709E8376">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3.监控设施：加油站在油罐区、作业区、进出口、便利店等处设置了监控摄像头。</w:t>
      </w:r>
    </w:p>
    <w:p w14:paraId="5D7327E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4.紧急切断装置：营业厅设有潜油泵总紧急停车按钮，每台加油机箱体均设有急停按钮。</w:t>
      </w:r>
    </w:p>
    <w:p w14:paraId="039C3139">
      <w:pPr>
        <w:pStyle w:val="4"/>
        <w:rPr>
          <w:color w:val="000000" w:themeColor="text1"/>
          <w14:textFill>
            <w14:solidFill>
              <w14:schemeClr w14:val="tx1"/>
            </w14:solidFill>
          </w14:textFill>
        </w:rPr>
      </w:pPr>
      <w:r>
        <w:rPr>
          <w:color w:val="000000" w:themeColor="text1"/>
          <w14:textFill>
            <w14:solidFill>
              <w14:schemeClr w14:val="tx1"/>
            </w14:solidFill>
          </w14:textFill>
        </w:rPr>
        <w:t>2.6.3减少与消除影响事故设施</w:t>
      </w:r>
    </w:p>
    <w:p w14:paraId="45F4C0CA">
      <w:pPr>
        <w:rPr>
          <w:color w:val="000000" w:themeColor="text1"/>
          <w14:textFill>
            <w14:solidFill>
              <w14:schemeClr w14:val="tx1"/>
            </w14:solidFill>
          </w14:textFill>
        </w:rPr>
      </w:pPr>
      <w:r>
        <w:rPr>
          <w:color w:val="000000" w:themeColor="text1"/>
          <w14:textFill>
            <w14:solidFill>
              <w14:schemeClr w14:val="tx1"/>
            </w14:solidFill>
          </w14:textFill>
        </w:rPr>
        <w:t>防止火灾蔓延设施：加油站在汽油通气管口均设置了阻火器。</w:t>
      </w:r>
    </w:p>
    <w:p w14:paraId="6F954FAE">
      <w:pPr>
        <w:rPr>
          <w:color w:val="000000" w:themeColor="text1"/>
          <w14:textFill>
            <w14:solidFill>
              <w14:schemeClr w14:val="tx1"/>
            </w14:solidFill>
          </w14:textFill>
        </w:rPr>
      </w:pPr>
      <w:r>
        <w:rPr>
          <w:color w:val="000000" w:themeColor="text1"/>
          <w14:textFill>
            <w14:solidFill>
              <w14:schemeClr w14:val="tx1"/>
            </w14:solidFill>
          </w14:textFill>
        </w:rPr>
        <w:t>灭火设施：加油站配备了消防沙池，灭火器、灭火毯等消防设施设备。</w:t>
      </w:r>
    </w:p>
    <w:p w14:paraId="1F1011A9">
      <w:pPr>
        <w:pStyle w:val="4"/>
        <w:rPr>
          <w:color w:val="000000" w:themeColor="text1"/>
          <w14:textFill>
            <w14:solidFill>
              <w14:schemeClr w14:val="tx1"/>
            </w14:solidFill>
          </w14:textFill>
        </w:rPr>
      </w:pPr>
      <w:r>
        <w:rPr>
          <w:color w:val="000000" w:themeColor="text1"/>
          <w14:textFill>
            <w14:solidFill>
              <w14:schemeClr w14:val="tx1"/>
            </w14:solidFill>
          </w14:textFill>
        </w:rPr>
        <w:t>2.6.5安全投入</w:t>
      </w:r>
    </w:p>
    <w:p w14:paraId="469F2F9A">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该加油站自生产以来，按照国家安全生产等法律法规要求进行生产，建立了安全生产经费使用和提取的管理制度，建立了投入使用资金的台账；能保障安全生产隐患整改的费用，能做到专款专用。该加油站2026年的1-7月安全费用总投入为14850元，主要用于应急物资配备、维护保养，隐患排查整改，安全生产检查，劳动防护用品购买，安全教育培训，安全设施检测检验、检定等。</w:t>
      </w:r>
    </w:p>
    <w:p w14:paraId="174D4834">
      <w:pPr>
        <w:pStyle w:val="3"/>
        <w:rPr>
          <w:color w:val="000000" w:themeColor="text1"/>
          <w14:textFill>
            <w14:solidFill>
              <w14:schemeClr w14:val="tx1"/>
            </w14:solidFill>
          </w14:textFill>
        </w:rPr>
      </w:pPr>
      <w:bookmarkStart w:id="244" w:name="_Toc4690"/>
      <w:bookmarkStart w:id="245" w:name="_Toc11342"/>
      <w:r>
        <w:rPr>
          <w:color w:val="000000" w:themeColor="text1"/>
          <w14:textFill>
            <w14:solidFill>
              <w14:schemeClr w14:val="tx1"/>
            </w14:solidFill>
          </w14:textFill>
        </w:rPr>
        <w:t>2.7 安全管理</w:t>
      </w:r>
      <w:bookmarkEnd w:id="244"/>
      <w:bookmarkEnd w:id="245"/>
    </w:p>
    <w:p w14:paraId="44F33715">
      <w:pPr>
        <w:pStyle w:val="4"/>
        <w:rPr>
          <w:color w:val="000000" w:themeColor="text1"/>
          <w14:textFill>
            <w14:solidFill>
              <w14:schemeClr w14:val="tx1"/>
            </w14:solidFill>
          </w14:textFill>
        </w:rPr>
      </w:pPr>
      <w:r>
        <w:rPr>
          <w:color w:val="000000" w:themeColor="text1"/>
          <w14:textFill>
            <w14:solidFill>
              <w14:schemeClr w14:val="tx1"/>
            </w14:solidFill>
          </w14:textFill>
        </w:rPr>
        <w:t>2.7.1安全组织机构</w:t>
      </w:r>
    </w:p>
    <w:p w14:paraId="7B486C7F">
      <w:pPr>
        <w:rPr>
          <w:color w:val="000000" w:themeColor="text1"/>
          <w14:textFill>
            <w14:solidFill>
              <w14:schemeClr w14:val="tx1"/>
            </w14:solidFill>
          </w14:textFill>
        </w:rPr>
      </w:pPr>
      <w:r>
        <w:rPr>
          <w:color w:val="000000" w:themeColor="text1"/>
          <w14:textFill>
            <w14:solidFill>
              <w14:schemeClr w14:val="tx1"/>
            </w14:solidFill>
          </w14:textFill>
        </w:rPr>
        <w:t>加油站根据相关法律、法规要求并结合自身实际情况成立了安全领导小组，并任命了安全员。该加油站</w:t>
      </w:r>
    </w:p>
    <w:p w14:paraId="02157C79">
      <w:pPr>
        <w:ind w:firstLine="537" w:firstLineChars="192"/>
        <w:rPr>
          <w:color w:val="000000" w:themeColor="text1"/>
          <w14:textFill>
            <w14:solidFill>
              <w14:schemeClr w14:val="tx1"/>
            </w14:solidFill>
          </w14:textFill>
        </w:rPr>
      </w:pPr>
      <w:r>
        <w:rPr>
          <w:color w:val="000000" w:themeColor="text1"/>
          <w14:textFill>
            <w14:solidFill>
              <w14:schemeClr w14:val="tx1"/>
            </w14:solidFill>
          </w14:textFill>
        </w:rPr>
        <w:t>加油站安全领导小组具体组成如下：</w:t>
      </w:r>
    </w:p>
    <w:p w14:paraId="42B3ADEB">
      <w:pPr>
        <w:ind w:firstLine="537" w:firstLineChars="192"/>
        <w:rPr>
          <w:color w:val="000000" w:themeColor="text1"/>
          <w14:textFill>
            <w14:solidFill>
              <w14:schemeClr w14:val="tx1"/>
            </w14:solidFill>
          </w14:textFill>
        </w:rPr>
      </w:pPr>
      <w:r>
        <w:rPr>
          <w:color w:val="000000" w:themeColor="text1"/>
          <w14:textFill>
            <w14:solidFill>
              <w14:schemeClr w14:val="tx1"/>
            </w14:solidFill>
          </w14:textFill>
        </w:rPr>
        <w:t>组长：王金水</w:t>
      </w:r>
    </w:p>
    <w:p w14:paraId="12C3539F">
      <w:pPr>
        <w:ind w:firstLine="537" w:firstLineChars="192"/>
        <w:rPr>
          <w:color w:val="000000" w:themeColor="text1"/>
          <w14:textFill>
            <w14:solidFill>
              <w14:schemeClr w14:val="tx1"/>
            </w14:solidFill>
          </w14:textFill>
        </w:rPr>
      </w:pPr>
      <w:r>
        <w:rPr>
          <w:color w:val="000000" w:themeColor="text1"/>
          <w14:textFill>
            <w14:solidFill>
              <w14:schemeClr w14:val="tx1"/>
            </w14:solidFill>
          </w14:textFill>
        </w:rPr>
        <w:t>副组长：陈烜</w:t>
      </w:r>
    </w:p>
    <w:p w14:paraId="5E90ED1F">
      <w:pPr>
        <w:ind w:firstLine="537" w:firstLineChars="192"/>
        <w:rPr>
          <w:color w:val="000000" w:themeColor="text1"/>
          <w14:textFill>
            <w14:solidFill>
              <w14:schemeClr w14:val="tx1"/>
            </w14:solidFill>
          </w14:textFill>
        </w:rPr>
      </w:pPr>
      <w:r>
        <w:rPr>
          <w:color w:val="000000" w:themeColor="text1"/>
          <w14:textFill>
            <w14:solidFill>
              <w14:schemeClr w14:val="tx1"/>
            </w14:solidFill>
          </w14:textFill>
        </w:rPr>
        <w:t>组员：张旸、李芳妹</w:t>
      </w:r>
    </w:p>
    <w:p w14:paraId="5803667D">
      <w:pPr>
        <w:ind w:firstLine="537" w:firstLineChars="192"/>
        <w:rPr>
          <w:color w:val="000000" w:themeColor="text1"/>
          <w14:textFill>
            <w14:solidFill>
              <w14:schemeClr w14:val="tx1"/>
            </w14:solidFill>
          </w14:textFill>
        </w:rPr>
      </w:pPr>
      <w:r>
        <w:rPr>
          <w:color w:val="000000" w:themeColor="text1"/>
          <w14:textFill>
            <w14:solidFill>
              <w14:schemeClr w14:val="tx1"/>
            </w14:solidFill>
          </w14:textFill>
        </w:rPr>
        <w:t>加油站任命陈烜担任安全员，负责加油站日常安全生产管理工作及日常安全检查工作。</w:t>
      </w:r>
    </w:p>
    <w:p w14:paraId="2817A24D">
      <w:pPr>
        <w:rPr>
          <w:color w:val="000000" w:themeColor="text1"/>
          <w14:textFill>
            <w14:solidFill>
              <w14:schemeClr w14:val="tx1"/>
            </w14:solidFill>
          </w14:textFill>
        </w:rPr>
      </w:pPr>
      <w:r>
        <w:rPr>
          <w:color w:val="000000" w:themeColor="text1"/>
          <w14:textFill>
            <w14:solidFill>
              <w14:schemeClr w14:val="tx1"/>
            </w14:solidFill>
          </w14:textFill>
        </w:rPr>
        <w:t>加油站还成立了由站长负责的事故应急救援指挥领导小组，针对可能发生的事故制定了应采取的相关防范和应急措施。</w:t>
      </w:r>
    </w:p>
    <w:p w14:paraId="6627693F">
      <w:pPr>
        <w:pStyle w:val="4"/>
        <w:rPr>
          <w:color w:val="000000" w:themeColor="text1"/>
          <w14:textFill>
            <w14:solidFill>
              <w14:schemeClr w14:val="tx1"/>
            </w14:solidFill>
          </w14:textFill>
        </w:rPr>
      </w:pPr>
      <w:r>
        <w:rPr>
          <w:color w:val="000000" w:themeColor="text1"/>
          <w14:textFill>
            <w14:solidFill>
              <w14:schemeClr w14:val="tx1"/>
            </w14:solidFill>
          </w14:textFill>
        </w:rPr>
        <w:t>2.7.2劳动定员及工作制度</w:t>
      </w:r>
    </w:p>
    <w:p w14:paraId="6C728F36">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目前，该加油站从业人员共</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人，其中法人1人，加油站站长1人，安全生产管理人员1名。加油站年工作天数365天，实行24h工作制。</w:t>
      </w:r>
    </w:p>
    <w:p w14:paraId="353F818C">
      <w:pPr>
        <w:pStyle w:val="4"/>
        <w:rPr>
          <w:color w:val="000000" w:themeColor="text1"/>
          <w14:textFill>
            <w14:solidFill>
              <w14:schemeClr w14:val="tx1"/>
            </w14:solidFill>
          </w14:textFill>
        </w:rPr>
      </w:pPr>
      <w:r>
        <w:rPr>
          <w:color w:val="000000" w:themeColor="text1"/>
          <w14:textFill>
            <w14:solidFill>
              <w14:schemeClr w14:val="tx1"/>
            </w14:solidFill>
          </w14:textFill>
        </w:rPr>
        <w:t>2.7.3安全教育培训情况</w:t>
      </w:r>
    </w:p>
    <w:p w14:paraId="408C3AF0">
      <w:pPr>
        <w:rPr>
          <w:color w:val="000000" w:themeColor="text1"/>
          <w14:textFill>
            <w14:solidFill>
              <w14:schemeClr w14:val="tx1"/>
            </w14:solidFill>
          </w14:textFill>
        </w:rPr>
      </w:pPr>
      <w:r>
        <w:rPr>
          <w:color w:val="000000" w:themeColor="text1"/>
          <w14:textFill>
            <w14:solidFill>
              <w14:schemeClr w14:val="tx1"/>
            </w14:solidFill>
          </w14:textFill>
        </w:rPr>
        <w:t>加油站主要负责人、安全员已取得安全生产知识和管理能力考核合格证；加油站无专职电工，需要时聘请持电工证人员作业；加油站内其他操作人员已经加油站安全教育培训合格后上岗。</w:t>
      </w:r>
    </w:p>
    <w:p w14:paraId="1647FE81">
      <w:pPr>
        <w:pStyle w:val="4"/>
        <w:rPr>
          <w:rFonts w:eastAsia="黑体"/>
          <w:bCs/>
          <w:color w:val="000000" w:themeColor="text1"/>
          <w14:textFill>
            <w14:solidFill>
              <w14:schemeClr w14:val="tx1"/>
            </w14:solidFill>
          </w14:textFill>
        </w:rPr>
      </w:pPr>
      <w:r>
        <w:rPr>
          <w:rFonts w:eastAsia="黑体"/>
          <w:bCs/>
          <w:color w:val="000000" w:themeColor="text1"/>
          <w14:textFill>
            <w14:solidFill>
              <w14:schemeClr w14:val="tx1"/>
            </w14:solidFill>
          </w14:textFill>
        </w:rPr>
        <w:t>2.7.4安全管理规章制度</w:t>
      </w:r>
    </w:p>
    <w:p w14:paraId="672235DA">
      <w:pPr>
        <w:rPr>
          <w:color w:val="000000" w:themeColor="text1"/>
          <w:lang w:val="zh-CN"/>
          <w14:textFill>
            <w14:solidFill>
              <w14:schemeClr w14:val="tx1"/>
            </w14:solidFill>
          </w14:textFill>
        </w:rPr>
      </w:pPr>
      <w:r>
        <w:rPr>
          <w:color w:val="000000" w:themeColor="text1"/>
          <w:lang w:val="zh-CN"/>
          <w14:textFill>
            <w14:solidFill>
              <w14:schemeClr w14:val="tx1"/>
            </w14:solidFill>
          </w14:textFill>
        </w:rPr>
        <w:t>加油站根据国家相关要求并结合加油站实际情况，组织制定了以下安全管理制度。</w:t>
      </w:r>
    </w:p>
    <w:p w14:paraId="63AAD038">
      <w:pPr>
        <w:pStyle w:val="42"/>
        <w:rPr>
          <w:color w:val="000000" w:themeColor="text1"/>
          <w14:textFill>
            <w14:solidFill>
              <w14:schemeClr w14:val="tx1"/>
            </w14:solidFill>
          </w14:textFill>
        </w:rPr>
      </w:pPr>
      <w:r>
        <w:rPr>
          <w:color w:val="000000" w:themeColor="text1"/>
          <w14:textFill>
            <w14:solidFill>
              <w14:schemeClr w14:val="tx1"/>
            </w14:solidFill>
          </w14:textFill>
        </w:rPr>
        <w:t>表2.7-3  加油站安全管理制度表</w:t>
      </w:r>
    </w:p>
    <w:tbl>
      <w:tblPr>
        <w:tblStyle w:val="2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86"/>
        <w:gridCol w:w="6568"/>
        <w:gridCol w:w="1647"/>
      </w:tblGrid>
      <w:tr w14:paraId="683CA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DA0B544">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序号</w:t>
            </w:r>
          </w:p>
        </w:tc>
        <w:tc>
          <w:tcPr>
            <w:tcW w:w="3493" w:type="pct"/>
            <w:tcBorders>
              <w:top w:val="single" w:color="000000" w:sz="4" w:space="0"/>
              <w:left w:val="single" w:color="000000" w:sz="4" w:space="0"/>
              <w:bottom w:val="single" w:color="000000" w:sz="4" w:space="0"/>
              <w:right w:val="single" w:color="000000" w:sz="4" w:space="0"/>
            </w:tcBorders>
            <w:vAlign w:val="center"/>
          </w:tcPr>
          <w:p w14:paraId="65FCF484">
            <w:pPr>
              <w:pStyle w:val="41"/>
              <w:rPr>
                <w:color w:val="000000" w:themeColor="text1"/>
                <w:lang w:val="zh-CN"/>
                <w14:textFill>
                  <w14:solidFill>
                    <w14:schemeClr w14:val="tx1"/>
                  </w14:solidFill>
                </w14:textFill>
              </w:rPr>
            </w:pPr>
            <w:r>
              <w:rPr>
                <w:color w:val="000000" w:themeColor="text1"/>
                <w14:textFill>
                  <w14:solidFill>
                    <w14:schemeClr w14:val="tx1"/>
                  </w14:solidFill>
                </w14:textFill>
              </w:rPr>
              <w:t>名称</w:t>
            </w:r>
          </w:p>
        </w:tc>
        <w:tc>
          <w:tcPr>
            <w:tcW w:w="874" w:type="pct"/>
            <w:tcBorders>
              <w:top w:val="single" w:color="000000" w:sz="4" w:space="0"/>
              <w:left w:val="single" w:color="000000" w:sz="4" w:space="0"/>
              <w:bottom w:val="single" w:color="000000" w:sz="4" w:space="0"/>
              <w:right w:val="single" w:color="000000" w:sz="4" w:space="0"/>
            </w:tcBorders>
            <w:vAlign w:val="center"/>
          </w:tcPr>
          <w:p w14:paraId="24FEA959">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备 注</w:t>
            </w:r>
          </w:p>
        </w:tc>
      </w:tr>
      <w:tr w14:paraId="64FA7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670A6932">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安全生产责</w:t>
            </w:r>
            <w:r>
              <w:rPr>
                <w:color w:val="000000" w:themeColor="text1"/>
                <w14:textFill>
                  <w14:solidFill>
                    <w14:schemeClr w14:val="tx1"/>
                  </w14:solidFill>
                </w14:textFill>
              </w:rPr>
              <w:t>任制</w:t>
            </w:r>
          </w:p>
        </w:tc>
      </w:tr>
      <w:tr w14:paraId="57CF5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CACF084">
            <w:pPr>
              <w:pStyle w:val="41"/>
              <w:numPr>
                <w:ilvl w:val="0"/>
                <w:numId w:val="8"/>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3D21C117">
            <w:pPr>
              <w:pStyle w:val="41"/>
              <w:rPr>
                <w:color w:val="000000" w:themeColor="text1"/>
                <w:lang w:val="zh-CN"/>
                <w14:textFill>
                  <w14:solidFill>
                    <w14:schemeClr w14:val="tx1"/>
                  </w14:solidFill>
                </w14:textFill>
              </w:rPr>
            </w:pPr>
            <w:r>
              <w:rPr>
                <w:color w:val="000000" w:themeColor="text1"/>
                <w14:textFill>
                  <w14:solidFill>
                    <w14:schemeClr w14:val="tx1"/>
                  </w14:solidFill>
                </w14:textFill>
              </w:rPr>
              <w:t>安全管理部</w:t>
            </w:r>
            <w:r>
              <w:rPr>
                <w:color w:val="000000" w:themeColor="text1"/>
                <w:lang w:val="zh-CN"/>
                <w14:textFill>
                  <w14:solidFill>
                    <w14:schemeClr w14:val="tx1"/>
                  </w14:solidFill>
                </w14:textFill>
              </w:rPr>
              <w:t>的职责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53D7AF6C">
            <w:pPr>
              <w:pStyle w:val="41"/>
              <w:rPr>
                <w:color w:val="000000" w:themeColor="text1"/>
                <w:lang w:val="zh-CN"/>
                <w14:textFill>
                  <w14:solidFill>
                    <w14:schemeClr w14:val="tx1"/>
                  </w14:solidFill>
                </w14:textFill>
              </w:rPr>
            </w:pPr>
          </w:p>
        </w:tc>
      </w:tr>
      <w:tr w14:paraId="276DC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7226C1B">
            <w:pPr>
              <w:pStyle w:val="41"/>
              <w:numPr>
                <w:ilvl w:val="0"/>
                <w:numId w:val="8"/>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5EC154A">
            <w:pPr>
              <w:pStyle w:val="41"/>
              <w:rPr>
                <w:color w:val="000000" w:themeColor="text1"/>
                <w:lang w:val="zh-CN"/>
                <w14:textFill>
                  <w14:solidFill>
                    <w14:schemeClr w14:val="tx1"/>
                  </w14:solidFill>
                </w14:textFill>
              </w:rPr>
            </w:pPr>
            <w:r>
              <w:rPr>
                <w:color w:val="000000" w:themeColor="text1"/>
                <w14:textFill>
                  <w14:solidFill>
                    <w14:schemeClr w14:val="tx1"/>
                  </w14:solidFill>
                </w14:textFill>
              </w:rPr>
              <w:t>主要负责人</w:t>
            </w:r>
            <w:r>
              <w:rPr>
                <w:color w:val="000000" w:themeColor="text1"/>
                <w:lang w:val="zh-CN"/>
                <w14:textFill>
                  <w14:solidFill>
                    <w14:schemeClr w14:val="tx1"/>
                  </w14:solidFill>
                </w14:textFill>
              </w:rPr>
              <w:t>的安全职责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43DEBAE5">
            <w:pPr>
              <w:pStyle w:val="41"/>
              <w:rPr>
                <w:color w:val="000000" w:themeColor="text1"/>
                <w:lang w:val="zh-CN"/>
                <w14:textFill>
                  <w14:solidFill>
                    <w14:schemeClr w14:val="tx1"/>
                  </w14:solidFill>
                </w14:textFill>
              </w:rPr>
            </w:pPr>
          </w:p>
        </w:tc>
      </w:tr>
      <w:tr w14:paraId="3DBC0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F4746D1">
            <w:pPr>
              <w:pStyle w:val="41"/>
              <w:numPr>
                <w:ilvl w:val="0"/>
                <w:numId w:val="8"/>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25A0D8BC">
            <w:pPr>
              <w:pStyle w:val="41"/>
              <w:rPr>
                <w:color w:val="000000" w:themeColor="text1"/>
                <w:lang w:val="zh-CN"/>
                <w14:textFill>
                  <w14:solidFill>
                    <w14:schemeClr w14:val="tx1"/>
                  </w14:solidFill>
                </w14:textFill>
              </w:rPr>
            </w:pPr>
            <w:r>
              <w:rPr>
                <w:color w:val="000000" w:themeColor="text1"/>
                <w14:textFill>
                  <w14:solidFill>
                    <w14:schemeClr w14:val="tx1"/>
                  </w14:solidFill>
                </w14:textFill>
              </w:rPr>
              <w:t>站长</w:t>
            </w:r>
            <w:r>
              <w:rPr>
                <w:color w:val="000000" w:themeColor="text1"/>
                <w:lang w:val="zh-CN"/>
                <w14:textFill>
                  <w14:solidFill>
                    <w14:schemeClr w14:val="tx1"/>
                  </w14:solidFill>
                </w14:textFill>
              </w:rPr>
              <w:t>的安全职责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56FA5433">
            <w:pPr>
              <w:pStyle w:val="41"/>
              <w:rPr>
                <w:color w:val="000000" w:themeColor="text1"/>
                <w:lang w:val="zh-CN"/>
                <w14:textFill>
                  <w14:solidFill>
                    <w14:schemeClr w14:val="tx1"/>
                  </w14:solidFill>
                </w14:textFill>
              </w:rPr>
            </w:pPr>
          </w:p>
        </w:tc>
      </w:tr>
      <w:tr w14:paraId="2E0CE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F18DAFC">
            <w:pPr>
              <w:pStyle w:val="41"/>
              <w:numPr>
                <w:ilvl w:val="0"/>
                <w:numId w:val="8"/>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5C34619">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安全员的安全职责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09FEE8D7">
            <w:pPr>
              <w:pStyle w:val="41"/>
              <w:rPr>
                <w:color w:val="000000" w:themeColor="text1"/>
                <w:lang w:val="zh-CN"/>
                <w14:textFill>
                  <w14:solidFill>
                    <w14:schemeClr w14:val="tx1"/>
                  </w14:solidFill>
                </w14:textFill>
              </w:rPr>
            </w:pPr>
          </w:p>
        </w:tc>
      </w:tr>
      <w:tr w14:paraId="513E1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5905F85">
            <w:pPr>
              <w:pStyle w:val="41"/>
              <w:numPr>
                <w:ilvl w:val="0"/>
                <w:numId w:val="8"/>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83C657E">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加油员的安全职责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4258B47E">
            <w:pPr>
              <w:pStyle w:val="41"/>
              <w:rPr>
                <w:color w:val="000000" w:themeColor="text1"/>
                <w:lang w:val="zh-CN"/>
                <w14:textFill>
                  <w14:solidFill>
                    <w14:schemeClr w14:val="tx1"/>
                  </w14:solidFill>
                </w14:textFill>
              </w:rPr>
            </w:pPr>
          </w:p>
        </w:tc>
      </w:tr>
      <w:tr w14:paraId="66DC1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8C3D50D">
            <w:pPr>
              <w:pStyle w:val="41"/>
              <w:numPr>
                <w:ilvl w:val="0"/>
                <w:numId w:val="8"/>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F996192">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卸油员的安全职责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2876274B">
            <w:pPr>
              <w:pStyle w:val="41"/>
              <w:rPr>
                <w:color w:val="000000" w:themeColor="text1"/>
                <w:lang w:val="zh-CN"/>
                <w14:textFill>
                  <w14:solidFill>
                    <w14:schemeClr w14:val="tx1"/>
                  </w14:solidFill>
                </w14:textFill>
              </w:rPr>
            </w:pPr>
          </w:p>
        </w:tc>
      </w:tr>
      <w:tr w14:paraId="36412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22706BF">
            <w:pPr>
              <w:pStyle w:val="41"/>
              <w:numPr>
                <w:ilvl w:val="0"/>
                <w:numId w:val="8"/>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DE0B10B">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计量员的安全职责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4AA19F47">
            <w:pPr>
              <w:pStyle w:val="41"/>
              <w:rPr>
                <w:color w:val="000000" w:themeColor="text1"/>
                <w:lang w:val="zh-CN"/>
                <w14:textFill>
                  <w14:solidFill>
                    <w14:schemeClr w14:val="tx1"/>
                  </w14:solidFill>
                </w14:textFill>
              </w:rPr>
            </w:pPr>
          </w:p>
        </w:tc>
      </w:tr>
      <w:tr w14:paraId="3CB85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3652AC9">
            <w:pPr>
              <w:pStyle w:val="41"/>
              <w:numPr>
                <w:ilvl w:val="0"/>
                <w:numId w:val="8"/>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30F71C7">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收银员的安全职责</w:t>
            </w:r>
          </w:p>
        </w:tc>
        <w:tc>
          <w:tcPr>
            <w:tcW w:w="874" w:type="pct"/>
            <w:tcBorders>
              <w:top w:val="single" w:color="000000" w:sz="4" w:space="0"/>
              <w:left w:val="single" w:color="000000" w:sz="4" w:space="0"/>
              <w:bottom w:val="single" w:color="000000" w:sz="4" w:space="0"/>
              <w:right w:val="single" w:color="000000" w:sz="4" w:space="0"/>
            </w:tcBorders>
            <w:vAlign w:val="center"/>
          </w:tcPr>
          <w:p w14:paraId="3EBC3B42">
            <w:pPr>
              <w:pStyle w:val="41"/>
              <w:rPr>
                <w:color w:val="000000" w:themeColor="text1"/>
                <w:lang w:val="zh-CN"/>
                <w14:textFill>
                  <w14:solidFill>
                    <w14:schemeClr w14:val="tx1"/>
                  </w14:solidFill>
                </w14:textFill>
              </w:rPr>
            </w:pPr>
          </w:p>
        </w:tc>
      </w:tr>
      <w:tr w14:paraId="791D7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0B9A7273">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二、加油站安全管理制度</w:t>
            </w:r>
          </w:p>
        </w:tc>
      </w:tr>
      <w:tr w14:paraId="5A03C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AEE9CAB">
            <w:pPr>
              <w:pStyle w:val="41"/>
              <w:numPr>
                <w:ilvl w:val="0"/>
                <w:numId w:val="9"/>
              </w:numPr>
              <w:rPr>
                <w:color w:val="000000" w:themeColor="text1"/>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2969510A">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识别和获取安全生产法律法规标准与其他要求管理制度</w:t>
            </w:r>
            <w:r>
              <w:rPr>
                <w:color w:val="000000" w:themeColor="text1"/>
                <w:lang w:val="zh-CN"/>
                <w14:textFill>
                  <w14:solidFill>
                    <w14:schemeClr w14:val="tx1"/>
                  </w14:solidFill>
                </w14:textFill>
              </w:rPr>
              <w:tab/>
            </w:r>
          </w:p>
        </w:tc>
        <w:tc>
          <w:tcPr>
            <w:tcW w:w="874" w:type="pct"/>
            <w:tcBorders>
              <w:top w:val="single" w:color="000000" w:sz="4" w:space="0"/>
              <w:left w:val="single" w:color="000000" w:sz="4" w:space="0"/>
              <w:bottom w:val="single" w:color="000000" w:sz="4" w:space="0"/>
              <w:right w:val="single" w:color="000000" w:sz="4" w:space="0"/>
            </w:tcBorders>
            <w:vAlign w:val="center"/>
          </w:tcPr>
          <w:p w14:paraId="3C6208A2">
            <w:pPr>
              <w:pStyle w:val="41"/>
              <w:rPr>
                <w:color w:val="000000" w:themeColor="text1"/>
                <w:lang w:val="zh-CN"/>
                <w14:textFill>
                  <w14:solidFill>
                    <w14:schemeClr w14:val="tx1"/>
                  </w14:solidFill>
                </w14:textFill>
              </w:rPr>
            </w:pPr>
          </w:p>
        </w:tc>
      </w:tr>
      <w:tr w14:paraId="1550E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3F5E42B1">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938D3B2">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安全生产责任制管理制度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027BF677">
            <w:pPr>
              <w:pStyle w:val="41"/>
              <w:rPr>
                <w:color w:val="000000" w:themeColor="text1"/>
                <w:lang w:val="zh-CN"/>
                <w14:textFill>
                  <w14:solidFill>
                    <w14:schemeClr w14:val="tx1"/>
                  </w14:solidFill>
                </w14:textFill>
              </w:rPr>
            </w:pPr>
          </w:p>
        </w:tc>
      </w:tr>
      <w:tr w14:paraId="09815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9D3937B">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F5059EB">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安全会议管理制度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75AF6B7D">
            <w:pPr>
              <w:pStyle w:val="41"/>
              <w:rPr>
                <w:color w:val="000000" w:themeColor="text1"/>
                <w:lang w:val="zh-CN"/>
                <w14:textFill>
                  <w14:solidFill>
                    <w14:schemeClr w14:val="tx1"/>
                  </w14:solidFill>
                </w14:textFill>
              </w:rPr>
            </w:pPr>
          </w:p>
        </w:tc>
      </w:tr>
      <w:tr w14:paraId="59C7B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69B2040">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566E2262">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领导干部带班制度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6F0940F">
            <w:pPr>
              <w:pStyle w:val="41"/>
              <w:rPr>
                <w:color w:val="000000" w:themeColor="text1"/>
                <w:lang w:val="zh-CN"/>
                <w14:textFill>
                  <w14:solidFill>
                    <w14:schemeClr w14:val="tx1"/>
                  </w14:solidFill>
                </w14:textFill>
              </w:rPr>
            </w:pPr>
          </w:p>
        </w:tc>
      </w:tr>
      <w:tr w14:paraId="5672B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B5D1DE4">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3C9D0E40">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安全生产责任制考核制度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FC2EAD6">
            <w:pPr>
              <w:pStyle w:val="41"/>
              <w:rPr>
                <w:color w:val="000000" w:themeColor="text1"/>
                <w:lang w:val="zh-CN"/>
                <w14:textFill>
                  <w14:solidFill>
                    <w14:schemeClr w14:val="tx1"/>
                  </w14:solidFill>
                </w14:textFill>
              </w:rPr>
            </w:pPr>
          </w:p>
        </w:tc>
      </w:tr>
      <w:tr w14:paraId="78545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0C5F5DB">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24F25D21">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安全生产费用管理制度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7C56D28E">
            <w:pPr>
              <w:pStyle w:val="41"/>
              <w:rPr>
                <w:color w:val="000000" w:themeColor="text1"/>
                <w:lang w:val="zh-CN"/>
                <w14:textFill>
                  <w14:solidFill>
                    <w14:schemeClr w14:val="tx1"/>
                  </w14:solidFill>
                </w14:textFill>
              </w:rPr>
            </w:pPr>
          </w:p>
        </w:tc>
      </w:tr>
      <w:tr w14:paraId="3C134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EB3C1FC">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DF90E8E">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安全生产奖惩管理制度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31EED43B">
            <w:pPr>
              <w:pStyle w:val="41"/>
              <w:rPr>
                <w:color w:val="000000" w:themeColor="text1"/>
                <w:lang w:val="zh-CN"/>
                <w14:textFill>
                  <w14:solidFill>
                    <w14:schemeClr w14:val="tx1"/>
                  </w14:solidFill>
                </w14:textFill>
              </w:rPr>
            </w:pPr>
          </w:p>
        </w:tc>
      </w:tr>
      <w:tr w14:paraId="2235A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96F1DC7">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228CE81">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风险评价管理制度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1B1C54B">
            <w:pPr>
              <w:pStyle w:val="41"/>
              <w:rPr>
                <w:color w:val="000000" w:themeColor="text1"/>
                <w:lang w:val="zh-CN"/>
                <w14:textFill>
                  <w14:solidFill>
                    <w14:schemeClr w14:val="tx1"/>
                  </w14:solidFill>
                </w14:textFill>
              </w:rPr>
            </w:pPr>
          </w:p>
        </w:tc>
      </w:tr>
      <w:tr w14:paraId="6A46A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0023C82">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1FE8EC8">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隐患治理管理制度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094B2653">
            <w:pPr>
              <w:pStyle w:val="41"/>
              <w:rPr>
                <w:color w:val="000000" w:themeColor="text1"/>
                <w:lang w:val="zh-CN"/>
                <w14:textFill>
                  <w14:solidFill>
                    <w14:schemeClr w14:val="tx1"/>
                  </w14:solidFill>
                </w14:textFill>
              </w:rPr>
            </w:pPr>
          </w:p>
        </w:tc>
      </w:tr>
      <w:tr w14:paraId="45F11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25C8E83">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F06F1C0">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变更管理制度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4E8400D4">
            <w:pPr>
              <w:pStyle w:val="41"/>
              <w:rPr>
                <w:color w:val="000000" w:themeColor="text1"/>
                <w:lang w:val="zh-CN"/>
                <w14:textFill>
                  <w14:solidFill>
                    <w14:schemeClr w14:val="tx1"/>
                  </w14:solidFill>
                </w14:textFill>
              </w:rPr>
            </w:pPr>
          </w:p>
        </w:tc>
      </w:tr>
      <w:tr w14:paraId="16E20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3FE72D7">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B1D6E2F">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安全检查管理制度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67AB9A96">
            <w:pPr>
              <w:pStyle w:val="41"/>
              <w:rPr>
                <w:color w:val="000000" w:themeColor="text1"/>
                <w:lang w:val="zh-CN"/>
                <w14:textFill>
                  <w14:solidFill>
                    <w14:schemeClr w14:val="tx1"/>
                  </w14:solidFill>
                </w14:textFill>
              </w:rPr>
            </w:pPr>
          </w:p>
        </w:tc>
      </w:tr>
      <w:tr w14:paraId="428F8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6A882718">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5FA55D2A">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防火、防爆管理，包括禁烟管理制度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3337648D">
            <w:pPr>
              <w:pStyle w:val="41"/>
              <w:rPr>
                <w:color w:val="000000" w:themeColor="text1"/>
                <w:lang w:val="zh-CN"/>
                <w14:textFill>
                  <w14:solidFill>
                    <w14:schemeClr w14:val="tx1"/>
                  </w14:solidFill>
                </w14:textFill>
              </w:rPr>
            </w:pPr>
          </w:p>
        </w:tc>
      </w:tr>
      <w:tr w14:paraId="239EA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772D5FA">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2DE42567">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仓库、罐区安全管理制度</w:t>
            </w:r>
            <w:r>
              <w:rPr>
                <w:color w:val="000000" w:themeColor="text1"/>
                <w:lang w:val="zh-CN"/>
                <w14:textFill>
                  <w14:solidFill>
                    <w14:schemeClr w14:val="tx1"/>
                  </w14:solidFill>
                </w14:textFill>
              </w:rPr>
              <w:tab/>
            </w:r>
          </w:p>
        </w:tc>
        <w:tc>
          <w:tcPr>
            <w:tcW w:w="874" w:type="pct"/>
            <w:tcBorders>
              <w:top w:val="single" w:color="000000" w:sz="4" w:space="0"/>
              <w:left w:val="single" w:color="000000" w:sz="4" w:space="0"/>
              <w:bottom w:val="single" w:color="000000" w:sz="4" w:space="0"/>
              <w:right w:val="single" w:color="000000" w:sz="4" w:space="0"/>
            </w:tcBorders>
            <w:vAlign w:val="center"/>
          </w:tcPr>
          <w:p w14:paraId="7724AE76">
            <w:pPr>
              <w:pStyle w:val="41"/>
              <w:rPr>
                <w:color w:val="000000" w:themeColor="text1"/>
                <w:lang w:val="zh-CN"/>
                <w14:textFill>
                  <w14:solidFill>
                    <w14:schemeClr w14:val="tx1"/>
                  </w14:solidFill>
                </w14:textFill>
              </w:rPr>
            </w:pPr>
          </w:p>
        </w:tc>
      </w:tr>
      <w:tr w14:paraId="4D40A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9B0B644">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543CB536">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生产设施管理制度</w:t>
            </w:r>
            <w:r>
              <w:rPr>
                <w:color w:val="000000" w:themeColor="text1"/>
                <w:lang w:val="zh-CN"/>
                <w14:textFill>
                  <w14:solidFill>
                    <w14:schemeClr w14:val="tx1"/>
                  </w14:solidFill>
                </w14:textFill>
              </w:rPr>
              <w:tab/>
            </w:r>
          </w:p>
        </w:tc>
        <w:tc>
          <w:tcPr>
            <w:tcW w:w="874" w:type="pct"/>
            <w:tcBorders>
              <w:top w:val="single" w:color="000000" w:sz="4" w:space="0"/>
              <w:left w:val="single" w:color="000000" w:sz="4" w:space="0"/>
              <w:bottom w:val="single" w:color="000000" w:sz="4" w:space="0"/>
              <w:right w:val="single" w:color="000000" w:sz="4" w:space="0"/>
            </w:tcBorders>
            <w:vAlign w:val="center"/>
          </w:tcPr>
          <w:p w14:paraId="76442D84">
            <w:pPr>
              <w:pStyle w:val="41"/>
              <w:rPr>
                <w:color w:val="000000" w:themeColor="text1"/>
                <w:lang w:val="zh-CN"/>
                <w14:textFill>
                  <w14:solidFill>
                    <w14:schemeClr w14:val="tx1"/>
                  </w14:solidFill>
                </w14:textFill>
              </w:rPr>
            </w:pPr>
          </w:p>
        </w:tc>
      </w:tr>
      <w:tr w14:paraId="08287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06A03BE">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7907EB3">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监视和测量设备管理制度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497A9A2">
            <w:pPr>
              <w:pStyle w:val="41"/>
              <w:rPr>
                <w:color w:val="000000" w:themeColor="text1"/>
                <w:lang w:val="zh-CN"/>
                <w14:textFill>
                  <w14:solidFill>
                    <w14:schemeClr w14:val="tx1"/>
                  </w14:solidFill>
                </w14:textFill>
              </w:rPr>
            </w:pPr>
          </w:p>
        </w:tc>
      </w:tr>
      <w:tr w14:paraId="4A7C6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3C5981AC">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7B81E4A">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检维修管理制度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1B10B7DC">
            <w:pPr>
              <w:pStyle w:val="41"/>
              <w:rPr>
                <w:color w:val="000000" w:themeColor="text1"/>
                <w:lang w:val="zh-CN"/>
                <w14:textFill>
                  <w14:solidFill>
                    <w14:schemeClr w14:val="tx1"/>
                  </w14:solidFill>
                </w14:textFill>
              </w:rPr>
            </w:pPr>
          </w:p>
        </w:tc>
      </w:tr>
      <w:tr w14:paraId="1820A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568A2BD7">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30C9D99E">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防雷、防静电、电气设备管理制度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5E3F9BF3">
            <w:pPr>
              <w:pStyle w:val="41"/>
              <w:rPr>
                <w:color w:val="000000" w:themeColor="text1"/>
                <w:lang w:val="zh-CN"/>
                <w14:textFill>
                  <w14:solidFill>
                    <w14:schemeClr w14:val="tx1"/>
                  </w14:solidFill>
                </w14:textFill>
              </w:rPr>
            </w:pPr>
          </w:p>
        </w:tc>
      </w:tr>
      <w:tr w14:paraId="4938C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61B9A3E1">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AD671E0">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电器线路的检查和管理制度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6A67344F">
            <w:pPr>
              <w:pStyle w:val="41"/>
              <w:rPr>
                <w:color w:val="000000" w:themeColor="text1"/>
                <w:lang w:val="zh-CN"/>
                <w14:textFill>
                  <w14:solidFill>
                    <w14:schemeClr w14:val="tx1"/>
                  </w14:solidFill>
                </w14:textFill>
              </w:rPr>
            </w:pPr>
          </w:p>
        </w:tc>
      </w:tr>
      <w:tr w14:paraId="10538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60B76C3">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F4E011F">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用火用电安全管理制度</w:t>
            </w:r>
            <w:r>
              <w:rPr>
                <w:color w:val="000000" w:themeColor="text1"/>
                <w:lang w:val="zh-CN"/>
                <w14:textFill>
                  <w14:solidFill>
                    <w14:schemeClr w14:val="tx1"/>
                  </w14:solidFill>
                </w14:textFill>
              </w:rPr>
              <w:tab/>
            </w:r>
          </w:p>
        </w:tc>
        <w:tc>
          <w:tcPr>
            <w:tcW w:w="874" w:type="pct"/>
            <w:tcBorders>
              <w:top w:val="single" w:color="000000" w:sz="4" w:space="0"/>
              <w:left w:val="single" w:color="000000" w:sz="4" w:space="0"/>
              <w:bottom w:val="single" w:color="000000" w:sz="4" w:space="0"/>
              <w:right w:val="single" w:color="000000" w:sz="4" w:space="0"/>
            </w:tcBorders>
            <w:vAlign w:val="center"/>
          </w:tcPr>
          <w:p w14:paraId="259AA39A">
            <w:pPr>
              <w:pStyle w:val="41"/>
              <w:rPr>
                <w:color w:val="000000" w:themeColor="text1"/>
                <w:lang w:val="zh-CN"/>
                <w14:textFill>
                  <w14:solidFill>
                    <w14:schemeClr w14:val="tx1"/>
                  </w14:solidFill>
                </w14:textFill>
              </w:rPr>
            </w:pPr>
          </w:p>
        </w:tc>
      </w:tr>
      <w:tr w14:paraId="2CD4F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3F8FCED">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3AF661F0">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设备器材维护、管理制度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54C36815">
            <w:pPr>
              <w:pStyle w:val="41"/>
              <w:rPr>
                <w:color w:val="000000" w:themeColor="text1"/>
                <w:lang w:val="zh-CN"/>
                <w14:textFill>
                  <w14:solidFill>
                    <w14:schemeClr w14:val="tx1"/>
                  </w14:solidFill>
                </w14:textFill>
              </w:rPr>
            </w:pPr>
          </w:p>
        </w:tc>
      </w:tr>
      <w:tr w14:paraId="35F42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2BD537E">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2CDBD074">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消防安全管理制度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1110AF56">
            <w:pPr>
              <w:pStyle w:val="41"/>
              <w:rPr>
                <w:color w:val="000000" w:themeColor="text1"/>
                <w:lang w:val="zh-CN"/>
                <w14:textFill>
                  <w14:solidFill>
                    <w14:schemeClr w14:val="tx1"/>
                  </w14:solidFill>
                </w14:textFill>
              </w:rPr>
            </w:pPr>
          </w:p>
        </w:tc>
      </w:tr>
      <w:tr w14:paraId="639B1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6A2A45BC">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7702DB0">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特种作业人员安全管理制度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6BB961F0">
            <w:pPr>
              <w:pStyle w:val="41"/>
              <w:rPr>
                <w:color w:val="000000" w:themeColor="text1"/>
                <w:lang w:val="zh-CN"/>
                <w14:textFill>
                  <w14:solidFill>
                    <w14:schemeClr w14:val="tx1"/>
                  </w14:solidFill>
                </w14:textFill>
              </w:rPr>
            </w:pPr>
          </w:p>
        </w:tc>
      </w:tr>
      <w:tr w14:paraId="6D89E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D4C2F3D">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3C622C4A">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劳动保护用品管理制度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48CA19FE">
            <w:pPr>
              <w:pStyle w:val="41"/>
              <w:rPr>
                <w:color w:val="000000" w:themeColor="text1"/>
                <w:lang w:val="zh-CN"/>
                <w14:textFill>
                  <w14:solidFill>
                    <w14:schemeClr w14:val="tx1"/>
                  </w14:solidFill>
                </w14:textFill>
              </w:rPr>
            </w:pPr>
          </w:p>
        </w:tc>
      </w:tr>
      <w:tr w14:paraId="7D53D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A1951FD">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15CC0A6">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安全活动管理制度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5D98D561">
            <w:pPr>
              <w:pStyle w:val="41"/>
              <w:rPr>
                <w:color w:val="000000" w:themeColor="text1"/>
                <w:lang w:val="zh-CN"/>
                <w14:textFill>
                  <w14:solidFill>
                    <w14:schemeClr w14:val="tx1"/>
                  </w14:solidFill>
                </w14:textFill>
              </w:rPr>
            </w:pPr>
          </w:p>
        </w:tc>
      </w:tr>
      <w:tr w14:paraId="17322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0E2F34A">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9B53D9F">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加油站接卸油管理制度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68EE8AA5">
            <w:pPr>
              <w:pStyle w:val="41"/>
              <w:rPr>
                <w:color w:val="000000" w:themeColor="text1"/>
                <w:lang w:val="zh-CN"/>
                <w14:textFill>
                  <w14:solidFill>
                    <w14:schemeClr w14:val="tx1"/>
                  </w14:solidFill>
                </w14:textFill>
              </w:rPr>
            </w:pPr>
          </w:p>
        </w:tc>
      </w:tr>
      <w:tr w14:paraId="5EBE2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3098EB40">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63B5403">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关键装置、重点部位安全管理制度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56284EDF">
            <w:pPr>
              <w:pStyle w:val="41"/>
              <w:rPr>
                <w:color w:val="000000" w:themeColor="text1"/>
                <w:lang w:val="zh-CN"/>
                <w14:textFill>
                  <w14:solidFill>
                    <w14:schemeClr w14:val="tx1"/>
                  </w14:solidFill>
                </w14:textFill>
              </w:rPr>
            </w:pPr>
          </w:p>
        </w:tc>
      </w:tr>
      <w:tr w14:paraId="31C88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2A8D091">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BBB23FF">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承包商管理制度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18937AD7">
            <w:pPr>
              <w:pStyle w:val="41"/>
              <w:rPr>
                <w:color w:val="000000" w:themeColor="text1"/>
                <w:lang w:val="zh-CN"/>
                <w14:textFill>
                  <w14:solidFill>
                    <w14:schemeClr w14:val="tx1"/>
                  </w14:solidFill>
                </w14:textFill>
              </w:rPr>
            </w:pPr>
          </w:p>
        </w:tc>
      </w:tr>
      <w:tr w14:paraId="3CFDA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25A6662">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6428045">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供应商管理制度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663E64C0">
            <w:pPr>
              <w:pStyle w:val="41"/>
              <w:rPr>
                <w:color w:val="000000" w:themeColor="text1"/>
                <w:lang w:val="zh-CN"/>
                <w14:textFill>
                  <w14:solidFill>
                    <w14:schemeClr w14:val="tx1"/>
                  </w14:solidFill>
                </w14:textFill>
              </w:rPr>
            </w:pPr>
          </w:p>
        </w:tc>
      </w:tr>
      <w:tr w14:paraId="00C94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0D18E42">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C7422B7">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生产设施的报废和拆除管理制度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4D2A77BE">
            <w:pPr>
              <w:pStyle w:val="41"/>
              <w:rPr>
                <w:color w:val="000000" w:themeColor="text1"/>
                <w:lang w:val="zh-CN"/>
                <w14:textFill>
                  <w14:solidFill>
                    <w14:schemeClr w14:val="tx1"/>
                  </w14:solidFill>
                </w14:textFill>
              </w:rPr>
            </w:pPr>
          </w:p>
        </w:tc>
      </w:tr>
      <w:tr w14:paraId="64B0C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604B9D7">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9B8BE37">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事故应急管理制度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183C656">
            <w:pPr>
              <w:pStyle w:val="41"/>
              <w:rPr>
                <w:color w:val="000000" w:themeColor="text1"/>
                <w:lang w:val="zh-CN"/>
                <w14:textFill>
                  <w14:solidFill>
                    <w14:schemeClr w14:val="tx1"/>
                  </w14:solidFill>
                </w14:textFill>
              </w:rPr>
            </w:pPr>
          </w:p>
        </w:tc>
      </w:tr>
      <w:tr w14:paraId="62A29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5BF68FDF">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DB87678">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职业卫生安全管理制度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14EE85C5">
            <w:pPr>
              <w:pStyle w:val="41"/>
              <w:rPr>
                <w:color w:val="000000" w:themeColor="text1"/>
                <w:lang w:val="zh-CN"/>
                <w14:textFill>
                  <w14:solidFill>
                    <w14:schemeClr w14:val="tx1"/>
                  </w14:solidFill>
                </w14:textFill>
              </w:rPr>
            </w:pPr>
          </w:p>
        </w:tc>
      </w:tr>
      <w:tr w14:paraId="1697B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39BD651D">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B74E799">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作业场所职业危害因素检测管理制度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18BA8454">
            <w:pPr>
              <w:pStyle w:val="41"/>
              <w:rPr>
                <w:color w:val="000000" w:themeColor="text1"/>
                <w:lang w:val="zh-CN"/>
                <w14:textFill>
                  <w14:solidFill>
                    <w14:schemeClr w14:val="tx1"/>
                  </w14:solidFill>
                </w14:textFill>
              </w:rPr>
            </w:pPr>
          </w:p>
        </w:tc>
      </w:tr>
      <w:tr w14:paraId="71C2F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5788687F">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517DA29E">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安全作业管理制度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3E3DB7E">
            <w:pPr>
              <w:pStyle w:val="41"/>
              <w:rPr>
                <w:color w:val="000000" w:themeColor="text1"/>
                <w:lang w:val="zh-CN"/>
                <w14:textFill>
                  <w14:solidFill>
                    <w14:schemeClr w14:val="tx1"/>
                  </w14:solidFill>
                </w14:textFill>
              </w:rPr>
            </w:pPr>
          </w:p>
        </w:tc>
      </w:tr>
      <w:tr w14:paraId="4B2A6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3ACD6B30">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2FA552B1">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文件档案管理制度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7431C887">
            <w:pPr>
              <w:pStyle w:val="41"/>
              <w:rPr>
                <w:color w:val="000000" w:themeColor="text1"/>
                <w:lang w:val="zh-CN"/>
                <w14:textFill>
                  <w14:solidFill>
                    <w14:schemeClr w14:val="tx1"/>
                  </w14:solidFill>
                </w14:textFill>
              </w:rPr>
            </w:pPr>
          </w:p>
        </w:tc>
      </w:tr>
      <w:tr w14:paraId="34BEB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6097F546">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1491208">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安全培训教育管理制度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69E9CED">
            <w:pPr>
              <w:pStyle w:val="41"/>
              <w:rPr>
                <w:color w:val="000000" w:themeColor="text1"/>
                <w:lang w:val="zh-CN"/>
                <w14:textFill>
                  <w14:solidFill>
                    <w14:schemeClr w14:val="tx1"/>
                  </w14:solidFill>
                </w14:textFill>
              </w:rPr>
            </w:pPr>
          </w:p>
        </w:tc>
      </w:tr>
      <w:tr w14:paraId="3933B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B19A302">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7C711AC">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安全警示标志管理制度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7EFC9E4F">
            <w:pPr>
              <w:pStyle w:val="41"/>
              <w:rPr>
                <w:color w:val="000000" w:themeColor="text1"/>
                <w:lang w:val="zh-CN"/>
                <w14:textFill>
                  <w14:solidFill>
                    <w14:schemeClr w14:val="tx1"/>
                  </w14:solidFill>
                </w14:textFill>
              </w:rPr>
            </w:pPr>
          </w:p>
        </w:tc>
      </w:tr>
      <w:tr w14:paraId="09945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C70F615">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78966C5">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危险化学品管理制度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1EA832F1">
            <w:pPr>
              <w:pStyle w:val="41"/>
              <w:rPr>
                <w:color w:val="000000" w:themeColor="text1"/>
                <w:lang w:val="zh-CN"/>
                <w14:textFill>
                  <w14:solidFill>
                    <w14:schemeClr w14:val="tx1"/>
                  </w14:solidFill>
                </w14:textFill>
              </w:rPr>
            </w:pPr>
          </w:p>
        </w:tc>
      </w:tr>
      <w:tr w14:paraId="5C967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5AFF0B9">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ED6B1FC">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事故管理制度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0EABA88A">
            <w:pPr>
              <w:pStyle w:val="41"/>
              <w:rPr>
                <w:color w:val="000000" w:themeColor="text1"/>
                <w:lang w:val="zh-CN"/>
                <w14:textFill>
                  <w14:solidFill>
                    <w14:schemeClr w14:val="tx1"/>
                  </w14:solidFill>
                </w14:textFill>
              </w:rPr>
            </w:pPr>
          </w:p>
        </w:tc>
      </w:tr>
      <w:tr w14:paraId="75BA4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33C6B87D">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976FDE6">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重大危险源管理制度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525994D5">
            <w:pPr>
              <w:pStyle w:val="41"/>
              <w:rPr>
                <w:color w:val="000000" w:themeColor="text1"/>
                <w:lang w:val="zh-CN"/>
                <w14:textFill>
                  <w14:solidFill>
                    <w14:schemeClr w14:val="tx1"/>
                  </w14:solidFill>
                </w14:textFill>
              </w:rPr>
            </w:pPr>
          </w:p>
        </w:tc>
      </w:tr>
      <w:tr w14:paraId="278D1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B2910ED">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2FBA52C">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管理制度、操作规程的评审和修订制度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1EB33549">
            <w:pPr>
              <w:pStyle w:val="41"/>
              <w:rPr>
                <w:color w:val="000000" w:themeColor="text1"/>
                <w:lang w:val="zh-CN"/>
                <w14:textFill>
                  <w14:solidFill>
                    <w14:schemeClr w14:val="tx1"/>
                  </w14:solidFill>
                </w14:textFill>
              </w:rPr>
            </w:pPr>
          </w:p>
        </w:tc>
      </w:tr>
      <w:tr w14:paraId="5A0A1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683DFE7E">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2DF7E34">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特种设备安全管理制度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29EAF80D">
            <w:pPr>
              <w:pStyle w:val="41"/>
              <w:rPr>
                <w:color w:val="000000" w:themeColor="text1"/>
                <w:lang w:val="zh-CN"/>
                <w14:textFill>
                  <w14:solidFill>
                    <w14:schemeClr w14:val="tx1"/>
                  </w14:solidFill>
                </w14:textFill>
              </w:rPr>
            </w:pPr>
          </w:p>
        </w:tc>
      </w:tr>
      <w:tr w14:paraId="48141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5B043388">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CB2782C">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自评管理制度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6C517010">
            <w:pPr>
              <w:pStyle w:val="41"/>
              <w:rPr>
                <w:color w:val="000000" w:themeColor="text1"/>
                <w:lang w:val="zh-CN"/>
                <w14:textFill>
                  <w14:solidFill>
                    <w14:schemeClr w14:val="tx1"/>
                  </w14:solidFill>
                </w14:textFill>
              </w:rPr>
            </w:pPr>
          </w:p>
        </w:tc>
      </w:tr>
      <w:tr w14:paraId="6E2DC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3A89E7B2">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F209989">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建设项目安全</w:t>
            </w:r>
            <w:r>
              <w:rPr>
                <w:rFonts w:hint="eastAsia"/>
                <w:color w:val="000000" w:themeColor="text1"/>
                <w:lang w:val="zh-CN"/>
                <w14:textFill>
                  <w14:solidFill>
                    <w14:schemeClr w14:val="tx1"/>
                  </w14:solidFill>
                </w14:textFill>
              </w:rPr>
              <w:t>“</w:t>
            </w:r>
            <w:r>
              <w:rPr>
                <w:color w:val="000000" w:themeColor="text1"/>
                <w:lang w:val="zh-CN"/>
                <w14:textFill>
                  <w14:solidFill>
                    <w14:schemeClr w14:val="tx1"/>
                  </w14:solidFill>
                </w14:textFill>
              </w:rPr>
              <w:t>三同时</w:t>
            </w:r>
            <w:r>
              <w:rPr>
                <w:rFonts w:hint="eastAsia"/>
                <w:color w:val="000000" w:themeColor="text1"/>
                <w:lang w:val="zh-CN"/>
                <w14:textFill>
                  <w14:solidFill>
                    <w14:schemeClr w14:val="tx1"/>
                  </w14:solidFill>
                </w14:textFill>
              </w:rPr>
              <w:t>”</w:t>
            </w:r>
            <w:r>
              <w:rPr>
                <w:color w:val="000000" w:themeColor="text1"/>
                <w:lang w:val="zh-CN"/>
                <w14:textFill>
                  <w14:solidFill>
                    <w14:schemeClr w14:val="tx1"/>
                  </w14:solidFill>
                </w14:textFill>
              </w:rPr>
              <w:t>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394546D7">
            <w:pPr>
              <w:pStyle w:val="41"/>
              <w:rPr>
                <w:color w:val="000000" w:themeColor="text1"/>
                <w:lang w:val="zh-CN"/>
                <w14:textFill>
                  <w14:solidFill>
                    <w14:schemeClr w14:val="tx1"/>
                  </w14:solidFill>
                </w14:textFill>
              </w:rPr>
            </w:pPr>
          </w:p>
        </w:tc>
      </w:tr>
      <w:tr w14:paraId="4DB57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5D705806">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5FB05EED">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加油站交通安全管理制度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5CC6668E">
            <w:pPr>
              <w:pStyle w:val="41"/>
              <w:rPr>
                <w:color w:val="000000" w:themeColor="text1"/>
                <w:lang w:val="zh-CN"/>
                <w14:textFill>
                  <w14:solidFill>
                    <w14:schemeClr w14:val="tx1"/>
                  </w14:solidFill>
                </w14:textFill>
              </w:rPr>
            </w:pPr>
          </w:p>
        </w:tc>
      </w:tr>
      <w:tr w14:paraId="23BEC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6E270C4">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03AE9BB0">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岗位达标管理制度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702FE858">
            <w:pPr>
              <w:pStyle w:val="41"/>
              <w:rPr>
                <w:color w:val="000000" w:themeColor="text1"/>
                <w:lang w:val="zh-CN"/>
                <w14:textFill>
                  <w14:solidFill>
                    <w14:schemeClr w14:val="tx1"/>
                  </w14:solidFill>
                </w14:textFill>
              </w:rPr>
            </w:pPr>
          </w:p>
        </w:tc>
      </w:tr>
      <w:tr w14:paraId="1C418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5D4E6B3D">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31692FC9">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安全生产风险分级管理控制制度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0FA91676">
            <w:pPr>
              <w:pStyle w:val="41"/>
              <w:rPr>
                <w:color w:val="000000" w:themeColor="text1"/>
                <w:lang w:val="zh-CN"/>
                <w14:textFill>
                  <w14:solidFill>
                    <w14:schemeClr w14:val="tx1"/>
                  </w14:solidFill>
                </w14:textFill>
              </w:rPr>
            </w:pPr>
          </w:p>
        </w:tc>
      </w:tr>
      <w:tr w14:paraId="3E723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047A648B">
            <w:pPr>
              <w:pStyle w:val="41"/>
              <w:numPr>
                <w:ilvl w:val="0"/>
                <w:numId w:val="9"/>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1D88B5E4">
            <w:pPr>
              <w:pStyle w:val="41"/>
              <w:rPr>
                <w:color w:val="000000" w:themeColor="text1"/>
                <w14:textFill>
                  <w14:solidFill>
                    <w14:schemeClr w14:val="tx1"/>
                  </w14:solidFill>
                </w14:textFill>
              </w:rPr>
            </w:pPr>
            <w:r>
              <w:rPr>
                <w:color w:val="000000" w:themeColor="text1"/>
                <w:lang w:val="zh-CN"/>
                <w14:textFill>
                  <w14:solidFill>
                    <w14:schemeClr w14:val="tx1"/>
                  </w14:solidFill>
                </w14:textFill>
              </w:rPr>
              <w:t>加油站值班制度</w:t>
            </w:r>
          </w:p>
        </w:tc>
        <w:tc>
          <w:tcPr>
            <w:tcW w:w="874" w:type="pct"/>
            <w:tcBorders>
              <w:top w:val="single" w:color="000000" w:sz="4" w:space="0"/>
              <w:left w:val="single" w:color="000000" w:sz="4" w:space="0"/>
              <w:bottom w:val="single" w:color="000000" w:sz="4" w:space="0"/>
              <w:right w:val="single" w:color="000000" w:sz="4" w:space="0"/>
            </w:tcBorders>
            <w:vAlign w:val="center"/>
          </w:tcPr>
          <w:p w14:paraId="4C232B4E">
            <w:pPr>
              <w:pStyle w:val="41"/>
              <w:rPr>
                <w:color w:val="000000" w:themeColor="text1"/>
                <w:lang w:val="zh-CN"/>
                <w14:textFill>
                  <w14:solidFill>
                    <w14:schemeClr w14:val="tx1"/>
                  </w14:solidFill>
                </w14:textFill>
              </w:rPr>
            </w:pPr>
          </w:p>
        </w:tc>
      </w:tr>
      <w:tr w14:paraId="76E40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2FF076A9">
            <w:pPr>
              <w:pStyle w:val="41"/>
              <w:rPr>
                <w:color w:val="000000" w:themeColor="text1"/>
                <w14:textFill>
                  <w14:solidFill>
                    <w14:schemeClr w14:val="tx1"/>
                  </w14:solidFill>
                </w14:textFill>
              </w:rPr>
            </w:pPr>
            <w:r>
              <w:rPr>
                <w:color w:val="000000" w:themeColor="text1"/>
                <w14:textFill>
                  <w14:solidFill>
                    <w14:schemeClr w14:val="tx1"/>
                  </w14:solidFill>
                </w14:textFill>
              </w:rPr>
              <w:t>三、操作规程</w:t>
            </w:r>
          </w:p>
        </w:tc>
      </w:tr>
      <w:tr w14:paraId="403C6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D9550CD">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9DE1DEC">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加油操作规程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33C0AD11">
            <w:pPr>
              <w:pStyle w:val="41"/>
              <w:rPr>
                <w:color w:val="000000" w:themeColor="text1"/>
                <w:lang w:val="zh-CN"/>
                <w14:textFill>
                  <w14:solidFill>
                    <w14:schemeClr w14:val="tx1"/>
                  </w14:solidFill>
                </w14:textFill>
              </w:rPr>
            </w:pPr>
          </w:p>
        </w:tc>
      </w:tr>
      <w:tr w14:paraId="7322C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211C4E1">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557F4EF0">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卸油操作规程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16EACC6C">
            <w:pPr>
              <w:pStyle w:val="41"/>
              <w:rPr>
                <w:color w:val="000000" w:themeColor="text1"/>
                <w:lang w:val="zh-CN"/>
                <w14:textFill>
                  <w14:solidFill>
                    <w14:schemeClr w14:val="tx1"/>
                  </w14:solidFill>
                </w14:textFill>
              </w:rPr>
            </w:pPr>
          </w:p>
        </w:tc>
      </w:tr>
      <w:tr w14:paraId="38FB1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73E4C7B5">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6A0B107">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变配电室操作规程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2772C214">
            <w:pPr>
              <w:pStyle w:val="41"/>
              <w:rPr>
                <w:color w:val="000000" w:themeColor="text1"/>
                <w:lang w:val="zh-CN"/>
                <w14:textFill>
                  <w14:solidFill>
                    <w14:schemeClr w14:val="tx1"/>
                  </w14:solidFill>
                </w14:textFill>
              </w:rPr>
            </w:pPr>
          </w:p>
        </w:tc>
      </w:tr>
      <w:tr w14:paraId="439A4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D204CEB">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4E3B81D6">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发电机操作规程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141B526C">
            <w:pPr>
              <w:pStyle w:val="41"/>
              <w:rPr>
                <w:color w:val="000000" w:themeColor="text1"/>
                <w:lang w:val="zh-CN"/>
                <w14:textFill>
                  <w14:solidFill>
                    <w14:schemeClr w14:val="tx1"/>
                  </w14:solidFill>
                </w14:textFill>
              </w:rPr>
            </w:pPr>
          </w:p>
        </w:tc>
      </w:tr>
      <w:tr w14:paraId="19CE7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4C7018C8">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3F8E67CD">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检维修作业安全操作规程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425B513E">
            <w:pPr>
              <w:pStyle w:val="41"/>
              <w:rPr>
                <w:color w:val="000000" w:themeColor="text1"/>
                <w:lang w:val="zh-CN"/>
                <w14:textFill>
                  <w14:solidFill>
                    <w14:schemeClr w14:val="tx1"/>
                  </w14:solidFill>
                </w14:textFill>
              </w:rPr>
            </w:pPr>
          </w:p>
        </w:tc>
      </w:tr>
      <w:tr w14:paraId="5796E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2F718959">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D7FC787">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计量操作规程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16C16754">
            <w:pPr>
              <w:pStyle w:val="41"/>
              <w:rPr>
                <w:color w:val="000000" w:themeColor="text1"/>
                <w:lang w:val="zh-CN"/>
                <w14:textFill>
                  <w14:solidFill>
                    <w14:schemeClr w14:val="tx1"/>
                  </w14:solidFill>
                </w14:textFill>
              </w:rPr>
            </w:pPr>
          </w:p>
        </w:tc>
      </w:tr>
      <w:tr w14:paraId="5CC68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6C7068B1">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7CEDF10F">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收银岗位操作规程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05FC092C">
            <w:pPr>
              <w:pStyle w:val="41"/>
              <w:rPr>
                <w:color w:val="000000" w:themeColor="text1"/>
                <w:lang w:val="zh-CN"/>
                <w14:textFill>
                  <w14:solidFill>
                    <w14:schemeClr w14:val="tx1"/>
                  </w14:solidFill>
                </w14:textFill>
              </w:rPr>
            </w:pPr>
          </w:p>
        </w:tc>
      </w:tr>
      <w:tr w14:paraId="393D1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1" w:type="pct"/>
            <w:tcBorders>
              <w:top w:val="single" w:color="000000" w:sz="4" w:space="0"/>
              <w:left w:val="single" w:color="000000" w:sz="4" w:space="0"/>
              <w:bottom w:val="single" w:color="000000" w:sz="4" w:space="0"/>
              <w:right w:val="single" w:color="000000" w:sz="4" w:space="0"/>
            </w:tcBorders>
            <w:vAlign w:val="center"/>
          </w:tcPr>
          <w:p w14:paraId="1B7F7DB1">
            <w:pPr>
              <w:pStyle w:val="41"/>
              <w:numPr>
                <w:ilvl w:val="0"/>
                <w:numId w:val="10"/>
              </w:numPr>
              <w:rPr>
                <w:color w:val="000000" w:themeColor="text1"/>
                <w:lang w:val="zh-CN"/>
                <w14:textFill>
                  <w14:solidFill>
                    <w14:schemeClr w14:val="tx1"/>
                  </w14:solidFill>
                </w14:textFill>
              </w:rPr>
            </w:pPr>
          </w:p>
        </w:tc>
        <w:tc>
          <w:tcPr>
            <w:tcW w:w="3493" w:type="pct"/>
            <w:tcBorders>
              <w:top w:val="single" w:color="000000" w:sz="4" w:space="0"/>
              <w:left w:val="single" w:color="000000" w:sz="4" w:space="0"/>
              <w:bottom w:val="single" w:color="000000" w:sz="4" w:space="0"/>
              <w:right w:val="single" w:color="000000" w:sz="4" w:space="0"/>
            </w:tcBorders>
            <w:vAlign w:val="center"/>
          </w:tcPr>
          <w:p w14:paraId="61AA0F01">
            <w:pPr>
              <w:pStyle w:val="41"/>
              <w:rPr>
                <w:color w:val="000000" w:themeColor="text1"/>
                <w:lang w:val="zh-CN"/>
                <w14:textFill>
                  <w14:solidFill>
                    <w14:schemeClr w14:val="tx1"/>
                  </w14:solidFill>
                </w14:textFill>
              </w:rPr>
            </w:pPr>
            <w:r>
              <w:rPr>
                <w:color w:val="000000" w:themeColor="text1"/>
                <w:lang w:val="zh-CN"/>
                <w14:textFill>
                  <w14:solidFill>
                    <w14:schemeClr w14:val="tx1"/>
                  </w14:solidFill>
                </w14:textFill>
              </w:rPr>
              <w:t>特殊情况处理规程</w:t>
            </w:r>
          </w:p>
        </w:tc>
        <w:tc>
          <w:tcPr>
            <w:tcW w:w="874" w:type="pct"/>
            <w:tcBorders>
              <w:top w:val="single" w:color="000000" w:sz="4" w:space="0"/>
              <w:left w:val="single" w:color="000000" w:sz="4" w:space="0"/>
              <w:bottom w:val="single" w:color="000000" w:sz="4" w:space="0"/>
              <w:right w:val="single" w:color="000000" w:sz="4" w:space="0"/>
            </w:tcBorders>
            <w:vAlign w:val="center"/>
          </w:tcPr>
          <w:p w14:paraId="3EF590D4">
            <w:pPr>
              <w:pStyle w:val="41"/>
              <w:rPr>
                <w:color w:val="000000" w:themeColor="text1"/>
                <w:lang w:val="zh-CN"/>
                <w14:textFill>
                  <w14:solidFill>
                    <w14:schemeClr w14:val="tx1"/>
                  </w14:solidFill>
                </w14:textFill>
              </w:rPr>
            </w:pPr>
          </w:p>
        </w:tc>
      </w:tr>
    </w:tbl>
    <w:p w14:paraId="75EAED3D">
      <w:pPr>
        <w:rPr>
          <w:color w:val="000000" w:themeColor="text1"/>
          <w14:textFill>
            <w14:solidFill>
              <w14:schemeClr w14:val="tx1"/>
            </w14:solidFill>
          </w14:textFill>
        </w:rPr>
      </w:pPr>
      <w:r>
        <w:rPr>
          <w:color w:val="000000" w:themeColor="text1"/>
          <w:lang w:val="zh-CN"/>
          <w14:textFill>
            <w14:solidFill>
              <w14:schemeClr w14:val="tx1"/>
            </w14:solidFill>
          </w14:textFill>
        </w:rPr>
        <w:t>加油站已经按照安全生产的相关要求，组织员工进行了安全操作规程的培训学习，并在实际作业过程中做到严格执行。</w:t>
      </w:r>
    </w:p>
    <w:p w14:paraId="3B928550">
      <w:pPr>
        <w:pStyle w:val="4"/>
        <w:rPr>
          <w:color w:val="000000" w:themeColor="text1"/>
          <w14:textFill>
            <w14:solidFill>
              <w14:schemeClr w14:val="tx1"/>
            </w14:solidFill>
          </w14:textFill>
        </w:rPr>
      </w:pPr>
      <w:r>
        <w:rPr>
          <w:color w:val="000000" w:themeColor="text1"/>
          <w14:textFill>
            <w14:solidFill>
              <w14:schemeClr w14:val="tx1"/>
            </w14:solidFill>
          </w14:textFill>
        </w:rPr>
        <w:t>2.7.5从业人员工伤保险及安全生产责任险</w:t>
      </w:r>
    </w:p>
    <w:p w14:paraId="56D8149E">
      <w:pPr>
        <w:adjustRightInd w:val="0"/>
        <w:snapToGrid w:val="0"/>
        <w:rPr>
          <w:color w:val="000000" w:themeColor="text1"/>
          <w14:textFill>
            <w14:solidFill>
              <w14:schemeClr w14:val="tx1"/>
            </w14:solidFill>
          </w14:textFill>
        </w:rPr>
      </w:pPr>
      <w:r>
        <w:rPr>
          <w:color w:val="000000" w:themeColor="text1"/>
          <w:lang w:val="zh-CN"/>
          <w14:textFill>
            <w14:solidFill>
              <w14:schemeClr w14:val="tx1"/>
            </w14:solidFill>
          </w14:textFill>
        </w:rPr>
        <w:t>该加油站已为从业人员购买统一购买工伤保险</w:t>
      </w:r>
      <w:r>
        <w:rPr>
          <w:color w:val="000000" w:themeColor="text1"/>
          <w14:textFill>
            <w14:solidFill>
              <w14:schemeClr w14:val="tx1"/>
            </w14:solidFill>
          </w14:textFill>
        </w:rPr>
        <w:t>和</w:t>
      </w:r>
      <w:r>
        <w:rPr>
          <w:color w:val="000000" w:themeColor="text1"/>
          <w:lang w:val="zh-CN"/>
          <w14:textFill>
            <w14:solidFill>
              <w14:schemeClr w14:val="tx1"/>
            </w14:solidFill>
          </w14:textFill>
        </w:rPr>
        <w:t>安全生产责任险，</w:t>
      </w:r>
      <w:r>
        <w:rPr>
          <w:color w:val="000000" w:themeColor="text1"/>
          <w14:textFill>
            <w14:solidFill>
              <w14:schemeClr w14:val="tx1"/>
            </w14:solidFill>
          </w14:textFill>
        </w:rPr>
        <w:t>详</w:t>
      </w:r>
      <w:r>
        <w:rPr>
          <w:color w:val="000000" w:themeColor="text1"/>
          <w:lang w:val="zh-CN"/>
          <w14:textFill>
            <w14:solidFill>
              <w14:schemeClr w14:val="tx1"/>
            </w14:solidFill>
          </w14:textFill>
        </w:rPr>
        <w:t>见附件。</w:t>
      </w:r>
    </w:p>
    <w:p w14:paraId="71BACA67">
      <w:pPr>
        <w:pStyle w:val="4"/>
        <w:rPr>
          <w:color w:val="000000" w:themeColor="text1"/>
          <w14:textFill>
            <w14:solidFill>
              <w14:schemeClr w14:val="tx1"/>
            </w14:solidFill>
          </w14:textFill>
        </w:rPr>
      </w:pPr>
      <w:r>
        <w:rPr>
          <w:color w:val="000000" w:themeColor="text1"/>
          <w14:textFill>
            <w14:solidFill>
              <w14:schemeClr w14:val="tx1"/>
            </w14:solidFill>
          </w14:textFill>
        </w:rPr>
        <w:t>2.7.6事故应急救援</w:t>
      </w:r>
    </w:p>
    <w:p w14:paraId="6CABF104">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加油站</w:t>
      </w:r>
      <w:r>
        <w:rPr>
          <w:color w:val="000000" w:themeColor="text1"/>
          <w:lang w:val="zh-CN"/>
          <w14:textFill>
            <w14:solidFill>
              <w14:schemeClr w14:val="tx1"/>
            </w14:solidFill>
          </w14:textFill>
        </w:rPr>
        <w:t>按照《生产经营单位生产安全事故应急预案编制导则》（GB/T</w:t>
      </w:r>
      <w:r>
        <w:rPr>
          <w:color w:val="000000" w:themeColor="text1"/>
          <w14:textFill>
            <w14:solidFill>
              <w14:schemeClr w14:val="tx1"/>
            </w14:solidFill>
          </w14:textFill>
        </w:rPr>
        <w:t xml:space="preserve"> </w:t>
      </w:r>
      <w:r>
        <w:rPr>
          <w:color w:val="000000" w:themeColor="text1"/>
          <w:lang w:val="zh-CN"/>
          <w14:textFill>
            <w14:solidFill>
              <w14:schemeClr w14:val="tx1"/>
            </w14:solidFill>
          </w14:textFill>
        </w:rPr>
        <w:t>29639-2020）等标准和规范的相关要求，编制了《生产安全事故应急预案》，并经</w:t>
      </w:r>
      <w:r>
        <w:rPr>
          <w:rFonts w:hint="eastAsia"/>
          <w:color w:val="000000" w:themeColor="text1"/>
          <w14:textFill>
            <w14:solidFill>
              <w14:schemeClr w14:val="tx1"/>
            </w14:solidFill>
          </w14:textFill>
        </w:rPr>
        <w:t>专家</w:t>
      </w:r>
      <w:r>
        <w:rPr>
          <w:color w:val="000000" w:themeColor="text1"/>
          <w:lang w:val="zh-CN"/>
          <w14:textFill>
            <w14:solidFill>
              <w14:schemeClr w14:val="tx1"/>
            </w14:solidFill>
          </w14:textFill>
        </w:rPr>
        <w:t>评审后</w:t>
      </w:r>
      <w:r>
        <w:rPr>
          <w:rFonts w:hint="eastAsia"/>
          <w:color w:val="000000" w:themeColor="text1"/>
          <w14:textFill>
            <w14:solidFill>
              <w14:schemeClr w14:val="tx1"/>
            </w14:solidFill>
          </w14:textFill>
        </w:rPr>
        <w:t>于2026年7月31日</w:t>
      </w:r>
      <w:r>
        <w:rPr>
          <w:color w:val="000000" w:themeColor="text1"/>
          <w:lang w:val="zh-CN"/>
          <w14:textFill>
            <w14:solidFill>
              <w14:schemeClr w14:val="tx1"/>
            </w14:solidFill>
          </w14:textFill>
        </w:rPr>
        <w:t>到</w:t>
      </w:r>
      <w:r>
        <w:rPr>
          <w:color w:val="000000" w:themeColor="text1"/>
          <w14:textFill>
            <w14:solidFill>
              <w14:schemeClr w14:val="tx1"/>
            </w14:solidFill>
          </w14:textFill>
        </w:rPr>
        <w:t>勐腊</w:t>
      </w:r>
      <w:r>
        <w:rPr>
          <w:color w:val="000000" w:themeColor="text1"/>
          <w:lang w:val="zh-CN"/>
          <w14:textFill>
            <w14:solidFill>
              <w14:schemeClr w14:val="tx1"/>
            </w14:solidFill>
          </w14:textFill>
        </w:rPr>
        <w:t>县应急管理局备案，</w:t>
      </w:r>
      <w:r>
        <w:rPr>
          <w:color w:val="000000" w:themeColor="text1"/>
          <w14:textFill>
            <w14:solidFill>
              <w14:schemeClr w14:val="tx1"/>
            </w14:solidFill>
          </w14:textFill>
        </w:rPr>
        <w:t>编号：532823-2026-0021</w:t>
      </w:r>
      <w:r>
        <w:rPr>
          <w:color w:val="000000" w:themeColor="text1"/>
          <w:lang w:val="zh-CN"/>
          <w14:textFill>
            <w14:solidFill>
              <w14:schemeClr w14:val="tx1"/>
            </w14:solidFill>
          </w14:textFill>
        </w:rPr>
        <w:t>。</w:t>
      </w:r>
    </w:p>
    <w:p w14:paraId="7132EB43">
      <w:pPr>
        <w:rPr>
          <w:color w:val="000000" w:themeColor="text1"/>
          <w:lang w:val="zh-CN"/>
          <w14:textFill>
            <w14:solidFill>
              <w14:schemeClr w14:val="tx1"/>
            </w14:solidFill>
          </w14:textFill>
        </w:rPr>
      </w:pPr>
      <w:r>
        <w:rPr>
          <w:color w:val="000000" w:themeColor="text1"/>
          <w:lang w:val="zh-CN"/>
          <w14:textFill>
            <w14:solidFill>
              <w14:schemeClr w14:val="tx1"/>
            </w14:solidFill>
          </w14:textFill>
        </w:rPr>
        <w:t>为及时应对并处理加油站可能出现的安全事故，加油站成立了相应的安全生产应急救援领导小组，</w:t>
      </w:r>
      <w:r>
        <w:rPr>
          <w:color w:val="000000" w:themeColor="text1"/>
          <w14:textFill>
            <w14:solidFill>
              <w14:schemeClr w14:val="tx1"/>
            </w14:solidFill>
          </w14:textFill>
        </w:rPr>
        <w:t>并</w:t>
      </w:r>
      <w:r>
        <w:rPr>
          <w:color w:val="000000" w:themeColor="text1"/>
          <w:lang w:val="zh-CN"/>
          <w14:textFill>
            <w14:solidFill>
              <w14:schemeClr w14:val="tx1"/>
            </w14:solidFill>
          </w14:textFill>
        </w:rPr>
        <w:t>根据可能出现的危险及事故类型，在现场配置了相应的救援器材，主要有灭火器、灭火毯、消防桶、消防砂等。</w:t>
      </w:r>
    </w:p>
    <w:p w14:paraId="04294D84">
      <w:pPr>
        <w:rPr>
          <w:color w:val="000000" w:themeColor="text1"/>
          <w14:textFill>
            <w14:solidFill>
              <w14:schemeClr w14:val="tx1"/>
            </w14:solidFill>
          </w14:textFill>
        </w:rPr>
      </w:pPr>
      <w:r>
        <w:rPr>
          <w:color w:val="000000" w:themeColor="text1"/>
          <w14:textFill>
            <w14:solidFill>
              <w14:schemeClr w14:val="tx1"/>
            </w14:solidFill>
          </w14:textFill>
        </w:rPr>
        <w:t>加油站在经营过程中按要求定期组织相关人员针对加油站事故应急预案进行演练，应急演练记录详见附件。</w:t>
      </w:r>
    </w:p>
    <w:p w14:paraId="3B92CD7B">
      <w:pPr>
        <w:adjustRightInd w:val="0"/>
        <w:snapToGrid w:val="0"/>
        <w:rPr>
          <w:color w:val="000000" w:themeColor="text1"/>
          <w14:textFill>
            <w14:solidFill>
              <w14:schemeClr w14:val="tx1"/>
            </w14:solidFill>
          </w14:textFill>
        </w:rPr>
        <w:sectPr>
          <w:footerReference r:id="rId15" w:type="default"/>
          <w:pgSz w:w="11906" w:h="16838"/>
          <w:pgMar w:top="1417" w:right="1134" w:bottom="1134" w:left="1587" w:header="850" w:footer="992" w:gutter="0"/>
          <w:cols w:space="720" w:num="1"/>
          <w:docGrid w:linePitch="381" w:charSpace="0"/>
        </w:sectPr>
      </w:pPr>
    </w:p>
    <w:p w14:paraId="75CD8B22">
      <w:pPr>
        <w:pStyle w:val="2"/>
        <w:rPr>
          <w:color w:val="000000" w:themeColor="text1"/>
          <w14:textFill>
            <w14:solidFill>
              <w14:schemeClr w14:val="tx1"/>
            </w14:solidFill>
          </w14:textFill>
        </w:rPr>
      </w:pPr>
      <w:bookmarkStart w:id="246" w:name="_Toc23154"/>
      <w:bookmarkStart w:id="247" w:name="_Toc3026"/>
      <w:bookmarkStart w:id="248" w:name="_Toc27438"/>
      <w:r>
        <w:rPr>
          <w:color w:val="000000" w:themeColor="text1"/>
          <w14:textFill>
            <w14:solidFill>
              <w14:schemeClr w14:val="tx1"/>
            </w14:solidFill>
          </w14:textFill>
        </w:rPr>
        <w:t>3  主要危险、有害因素辨识与分析</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6"/>
      <w:bookmarkEnd w:id="247"/>
      <w:bookmarkEnd w:id="248"/>
    </w:p>
    <w:p w14:paraId="121F7C73">
      <w:pPr>
        <w:pStyle w:val="3"/>
        <w:rPr>
          <w:color w:val="000000" w:themeColor="text1"/>
          <w14:textFill>
            <w14:solidFill>
              <w14:schemeClr w14:val="tx1"/>
            </w14:solidFill>
          </w14:textFill>
        </w:rPr>
      </w:pPr>
      <w:bookmarkStart w:id="249" w:name="_Toc150078358"/>
      <w:bookmarkStart w:id="250" w:name="_Toc148576393"/>
      <w:bookmarkStart w:id="251" w:name="_Toc147389693"/>
      <w:bookmarkStart w:id="252" w:name="_Toc147388981"/>
      <w:bookmarkStart w:id="253" w:name="_Toc147388794"/>
      <w:bookmarkStart w:id="254" w:name="_Toc147388087"/>
      <w:bookmarkStart w:id="255" w:name="_Toc156033575"/>
      <w:bookmarkStart w:id="256" w:name="_Toc153613486"/>
      <w:bookmarkStart w:id="257" w:name="_Toc152490382"/>
      <w:bookmarkStart w:id="258" w:name="_Toc9755119"/>
      <w:bookmarkStart w:id="259" w:name="_Toc163648865"/>
      <w:bookmarkStart w:id="260" w:name="_Toc163694494"/>
      <w:bookmarkStart w:id="261" w:name="_Toc152146837"/>
      <w:bookmarkStart w:id="262" w:name="_Toc152145325"/>
      <w:bookmarkStart w:id="263" w:name="_Toc152490497"/>
      <w:bookmarkStart w:id="264" w:name="_Toc152401022"/>
      <w:bookmarkStart w:id="265" w:name="_Toc26296"/>
      <w:bookmarkStart w:id="266" w:name="_Toc153082046"/>
      <w:bookmarkStart w:id="267" w:name="_Toc156029815"/>
      <w:bookmarkStart w:id="268" w:name="_Toc7847"/>
      <w:bookmarkStart w:id="269" w:name="_Toc17561"/>
      <w:bookmarkStart w:id="270" w:name="_Toc166118052"/>
      <w:bookmarkStart w:id="271" w:name="_Toc153013331"/>
      <w:bookmarkStart w:id="272" w:name="_Toc152147151"/>
      <w:bookmarkStart w:id="273" w:name="_Toc146456675"/>
      <w:bookmarkStart w:id="274" w:name="_Toc146456452"/>
      <w:r>
        <w:rPr>
          <w:color w:val="000000" w:themeColor="text1"/>
          <w14:textFill>
            <w14:solidFill>
              <w14:schemeClr w14:val="tx1"/>
            </w14:solidFill>
          </w14:textFill>
        </w:rPr>
        <w:t>3.1</w:t>
      </w:r>
      <w:bookmarkEnd w:id="249"/>
      <w:bookmarkEnd w:id="250"/>
      <w:bookmarkEnd w:id="251"/>
      <w:bookmarkEnd w:id="252"/>
      <w:bookmarkEnd w:id="253"/>
      <w:bookmarkEnd w:id="254"/>
      <w:r>
        <w:rPr>
          <w:color w:val="000000" w:themeColor="text1"/>
          <w14:textFill>
            <w14:solidFill>
              <w14:schemeClr w14:val="tx1"/>
            </w14:solidFill>
          </w14:textFill>
        </w:rPr>
        <w:t xml:space="preserve">  物质的危险、有害因素分析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bookmarkEnd w:id="273"/>
    <w:bookmarkEnd w:id="274"/>
    <w:p w14:paraId="322873E8">
      <w:pPr>
        <w:pStyle w:val="42"/>
        <w:rPr>
          <w:color w:val="000000" w:themeColor="text1"/>
          <w14:textFill>
            <w14:solidFill>
              <w14:schemeClr w14:val="tx1"/>
            </w14:solidFill>
          </w14:textFill>
        </w:rPr>
      </w:pPr>
      <w:bookmarkStart w:id="275" w:name="_Toc146456676"/>
      <w:bookmarkStart w:id="276" w:name="_Toc148576394"/>
      <w:bookmarkStart w:id="277" w:name="_Toc147388088"/>
      <w:bookmarkStart w:id="278" w:name="_Toc147388982"/>
      <w:bookmarkStart w:id="279" w:name="_Toc147389694"/>
      <w:bookmarkStart w:id="280" w:name="_Toc147388795"/>
      <w:bookmarkStart w:id="281" w:name="_Toc146456453"/>
      <w:r>
        <w:rPr>
          <w:color w:val="000000" w:themeColor="text1"/>
          <w14:textFill>
            <w14:solidFill>
              <w14:schemeClr w14:val="tx1"/>
            </w14:solidFill>
          </w14:textFill>
        </w:rPr>
        <w:t>表3.1-1  汽油危险、有害识别表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8624"/>
      </w:tblGrid>
      <w:tr w14:paraId="13AD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7" w:type="dxa"/>
            <w:vAlign w:val="center"/>
          </w:tcPr>
          <w:p w14:paraId="455D62A8">
            <w:pPr>
              <w:pStyle w:val="41"/>
              <w:rPr>
                <w:color w:val="000000" w:themeColor="text1"/>
                <w14:textFill>
                  <w14:solidFill>
                    <w14:schemeClr w14:val="tx1"/>
                  </w14:solidFill>
                </w14:textFill>
              </w:rPr>
            </w:pPr>
            <w:r>
              <w:rPr>
                <w:color w:val="000000" w:themeColor="text1"/>
                <w14:textFill>
                  <w14:solidFill>
                    <w14:schemeClr w14:val="tx1"/>
                  </w14:solidFill>
                </w14:textFill>
              </w:rPr>
              <w:t>特别警示</w:t>
            </w:r>
          </w:p>
        </w:tc>
        <w:tc>
          <w:tcPr>
            <w:tcW w:w="8624" w:type="dxa"/>
            <w:vAlign w:val="center"/>
          </w:tcPr>
          <w:p w14:paraId="01F60077">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高度易燃液体；不得使用直流水扑救（用水灭火无效）。</w:t>
            </w:r>
          </w:p>
        </w:tc>
      </w:tr>
      <w:tr w14:paraId="3A34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414AB6D7">
            <w:pPr>
              <w:pStyle w:val="41"/>
              <w:rPr>
                <w:color w:val="000000" w:themeColor="text1"/>
                <w14:textFill>
                  <w14:solidFill>
                    <w14:schemeClr w14:val="tx1"/>
                  </w14:solidFill>
                </w14:textFill>
              </w:rPr>
            </w:pPr>
            <w:r>
              <w:rPr>
                <w:color w:val="000000" w:themeColor="text1"/>
                <w14:textFill>
                  <w14:solidFill>
                    <w14:schemeClr w14:val="tx1"/>
                  </w14:solidFill>
                </w14:textFill>
              </w:rPr>
              <w:t>理</w:t>
            </w:r>
          </w:p>
          <w:p w14:paraId="1EF6FAA0">
            <w:pPr>
              <w:pStyle w:val="41"/>
              <w:rPr>
                <w:color w:val="000000" w:themeColor="text1"/>
                <w14:textFill>
                  <w14:solidFill>
                    <w14:schemeClr w14:val="tx1"/>
                  </w14:solidFill>
                </w14:textFill>
              </w:rPr>
            </w:pPr>
            <w:r>
              <w:rPr>
                <w:color w:val="000000" w:themeColor="text1"/>
                <w14:textFill>
                  <w14:solidFill>
                    <w14:schemeClr w14:val="tx1"/>
                  </w14:solidFill>
                </w14:textFill>
              </w:rPr>
              <w:t>化</w:t>
            </w:r>
          </w:p>
          <w:p w14:paraId="046FC07B">
            <w:pPr>
              <w:pStyle w:val="41"/>
              <w:rPr>
                <w:color w:val="000000" w:themeColor="text1"/>
                <w14:textFill>
                  <w14:solidFill>
                    <w14:schemeClr w14:val="tx1"/>
                  </w14:solidFill>
                </w14:textFill>
              </w:rPr>
            </w:pPr>
            <w:r>
              <w:rPr>
                <w:color w:val="000000" w:themeColor="text1"/>
                <w14:textFill>
                  <w14:solidFill>
                    <w14:schemeClr w14:val="tx1"/>
                  </w14:solidFill>
                </w14:textFill>
              </w:rPr>
              <w:t>特</w:t>
            </w:r>
          </w:p>
          <w:p w14:paraId="7F17BE5E">
            <w:pPr>
              <w:pStyle w:val="41"/>
              <w:rPr>
                <w:color w:val="000000" w:themeColor="text1"/>
                <w14:textFill>
                  <w14:solidFill>
                    <w14:schemeClr w14:val="tx1"/>
                  </w14:solidFill>
                </w14:textFill>
              </w:rPr>
            </w:pPr>
            <w:r>
              <w:rPr>
                <w:color w:val="000000" w:themeColor="text1"/>
                <w14:textFill>
                  <w14:solidFill>
                    <w14:schemeClr w14:val="tx1"/>
                  </w14:solidFill>
                </w14:textFill>
              </w:rPr>
              <w:t>性</w:t>
            </w:r>
          </w:p>
        </w:tc>
        <w:tc>
          <w:tcPr>
            <w:tcW w:w="8624" w:type="dxa"/>
          </w:tcPr>
          <w:p w14:paraId="56ED729D">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无色到浅黄色的透明液体。</w:t>
            </w:r>
          </w:p>
          <w:p w14:paraId="6C4D6265">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汽油理化性质：按研究法辛烷值（RON）分为92号、95号和98号三个牌号，相对密度（水=1）0.70～0.80，相对蒸气密度（空气=1）3～4，闪点-46℃，爆炸极限1.4%～7.6%（体积比），自燃温度415～530℃，最大爆炸压力0.813MPa。</w:t>
            </w:r>
          </w:p>
          <w:p w14:paraId="57E52FE4">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主要用途：汽油主要用作汽油机的燃料， 可用于橡胶、制鞋、印刷、制革、颜料等行业， 也可用作机械零件的去污剂。</w:t>
            </w:r>
          </w:p>
        </w:tc>
      </w:tr>
      <w:tr w14:paraId="5872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2CFB10DF">
            <w:pPr>
              <w:pStyle w:val="41"/>
              <w:rPr>
                <w:color w:val="000000" w:themeColor="text1"/>
                <w14:textFill>
                  <w14:solidFill>
                    <w14:schemeClr w14:val="tx1"/>
                  </w14:solidFill>
                </w14:textFill>
              </w:rPr>
            </w:pPr>
            <w:r>
              <w:rPr>
                <w:color w:val="000000" w:themeColor="text1"/>
                <w14:textFill>
                  <w14:solidFill>
                    <w14:schemeClr w14:val="tx1"/>
                  </w14:solidFill>
                </w14:textFill>
              </w:rPr>
              <w:t>危</w:t>
            </w:r>
          </w:p>
          <w:p w14:paraId="46C870D4">
            <w:pPr>
              <w:pStyle w:val="41"/>
              <w:rPr>
                <w:color w:val="000000" w:themeColor="text1"/>
                <w14:textFill>
                  <w14:solidFill>
                    <w14:schemeClr w14:val="tx1"/>
                  </w14:solidFill>
                </w14:textFill>
              </w:rPr>
            </w:pPr>
            <w:r>
              <w:rPr>
                <w:color w:val="000000" w:themeColor="text1"/>
                <w14:textFill>
                  <w14:solidFill>
                    <w14:schemeClr w14:val="tx1"/>
                  </w14:solidFill>
                </w14:textFill>
              </w:rPr>
              <w:t>害</w:t>
            </w:r>
          </w:p>
          <w:p w14:paraId="6E87AE17">
            <w:pPr>
              <w:pStyle w:val="41"/>
              <w:rPr>
                <w:color w:val="000000" w:themeColor="text1"/>
                <w14:textFill>
                  <w14:solidFill>
                    <w14:schemeClr w14:val="tx1"/>
                  </w14:solidFill>
                </w14:textFill>
              </w:rPr>
            </w:pPr>
            <w:r>
              <w:rPr>
                <w:color w:val="000000" w:themeColor="text1"/>
                <w14:textFill>
                  <w14:solidFill>
                    <w14:schemeClr w14:val="tx1"/>
                  </w14:solidFill>
                </w14:textFill>
              </w:rPr>
              <w:t>信</w:t>
            </w:r>
          </w:p>
          <w:p w14:paraId="2CDA5EE9">
            <w:pPr>
              <w:pStyle w:val="41"/>
              <w:rPr>
                <w:color w:val="000000" w:themeColor="text1"/>
                <w14:textFill>
                  <w14:solidFill>
                    <w14:schemeClr w14:val="tx1"/>
                  </w14:solidFill>
                </w14:textFill>
              </w:rPr>
            </w:pPr>
            <w:r>
              <w:rPr>
                <w:color w:val="000000" w:themeColor="text1"/>
                <w14:textFill>
                  <w14:solidFill>
                    <w14:schemeClr w14:val="tx1"/>
                  </w14:solidFill>
                </w14:textFill>
              </w:rPr>
              <w:t>息</w:t>
            </w:r>
          </w:p>
        </w:tc>
        <w:tc>
          <w:tcPr>
            <w:tcW w:w="8624" w:type="dxa"/>
          </w:tcPr>
          <w:p w14:paraId="751DD8B5">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【燃烧和爆炸危险性】</w:t>
            </w:r>
          </w:p>
          <w:p w14:paraId="1E353697">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高度易燃，蒸气与空气能形成爆炸性混合物，遇明火、高热能引起燃烧爆炸。高速冲击、流动、激荡后可产生静电火花放电引起燃烧爆炸。蒸气比空气重，能在较低处扩散到相当远的地方，遇火源会着火回燃和爆炸。</w:t>
            </w:r>
          </w:p>
          <w:p w14:paraId="60DC890A">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【健康危害】</w:t>
            </w:r>
          </w:p>
          <w:p w14:paraId="61314AD6">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汽油为麻醉性毒物，高浓度吸入出现中毒性脑病，极高浓度吸入引起意识突然丧失、反射性呼吸停止。误将汽油吸入呼吸道可引起吸入性肺炎。</w:t>
            </w:r>
          </w:p>
          <w:p w14:paraId="1FAC1025">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职业接触限值：PC-TWA（时间加权平均容许浓度）（mg/m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）：300（汽油）。</w:t>
            </w:r>
          </w:p>
        </w:tc>
      </w:tr>
      <w:tr w14:paraId="1D6D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755178E4">
            <w:pPr>
              <w:pStyle w:val="41"/>
              <w:rPr>
                <w:color w:val="000000" w:themeColor="text1"/>
                <w14:textFill>
                  <w14:solidFill>
                    <w14:schemeClr w14:val="tx1"/>
                  </w14:solidFill>
                </w14:textFill>
              </w:rPr>
            </w:pPr>
            <w:r>
              <w:rPr>
                <w:color w:val="000000" w:themeColor="text1"/>
                <w14:textFill>
                  <w14:solidFill>
                    <w14:schemeClr w14:val="tx1"/>
                  </w14:solidFill>
                </w14:textFill>
              </w:rPr>
              <w:t>安</w:t>
            </w:r>
          </w:p>
          <w:p w14:paraId="0679CB52">
            <w:pPr>
              <w:pStyle w:val="41"/>
              <w:rPr>
                <w:color w:val="000000" w:themeColor="text1"/>
                <w14:textFill>
                  <w14:solidFill>
                    <w14:schemeClr w14:val="tx1"/>
                  </w14:solidFill>
                </w14:textFill>
              </w:rPr>
            </w:pPr>
            <w:r>
              <w:rPr>
                <w:color w:val="000000" w:themeColor="text1"/>
                <w14:textFill>
                  <w14:solidFill>
                    <w14:schemeClr w14:val="tx1"/>
                  </w14:solidFill>
                </w14:textFill>
              </w:rPr>
              <w:t>全</w:t>
            </w:r>
          </w:p>
          <w:p w14:paraId="388CA246">
            <w:pPr>
              <w:pStyle w:val="41"/>
              <w:rPr>
                <w:color w:val="000000" w:themeColor="text1"/>
                <w14:textFill>
                  <w14:solidFill>
                    <w14:schemeClr w14:val="tx1"/>
                  </w14:solidFill>
                </w14:textFill>
              </w:rPr>
            </w:pPr>
            <w:r>
              <w:rPr>
                <w:color w:val="000000" w:themeColor="text1"/>
                <w14:textFill>
                  <w14:solidFill>
                    <w14:schemeClr w14:val="tx1"/>
                  </w14:solidFill>
                </w14:textFill>
              </w:rPr>
              <w:t>措</w:t>
            </w:r>
          </w:p>
          <w:p w14:paraId="6EC30B75">
            <w:pPr>
              <w:pStyle w:val="41"/>
              <w:rPr>
                <w:color w:val="000000" w:themeColor="text1"/>
                <w14:textFill>
                  <w14:solidFill>
                    <w14:schemeClr w14:val="tx1"/>
                  </w14:solidFill>
                </w14:textFill>
              </w:rPr>
            </w:pPr>
            <w:r>
              <w:rPr>
                <w:color w:val="000000" w:themeColor="text1"/>
                <w14:textFill>
                  <w14:solidFill>
                    <w14:schemeClr w14:val="tx1"/>
                  </w14:solidFill>
                </w14:textFill>
              </w:rPr>
              <w:t>施</w:t>
            </w:r>
          </w:p>
        </w:tc>
        <w:tc>
          <w:tcPr>
            <w:tcW w:w="8624" w:type="dxa"/>
          </w:tcPr>
          <w:p w14:paraId="419582AE">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【一般要求】</w:t>
            </w:r>
          </w:p>
          <w:p w14:paraId="46FB03AA">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操作人员必须经过专门培训，严格遵守操作规程，熟练掌握操作技能，具备应急处置知识。</w:t>
            </w:r>
          </w:p>
          <w:p w14:paraId="278DA4B3">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56667178">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储罐等容器和设备应设置液位计、温度计，并应装有带液位、温度远传记录和报警功能的安全装置。</w:t>
            </w:r>
          </w:p>
          <w:p w14:paraId="067E0DDA">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避免与氧化剂接触。</w:t>
            </w:r>
          </w:p>
          <w:p w14:paraId="0300FEFA">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生产、储存区域应设置安全警示标志。灌装时应控制流速，且有接地装置，防止静电积聚。搬运时要轻装轻卸，防止包装及容器损坏。配备相应品种和数量的消防器材及泄漏应急处理设备。</w:t>
            </w:r>
          </w:p>
          <w:p w14:paraId="434BC419">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【特殊要求】</w:t>
            </w:r>
          </w:p>
          <w:p w14:paraId="6C077023">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【操作安全】</w:t>
            </w:r>
          </w:p>
          <w:p w14:paraId="699E405C">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（1）油罐及贮存桶装汽油附近要严禁烟火。禁止将汽油与其他易燃物放在一起。</w:t>
            </w:r>
          </w:p>
          <w:p w14:paraId="3E8D9732">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p w14:paraId="2FEFFB7E">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（3）当进行灌装汽油时，邻近的汽车、拖拉机的排气管要戴上防火帽后才能发动，存汽油地点附近严禁检修车辆。</w:t>
            </w:r>
          </w:p>
          <w:p w14:paraId="7D992AC2">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（4）汽油油罐和贮存汽油区的上空，不应有电线通过。油罐、库房与电线的距离要为电杆长度的1.5倍以上。</w:t>
            </w:r>
          </w:p>
          <w:p w14:paraId="4C8A0FD9">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（5）注意仓库及操作场所的通风，使油蒸气容易逸散。</w:t>
            </w:r>
          </w:p>
          <w:p w14:paraId="5D219420">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【储存安全】</w:t>
            </w:r>
          </w:p>
          <w:p w14:paraId="730A627A">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（1）储存于阴凉、通风的库房。远离火种、热源。库房温度不宜超过30℃。炎热季节应采取喷淋、通风等降温措施。</w:t>
            </w:r>
          </w:p>
          <w:p w14:paraId="582DFFEC">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（2）应与氧化剂分开存放，切忌混储。用储罐、铁桶等容器盛装，不要用塑料桶来存放汽油。盛装时，切不可充满，要留出必要的安全空间。</w:t>
            </w:r>
          </w:p>
          <w:p w14:paraId="36C06A9A">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（3）采用防爆型照明、通风设施。禁止使用易产生火花的机械设备和工具。储存区应备有泄漏应急处理设备和合适的收容材料。罐储时要有防火防爆技术措施。对于1000m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及以上的储罐顶部应有泡沫灭火设施等。</w:t>
            </w:r>
          </w:p>
        </w:tc>
      </w:tr>
      <w:tr w14:paraId="0409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3850FAF9">
            <w:pPr>
              <w:pStyle w:val="41"/>
              <w:rPr>
                <w:color w:val="000000" w:themeColor="text1"/>
                <w14:textFill>
                  <w14:solidFill>
                    <w14:schemeClr w14:val="tx1"/>
                  </w14:solidFill>
                </w14:textFill>
              </w:rPr>
            </w:pPr>
            <w:r>
              <w:rPr>
                <w:color w:val="000000" w:themeColor="text1"/>
                <w14:textFill>
                  <w14:solidFill>
                    <w14:schemeClr w14:val="tx1"/>
                  </w14:solidFill>
                </w14:textFill>
              </w:rPr>
              <w:t>应</w:t>
            </w:r>
          </w:p>
          <w:p w14:paraId="65BE08DB">
            <w:pPr>
              <w:pStyle w:val="41"/>
              <w:rPr>
                <w:color w:val="000000" w:themeColor="text1"/>
                <w14:textFill>
                  <w14:solidFill>
                    <w14:schemeClr w14:val="tx1"/>
                  </w14:solidFill>
                </w14:textFill>
              </w:rPr>
            </w:pPr>
            <w:r>
              <w:rPr>
                <w:color w:val="000000" w:themeColor="text1"/>
                <w14:textFill>
                  <w14:solidFill>
                    <w14:schemeClr w14:val="tx1"/>
                  </w14:solidFill>
                </w14:textFill>
              </w:rPr>
              <w:t>急</w:t>
            </w:r>
          </w:p>
          <w:p w14:paraId="1B84347E">
            <w:pPr>
              <w:pStyle w:val="41"/>
              <w:rPr>
                <w:color w:val="000000" w:themeColor="text1"/>
                <w14:textFill>
                  <w14:solidFill>
                    <w14:schemeClr w14:val="tx1"/>
                  </w14:solidFill>
                </w14:textFill>
              </w:rPr>
            </w:pPr>
            <w:r>
              <w:rPr>
                <w:color w:val="000000" w:themeColor="text1"/>
                <w14:textFill>
                  <w14:solidFill>
                    <w14:schemeClr w14:val="tx1"/>
                  </w14:solidFill>
                </w14:textFill>
              </w:rPr>
              <w:t>处</w:t>
            </w:r>
          </w:p>
          <w:p w14:paraId="486505F3">
            <w:pPr>
              <w:pStyle w:val="41"/>
              <w:rPr>
                <w:color w:val="000000" w:themeColor="text1"/>
                <w14:textFill>
                  <w14:solidFill>
                    <w14:schemeClr w14:val="tx1"/>
                  </w14:solidFill>
                </w14:textFill>
              </w:rPr>
            </w:pPr>
            <w:r>
              <w:rPr>
                <w:color w:val="000000" w:themeColor="text1"/>
                <w14:textFill>
                  <w14:solidFill>
                    <w14:schemeClr w14:val="tx1"/>
                  </w14:solidFill>
                </w14:textFill>
              </w:rPr>
              <w:t>置</w:t>
            </w:r>
          </w:p>
          <w:p w14:paraId="00DB456E">
            <w:pPr>
              <w:pStyle w:val="41"/>
              <w:rPr>
                <w:color w:val="000000" w:themeColor="text1"/>
                <w14:textFill>
                  <w14:solidFill>
                    <w14:schemeClr w14:val="tx1"/>
                  </w14:solidFill>
                </w14:textFill>
              </w:rPr>
            </w:pPr>
            <w:r>
              <w:rPr>
                <w:color w:val="000000" w:themeColor="text1"/>
                <w14:textFill>
                  <w14:solidFill>
                    <w14:schemeClr w14:val="tx1"/>
                  </w14:solidFill>
                </w14:textFill>
              </w:rPr>
              <w:t>原</w:t>
            </w:r>
          </w:p>
          <w:p w14:paraId="34033249">
            <w:pPr>
              <w:pStyle w:val="41"/>
              <w:rPr>
                <w:color w:val="000000" w:themeColor="text1"/>
                <w14:textFill>
                  <w14:solidFill>
                    <w14:schemeClr w14:val="tx1"/>
                  </w14:solidFill>
                </w14:textFill>
              </w:rPr>
            </w:pPr>
            <w:r>
              <w:rPr>
                <w:color w:val="000000" w:themeColor="text1"/>
                <w14:textFill>
                  <w14:solidFill>
                    <w14:schemeClr w14:val="tx1"/>
                  </w14:solidFill>
                </w14:textFill>
              </w:rPr>
              <w:t>则</w:t>
            </w:r>
          </w:p>
        </w:tc>
        <w:tc>
          <w:tcPr>
            <w:tcW w:w="8624" w:type="dxa"/>
          </w:tcPr>
          <w:p w14:paraId="4EBB8A5B">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【急救措施】</w:t>
            </w:r>
          </w:p>
          <w:p w14:paraId="43908117">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吸入：迅速脱离现场至空气新鲜处。保持呼吸道通畅。如呼吸困难，给氧。如呼吸停止，立即进行人工呼吸。就医。</w:t>
            </w:r>
          </w:p>
          <w:p w14:paraId="4517C693">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食入：给饮牛奶或用植物油洗胃和灌肠。就医。</w:t>
            </w:r>
          </w:p>
          <w:p w14:paraId="03135681">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皮肤接触：立即脱去污染的衣着，用肥皂水和清水彻底冲洗皮肤。就医。</w:t>
            </w:r>
          </w:p>
          <w:p w14:paraId="228A7079">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眼睛接触：立即提起眼睑，用大量流动清水或生理盐水彻底冲洗至少15分钟。就医。</w:t>
            </w:r>
          </w:p>
          <w:p w14:paraId="41F530D8">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【灭火方法】</w:t>
            </w:r>
          </w:p>
          <w:p w14:paraId="369BB8AB">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喷水冷却容器，尽可能将容器从火场移至空旷处。</w:t>
            </w:r>
          </w:p>
          <w:p w14:paraId="7F153B94">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灭火剂：泡沫、干粉、二氧化碳。用水灭火无效。</w:t>
            </w:r>
          </w:p>
          <w:p w14:paraId="3ABA0DCF">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【泄漏应急处置】</w:t>
            </w:r>
          </w:p>
          <w:p w14:paraId="5B4826CE">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他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6DEEAE75">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作为一项紧急预防措施，泄漏隔离距离至少为50m。如果为大量泄漏，下风向的初始疏散距离应至少为300m。</w:t>
            </w:r>
          </w:p>
        </w:tc>
      </w:tr>
    </w:tbl>
    <w:p w14:paraId="5D3471CD">
      <w:pPr>
        <w:pStyle w:val="42"/>
        <w:rPr>
          <w:color w:val="000000" w:themeColor="text1"/>
          <w14:textFill>
            <w14:solidFill>
              <w14:schemeClr w14:val="tx1"/>
            </w14:solidFill>
          </w14:textFill>
        </w:rPr>
      </w:pPr>
      <w:r>
        <w:rPr>
          <w:color w:val="000000" w:themeColor="text1"/>
          <w14:textFill>
            <w14:solidFill>
              <w14:schemeClr w14:val="tx1"/>
            </w14:solidFill>
          </w14:textFill>
        </w:rPr>
        <w:t>表3.1-2  柴油危险、有害识别表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8624"/>
      </w:tblGrid>
      <w:tr w14:paraId="7C5F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 w:type="dxa"/>
            <w:vAlign w:val="center"/>
          </w:tcPr>
          <w:p w14:paraId="785D9F06">
            <w:pPr>
              <w:pStyle w:val="41"/>
              <w:rPr>
                <w:color w:val="000000" w:themeColor="text1"/>
                <w14:textFill>
                  <w14:solidFill>
                    <w14:schemeClr w14:val="tx1"/>
                  </w14:solidFill>
                </w14:textFill>
              </w:rPr>
            </w:pPr>
            <w:bookmarkStart w:id="282" w:name="_Toc156033576"/>
            <w:bookmarkStart w:id="283" w:name="_Toc156029816"/>
            <w:bookmarkStart w:id="284" w:name="_Toc163648866"/>
            <w:bookmarkStart w:id="285" w:name="_Toc153613487"/>
            <w:bookmarkStart w:id="286" w:name="_Toc166118053"/>
            <w:bookmarkStart w:id="287" w:name="_Toc163694495"/>
            <w:bookmarkStart w:id="288" w:name="_Toc153082047"/>
            <w:bookmarkStart w:id="289" w:name="_Toc153013332"/>
            <w:r>
              <w:rPr>
                <w:color w:val="000000" w:themeColor="text1"/>
                <w14:textFill>
                  <w14:solidFill>
                    <w14:schemeClr w14:val="tx1"/>
                  </w14:solidFill>
                </w14:textFill>
              </w:rPr>
              <w:t>特别警示</w:t>
            </w:r>
          </w:p>
        </w:tc>
        <w:tc>
          <w:tcPr>
            <w:tcW w:w="8624" w:type="dxa"/>
          </w:tcPr>
          <w:p w14:paraId="7A23347C">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该物质对环境有危害，建议不要让其进入环境。对水体和大气可造成污染，破坏水生生物呼吸系统。对海藻应给予特别注意。</w:t>
            </w:r>
          </w:p>
        </w:tc>
      </w:tr>
      <w:tr w14:paraId="5F14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 w:type="dxa"/>
            <w:vAlign w:val="center"/>
          </w:tcPr>
          <w:p w14:paraId="321B6044">
            <w:pPr>
              <w:pStyle w:val="41"/>
              <w:rPr>
                <w:color w:val="000000" w:themeColor="text1"/>
                <w14:textFill>
                  <w14:solidFill>
                    <w14:schemeClr w14:val="tx1"/>
                  </w14:solidFill>
                </w14:textFill>
              </w:rPr>
            </w:pPr>
            <w:r>
              <w:rPr>
                <w:color w:val="000000" w:themeColor="text1"/>
                <w14:textFill>
                  <w14:solidFill>
                    <w14:schemeClr w14:val="tx1"/>
                  </w14:solidFill>
                </w14:textFill>
              </w:rPr>
              <w:t>理</w:t>
            </w:r>
          </w:p>
          <w:p w14:paraId="2A5BD4F4">
            <w:pPr>
              <w:pStyle w:val="41"/>
              <w:rPr>
                <w:color w:val="000000" w:themeColor="text1"/>
                <w14:textFill>
                  <w14:solidFill>
                    <w14:schemeClr w14:val="tx1"/>
                  </w14:solidFill>
                </w14:textFill>
              </w:rPr>
            </w:pPr>
            <w:r>
              <w:rPr>
                <w:color w:val="000000" w:themeColor="text1"/>
                <w14:textFill>
                  <w14:solidFill>
                    <w14:schemeClr w14:val="tx1"/>
                  </w14:solidFill>
                </w14:textFill>
              </w:rPr>
              <w:t>化</w:t>
            </w:r>
          </w:p>
          <w:p w14:paraId="775C593D">
            <w:pPr>
              <w:pStyle w:val="41"/>
              <w:rPr>
                <w:color w:val="000000" w:themeColor="text1"/>
                <w14:textFill>
                  <w14:solidFill>
                    <w14:schemeClr w14:val="tx1"/>
                  </w14:solidFill>
                </w14:textFill>
              </w:rPr>
            </w:pPr>
            <w:r>
              <w:rPr>
                <w:color w:val="000000" w:themeColor="text1"/>
                <w14:textFill>
                  <w14:solidFill>
                    <w14:schemeClr w14:val="tx1"/>
                  </w14:solidFill>
                </w14:textFill>
              </w:rPr>
              <w:t>特</w:t>
            </w:r>
          </w:p>
          <w:p w14:paraId="06683EB5">
            <w:pPr>
              <w:pStyle w:val="41"/>
              <w:rPr>
                <w:color w:val="000000" w:themeColor="text1"/>
                <w14:textFill>
                  <w14:solidFill>
                    <w14:schemeClr w14:val="tx1"/>
                  </w14:solidFill>
                </w14:textFill>
              </w:rPr>
            </w:pPr>
            <w:r>
              <w:rPr>
                <w:color w:val="000000" w:themeColor="text1"/>
                <w14:textFill>
                  <w14:solidFill>
                    <w14:schemeClr w14:val="tx1"/>
                  </w14:solidFill>
                </w14:textFill>
              </w:rPr>
              <w:t>性</w:t>
            </w:r>
          </w:p>
        </w:tc>
        <w:tc>
          <w:tcPr>
            <w:tcW w:w="8624" w:type="dxa"/>
          </w:tcPr>
          <w:p w14:paraId="5314595F">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稍有粘性的棕色液体。</w:t>
            </w:r>
          </w:p>
          <w:p w14:paraId="3AF134BB">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相对密度（水=1）0.79～0.85，闪点（闭口）（℃）：其中5号、0号、-10号柴油的闪点不低于60℃；-20号柴油闪点不低于50℃；-35号、-50号柴油的闪点不低于45℃，沸点282-338℃，引燃温度257℃。</w:t>
            </w:r>
          </w:p>
          <w:p w14:paraId="6DD95616">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主要用途：柴油主要用作柴油机的燃料。</w:t>
            </w:r>
          </w:p>
        </w:tc>
      </w:tr>
      <w:tr w14:paraId="5255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 w:type="dxa"/>
            <w:vAlign w:val="center"/>
          </w:tcPr>
          <w:p w14:paraId="6AC0742A">
            <w:pPr>
              <w:pStyle w:val="41"/>
              <w:rPr>
                <w:color w:val="000000" w:themeColor="text1"/>
                <w14:textFill>
                  <w14:solidFill>
                    <w14:schemeClr w14:val="tx1"/>
                  </w14:solidFill>
                </w14:textFill>
              </w:rPr>
            </w:pPr>
            <w:r>
              <w:rPr>
                <w:color w:val="000000" w:themeColor="text1"/>
                <w14:textFill>
                  <w14:solidFill>
                    <w14:schemeClr w14:val="tx1"/>
                  </w14:solidFill>
                </w14:textFill>
              </w:rPr>
              <w:t>危</w:t>
            </w:r>
          </w:p>
          <w:p w14:paraId="5FA598C9">
            <w:pPr>
              <w:pStyle w:val="41"/>
              <w:rPr>
                <w:color w:val="000000" w:themeColor="text1"/>
                <w14:textFill>
                  <w14:solidFill>
                    <w14:schemeClr w14:val="tx1"/>
                  </w14:solidFill>
                </w14:textFill>
              </w:rPr>
            </w:pPr>
            <w:r>
              <w:rPr>
                <w:color w:val="000000" w:themeColor="text1"/>
                <w14:textFill>
                  <w14:solidFill>
                    <w14:schemeClr w14:val="tx1"/>
                  </w14:solidFill>
                </w14:textFill>
              </w:rPr>
              <w:t>害</w:t>
            </w:r>
          </w:p>
          <w:p w14:paraId="4F9A960B">
            <w:pPr>
              <w:pStyle w:val="41"/>
              <w:rPr>
                <w:color w:val="000000" w:themeColor="text1"/>
                <w14:textFill>
                  <w14:solidFill>
                    <w14:schemeClr w14:val="tx1"/>
                  </w14:solidFill>
                </w14:textFill>
              </w:rPr>
            </w:pPr>
            <w:r>
              <w:rPr>
                <w:color w:val="000000" w:themeColor="text1"/>
                <w14:textFill>
                  <w14:solidFill>
                    <w14:schemeClr w14:val="tx1"/>
                  </w14:solidFill>
                </w14:textFill>
              </w:rPr>
              <w:t>信</w:t>
            </w:r>
          </w:p>
          <w:p w14:paraId="3CFBC8CA">
            <w:pPr>
              <w:pStyle w:val="41"/>
              <w:rPr>
                <w:color w:val="000000" w:themeColor="text1"/>
                <w14:textFill>
                  <w14:solidFill>
                    <w14:schemeClr w14:val="tx1"/>
                  </w14:solidFill>
                </w14:textFill>
              </w:rPr>
            </w:pPr>
            <w:r>
              <w:rPr>
                <w:color w:val="000000" w:themeColor="text1"/>
                <w14:textFill>
                  <w14:solidFill>
                    <w14:schemeClr w14:val="tx1"/>
                  </w14:solidFill>
                </w14:textFill>
              </w:rPr>
              <w:t>息</w:t>
            </w:r>
          </w:p>
        </w:tc>
        <w:tc>
          <w:tcPr>
            <w:tcW w:w="8624" w:type="dxa"/>
          </w:tcPr>
          <w:p w14:paraId="39453A2D">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【燃烧和爆炸危险性】</w:t>
            </w:r>
          </w:p>
          <w:p w14:paraId="55A468D9">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本品易燃，具刺激性。遇明火、高热或与氧化剂接触，有引起燃烧爆炸的危险。若遇高热，容器内压增大，有开裂和爆炸的危险。</w:t>
            </w:r>
          </w:p>
          <w:p w14:paraId="06836F26">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【健康危害】</w:t>
            </w:r>
          </w:p>
          <w:p w14:paraId="5AE6FF8E">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皮肤接触可为主要吸收途径，可致急性肾脏损害。柴油可引起接触性皮炎、油性痤疮。吸入雾滴或液体呛入可引起吸入性肺炎。能经胎盘进入胎儿血中。柴油废气可引起眼、鼻刺激症状，头晕及头痛。</w:t>
            </w:r>
          </w:p>
        </w:tc>
      </w:tr>
      <w:tr w14:paraId="2DFC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 w:type="dxa"/>
            <w:vAlign w:val="center"/>
          </w:tcPr>
          <w:p w14:paraId="0D8B03CB">
            <w:pPr>
              <w:pStyle w:val="41"/>
              <w:rPr>
                <w:color w:val="000000" w:themeColor="text1"/>
                <w14:textFill>
                  <w14:solidFill>
                    <w14:schemeClr w14:val="tx1"/>
                  </w14:solidFill>
                </w14:textFill>
              </w:rPr>
            </w:pPr>
            <w:r>
              <w:rPr>
                <w:color w:val="000000" w:themeColor="text1"/>
                <w14:textFill>
                  <w14:solidFill>
                    <w14:schemeClr w14:val="tx1"/>
                  </w14:solidFill>
                </w14:textFill>
              </w:rPr>
              <w:t>安</w:t>
            </w:r>
          </w:p>
          <w:p w14:paraId="7FBC3803">
            <w:pPr>
              <w:pStyle w:val="41"/>
              <w:rPr>
                <w:color w:val="000000" w:themeColor="text1"/>
                <w14:textFill>
                  <w14:solidFill>
                    <w14:schemeClr w14:val="tx1"/>
                  </w14:solidFill>
                </w14:textFill>
              </w:rPr>
            </w:pPr>
            <w:r>
              <w:rPr>
                <w:color w:val="000000" w:themeColor="text1"/>
                <w14:textFill>
                  <w14:solidFill>
                    <w14:schemeClr w14:val="tx1"/>
                  </w14:solidFill>
                </w14:textFill>
              </w:rPr>
              <w:t>全</w:t>
            </w:r>
          </w:p>
          <w:p w14:paraId="78E232D4">
            <w:pPr>
              <w:pStyle w:val="41"/>
              <w:rPr>
                <w:color w:val="000000" w:themeColor="text1"/>
                <w14:textFill>
                  <w14:solidFill>
                    <w14:schemeClr w14:val="tx1"/>
                  </w14:solidFill>
                </w14:textFill>
              </w:rPr>
            </w:pPr>
            <w:r>
              <w:rPr>
                <w:color w:val="000000" w:themeColor="text1"/>
                <w14:textFill>
                  <w14:solidFill>
                    <w14:schemeClr w14:val="tx1"/>
                  </w14:solidFill>
                </w14:textFill>
              </w:rPr>
              <w:t>措</w:t>
            </w:r>
          </w:p>
          <w:p w14:paraId="7A8D52AD">
            <w:pPr>
              <w:pStyle w:val="41"/>
              <w:rPr>
                <w:color w:val="000000" w:themeColor="text1"/>
                <w14:textFill>
                  <w14:solidFill>
                    <w14:schemeClr w14:val="tx1"/>
                  </w14:solidFill>
                </w14:textFill>
              </w:rPr>
            </w:pPr>
            <w:r>
              <w:rPr>
                <w:color w:val="000000" w:themeColor="text1"/>
                <w14:textFill>
                  <w14:solidFill>
                    <w14:schemeClr w14:val="tx1"/>
                  </w14:solidFill>
                </w14:textFill>
              </w:rPr>
              <w:t>施</w:t>
            </w:r>
          </w:p>
        </w:tc>
        <w:tc>
          <w:tcPr>
            <w:tcW w:w="8624" w:type="dxa"/>
          </w:tcPr>
          <w:p w14:paraId="65258AD9">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【一般要求】</w:t>
            </w:r>
          </w:p>
          <w:p w14:paraId="5058A5C5">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16CF08E8">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【储存安全】</w:t>
            </w:r>
          </w:p>
          <w:p w14:paraId="343526FD">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储存于阴凉、通风的库房。远离火种、热源。应与氧化剂、卤素分开存放，切忌混储。采用防爆型照明、通风设施。禁止使用易产生火花的机械设备和工具。储区应备有泄漏应急处理设备和合适的收容材料。</w:t>
            </w:r>
          </w:p>
        </w:tc>
      </w:tr>
      <w:tr w14:paraId="04FB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 w:type="dxa"/>
            <w:vAlign w:val="center"/>
          </w:tcPr>
          <w:p w14:paraId="6463D8B6">
            <w:pPr>
              <w:pStyle w:val="41"/>
              <w:rPr>
                <w:color w:val="000000" w:themeColor="text1"/>
                <w14:textFill>
                  <w14:solidFill>
                    <w14:schemeClr w14:val="tx1"/>
                  </w14:solidFill>
                </w14:textFill>
              </w:rPr>
            </w:pPr>
            <w:r>
              <w:rPr>
                <w:color w:val="000000" w:themeColor="text1"/>
                <w14:textFill>
                  <w14:solidFill>
                    <w14:schemeClr w14:val="tx1"/>
                  </w14:solidFill>
                </w14:textFill>
              </w:rPr>
              <w:t>应</w:t>
            </w:r>
          </w:p>
          <w:p w14:paraId="2C3A82D2">
            <w:pPr>
              <w:pStyle w:val="41"/>
              <w:rPr>
                <w:color w:val="000000" w:themeColor="text1"/>
                <w14:textFill>
                  <w14:solidFill>
                    <w14:schemeClr w14:val="tx1"/>
                  </w14:solidFill>
                </w14:textFill>
              </w:rPr>
            </w:pPr>
            <w:r>
              <w:rPr>
                <w:color w:val="000000" w:themeColor="text1"/>
                <w14:textFill>
                  <w14:solidFill>
                    <w14:schemeClr w14:val="tx1"/>
                  </w14:solidFill>
                </w14:textFill>
              </w:rPr>
              <w:t>急</w:t>
            </w:r>
          </w:p>
          <w:p w14:paraId="2F854859">
            <w:pPr>
              <w:pStyle w:val="41"/>
              <w:rPr>
                <w:color w:val="000000" w:themeColor="text1"/>
                <w14:textFill>
                  <w14:solidFill>
                    <w14:schemeClr w14:val="tx1"/>
                  </w14:solidFill>
                </w14:textFill>
              </w:rPr>
            </w:pPr>
            <w:r>
              <w:rPr>
                <w:color w:val="000000" w:themeColor="text1"/>
                <w14:textFill>
                  <w14:solidFill>
                    <w14:schemeClr w14:val="tx1"/>
                  </w14:solidFill>
                </w14:textFill>
              </w:rPr>
              <w:t>处</w:t>
            </w:r>
          </w:p>
          <w:p w14:paraId="75305DAA">
            <w:pPr>
              <w:pStyle w:val="41"/>
              <w:rPr>
                <w:color w:val="000000" w:themeColor="text1"/>
                <w14:textFill>
                  <w14:solidFill>
                    <w14:schemeClr w14:val="tx1"/>
                  </w14:solidFill>
                </w14:textFill>
              </w:rPr>
            </w:pPr>
            <w:r>
              <w:rPr>
                <w:color w:val="000000" w:themeColor="text1"/>
                <w14:textFill>
                  <w14:solidFill>
                    <w14:schemeClr w14:val="tx1"/>
                  </w14:solidFill>
                </w14:textFill>
              </w:rPr>
              <w:t>置</w:t>
            </w:r>
          </w:p>
          <w:p w14:paraId="182F19C1">
            <w:pPr>
              <w:pStyle w:val="41"/>
              <w:rPr>
                <w:color w:val="000000" w:themeColor="text1"/>
                <w14:textFill>
                  <w14:solidFill>
                    <w14:schemeClr w14:val="tx1"/>
                  </w14:solidFill>
                </w14:textFill>
              </w:rPr>
            </w:pPr>
            <w:r>
              <w:rPr>
                <w:color w:val="000000" w:themeColor="text1"/>
                <w14:textFill>
                  <w14:solidFill>
                    <w14:schemeClr w14:val="tx1"/>
                  </w14:solidFill>
                </w14:textFill>
              </w:rPr>
              <w:t>原</w:t>
            </w:r>
          </w:p>
          <w:p w14:paraId="3590EA23">
            <w:pPr>
              <w:pStyle w:val="41"/>
              <w:rPr>
                <w:color w:val="000000" w:themeColor="text1"/>
                <w14:textFill>
                  <w14:solidFill>
                    <w14:schemeClr w14:val="tx1"/>
                  </w14:solidFill>
                </w14:textFill>
              </w:rPr>
            </w:pPr>
            <w:r>
              <w:rPr>
                <w:color w:val="000000" w:themeColor="text1"/>
                <w14:textFill>
                  <w14:solidFill>
                    <w14:schemeClr w14:val="tx1"/>
                  </w14:solidFill>
                </w14:textFill>
              </w:rPr>
              <w:t>则</w:t>
            </w:r>
          </w:p>
        </w:tc>
        <w:tc>
          <w:tcPr>
            <w:tcW w:w="8624" w:type="dxa"/>
          </w:tcPr>
          <w:p w14:paraId="3CEAD7C1">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【急救措施】</w:t>
            </w:r>
          </w:p>
          <w:p w14:paraId="3ED9D2EE">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吸入：迅速脱离现场至空气新鲜处。保持呼吸道通畅。如呼吸困难，给输氧。如呼吸停止，立即进行人工呼吸。就医。</w:t>
            </w:r>
          </w:p>
          <w:p w14:paraId="5373969D">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食入：尽快彻底洗胃。就医。</w:t>
            </w:r>
          </w:p>
          <w:p w14:paraId="764DC708">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皮肤接触：立即脱去污染的衣着，用肥皂水和清水彻底冲洗皮肤。就医。</w:t>
            </w:r>
          </w:p>
          <w:p w14:paraId="073B8EFD">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眼睛接触：提起眼睑，用流动清水或生理盐水冲洗。就医。</w:t>
            </w:r>
          </w:p>
          <w:p w14:paraId="2D33C136">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【灭火方法】</w:t>
            </w:r>
          </w:p>
          <w:p w14:paraId="3DF47391">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680A1EDB">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灭火剂：雾状水、泡沫、干粉、二氧化碳、砂土。</w:t>
            </w:r>
          </w:p>
          <w:p w14:paraId="6A31F70D">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【泄漏应急处置】</w:t>
            </w:r>
          </w:p>
          <w:p w14:paraId="31035955">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迅速撤离泄漏污染区人员至安全区，并进行隔离，严格限制出入。切断火源。建议应急处理人员戴自给正压式呼吸器，穿一般作业工作服。尽可能切断泄漏源。防止流入下水道、排洪沟等限制性空间。小量泄漏：用活性炭或其他惰性材料吸收。大量泄漏：构筑围堤或挖坑收容。用泵转移至槽车或专用收集器内，回收并运至危险废物处理场所处置。</w:t>
            </w:r>
          </w:p>
        </w:tc>
      </w:tr>
    </w:tbl>
    <w:p w14:paraId="10681B87">
      <w:pPr>
        <w:rPr>
          <w:color w:val="000000" w:themeColor="text1"/>
          <w14:textFill>
            <w14:solidFill>
              <w14:schemeClr w14:val="tx1"/>
            </w14:solidFill>
          </w14:textFill>
        </w:rPr>
      </w:pPr>
      <w:r>
        <w:rPr>
          <w:color w:val="000000" w:themeColor="text1"/>
          <w14:textFill>
            <w14:solidFill>
              <w14:schemeClr w14:val="tx1"/>
            </w14:solidFill>
          </w14:textFill>
        </w:rPr>
        <w:t>易武加油站涉及的主要危险化学品理化性质分析结果，见表3.1-3。</w:t>
      </w:r>
    </w:p>
    <w:p w14:paraId="1C9ECF83">
      <w:pPr>
        <w:pStyle w:val="42"/>
        <w:rPr>
          <w:color w:val="000000" w:themeColor="text1"/>
          <w14:textFill>
            <w14:solidFill>
              <w14:schemeClr w14:val="tx1"/>
            </w14:solidFill>
          </w14:textFill>
        </w:rPr>
      </w:pPr>
      <w:r>
        <w:rPr>
          <w:color w:val="000000" w:themeColor="text1"/>
          <w14:textFill>
            <w14:solidFill>
              <w14:schemeClr w14:val="tx1"/>
            </w14:solidFill>
          </w14:textFill>
        </w:rPr>
        <w:t>表3.1-3易武加油站涉及的主要危险化学品的理化性质分析结果</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427"/>
        <w:gridCol w:w="2124"/>
        <w:gridCol w:w="847"/>
        <w:gridCol w:w="1197"/>
        <w:gridCol w:w="657"/>
        <w:gridCol w:w="770"/>
        <w:gridCol w:w="642"/>
        <w:gridCol w:w="708"/>
        <w:gridCol w:w="865"/>
        <w:gridCol w:w="737"/>
      </w:tblGrid>
      <w:tr w14:paraId="5E6D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8" w:hRule="atLeast"/>
          <w:jc w:val="center"/>
        </w:trPr>
        <w:tc>
          <w:tcPr>
            <w:tcW w:w="427" w:type="dxa"/>
            <w:tcBorders>
              <w:tl2br w:val="nil"/>
              <w:tr2bl w:val="nil"/>
            </w:tcBorders>
            <w:vAlign w:val="center"/>
          </w:tcPr>
          <w:p w14:paraId="26F81F37">
            <w:pPr>
              <w:pStyle w:val="41"/>
              <w:rPr>
                <w:color w:val="000000" w:themeColor="text1"/>
                <w14:textFill>
                  <w14:solidFill>
                    <w14:schemeClr w14:val="tx1"/>
                  </w14:solidFill>
                </w14:textFill>
              </w:rPr>
            </w:pPr>
            <w:bookmarkStart w:id="290" w:name="_Toc9755120"/>
            <w:r>
              <w:rPr>
                <w:color w:val="000000" w:themeColor="text1"/>
                <w14:textFill>
                  <w14:solidFill>
                    <w14:schemeClr w14:val="tx1"/>
                  </w14:solidFill>
                </w14:textFill>
              </w:rPr>
              <w:t>序号</w:t>
            </w:r>
          </w:p>
        </w:tc>
        <w:tc>
          <w:tcPr>
            <w:tcW w:w="427" w:type="dxa"/>
            <w:tcBorders>
              <w:tl2br w:val="nil"/>
              <w:tr2bl w:val="nil"/>
            </w:tcBorders>
            <w:vAlign w:val="center"/>
          </w:tcPr>
          <w:p w14:paraId="62D258AA">
            <w:pPr>
              <w:pStyle w:val="41"/>
              <w:rPr>
                <w:color w:val="000000" w:themeColor="text1"/>
                <w14:textFill>
                  <w14:solidFill>
                    <w14:schemeClr w14:val="tx1"/>
                  </w14:solidFill>
                </w14:textFill>
              </w:rPr>
            </w:pPr>
            <w:r>
              <w:rPr>
                <w:color w:val="000000" w:themeColor="text1"/>
                <w14:textFill>
                  <w14:solidFill>
                    <w14:schemeClr w14:val="tx1"/>
                  </w14:solidFill>
                </w14:textFill>
              </w:rPr>
              <w:t>名称</w:t>
            </w:r>
          </w:p>
        </w:tc>
        <w:tc>
          <w:tcPr>
            <w:tcW w:w="2124" w:type="dxa"/>
            <w:tcBorders>
              <w:tl2br w:val="nil"/>
              <w:tr2bl w:val="nil"/>
            </w:tcBorders>
            <w:vAlign w:val="center"/>
          </w:tcPr>
          <w:p w14:paraId="48262F2A">
            <w:pPr>
              <w:pStyle w:val="41"/>
              <w:rPr>
                <w:color w:val="000000" w:themeColor="text1"/>
                <w14:textFill>
                  <w14:solidFill>
                    <w14:schemeClr w14:val="tx1"/>
                  </w14:solidFill>
                </w14:textFill>
              </w:rPr>
            </w:pPr>
            <w:r>
              <w:rPr>
                <w:color w:val="000000" w:themeColor="text1"/>
                <w14:textFill>
                  <w14:solidFill>
                    <w14:schemeClr w14:val="tx1"/>
                  </w14:solidFill>
                </w14:textFill>
              </w:rPr>
              <w:t>危险性类别</w:t>
            </w:r>
          </w:p>
        </w:tc>
        <w:tc>
          <w:tcPr>
            <w:tcW w:w="847" w:type="dxa"/>
            <w:tcBorders>
              <w:tl2br w:val="nil"/>
              <w:tr2bl w:val="nil"/>
            </w:tcBorders>
            <w:vAlign w:val="center"/>
          </w:tcPr>
          <w:p w14:paraId="10186C07">
            <w:pPr>
              <w:pStyle w:val="41"/>
              <w:rPr>
                <w:color w:val="000000" w:themeColor="text1"/>
                <w14:textFill>
                  <w14:solidFill>
                    <w14:schemeClr w14:val="tx1"/>
                  </w14:solidFill>
                </w14:textFill>
              </w:rPr>
            </w:pPr>
            <w:r>
              <w:rPr>
                <w:color w:val="000000" w:themeColor="text1"/>
                <w14:textFill>
                  <w14:solidFill>
                    <w14:schemeClr w14:val="tx1"/>
                  </w14:solidFill>
                </w14:textFill>
              </w:rPr>
              <w:t>类（项）别</w:t>
            </w:r>
          </w:p>
        </w:tc>
        <w:tc>
          <w:tcPr>
            <w:tcW w:w="1197" w:type="dxa"/>
            <w:tcBorders>
              <w:tl2br w:val="nil"/>
              <w:tr2bl w:val="nil"/>
            </w:tcBorders>
            <w:vAlign w:val="center"/>
          </w:tcPr>
          <w:p w14:paraId="61FC74D5">
            <w:pPr>
              <w:pStyle w:val="41"/>
              <w:rPr>
                <w:color w:val="000000" w:themeColor="text1"/>
                <w14:textFill>
                  <w14:solidFill>
                    <w14:schemeClr w14:val="tx1"/>
                  </w14:solidFill>
                </w14:textFill>
              </w:rPr>
            </w:pPr>
            <w:r>
              <w:rPr>
                <w:color w:val="000000" w:themeColor="text1"/>
                <w14:textFill>
                  <w14:solidFill>
                    <w14:schemeClr w14:val="tx1"/>
                  </w14:solidFill>
                </w14:textFill>
              </w:rPr>
              <w:t>CAS号</w:t>
            </w:r>
          </w:p>
        </w:tc>
        <w:tc>
          <w:tcPr>
            <w:tcW w:w="657" w:type="dxa"/>
            <w:tcBorders>
              <w:tl2br w:val="nil"/>
              <w:tr2bl w:val="nil"/>
            </w:tcBorders>
            <w:vAlign w:val="center"/>
          </w:tcPr>
          <w:p w14:paraId="0E61039A">
            <w:pPr>
              <w:pStyle w:val="41"/>
              <w:rPr>
                <w:color w:val="000000" w:themeColor="text1"/>
                <w14:textFill>
                  <w14:solidFill>
                    <w14:schemeClr w14:val="tx1"/>
                  </w14:solidFill>
                </w14:textFill>
              </w:rPr>
            </w:pPr>
            <w:r>
              <w:rPr>
                <w:color w:val="000000" w:themeColor="text1"/>
                <w14:textFill>
                  <w14:solidFill>
                    <w14:schemeClr w14:val="tx1"/>
                  </w14:solidFill>
                </w14:textFill>
              </w:rPr>
              <w:t>目录序号</w:t>
            </w:r>
          </w:p>
        </w:tc>
        <w:tc>
          <w:tcPr>
            <w:tcW w:w="770" w:type="dxa"/>
            <w:tcBorders>
              <w:tl2br w:val="nil"/>
              <w:tr2bl w:val="nil"/>
            </w:tcBorders>
            <w:vAlign w:val="center"/>
          </w:tcPr>
          <w:p w14:paraId="56181B66">
            <w:pPr>
              <w:pStyle w:val="41"/>
              <w:rPr>
                <w:color w:val="000000" w:themeColor="text1"/>
                <w14:textFill>
                  <w14:solidFill>
                    <w14:schemeClr w14:val="tx1"/>
                  </w14:solidFill>
                </w14:textFill>
              </w:rPr>
            </w:pPr>
            <w:r>
              <w:rPr>
                <w:color w:val="000000" w:themeColor="text1"/>
                <w14:textFill>
                  <w14:solidFill>
                    <w14:schemeClr w14:val="tx1"/>
                  </w14:solidFill>
                </w14:textFill>
              </w:rPr>
              <w:t>火灾危险性分类</w:t>
            </w:r>
          </w:p>
        </w:tc>
        <w:tc>
          <w:tcPr>
            <w:tcW w:w="642" w:type="dxa"/>
            <w:tcBorders>
              <w:tl2br w:val="nil"/>
              <w:tr2bl w:val="nil"/>
            </w:tcBorders>
            <w:vAlign w:val="center"/>
          </w:tcPr>
          <w:p w14:paraId="16B1CBEB">
            <w:pPr>
              <w:pStyle w:val="41"/>
              <w:rPr>
                <w:color w:val="000000" w:themeColor="text1"/>
                <w14:textFill>
                  <w14:solidFill>
                    <w14:schemeClr w14:val="tx1"/>
                  </w14:solidFill>
                </w14:textFill>
              </w:rPr>
            </w:pPr>
            <w:r>
              <w:rPr>
                <w:color w:val="000000" w:themeColor="text1"/>
                <w14:textFill>
                  <w14:solidFill>
                    <w14:schemeClr w14:val="tx1"/>
                  </w14:solidFill>
                </w14:textFill>
              </w:rPr>
              <w:t>闪点℃</w:t>
            </w:r>
          </w:p>
        </w:tc>
        <w:tc>
          <w:tcPr>
            <w:tcW w:w="708" w:type="dxa"/>
            <w:tcBorders>
              <w:tl2br w:val="nil"/>
              <w:tr2bl w:val="nil"/>
            </w:tcBorders>
            <w:vAlign w:val="center"/>
          </w:tcPr>
          <w:p w14:paraId="431B4069">
            <w:pPr>
              <w:pStyle w:val="41"/>
              <w:rPr>
                <w:color w:val="000000" w:themeColor="text1"/>
                <w14:textFill>
                  <w14:solidFill>
                    <w14:schemeClr w14:val="tx1"/>
                  </w14:solidFill>
                </w14:textFill>
              </w:rPr>
            </w:pPr>
            <w:r>
              <w:rPr>
                <w:color w:val="000000" w:themeColor="text1"/>
                <w14:textFill>
                  <w14:solidFill>
                    <w14:schemeClr w14:val="tx1"/>
                  </w14:solidFill>
                </w14:textFill>
              </w:rPr>
              <w:t>毒性分级</w:t>
            </w:r>
          </w:p>
        </w:tc>
        <w:tc>
          <w:tcPr>
            <w:tcW w:w="865" w:type="dxa"/>
            <w:tcBorders>
              <w:tl2br w:val="nil"/>
              <w:tr2bl w:val="nil"/>
            </w:tcBorders>
            <w:vAlign w:val="center"/>
          </w:tcPr>
          <w:p w14:paraId="55F2672E">
            <w:pPr>
              <w:pStyle w:val="41"/>
              <w:rPr>
                <w:color w:val="000000" w:themeColor="text1"/>
                <w14:textFill>
                  <w14:solidFill>
                    <w14:schemeClr w14:val="tx1"/>
                  </w14:solidFill>
                </w14:textFill>
              </w:rPr>
            </w:pPr>
            <w:r>
              <w:rPr>
                <w:color w:val="000000" w:themeColor="text1"/>
                <w14:textFill>
                  <w14:solidFill>
                    <w14:schemeClr w14:val="tx1"/>
                  </w14:solidFill>
                </w14:textFill>
              </w:rPr>
              <w:t>爆炸极限范围</w:t>
            </w:r>
          </w:p>
        </w:tc>
        <w:tc>
          <w:tcPr>
            <w:tcW w:w="737" w:type="dxa"/>
            <w:tcBorders>
              <w:tl2br w:val="nil"/>
              <w:tr2bl w:val="nil"/>
            </w:tcBorders>
            <w:vAlign w:val="center"/>
          </w:tcPr>
          <w:p w14:paraId="490B2AE8">
            <w:pPr>
              <w:pStyle w:val="41"/>
              <w:rPr>
                <w:color w:val="000000" w:themeColor="text1"/>
                <w14:textFill>
                  <w14:solidFill>
                    <w14:schemeClr w14:val="tx1"/>
                  </w14:solidFill>
                </w14:textFill>
              </w:rPr>
            </w:pPr>
            <w:r>
              <w:rPr>
                <w:color w:val="000000" w:themeColor="text1"/>
                <w14:textFill>
                  <w14:solidFill>
                    <w14:schemeClr w14:val="tx1"/>
                  </w14:solidFill>
                </w14:textFill>
              </w:rPr>
              <w:t>UN号</w:t>
            </w:r>
          </w:p>
        </w:tc>
      </w:tr>
      <w:tr w14:paraId="64B7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27" w:type="dxa"/>
            <w:tcBorders>
              <w:tl2br w:val="nil"/>
              <w:tr2bl w:val="nil"/>
            </w:tcBorders>
            <w:vAlign w:val="center"/>
          </w:tcPr>
          <w:p w14:paraId="4E7C1819">
            <w:pPr>
              <w:pStyle w:val="41"/>
              <w:rPr>
                <w:color w:val="000000" w:themeColor="text1"/>
                <w14:textFill>
                  <w14:solidFill>
                    <w14:schemeClr w14:val="tx1"/>
                  </w14:solidFill>
                </w14:textFill>
              </w:rPr>
            </w:pPr>
            <w:r>
              <w:rPr>
                <w:color w:val="000000" w:themeColor="text1"/>
                <w14:textFill>
                  <w14:solidFill>
                    <w14:schemeClr w14:val="tx1"/>
                  </w14:solidFill>
                </w14:textFill>
              </w:rPr>
              <w:t>1</w:t>
            </w:r>
          </w:p>
        </w:tc>
        <w:tc>
          <w:tcPr>
            <w:tcW w:w="427" w:type="dxa"/>
            <w:tcBorders>
              <w:tl2br w:val="nil"/>
              <w:tr2bl w:val="nil"/>
            </w:tcBorders>
            <w:vAlign w:val="center"/>
          </w:tcPr>
          <w:p w14:paraId="52D087A0">
            <w:pPr>
              <w:pStyle w:val="41"/>
              <w:rPr>
                <w:color w:val="000000" w:themeColor="text1"/>
                <w14:textFill>
                  <w14:solidFill>
                    <w14:schemeClr w14:val="tx1"/>
                  </w14:solidFill>
                </w14:textFill>
              </w:rPr>
            </w:pPr>
            <w:r>
              <w:rPr>
                <w:color w:val="000000" w:themeColor="text1"/>
                <w14:textFill>
                  <w14:solidFill>
                    <w14:schemeClr w14:val="tx1"/>
                  </w14:solidFill>
                </w14:textFill>
              </w:rPr>
              <w:t>汽油</w:t>
            </w:r>
          </w:p>
        </w:tc>
        <w:tc>
          <w:tcPr>
            <w:tcW w:w="2124" w:type="dxa"/>
            <w:tcBorders>
              <w:tl2br w:val="nil"/>
              <w:tr2bl w:val="nil"/>
            </w:tcBorders>
            <w:vAlign w:val="center"/>
          </w:tcPr>
          <w:p w14:paraId="013BD0E2">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易燃液体，类别2*；生殖细胞致突变性，类别1B；致癌性，类别2；吸入危害，类别1；危害水生环境－急性危害，类别2，危害水生环境－长期危害，类别2</w:t>
            </w:r>
          </w:p>
        </w:tc>
        <w:tc>
          <w:tcPr>
            <w:tcW w:w="847" w:type="dxa"/>
            <w:tcBorders>
              <w:tl2br w:val="nil"/>
              <w:tr2bl w:val="nil"/>
            </w:tcBorders>
            <w:vAlign w:val="center"/>
          </w:tcPr>
          <w:p w14:paraId="11204DF3">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197" w:type="dxa"/>
            <w:tcBorders>
              <w:tl2br w:val="nil"/>
              <w:tr2bl w:val="nil"/>
            </w:tcBorders>
            <w:vAlign w:val="center"/>
          </w:tcPr>
          <w:p w14:paraId="1BE2E6E9">
            <w:pPr>
              <w:pStyle w:val="41"/>
              <w:rPr>
                <w:color w:val="000000" w:themeColor="text1"/>
                <w14:textFill>
                  <w14:solidFill>
                    <w14:schemeClr w14:val="tx1"/>
                  </w14:solidFill>
                </w14:textFill>
              </w:rPr>
            </w:pPr>
            <w:r>
              <w:rPr>
                <w:color w:val="000000" w:themeColor="text1"/>
                <w14:textFill>
                  <w14:solidFill>
                    <w14:schemeClr w14:val="tx1"/>
                  </w14:solidFill>
                </w14:textFill>
              </w:rPr>
              <w:t>86290-81-5</w:t>
            </w:r>
          </w:p>
        </w:tc>
        <w:tc>
          <w:tcPr>
            <w:tcW w:w="657" w:type="dxa"/>
            <w:tcBorders>
              <w:tl2br w:val="nil"/>
              <w:tr2bl w:val="nil"/>
            </w:tcBorders>
            <w:vAlign w:val="center"/>
          </w:tcPr>
          <w:p w14:paraId="2CB83D6B">
            <w:pPr>
              <w:pStyle w:val="41"/>
              <w:rPr>
                <w:color w:val="000000" w:themeColor="text1"/>
                <w14:textFill>
                  <w14:solidFill>
                    <w14:schemeClr w14:val="tx1"/>
                  </w14:solidFill>
                </w14:textFill>
              </w:rPr>
            </w:pPr>
            <w:r>
              <w:rPr>
                <w:color w:val="000000" w:themeColor="text1"/>
                <w14:textFill>
                  <w14:solidFill>
                    <w14:schemeClr w14:val="tx1"/>
                  </w14:solidFill>
                </w14:textFill>
              </w:rPr>
              <w:t>1630</w:t>
            </w:r>
          </w:p>
        </w:tc>
        <w:tc>
          <w:tcPr>
            <w:tcW w:w="770" w:type="dxa"/>
            <w:tcBorders>
              <w:tl2br w:val="nil"/>
              <w:tr2bl w:val="nil"/>
            </w:tcBorders>
            <w:vAlign w:val="center"/>
          </w:tcPr>
          <w:p w14:paraId="66D603A2">
            <w:pPr>
              <w:pStyle w:val="41"/>
              <w:rPr>
                <w:color w:val="000000" w:themeColor="text1"/>
                <w14:textFill>
                  <w14:solidFill>
                    <w14:schemeClr w14:val="tx1"/>
                  </w14:solidFill>
                </w14:textFill>
              </w:rPr>
            </w:pPr>
            <w:r>
              <w:rPr>
                <w:color w:val="000000" w:themeColor="text1"/>
                <w14:textFill>
                  <w14:solidFill>
                    <w14:schemeClr w14:val="tx1"/>
                  </w14:solidFill>
                </w14:textFill>
              </w:rPr>
              <w:t>甲类</w:t>
            </w:r>
          </w:p>
        </w:tc>
        <w:tc>
          <w:tcPr>
            <w:tcW w:w="642" w:type="dxa"/>
            <w:tcBorders>
              <w:tl2br w:val="nil"/>
              <w:tr2bl w:val="nil"/>
            </w:tcBorders>
            <w:vAlign w:val="center"/>
          </w:tcPr>
          <w:p w14:paraId="135E90D3">
            <w:pPr>
              <w:pStyle w:val="41"/>
              <w:rPr>
                <w:color w:val="000000" w:themeColor="text1"/>
                <w14:textFill>
                  <w14:solidFill>
                    <w14:schemeClr w14:val="tx1"/>
                  </w14:solidFill>
                </w14:textFill>
              </w:rPr>
            </w:pPr>
            <w:r>
              <w:rPr>
                <w:color w:val="000000" w:themeColor="text1"/>
                <w14:textFill>
                  <w14:solidFill>
                    <w14:schemeClr w14:val="tx1"/>
                  </w14:solidFill>
                </w14:textFill>
              </w:rPr>
              <w:t>-46</w:t>
            </w:r>
          </w:p>
        </w:tc>
        <w:tc>
          <w:tcPr>
            <w:tcW w:w="708" w:type="dxa"/>
            <w:tcBorders>
              <w:tl2br w:val="nil"/>
              <w:tr2bl w:val="nil"/>
            </w:tcBorders>
            <w:vAlign w:val="center"/>
          </w:tcPr>
          <w:p w14:paraId="104D4323">
            <w:pPr>
              <w:pStyle w:val="41"/>
              <w:rPr>
                <w:color w:val="000000" w:themeColor="text1"/>
                <w14:textFill>
                  <w14:solidFill>
                    <w14:schemeClr w14:val="tx1"/>
                  </w14:solidFill>
                </w14:textFill>
              </w:rPr>
            </w:pPr>
            <w:r>
              <w:rPr>
                <w:color w:val="000000" w:themeColor="text1"/>
                <w14:textFill>
                  <w14:solidFill>
                    <w14:schemeClr w14:val="tx1"/>
                  </w14:solidFill>
                </w14:textFill>
              </w:rPr>
              <w:t>低度危害</w:t>
            </w:r>
          </w:p>
        </w:tc>
        <w:tc>
          <w:tcPr>
            <w:tcW w:w="865" w:type="dxa"/>
            <w:tcBorders>
              <w:tl2br w:val="nil"/>
              <w:tr2bl w:val="nil"/>
            </w:tcBorders>
            <w:vAlign w:val="center"/>
          </w:tcPr>
          <w:p w14:paraId="6A3D257A">
            <w:pPr>
              <w:pStyle w:val="41"/>
              <w:rPr>
                <w:color w:val="000000" w:themeColor="text1"/>
                <w14:textFill>
                  <w14:solidFill>
                    <w14:schemeClr w14:val="tx1"/>
                  </w14:solidFill>
                </w14:textFill>
              </w:rPr>
            </w:pPr>
            <w:r>
              <w:rPr>
                <w:color w:val="000000" w:themeColor="text1"/>
                <w14:textFill>
                  <w14:solidFill>
                    <w14:schemeClr w14:val="tx1"/>
                  </w14:solidFill>
                </w14:textFill>
              </w:rPr>
              <w:t>1.4%～7.6%</w:t>
            </w:r>
          </w:p>
        </w:tc>
        <w:tc>
          <w:tcPr>
            <w:tcW w:w="737" w:type="dxa"/>
            <w:tcBorders>
              <w:tl2br w:val="nil"/>
              <w:tr2bl w:val="nil"/>
            </w:tcBorders>
            <w:vAlign w:val="center"/>
          </w:tcPr>
          <w:p w14:paraId="57946687">
            <w:pPr>
              <w:pStyle w:val="41"/>
              <w:rPr>
                <w:color w:val="000000" w:themeColor="text1"/>
                <w14:textFill>
                  <w14:solidFill>
                    <w14:schemeClr w14:val="tx1"/>
                  </w14:solidFill>
                </w14:textFill>
              </w:rPr>
            </w:pPr>
            <w:r>
              <w:rPr>
                <w:color w:val="000000" w:themeColor="text1"/>
                <w14:textFill>
                  <w14:solidFill>
                    <w14:schemeClr w14:val="tx1"/>
                  </w14:solidFill>
                </w14:textFill>
              </w:rPr>
              <w:t>1203</w:t>
            </w:r>
          </w:p>
        </w:tc>
      </w:tr>
      <w:tr w14:paraId="4F31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27" w:type="dxa"/>
            <w:tcBorders>
              <w:tl2br w:val="nil"/>
              <w:tr2bl w:val="nil"/>
            </w:tcBorders>
            <w:vAlign w:val="center"/>
          </w:tcPr>
          <w:p w14:paraId="7A0A89D6">
            <w:pPr>
              <w:pStyle w:val="41"/>
              <w:rPr>
                <w:color w:val="000000" w:themeColor="text1"/>
                <w14:textFill>
                  <w14:solidFill>
                    <w14:schemeClr w14:val="tx1"/>
                  </w14:solidFill>
                </w14:textFill>
              </w:rPr>
            </w:pPr>
            <w:r>
              <w:rPr>
                <w:color w:val="000000" w:themeColor="text1"/>
                <w14:textFill>
                  <w14:solidFill>
                    <w14:schemeClr w14:val="tx1"/>
                  </w14:solidFill>
                </w14:textFill>
              </w:rPr>
              <w:t>2</w:t>
            </w:r>
          </w:p>
        </w:tc>
        <w:tc>
          <w:tcPr>
            <w:tcW w:w="427" w:type="dxa"/>
            <w:tcBorders>
              <w:tl2br w:val="nil"/>
              <w:tr2bl w:val="nil"/>
            </w:tcBorders>
            <w:vAlign w:val="center"/>
          </w:tcPr>
          <w:p w14:paraId="74725E11">
            <w:pPr>
              <w:pStyle w:val="41"/>
              <w:rPr>
                <w:color w:val="000000" w:themeColor="text1"/>
                <w14:textFill>
                  <w14:solidFill>
                    <w14:schemeClr w14:val="tx1"/>
                  </w14:solidFill>
                </w14:textFill>
              </w:rPr>
            </w:pPr>
            <w:r>
              <w:rPr>
                <w:color w:val="000000" w:themeColor="text1"/>
                <w14:textFill>
                  <w14:solidFill>
                    <w14:schemeClr w14:val="tx1"/>
                  </w14:solidFill>
                </w14:textFill>
              </w:rPr>
              <w:t>柴油</w:t>
            </w:r>
          </w:p>
        </w:tc>
        <w:tc>
          <w:tcPr>
            <w:tcW w:w="2124" w:type="dxa"/>
            <w:tcBorders>
              <w:tl2br w:val="nil"/>
              <w:tr2bl w:val="nil"/>
            </w:tcBorders>
            <w:vAlign w:val="center"/>
          </w:tcPr>
          <w:p w14:paraId="2289604E">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易燃液体，类别3</w:t>
            </w:r>
          </w:p>
        </w:tc>
        <w:tc>
          <w:tcPr>
            <w:tcW w:w="847" w:type="dxa"/>
            <w:tcBorders>
              <w:tl2br w:val="nil"/>
              <w:tr2bl w:val="nil"/>
            </w:tcBorders>
            <w:vAlign w:val="center"/>
          </w:tcPr>
          <w:p w14:paraId="3F388C3E">
            <w:pPr>
              <w:pStyle w:val="41"/>
              <w:rPr>
                <w:color w:val="000000" w:themeColor="text1"/>
                <w14:textFill>
                  <w14:solidFill>
                    <w14:schemeClr w14:val="tx1"/>
                  </w14:solidFill>
                </w14:textFill>
              </w:rPr>
            </w:pPr>
            <w:r>
              <w:rPr>
                <w:color w:val="000000" w:themeColor="text1"/>
                <w14:textFill>
                  <w14:solidFill>
                    <w14:schemeClr w14:val="tx1"/>
                  </w14:solidFill>
                </w14:textFill>
              </w:rPr>
              <w:t>3</w:t>
            </w:r>
          </w:p>
        </w:tc>
        <w:tc>
          <w:tcPr>
            <w:tcW w:w="1197" w:type="dxa"/>
            <w:tcBorders>
              <w:tl2br w:val="nil"/>
              <w:tr2bl w:val="nil"/>
            </w:tcBorders>
            <w:vAlign w:val="center"/>
          </w:tcPr>
          <w:p w14:paraId="275F3DF2">
            <w:pPr>
              <w:pStyle w:val="41"/>
              <w:rPr>
                <w:color w:val="000000" w:themeColor="text1"/>
                <w14:textFill>
                  <w14:solidFill>
                    <w14:schemeClr w14:val="tx1"/>
                  </w14:solidFill>
                </w14:textFill>
              </w:rPr>
            </w:pPr>
            <w:r>
              <w:rPr>
                <w:color w:val="000000" w:themeColor="text1"/>
                <w14:textFill>
                  <w14:solidFill>
                    <w14:schemeClr w14:val="tx1"/>
                  </w14:solidFill>
                </w14:textFill>
              </w:rPr>
              <w:t>68334-30-5</w:t>
            </w:r>
          </w:p>
        </w:tc>
        <w:tc>
          <w:tcPr>
            <w:tcW w:w="657" w:type="dxa"/>
            <w:tcBorders>
              <w:tl2br w:val="nil"/>
              <w:tr2bl w:val="nil"/>
            </w:tcBorders>
            <w:vAlign w:val="center"/>
          </w:tcPr>
          <w:p w14:paraId="6E5C0A5F">
            <w:pPr>
              <w:pStyle w:val="41"/>
              <w:rPr>
                <w:color w:val="000000" w:themeColor="text1"/>
                <w14:textFill>
                  <w14:solidFill>
                    <w14:schemeClr w14:val="tx1"/>
                  </w14:solidFill>
                </w14:textFill>
              </w:rPr>
            </w:pPr>
            <w:r>
              <w:rPr>
                <w:color w:val="000000" w:themeColor="text1"/>
                <w14:textFill>
                  <w14:solidFill>
                    <w14:schemeClr w14:val="tx1"/>
                  </w14:solidFill>
                </w14:textFill>
              </w:rPr>
              <w:t>1674</w:t>
            </w:r>
          </w:p>
        </w:tc>
        <w:tc>
          <w:tcPr>
            <w:tcW w:w="770" w:type="dxa"/>
            <w:tcBorders>
              <w:tl2br w:val="nil"/>
              <w:tr2bl w:val="nil"/>
            </w:tcBorders>
            <w:vAlign w:val="center"/>
          </w:tcPr>
          <w:p w14:paraId="1CA543F2">
            <w:pPr>
              <w:pStyle w:val="41"/>
              <w:rPr>
                <w:color w:val="000000" w:themeColor="text1"/>
                <w14:textFill>
                  <w14:solidFill>
                    <w14:schemeClr w14:val="tx1"/>
                  </w14:solidFill>
                </w14:textFill>
              </w:rPr>
            </w:pPr>
            <w:r>
              <w:rPr>
                <w:color w:val="000000" w:themeColor="text1"/>
                <w14:textFill>
                  <w14:solidFill>
                    <w14:schemeClr w14:val="tx1"/>
                  </w14:solidFill>
                </w14:textFill>
              </w:rPr>
              <w:t>乙类/丙类</w:t>
            </w:r>
          </w:p>
        </w:tc>
        <w:tc>
          <w:tcPr>
            <w:tcW w:w="642" w:type="dxa"/>
            <w:tcBorders>
              <w:tl2br w:val="nil"/>
              <w:tr2bl w:val="nil"/>
            </w:tcBorders>
            <w:vAlign w:val="center"/>
          </w:tcPr>
          <w:p w14:paraId="7E431E83">
            <w:pPr>
              <w:pStyle w:val="41"/>
              <w:rPr>
                <w:color w:val="000000" w:themeColor="text1"/>
                <w14:textFill>
                  <w14:solidFill>
                    <w14:schemeClr w14:val="tx1"/>
                  </w14:solidFill>
                </w14:textFill>
              </w:rPr>
            </w:pPr>
            <w:r>
              <w:rPr>
                <w:color w:val="000000" w:themeColor="text1"/>
                <w14:textFill>
                  <w14:solidFill>
                    <w14:schemeClr w14:val="tx1"/>
                  </w14:solidFill>
                </w14:textFill>
              </w:rPr>
              <w:t>≥45</w:t>
            </w:r>
          </w:p>
        </w:tc>
        <w:tc>
          <w:tcPr>
            <w:tcW w:w="708" w:type="dxa"/>
            <w:tcBorders>
              <w:tl2br w:val="nil"/>
              <w:tr2bl w:val="nil"/>
            </w:tcBorders>
            <w:vAlign w:val="center"/>
          </w:tcPr>
          <w:p w14:paraId="1F4C04DF">
            <w:pPr>
              <w:pStyle w:val="41"/>
              <w:rPr>
                <w:color w:val="000000" w:themeColor="text1"/>
                <w14:textFill>
                  <w14:solidFill>
                    <w14:schemeClr w14:val="tx1"/>
                  </w14:solidFill>
                </w14:textFill>
              </w:rPr>
            </w:pPr>
            <w:r>
              <w:rPr>
                <w:color w:val="000000" w:themeColor="text1"/>
                <w14:textFill>
                  <w14:solidFill>
                    <w14:schemeClr w14:val="tx1"/>
                  </w14:solidFill>
                </w14:textFill>
              </w:rPr>
              <w:t>低度危害</w:t>
            </w:r>
          </w:p>
        </w:tc>
        <w:tc>
          <w:tcPr>
            <w:tcW w:w="865" w:type="dxa"/>
            <w:tcBorders>
              <w:tl2br w:val="nil"/>
              <w:tr2bl w:val="nil"/>
            </w:tcBorders>
            <w:vAlign w:val="center"/>
          </w:tcPr>
          <w:p w14:paraId="4EB0BC83">
            <w:pPr>
              <w:pStyle w:val="41"/>
              <w:rPr>
                <w:color w:val="000000" w:themeColor="text1"/>
                <w14:textFill>
                  <w14:solidFill>
                    <w14:schemeClr w14:val="tx1"/>
                  </w14:solidFill>
                </w14:textFill>
              </w:rPr>
            </w:pPr>
            <w:r>
              <w:rPr>
                <w:color w:val="000000" w:themeColor="text1"/>
                <w14:textFill>
                  <w14:solidFill>
                    <w14:schemeClr w14:val="tx1"/>
                  </w14:solidFill>
                </w14:textFill>
              </w:rPr>
              <w:t>0.6%～6.5%</w:t>
            </w:r>
          </w:p>
        </w:tc>
        <w:tc>
          <w:tcPr>
            <w:tcW w:w="737" w:type="dxa"/>
            <w:tcBorders>
              <w:tl2br w:val="nil"/>
              <w:tr2bl w:val="nil"/>
            </w:tcBorders>
            <w:vAlign w:val="center"/>
          </w:tcPr>
          <w:p w14:paraId="2B67993C">
            <w:pPr>
              <w:pStyle w:val="41"/>
              <w:rPr>
                <w:color w:val="000000" w:themeColor="text1"/>
                <w14:textFill>
                  <w14:solidFill>
                    <w14:schemeClr w14:val="tx1"/>
                  </w14:solidFill>
                </w14:textFill>
              </w:rPr>
            </w:pPr>
            <w:r>
              <w:rPr>
                <w:color w:val="000000" w:themeColor="text1"/>
                <w14:textFill>
                  <w14:solidFill>
                    <w14:schemeClr w14:val="tx1"/>
                  </w14:solidFill>
                </w14:textFill>
              </w:rPr>
              <w:t>1202</w:t>
            </w:r>
          </w:p>
        </w:tc>
      </w:tr>
      <w:tr w14:paraId="74C1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401" w:type="dxa"/>
            <w:gridSpan w:val="11"/>
            <w:tcBorders>
              <w:tl2br w:val="nil"/>
              <w:tr2bl w:val="nil"/>
            </w:tcBorders>
            <w:vAlign w:val="center"/>
          </w:tcPr>
          <w:p w14:paraId="46316330">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注：汽油为国家重点监管危险化学品。</w:t>
            </w:r>
          </w:p>
        </w:tc>
      </w:tr>
    </w:tbl>
    <w:p w14:paraId="34DB7F80">
      <w:pPr>
        <w:pStyle w:val="3"/>
        <w:rPr>
          <w:color w:val="000000" w:themeColor="text1"/>
          <w:szCs w:val="30"/>
          <w14:textFill>
            <w14:solidFill>
              <w14:schemeClr w14:val="tx1"/>
            </w14:solidFill>
          </w14:textFill>
        </w:rPr>
      </w:pPr>
      <w:r>
        <w:rPr>
          <w:color w:val="000000" w:themeColor="text1"/>
          <w:szCs w:val="30"/>
          <w14:textFill>
            <w14:solidFill>
              <w14:schemeClr w14:val="tx1"/>
            </w14:solidFill>
          </w14:textFill>
        </w:rPr>
        <w:br w:type="page"/>
      </w:r>
      <w:bookmarkStart w:id="291" w:name="_Toc18078"/>
      <w:bookmarkStart w:id="292" w:name="_Toc20472"/>
      <w:bookmarkStart w:id="293" w:name="_Toc25754"/>
      <w:r>
        <w:rPr>
          <w:color w:val="000000" w:themeColor="text1"/>
          <w14:textFill>
            <w14:solidFill>
              <w14:schemeClr w14:val="tx1"/>
            </w14:solidFill>
          </w14:textFill>
        </w:rPr>
        <w:t>3.2  经营、储存的危险、有害因素分析</w:t>
      </w:r>
      <w:bookmarkEnd w:id="282"/>
      <w:bookmarkEnd w:id="283"/>
      <w:bookmarkEnd w:id="284"/>
      <w:bookmarkEnd w:id="285"/>
      <w:bookmarkEnd w:id="286"/>
      <w:bookmarkEnd w:id="287"/>
      <w:bookmarkEnd w:id="288"/>
      <w:bookmarkEnd w:id="289"/>
      <w:bookmarkEnd w:id="290"/>
      <w:bookmarkEnd w:id="291"/>
      <w:bookmarkEnd w:id="292"/>
      <w:bookmarkEnd w:id="293"/>
    </w:p>
    <w:p w14:paraId="5BA8B7EB">
      <w:pPr>
        <w:rPr>
          <w:color w:val="000000" w:themeColor="text1"/>
          <w14:textFill>
            <w14:solidFill>
              <w14:schemeClr w14:val="tx1"/>
            </w14:solidFill>
          </w14:textFill>
        </w:rPr>
      </w:pPr>
      <w:r>
        <w:rPr>
          <w:color w:val="000000" w:themeColor="text1"/>
          <w14:textFill>
            <w14:solidFill>
              <w14:schemeClr w14:val="tx1"/>
            </w14:solidFill>
          </w14:textFill>
        </w:rPr>
        <w:t>加油站经营过程中所涉及的油品，主要为汽油（甲B类易燃液体）和柴油（丙A类可燃液体）。这些油品具有易燃烧、易爆炸、易产生静电、易挥发和具有一定毒害性等危险特性，且储存量大，在其接卸、储存和输出的整个经营过程中，如果对其管理防护不当会损害人体健康，造成财产损失，生态环境污染，甚至造成极其恶劣的社会影响。因而熟练掌握这类危险化学品的性质，熟悉其经营管理过程中的危险及有害因素，严格按照有关法律法规、技术标准及规定进行作业与强化管理是十分必要的。</w:t>
      </w:r>
    </w:p>
    <w:p w14:paraId="121E4BA5">
      <w:pPr>
        <w:pStyle w:val="4"/>
        <w:rPr>
          <w:color w:val="000000" w:themeColor="text1"/>
          <w14:textFill>
            <w14:solidFill>
              <w14:schemeClr w14:val="tx1"/>
            </w14:solidFill>
          </w14:textFill>
        </w:rPr>
      </w:pPr>
      <w:r>
        <w:rPr>
          <w:color w:val="000000" w:themeColor="text1"/>
          <w14:textFill>
            <w14:solidFill>
              <w14:schemeClr w14:val="tx1"/>
            </w14:solidFill>
          </w14:textFill>
        </w:rPr>
        <w:t>3.2.1火灾、可燃气体爆炸、</w:t>
      </w:r>
      <w:r>
        <w:rPr>
          <w:rFonts w:hint="eastAsia"/>
          <w:color w:val="000000" w:themeColor="text1"/>
          <w14:textFill>
            <w14:solidFill>
              <w14:schemeClr w14:val="tx1"/>
            </w14:solidFill>
          </w14:textFill>
        </w:rPr>
        <w:t>可燃液体蒸气爆炸</w:t>
      </w:r>
    </w:p>
    <w:p w14:paraId="421C04C6">
      <w:pPr>
        <w:rPr>
          <w:color w:val="000000" w:themeColor="text1"/>
          <w14:textFill>
            <w14:solidFill>
              <w14:schemeClr w14:val="tx1"/>
            </w14:solidFill>
          </w14:textFill>
        </w:rPr>
      </w:pPr>
      <w:r>
        <w:rPr>
          <w:color w:val="000000" w:themeColor="text1"/>
          <w14:textFill>
            <w14:solidFill>
              <w14:schemeClr w14:val="tx1"/>
            </w14:solidFill>
          </w14:textFill>
        </w:rPr>
        <w:t>（1）油品的装卸过程</w:t>
      </w:r>
    </w:p>
    <w:p w14:paraId="34769B8D">
      <w:pPr>
        <w:rPr>
          <w:color w:val="000000" w:themeColor="text1"/>
          <w14:textFill>
            <w14:solidFill>
              <w14:schemeClr w14:val="tx1"/>
            </w14:solidFill>
          </w14:textFill>
        </w:rPr>
      </w:pPr>
      <w:r>
        <w:rPr>
          <w:color w:val="000000" w:themeColor="text1"/>
          <w14:textFill>
            <w14:solidFill>
              <w14:schemeClr w14:val="tx1"/>
            </w14:solidFill>
          </w14:textFill>
        </w:rPr>
        <w:t>加油站是为机动车充装汽油、柴油的专门场所。如果装卸油品过程中因设备泄漏跑油、灌装过满冒油或卸油时逸散油气，遇明火、机械火星、静电火花、雷电、烟囱飞火等点火源，有导致火灾、可燃气体爆炸、</w:t>
      </w:r>
      <w:r>
        <w:rPr>
          <w:rFonts w:hint="eastAsia"/>
          <w:color w:val="000000" w:themeColor="text1"/>
          <w14:textFill>
            <w14:solidFill>
              <w14:schemeClr w14:val="tx1"/>
            </w14:solidFill>
          </w14:textFill>
        </w:rPr>
        <w:t>可燃液体蒸气爆炸</w:t>
      </w:r>
      <w:r>
        <w:rPr>
          <w:color w:val="000000" w:themeColor="text1"/>
          <w14:textFill>
            <w14:solidFill>
              <w14:schemeClr w14:val="tx1"/>
            </w14:solidFill>
          </w14:textFill>
        </w:rPr>
        <w:t>的危险。例如，某市加油站一辆汽车油罐车在向储罐卸油时，由于现场监护人员粗心大意，储罐注满溢出大量的汽油。卸油人员发现后，即让驾驶员开动汽车油罐车将余油卸往另一储罐，刚一发动汽车，打出的电火花顿时引起冲天大火，使储罐受热剧烈膨胀而发生爆炸。一块大型罐体碎片飞到70m外的公路上，而燃烧着的汽油则直落围观人群中，造成6人死亡、46名围观者被烧伤的严重后果。</w:t>
      </w:r>
    </w:p>
    <w:p w14:paraId="5FB15B9B">
      <w:pPr>
        <w:rPr>
          <w:color w:val="000000" w:themeColor="text1"/>
          <w14:textFill>
            <w14:solidFill>
              <w14:schemeClr w14:val="tx1"/>
            </w14:solidFill>
          </w14:textFill>
        </w:rPr>
      </w:pPr>
      <w:r>
        <w:rPr>
          <w:color w:val="000000" w:themeColor="text1"/>
          <w14:textFill>
            <w14:solidFill>
              <w14:schemeClr w14:val="tx1"/>
            </w14:solidFill>
          </w14:textFill>
        </w:rPr>
        <w:t>在接卸油品或加油的作业中，汽车油罐车不熄火、静电接地不良、卸油时连通软管静电传导性能差；雷雨天往油罐卸油或往汽车油箱加油速度过快；加油操作失误；密闭卸油接口处漏油；对明火源管理不严等，都会导致火灾、可燃气体爆炸、设备损坏或人身伤亡事故。</w:t>
      </w:r>
    </w:p>
    <w:p w14:paraId="21732177">
      <w:pPr>
        <w:rPr>
          <w:color w:val="000000" w:themeColor="text1"/>
          <w14:textFill>
            <w14:solidFill>
              <w14:schemeClr w14:val="tx1"/>
            </w14:solidFill>
          </w14:textFill>
        </w:rPr>
      </w:pPr>
      <w:r>
        <w:rPr>
          <w:color w:val="000000" w:themeColor="text1"/>
          <w14:textFill>
            <w14:solidFill>
              <w14:schemeClr w14:val="tx1"/>
            </w14:solidFill>
          </w14:textFill>
        </w:rPr>
        <w:t>（2）埋地储罐</w:t>
      </w:r>
    </w:p>
    <w:p w14:paraId="3D09DFBE">
      <w:pPr>
        <w:rPr>
          <w:color w:val="000000" w:themeColor="text1"/>
          <w14:textFill>
            <w14:solidFill>
              <w14:schemeClr w14:val="tx1"/>
            </w14:solidFill>
          </w14:textFill>
        </w:rPr>
      </w:pPr>
      <w:r>
        <w:rPr>
          <w:color w:val="000000" w:themeColor="text1"/>
          <w14:textFill>
            <w14:solidFill>
              <w14:schemeClr w14:val="tx1"/>
            </w14:solidFill>
          </w14:textFill>
        </w:rPr>
        <w:t>加油站的卧式油罐埋地设置是比较安全的。从国内外的有关调查资料统计来看，油罐埋地设置，火灾发生概率较低，即使油罐发生着火，也容易扑救。1987年2月4日，北京市和平里加油站油罐进油口着火，用干粉灭火器很快被扑灭，没有影响其他设施；1986年5月2日，郑州市人民路加油站的油罐人孔处着火，用干粉灭火器及时扑灭；广州、天津也曾发生过加油站埋地罐口着火情况，但都用干粉灭火器很快扑灭，均未造成灾害。</w:t>
      </w:r>
    </w:p>
    <w:p w14:paraId="5BE00F51">
      <w:pPr>
        <w:rPr>
          <w:color w:val="000000" w:themeColor="text1"/>
          <w14:textFill>
            <w14:solidFill>
              <w14:schemeClr w14:val="tx1"/>
            </w14:solidFill>
          </w14:textFill>
        </w:rPr>
      </w:pPr>
      <w:r>
        <w:rPr>
          <w:color w:val="000000" w:themeColor="text1"/>
          <w14:textFill>
            <w14:solidFill>
              <w14:schemeClr w14:val="tx1"/>
            </w14:solidFill>
          </w14:textFill>
        </w:rPr>
        <w:t>在加油站的各类事故中，油罐和管道发生的事故占很大比例。如地面水进入地下油罐，使油品溢出；油罐管线腐蚀穿孔或外力，如抗浮措施不当、机械损害等造成管线断裂而发生漏油、跑油；埋地油罐注油过量溢出；卸油时油气外逸明火引爆；油罐、卸油接管等处接地不良，通气管遇雷击或静电闪火均会引起燃爆事故的发生。</w:t>
      </w:r>
    </w:p>
    <w:p w14:paraId="17EECC4B">
      <w:pPr>
        <w:rPr>
          <w:color w:val="000000" w:themeColor="text1"/>
          <w14:textFill>
            <w14:solidFill>
              <w14:schemeClr w14:val="tx1"/>
            </w14:solidFill>
          </w14:textFill>
        </w:rPr>
      </w:pPr>
      <w:r>
        <w:rPr>
          <w:color w:val="000000" w:themeColor="text1"/>
          <w14:textFill>
            <w14:solidFill>
              <w14:schemeClr w14:val="tx1"/>
            </w14:solidFill>
          </w14:textFill>
        </w:rPr>
        <w:t>此外，油罐清洗作业中存在油气中毒、窒息的危险。油罐中储存汽油、柴油等油品，其组分的相对分子量比较小，沸点比较低，非常容易挥发。它们的共性是有毒、易挥发、易扩散。在清罐作业过程中，现场的油气浓度通常超标几倍甚至几十倍，特别是在打开清扫孔、透光孔、人孔、身体探入和无防护措施进入储罐时，超标的油气可致现场作业及监护人员中毒、窒息等，其中，轻质油品致人中毒、窒息的风险更大。</w:t>
      </w:r>
    </w:p>
    <w:p w14:paraId="64F38E8B">
      <w:pPr>
        <w:adjustRightInd w:val="0"/>
        <w:snapToGrid w:val="0"/>
        <w:rPr>
          <w:bCs/>
          <w:color w:val="000000" w:themeColor="text1"/>
          <w14:textFill>
            <w14:solidFill>
              <w14:schemeClr w14:val="tx1"/>
            </w14:solidFill>
          </w14:textFill>
        </w:rPr>
      </w:pPr>
      <w:r>
        <w:rPr>
          <w:bCs/>
          <w:color w:val="000000" w:themeColor="text1"/>
          <w14:textFill>
            <w14:solidFill>
              <w14:schemeClr w14:val="tx1"/>
            </w14:solidFill>
          </w14:textFill>
        </w:rPr>
        <w:t>（3）加油场地</w:t>
      </w:r>
    </w:p>
    <w:p w14:paraId="2A7B4770">
      <w:pPr>
        <w:adjustRightInd w:val="0"/>
        <w:snapToGrid w:val="0"/>
        <w:rPr>
          <w:bCs/>
          <w:color w:val="000000" w:themeColor="text1"/>
          <w14:textFill>
            <w14:solidFill>
              <w14:schemeClr w14:val="tx1"/>
            </w14:solidFill>
          </w14:textFill>
        </w:rPr>
      </w:pPr>
      <w:r>
        <w:rPr>
          <w:bCs/>
          <w:color w:val="000000" w:themeColor="text1"/>
          <w14:textFill>
            <w14:solidFill>
              <w14:schemeClr w14:val="tx1"/>
            </w14:solidFill>
          </w14:textFill>
        </w:rPr>
        <w:t>加油场地是安装有不同种类加油机专为各种机动车辆加油的作业区域。由于人员、车辆流动频繁，不安全因素较多，是加油站事故多发高发的危险场所。譬如：摩托车未按规定在指定地点加油、机动车未熄火加油、油箱漏油、加油过满溢出、加油机漏油、电器故障，加油作业过程中因修车或机械碰撞产生火花等原因，均容易引发火灾、可燃气体爆炸、</w:t>
      </w:r>
      <w:r>
        <w:rPr>
          <w:rFonts w:hint="eastAsia"/>
          <w:bCs/>
          <w:color w:val="000000" w:themeColor="text1"/>
          <w14:textFill>
            <w14:solidFill>
              <w14:schemeClr w14:val="tx1"/>
            </w14:solidFill>
          </w14:textFill>
        </w:rPr>
        <w:t>可燃液体蒸气爆炸</w:t>
      </w:r>
      <w:r>
        <w:rPr>
          <w:bCs/>
          <w:color w:val="000000" w:themeColor="text1"/>
          <w14:textFill>
            <w14:solidFill>
              <w14:schemeClr w14:val="tx1"/>
            </w14:solidFill>
          </w14:textFill>
        </w:rPr>
        <w:t>事故。当违章用油枪往塑料桶（瓶）注汽油等，也会引发可燃液体蒸气爆炸与火灾事故的发生。此外，加油场地也可能因外来加油车辆违章驾驶、路面沉积油污、路面积雪积冰，以及加油岛照明不好等原因造成车辆及人员伤害或燃爆事故等。</w:t>
      </w:r>
    </w:p>
    <w:p w14:paraId="690453B9">
      <w:pPr>
        <w:adjustRightInd w:val="0"/>
        <w:snapToGrid w:val="0"/>
        <w:rPr>
          <w:bCs/>
          <w:color w:val="000000" w:themeColor="text1"/>
          <w14:textFill>
            <w14:solidFill>
              <w14:schemeClr w14:val="tx1"/>
            </w14:solidFill>
          </w14:textFill>
        </w:rPr>
      </w:pPr>
      <w:r>
        <w:rPr>
          <w:bCs/>
          <w:color w:val="000000" w:themeColor="text1"/>
          <w14:textFill>
            <w14:solidFill>
              <w14:schemeClr w14:val="tx1"/>
            </w14:solidFill>
          </w14:textFill>
        </w:rPr>
        <w:t>（4）站房</w:t>
      </w:r>
    </w:p>
    <w:p w14:paraId="5A36D800">
      <w:pPr>
        <w:adjustRightInd w:val="0"/>
        <w:snapToGrid w:val="0"/>
        <w:rPr>
          <w:bCs/>
          <w:color w:val="000000" w:themeColor="text1"/>
          <w14:textFill>
            <w14:solidFill>
              <w14:schemeClr w14:val="tx1"/>
            </w14:solidFill>
          </w14:textFill>
        </w:rPr>
      </w:pPr>
      <w:r>
        <w:rPr>
          <w:bCs/>
          <w:color w:val="000000" w:themeColor="text1"/>
          <w14:textFill>
            <w14:solidFill>
              <w14:schemeClr w14:val="tx1"/>
            </w14:solidFill>
          </w14:textFill>
        </w:rPr>
        <w:t>站房作为加油站必不可少的重要建筑物，其耐火等级和站内设施之间的防火距离是至关重要的。如有油蒸气窜入站房，遇到明火，随意吸烟，以及电气设备过载、短路、断线、接点松动、接触不良、绝缘下降等故障会产生电热和电火花，引燃油蒸气或周围可燃物，都有可能发生火灾或可燃液体蒸气爆炸事故。</w:t>
      </w:r>
    </w:p>
    <w:p w14:paraId="60C3F1B8">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（5）柴油发电机</w:t>
      </w:r>
    </w:p>
    <w:p w14:paraId="21FE01D8">
      <w:pPr>
        <w:adjustRightInd w:val="0"/>
        <w:snapToGrid w:val="0"/>
        <w:rPr>
          <w:bCs/>
          <w:color w:val="000000" w:themeColor="text1"/>
          <w14:textFill>
            <w14:solidFill>
              <w14:schemeClr w14:val="tx1"/>
            </w14:solidFill>
          </w14:textFill>
        </w:rPr>
      </w:pPr>
      <w:r>
        <w:rPr>
          <w:color w:val="000000" w:themeColor="text1"/>
          <w14:textFill>
            <w14:solidFill>
              <w14:schemeClr w14:val="tx1"/>
            </w14:solidFill>
          </w14:textFill>
        </w:rPr>
        <w:t>站内设有柴油发电机作为备用电源，柴油发电机使用原料为柴油，柴油本身可燃，且在使用柴油发电机时可能由于排烟口火星逸散遇油气发生火灾，严重者可能发生</w:t>
      </w:r>
      <w:r>
        <w:rPr>
          <w:bCs/>
          <w:color w:val="000000" w:themeColor="text1"/>
          <w14:textFill>
            <w14:solidFill>
              <w14:schemeClr w14:val="tx1"/>
            </w14:solidFill>
          </w14:textFill>
        </w:rPr>
        <w:t>可燃液体蒸气爆炸</w:t>
      </w:r>
      <w:r>
        <w:rPr>
          <w:color w:val="000000" w:themeColor="text1"/>
          <w14:textFill>
            <w14:solidFill>
              <w14:schemeClr w14:val="tx1"/>
            </w14:solidFill>
          </w14:textFill>
        </w:rPr>
        <w:t>事故。</w:t>
      </w:r>
    </w:p>
    <w:p w14:paraId="25BC1DCD">
      <w:pPr>
        <w:adjustRightInd w:val="0"/>
        <w:snapToGrid w:val="0"/>
        <w:rPr>
          <w:bCs/>
          <w:color w:val="000000" w:themeColor="text1"/>
          <w14:textFill>
            <w14:solidFill>
              <w14:schemeClr w14:val="tx1"/>
            </w14:solidFill>
          </w14:textFill>
        </w:rPr>
      </w:pPr>
      <w:r>
        <w:rPr>
          <w:bCs/>
          <w:color w:val="000000" w:themeColor="text1"/>
          <w14:textFill>
            <w14:solidFill>
              <w14:schemeClr w14:val="tx1"/>
            </w14:solidFill>
          </w14:textFill>
        </w:rPr>
        <w:t>（6）其他</w:t>
      </w:r>
    </w:p>
    <w:p w14:paraId="256D2A34">
      <w:pPr>
        <w:rPr>
          <w:color w:val="000000" w:themeColor="text1"/>
          <w14:textFill>
            <w14:solidFill>
              <w14:schemeClr w14:val="tx1"/>
            </w14:solidFill>
          </w14:textFill>
        </w:rPr>
      </w:pPr>
      <w:r>
        <w:rPr>
          <w:color w:val="000000" w:themeColor="text1"/>
          <w14:textFill>
            <w14:solidFill>
              <w14:schemeClr w14:val="tx1"/>
            </w14:solidFill>
          </w14:textFill>
        </w:rPr>
        <w:t>在进行量油作业过程中，可能会有油气外逸至作业附近，可能会由于作业人员未穿戴防静电服装、使用铁制工具等因素，导致发生火灾、</w:t>
      </w:r>
      <w:r>
        <w:rPr>
          <w:bCs/>
          <w:color w:val="000000" w:themeColor="text1"/>
          <w14:textFill>
            <w14:solidFill>
              <w14:schemeClr w14:val="tx1"/>
            </w14:solidFill>
          </w14:textFill>
        </w:rPr>
        <w:t>可燃液体蒸气爆炸</w:t>
      </w:r>
      <w:r>
        <w:rPr>
          <w:color w:val="000000" w:themeColor="text1"/>
          <w14:textFill>
            <w14:solidFill>
              <w14:schemeClr w14:val="tx1"/>
            </w14:solidFill>
          </w14:textFill>
        </w:rPr>
        <w:t>事故。</w:t>
      </w:r>
    </w:p>
    <w:p w14:paraId="1B7A14CB">
      <w:pPr>
        <w:pStyle w:val="4"/>
        <w:rPr>
          <w:color w:val="000000" w:themeColor="text1"/>
          <w14:textFill>
            <w14:solidFill>
              <w14:schemeClr w14:val="tx1"/>
            </w14:solidFill>
          </w14:textFill>
        </w:rPr>
      </w:pPr>
      <w:r>
        <w:rPr>
          <w:color w:val="000000" w:themeColor="text1"/>
          <w14:textFill>
            <w14:solidFill>
              <w14:schemeClr w14:val="tx1"/>
            </w14:solidFill>
          </w14:textFill>
        </w:rPr>
        <w:t>3.2.2触电</w:t>
      </w:r>
    </w:p>
    <w:p w14:paraId="04996CB1">
      <w:pPr>
        <w:rPr>
          <w:color w:val="000000" w:themeColor="text1"/>
          <w14:textFill>
            <w14:solidFill>
              <w14:schemeClr w14:val="tx1"/>
            </w14:solidFill>
          </w14:textFill>
        </w:rPr>
      </w:pPr>
      <w:r>
        <w:rPr>
          <w:color w:val="000000" w:themeColor="text1"/>
          <w14:textFill>
            <w14:solidFill>
              <w14:schemeClr w14:val="tx1"/>
            </w14:solidFill>
          </w14:textFill>
        </w:rPr>
        <w:t>（1）触电伤害</w:t>
      </w:r>
    </w:p>
    <w:p w14:paraId="7687E184">
      <w:pPr>
        <w:rPr>
          <w:color w:val="000000" w:themeColor="text1"/>
          <w14:textFill>
            <w14:solidFill>
              <w14:schemeClr w14:val="tx1"/>
            </w14:solidFill>
          </w14:textFill>
        </w:rPr>
      </w:pPr>
      <w:r>
        <w:rPr>
          <w:color w:val="000000" w:themeColor="text1"/>
          <w14:textFill>
            <w14:solidFill>
              <w14:schemeClr w14:val="tx1"/>
            </w14:solidFill>
          </w14:textFill>
        </w:rPr>
        <w:t>触电伤害是电能作用于人体造成的伤害。触电伤害事故以触电伤害最为常见。如果与加油设施配套的各类电气设施、电器开关、电缆敷设的接地或接零或屏护措施不完善、耐压强度低、耐腐蚀性差，都会造成漏电，导致触电伤人事故。</w:t>
      </w:r>
    </w:p>
    <w:p w14:paraId="48421355">
      <w:pPr>
        <w:rPr>
          <w:color w:val="000000" w:themeColor="text1"/>
          <w14:textFill>
            <w14:solidFill>
              <w14:schemeClr w14:val="tx1"/>
            </w14:solidFill>
          </w14:textFill>
        </w:rPr>
      </w:pPr>
      <w:r>
        <w:rPr>
          <w:color w:val="000000" w:themeColor="text1"/>
          <w14:textFill>
            <w14:solidFill>
              <w14:schemeClr w14:val="tx1"/>
            </w14:solidFill>
          </w14:textFill>
        </w:rPr>
        <w:t>洗车区域长期潮湿积水，电气设备防水等级不足，水汽侵入，线路进水漏电；水泵电机绝缘老化、接地保护缺失；设备电机、控制柜防水等级不满足潮湿环境要求，绝缘老化破损漏电；线缆浸泡在循环污水中破损漏电；设备检修未断电，违章操作触电；湿手操作电气开关控制柜，私拉乱接临时用电，非专业人员带电检修设备，以上均会导致触电伤害。</w:t>
      </w:r>
    </w:p>
    <w:p w14:paraId="2F92D2D4">
      <w:pPr>
        <w:rPr>
          <w:color w:val="000000" w:themeColor="text1"/>
          <w14:textFill>
            <w14:solidFill>
              <w14:schemeClr w14:val="tx1"/>
            </w14:solidFill>
          </w14:textFill>
        </w:rPr>
      </w:pPr>
      <w:r>
        <w:rPr>
          <w:color w:val="000000" w:themeColor="text1"/>
          <w14:textFill>
            <w14:solidFill>
              <w14:schemeClr w14:val="tx1"/>
            </w14:solidFill>
          </w14:textFill>
        </w:rPr>
        <w:t>（2）静电危害</w:t>
      </w:r>
    </w:p>
    <w:p w14:paraId="1AFFCF7B">
      <w:pPr>
        <w:rPr>
          <w:color w:val="000000" w:themeColor="text1"/>
          <w14:textFill>
            <w14:solidFill>
              <w14:schemeClr w14:val="tx1"/>
            </w14:solidFill>
          </w14:textFill>
        </w:rPr>
      </w:pPr>
      <w:r>
        <w:rPr>
          <w:color w:val="000000" w:themeColor="text1"/>
          <w14:textFill>
            <w14:solidFill>
              <w14:schemeClr w14:val="tx1"/>
            </w14:solidFill>
          </w14:textFill>
        </w:rPr>
        <w:t>静电电荷产生的火花，常为化学工业和石油工业发生火灾、爆炸的一个根源。产生静电荷的原因是电介质相互摩擦或电介质与金属摩擦。在加油设备，以及输油管线和储罐内都有产生静电电荷积累的可能性。尤其在油品接卸与付出等作业过程中，更容易产生静电火花而引起火灾、爆炸。譬如，喷溅式卸油，油品流速过快，油品静置时间不够进行计量检尺作业，用汽油擦洗衣服织物，以及无防静电设施或防静电设施未起作用和不按规定穿着防静电劳动保护护具等都极易产生静电，并积聚形成引爆（燃）源，或因其不能迅速泄放，其静电火花将导致火灾、爆炸。另外，静电也能给人以电击，造成操作人员紧张，妨碍操作，引发二次伤害事故。</w:t>
      </w:r>
    </w:p>
    <w:p w14:paraId="58FC6726">
      <w:pPr>
        <w:rPr>
          <w:color w:val="000000" w:themeColor="text1"/>
          <w14:textFill>
            <w14:solidFill>
              <w14:schemeClr w14:val="tx1"/>
            </w14:solidFill>
          </w14:textFill>
        </w:rPr>
      </w:pPr>
      <w:r>
        <w:rPr>
          <w:color w:val="000000" w:themeColor="text1"/>
          <w14:textFill>
            <w14:solidFill>
              <w14:schemeClr w14:val="tx1"/>
            </w14:solidFill>
          </w14:textFill>
        </w:rPr>
        <w:t>（3）雷电危害</w:t>
      </w:r>
    </w:p>
    <w:p w14:paraId="054950CE">
      <w:pPr>
        <w:rPr>
          <w:color w:val="000000" w:themeColor="text1"/>
          <w14:textFill>
            <w14:solidFill>
              <w14:schemeClr w14:val="tx1"/>
            </w14:solidFill>
          </w14:textFill>
        </w:rPr>
      </w:pPr>
      <w:r>
        <w:rPr>
          <w:color w:val="000000" w:themeColor="text1"/>
          <w14:textFill>
            <w14:solidFill>
              <w14:schemeClr w14:val="tx1"/>
            </w14:solidFill>
          </w14:textFill>
        </w:rPr>
        <w:t>加油站未安装防雷设备或防雷设备维护不佳造成防雷设备老化或者损坏；加油站较近距离内存在高大树木、金属信号塔等，可能发生褡裢现象；加油站内的金属围栏、栏杆、防盗门、告示牌等未进行等电位连接处理等都可能造成雷电伤害。</w:t>
      </w:r>
    </w:p>
    <w:p w14:paraId="64312CB3">
      <w:pPr>
        <w:pStyle w:val="4"/>
        <w:rPr>
          <w:color w:val="000000" w:themeColor="text1"/>
          <w14:textFill>
            <w14:solidFill>
              <w14:schemeClr w14:val="tx1"/>
            </w14:solidFill>
          </w14:textFill>
        </w:rPr>
      </w:pPr>
      <w:r>
        <w:rPr>
          <w:color w:val="000000" w:themeColor="text1"/>
          <w14:textFill>
            <w14:solidFill>
              <w14:schemeClr w14:val="tx1"/>
            </w14:solidFill>
          </w14:textFill>
        </w:rPr>
        <w:t>3.2.3厂（场）内车辆致害</w:t>
      </w:r>
    </w:p>
    <w:p w14:paraId="54F907E3">
      <w:pPr>
        <w:rPr>
          <w:color w:val="000000" w:themeColor="text1"/>
          <w14:textFill>
            <w14:solidFill>
              <w14:schemeClr w14:val="tx1"/>
            </w14:solidFill>
          </w14:textFill>
        </w:rPr>
      </w:pPr>
      <w:r>
        <w:rPr>
          <w:color w:val="000000" w:themeColor="text1"/>
          <w14:textFill>
            <w14:solidFill>
              <w14:schemeClr w14:val="tx1"/>
            </w14:solidFill>
          </w14:textFill>
        </w:rPr>
        <w:t>厂（场）内车辆致害是指机动车辆在行驶中引起的人体伤害或载运物体倾翻等事故。如果车速过快，车辆技术状况不好，如：制动失灵、转向失灵、灯光音响信号损坏失灵，或安全标志不全、道路设计不合理、转弯处没有反光镜等，均容易导致厂（场）内车辆致害，造成人员伤亡或财产损失。</w:t>
      </w:r>
    </w:p>
    <w:p w14:paraId="31705099">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当汽车进站加油时，罩棚及罩棚柱、加油机和作业人员可能受到车辆的碰撞，造成财产损失和人员伤害。</w:t>
      </w:r>
    </w:p>
    <w:p w14:paraId="2487D894">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另外，当汽车槽车入站卸油时，若操作不当或事先未进行车辆人员疏导，易造成人员、厂（场）内车辆致害。</w:t>
      </w:r>
    </w:p>
    <w:p w14:paraId="0B952A2C">
      <w:pPr>
        <w:pStyle w:val="4"/>
        <w:rPr>
          <w:color w:val="000000" w:themeColor="text1"/>
          <w14:textFill>
            <w14:solidFill>
              <w14:schemeClr w14:val="tx1"/>
            </w14:solidFill>
          </w14:textFill>
        </w:rPr>
      </w:pPr>
      <w:r>
        <w:rPr>
          <w:color w:val="000000" w:themeColor="text1"/>
          <w14:textFill>
            <w14:solidFill>
              <w14:schemeClr w14:val="tx1"/>
            </w14:solidFill>
          </w14:textFill>
        </w:rPr>
        <w:t>3.2.4中毒</w:t>
      </w:r>
    </w:p>
    <w:p w14:paraId="3B6F7FB3">
      <w:pPr>
        <w:rPr>
          <w:color w:val="000000" w:themeColor="text1"/>
          <w14:textFill>
            <w14:solidFill>
              <w14:schemeClr w14:val="tx1"/>
            </w14:solidFill>
          </w14:textFill>
        </w:rPr>
      </w:pPr>
      <w:r>
        <w:rPr>
          <w:color w:val="000000" w:themeColor="text1"/>
          <w14:textFill>
            <w14:solidFill>
              <w14:schemeClr w14:val="tx1"/>
            </w14:solidFill>
          </w14:textFill>
        </w:rPr>
        <w:t>本项目经营的汽油、柴油均具有毒性，作业过程中若发生油品泄漏、挥发，或作业人员违规操作，易引发中毒事故，具体风险如下：</w:t>
      </w:r>
    </w:p>
    <w:p w14:paraId="20B3D431">
      <w:pPr>
        <w:rPr>
          <w:color w:val="000000" w:themeColor="text1"/>
          <w14:textFill>
            <w14:solidFill>
              <w14:schemeClr w14:val="tx1"/>
            </w14:solidFill>
          </w14:textFill>
        </w:rPr>
      </w:pPr>
      <w:r>
        <w:rPr>
          <w:color w:val="000000" w:themeColor="text1"/>
          <w14:textFill>
            <w14:solidFill>
              <w14:schemeClr w14:val="tx1"/>
            </w14:solidFill>
          </w14:textFill>
        </w:rPr>
        <w:t>汽油为麻醉性毒物，高浓度吸入会出现中毒性脑病，表现为头晕、头痛、意识模糊等症状，极高浓度吸入可引起意识突然丧失、反射性呼吸停止；若误将汽油吸入呼吸道，还可能引发吸入性肺炎，出现咳嗽、胸闷、呼吸困难等症状。</w:t>
      </w:r>
    </w:p>
    <w:p w14:paraId="70FF21F4">
      <w:pPr>
        <w:rPr>
          <w:color w:val="000000" w:themeColor="text1"/>
          <w14:textFill>
            <w14:solidFill>
              <w14:schemeClr w14:val="tx1"/>
            </w14:solidFill>
          </w14:textFill>
        </w:rPr>
      </w:pPr>
      <w:r>
        <w:rPr>
          <w:color w:val="000000" w:themeColor="text1"/>
          <w14:textFill>
            <w14:solidFill>
              <w14:schemeClr w14:val="tx1"/>
            </w14:solidFill>
          </w14:textFill>
        </w:rPr>
        <w:t>柴油可引起接触性皮炎、油性痤疮，长期或反复接触柴油皮肤会出现红肿、瘙痒、皮疹等不适；吸入柴油雾滴或液体呛入可引发吸入性肺炎，柴油废气还会引起眼、鼻刺激症状及头晕、头痛等全身不适，长期接触可能对呼吸系统造成慢性损伤。</w:t>
      </w:r>
    </w:p>
    <w:p w14:paraId="73BDB4DD">
      <w:pPr>
        <w:rPr>
          <w:color w:val="000000" w:themeColor="text1"/>
          <w14:textFill>
            <w14:solidFill>
              <w14:schemeClr w14:val="tx1"/>
            </w14:solidFill>
          </w14:textFill>
        </w:rPr>
      </w:pPr>
      <w:r>
        <w:rPr>
          <w:color w:val="000000" w:themeColor="text1"/>
          <w14:textFill>
            <w14:solidFill>
              <w14:schemeClr w14:val="tx1"/>
            </w14:solidFill>
          </w14:textFill>
        </w:rPr>
        <w:t>加油站操作井等受限空间作业，受作业场所通风条件影响，油品挥发的有毒气体易积聚，若作业前未进行气体检测、未采取通风措施，作业人员进入后易发生中毒事故。</w:t>
      </w:r>
    </w:p>
    <w:p w14:paraId="617C6EEB">
      <w:pPr>
        <w:rPr>
          <w:color w:val="000000" w:themeColor="text1"/>
          <w14:textFill>
            <w14:solidFill>
              <w14:schemeClr w14:val="tx1"/>
            </w14:solidFill>
          </w14:textFill>
        </w:rPr>
      </w:pPr>
      <w:r>
        <w:rPr>
          <w:color w:val="000000" w:themeColor="text1"/>
          <w14:textFill>
            <w14:solidFill>
              <w14:schemeClr w14:val="tx1"/>
            </w14:solidFill>
          </w14:textFill>
        </w:rPr>
        <w:t>维修人员在维修、检查储存、输送油品的密闭设备或工艺管道过程中，若不严格按照操作规程进行气体置换、通风，设备内残留的有毒油气易导致维修人员中毒。</w:t>
      </w:r>
    </w:p>
    <w:p w14:paraId="42BE42F5">
      <w:pPr>
        <w:pStyle w:val="4"/>
        <w:rPr>
          <w:color w:val="000000" w:themeColor="text1"/>
          <w14:textFill>
            <w14:solidFill>
              <w14:schemeClr w14:val="tx1"/>
            </w14:solidFill>
          </w14:textFill>
        </w:rPr>
      </w:pPr>
      <w:r>
        <w:rPr>
          <w:color w:val="000000" w:themeColor="text1"/>
          <w14:textFill>
            <w14:solidFill>
              <w14:schemeClr w14:val="tx1"/>
            </w14:solidFill>
          </w14:textFill>
        </w:rPr>
        <w:t>3.2.5窒息</w:t>
      </w:r>
    </w:p>
    <w:p w14:paraId="5D94F7A2">
      <w:pPr>
        <w:rPr>
          <w:color w:val="000000" w:themeColor="text1"/>
          <w14:textFill>
            <w14:solidFill>
              <w14:schemeClr w14:val="tx1"/>
            </w14:solidFill>
          </w14:textFill>
        </w:rPr>
      </w:pPr>
      <w:r>
        <w:rPr>
          <w:color w:val="000000" w:themeColor="text1"/>
          <w14:textFill>
            <w14:solidFill>
              <w14:schemeClr w14:val="tx1"/>
            </w14:solidFill>
          </w14:textFill>
        </w:rPr>
        <w:t>本项目中存在受限空间作业场景，若密闭空间通风不良，易引发窒息事故，具体风险如下：</w:t>
      </w:r>
    </w:p>
    <w:p w14:paraId="6DB6C5C9">
      <w:pPr>
        <w:rPr>
          <w:color w:val="000000" w:themeColor="text1"/>
          <w14:textFill>
            <w14:solidFill>
              <w14:schemeClr w14:val="tx1"/>
            </w14:solidFill>
          </w14:textFill>
        </w:rPr>
      </w:pPr>
      <w:r>
        <w:rPr>
          <w:color w:val="000000" w:themeColor="text1"/>
          <w14:textFill>
            <w14:solidFill>
              <w14:schemeClr w14:val="tx1"/>
            </w14:solidFill>
          </w14:textFill>
        </w:rPr>
        <w:t>若操作人员未按规定穿戴防护用品、违规操作，或自我保护意识差，作业现场未设置相关安全警示标志，对操作人员安全教育不到位，作业人员在氧气浓度不足的环境中作业，会因缺氧出现头疼、头晕、呼吸困难、恶心呕吐等症状，严重时可导致昏迷、窒息死亡。</w:t>
      </w:r>
    </w:p>
    <w:p w14:paraId="092AA27F">
      <w:pPr>
        <w:rPr>
          <w:color w:val="000000" w:themeColor="text1"/>
          <w14:textFill>
            <w14:solidFill>
              <w14:schemeClr w14:val="tx1"/>
            </w14:solidFill>
          </w14:textFill>
        </w:rPr>
      </w:pPr>
      <w:r>
        <w:rPr>
          <w:color w:val="000000" w:themeColor="text1"/>
          <w14:textFill>
            <w14:solidFill>
              <w14:schemeClr w14:val="tx1"/>
            </w14:solidFill>
          </w14:textFill>
        </w:rPr>
        <w:t>加油站操作井、密闭设备、工艺管道等受限空间，通风条件较差，若空间内原有空气无法及时置换，易造成氧气浓度不足，作业人员进入后引发窒息事故。</w:t>
      </w:r>
    </w:p>
    <w:p w14:paraId="2FC0A013">
      <w:pPr>
        <w:rPr>
          <w:color w:val="000000" w:themeColor="text1"/>
          <w14:textFill>
            <w14:solidFill>
              <w14:schemeClr w14:val="tx1"/>
            </w14:solidFill>
          </w14:textFill>
        </w:rPr>
      </w:pPr>
      <w:r>
        <w:rPr>
          <w:color w:val="000000" w:themeColor="text1"/>
          <w14:textFill>
            <w14:solidFill>
              <w14:schemeClr w14:val="tx1"/>
            </w14:solidFill>
          </w14:textFill>
        </w:rPr>
        <w:t>维修人员在维修、检查密闭设备或工艺管道过程中，若不严格按照操作规程进行气体置换、通风，易导致密闭空间内氧气浓度降低，引发维修人员窒息事故。</w:t>
      </w:r>
    </w:p>
    <w:p w14:paraId="19206AC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2006年7月海城市某加油站雇佣盘锦市某工程队清罐，一人下罐后无作业声音，另一监护人下去抢救人也没有上来。加油站老板见事情不好，拨打电话119，请消防队员佩戴压缩空气呼吸器将2人救出，经抢救无效死亡。</w:t>
      </w:r>
    </w:p>
    <w:p w14:paraId="00837C8B">
      <w:pPr>
        <w:pStyle w:val="4"/>
        <w:rPr>
          <w:color w:val="000000" w:themeColor="text1"/>
          <w14:textFill>
            <w14:solidFill>
              <w14:schemeClr w14:val="tx1"/>
            </w14:solidFill>
          </w14:textFill>
        </w:rPr>
      </w:pPr>
      <w:r>
        <w:rPr>
          <w:color w:val="000000" w:themeColor="text1"/>
          <w14:textFill>
            <w14:solidFill>
              <w14:schemeClr w14:val="tx1"/>
            </w14:solidFill>
          </w14:textFill>
        </w:rPr>
        <w:t>3.2.6物体打击</w:t>
      </w:r>
    </w:p>
    <w:p w14:paraId="338719FD">
      <w:pPr>
        <w:rPr>
          <w:color w:val="000000" w:themeColor="text1"/>
          <w14:textFill>
            <w14:solidFill>
              <w14:schemeClr w14:val="tx1"/>
            </w14:solidFill>
          </w14:textFill>
        </w:rPr>
      </w:pPr>
      <w:r>
        <w:rPr>
          <w:color w:val="000000" w:themeColor="text1"/>
          <w14:textFill>
            <w14:solidFill>
              <w14:schemeClr w14:val="tx1"/>
            </w14:solidFill>
          </w14:textFill>
        </w:rPr>
        <w:t>对罩棚或站房进行检修作业时，高处作业时作业人员从高处随意乱抛物体；或在检修作业过程中工器具脱落飞出；或在检修作业过程中物体受到打击后边、角飞出。从而造成对作业人员或其周围人员的伤害。</w:t>
      </w:r>
    </w:p>
    <w:p w14:paraId="74101954">
      <w:pPr>
        <w:pStyle w:val="4"/>
        <w:rPr>
          <w:color w:val="000000" w:themeColor="text1"/>
          <w14:textFill>
            <w14:solidFill>
              <w14:schemeClr w14:val="tx1"/>
            </w14:solidFill>
          </w14:textFill>
        </w:rPr>
      </w:pPr>
      <w:r>
        <w:rPr>
          <w:color w:val="000000" w:themeColor="text1"/>
          <w14:textFill>
            <w14:solidFill>
              <w14:schemeClr w14:val="tx1"/>
            </w14:solidFill>
          </w14:textFill>
        </w:rPr>
        <w:t>3.2.7坍塌</w:t>
      </w:r>
    </w:p>
    <w:p w14:paraId="331F89B2">
      <w:pPr>
        <w:rPr>
          <w:color w:val="000000" w:themeColor="text1"/>
          <w14:textFill>
            <w14:solidFill>
              <w14:schemeClr w14:val="tx1"/>
            </w14:solidFill>
          </w14:textFill>
        </w:rPr>
      </w:pPr>
      <w:r>
        <w:rPr>
          <w:color w:val="000000" w:themeColor="text1"/>
          <w14:textFill>
            <w14:solidFill>
              <w14:schemeClr w14:val="tx1"/>
            </w14:solidFill>
          </w14:textFill>
        </w:rPr>
        <w:t>坍塌是指物体在外力和重力的作用下，超过自身极限强度，结构稳定失衡塌落。大风尤以春季多发、暴雪和外腐蚀等原因，容易造成站内罩棚、站房等建（构）筑物坍塌，对作业人员、加油机及车辆造成伤害。</w:t>
      </w:r>
    </w:p>
    <w:p w14:paraId="11CB38BE">
      <w:pPr>
        <w:pStyle w:val="4"/>
        <w:rPr>
          <w:color w:val="000000" w:themeColor="text1"/>
          <w14:textFill>
            <w14:solidFill>
              <w14:schemeClr w14:val="tx1"/>
            </w14:solidFill>
          </w14:textFill>
        </w:rPr>
      </w:pPr>
      <w:r>
        <w:rPr>
          <w:color w:val="000000" w:themeColor="text1"/>
          <w14:textFill>
            <w14:solidFill>
              <w14:schemeClr w14:val="tx1"/>
            </w14:solidFill>
          </w14:textFill>
        </w:rPr>
        <w:t>3.2.8高处坠落</w:t>
      </w:r>
    </w:p>
    <w:p w14:paraId="0FD9EDEA">
      <w:pPr>
        <w:rPr>
          <w:color w:val="000000" w:themeColor="text1"/>
          <w14:textFill>
            <w14:solidFill>
              <w14:schemeClr w14:val="tx1"/>
            </w14:solidFill>
          </w14:textFill>
        </w:rPr>
      </w:pPr>
      <w:r>
        <w:rPr>
          <w:color w:val="000000" w:themeColor="text1"/>
          <w14:textFill>
            <w14:solidFill>
              <w14:schemeClr w14:val="tx1"/>
            </w14:solidFill>
          </w14:textFill>
        </w:rPr>
        <w:t>高处坠落是指作业人员在坠落高度基准面2m以上（含2m）的可能坠落的高处进行作业时，因为未防护、防护不好或作业不当而发生人或物的坠落。</w:t>
      </w:r>
    </w:p>
    <w:p w14:paraId="0D06BBC5">
      <w:pPr>
        <w:pStyle w:val="4"/>
        <w:rPr>
          <w:color w:val="000000" w:themeColor="text1"/>
          <w14:textFill>
            <w14:solidFill>
              <w14:schemeClr w14:val="tx1"/>
            </w14:solidFill>
          </w14:textFill>
        </w:rPr>
      </w:pPr>
      <w:r>
        <w:rPr>
          <w:color w:val="000000" w:themeColor="text1"/>
          <w14:textFill>
            <w14:solidFill>
              <w14:schemeClr w14:val="tx1"/>
            </w14:solidFill>
          </w14:textFill>
        </w:rPr>
        <w:t>3.2.9</w:t>
      </w:r>
      <w:r>
        <w:rPr>
          <w:rFonts w:hint="eastAsia"/>
          <w:color w:val="000000" w:themeColor="text1"/>
          <w14:textFill>
            <w14:solidFill>
              <w14:schemeClr w14:val="tx1"/>
            </w14:solidFill>
          </w14:textFill>
        </w:rPr>
        <w:t>跌落</w:t>
      </w:r>
    </w:p>
    <w:p w14:paraId="343ADBFF">
      <w:pPr>
        <w:rPr>
          <w:color w:val="000000" w:themeColor="text1"/>
          <w14:textFill>
            <w14:solidFill>
              <w14:schemeClr w14:val="tx1"/>
            </w14:solidFill>
          </w14:textFill>
        </w:rPr>
      </w:pPr>
      <w:r>
        <w:rPr>
          <w:color w:val="000000" w:themeColor="text1"/>
          <w14:textFill>
            <w14:solidFill>
              <w14:schemeClr w14:val="tx1"/>
            </w14:solidFill>
          </w14:textFill>
        </w:rPr>
        <w:t>本项目跌落风险包含以下：加油罩棚灯具线路检修、钢结构防腐、招牌及排水设施清理作业；加油区地面常年积聚油污、积水，雨雪及冬季结冰后地面湿滑，加之作业人员防滑劳保鞋穿戴不规范，攀爬登高前易脚下打滑失衡，会间接诱发高处跌落事故；平地行走时地面湿滑、台阶踩空还会引发平地失足跌落，易造成人员磕碰扭伤、骨折甚至伤亡，高处坠落还会撞击油品设备，继而衍生油品泄漏、火灾爆炸等次生安全风险。</w:t>
      </w:r>
    </w:p>
    <w:p w14:paraId="128B9F91">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3.2.10</w:t>
      </w:r>
      <w:r>
        <w:rPr>
          <w:color w:val="000000" w:themeColor="text1"/>
          <w14:textFill>
            <w14:solidFill>
              <w14:schemeClr w14:val="tx1"/>
            </w14:solidFill>
          </w14:textFill>
        </w:rPr>
        <w:t>检维修</w:t>
      </w:r>
    </w:p>
    <w:p w14:paraId="3535389F">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检维修作业通常涉及易燃易爆、有毒有害物质作业环境，在加油作业区内进行动火作业，清罐时进入受限空间作业，油罐、管线的焊接及盲板抽堵作业，临时用电等危险作业，极易导致火灾、爆炸及中毒窒息事故的发生。</w:t>
      </w:r>
    </w:p>
    <w:p w14:paraId="1A1D790D">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站通常又将检维修作业委托外部施工单位承担，客观上增加了安全管理环节，加大了安全管理的难度。施工单位人员往往不熟悉企业的工艺、设备和涉及的危险有害物料等情况，如果没有完善的安全管理和较强的施工能力，施工作业的安全风险很高。</w:t>
      </w:r>
    </w:p>
    <w:p w14:paraId="6D9B9A7A">
      <w:pPr>
        <w:pStyle w:val="4"/>
        <w:rPr>
          <w:color w:val="000000" w:themeColor="text1"/>
          <w14:textFill>
            <w14:solidFill>
              <w14:schemeClr w14:val="tx1"/>
            </w14:solidFill>
          </w14:textFill>
        </w:rPr>
      </w:pPr>
      <w:r>
        <w:rPr>
          <w:color w:val="000000" w:themeColor="text1"/>
          <w14:textFill>
            <w14:solidFill>
              <w14:schemeClr w14:val="tx1"/>
            </w14:solidFill>
          </w14:textFill>
        </w:rPr>
        <w:t>3.2.1</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自然灾害</w:t>
      </w:r>
    </w:p>
    <w:p w14:paraId="729ED17D">
      <w:pPr>
        <w:rPr>
          <w:color w:val="000000" w:themeColor="text1"/>
          <w14:textFill>
            <w14:solidFill>
              <w14:schemeClr w14:val="tx1"/>
            </w14:solidFill>
          </w14:textFill>
        </w:rPr>
      </w:pPr>
      <w:r>
        <w:rPr>
          <w:color w:val="000000" w:themeColor="text1"/>
          <w14:textFill>
            <w14:solidFill>
              <w14:schemeClr w14:val="tx1"/>
            </w14:solidFill>
          </w14:textFill>
        </w:rPr>
        <w:t>从加油站自身特点和其经营的成品油所具有的危险特性，乃至事故危害及影响等因素综合考虑，必须对诸如汛期、雷雨天气和地震等自然灾害极有可能造成储罐漂浮、移位，管线断裂，阀门损坏，油品外溢，接卸和付油作业过程中的金属放电引燃油蒸气，以及加油站建（构）筑物的坍塌等予以充分重视，并采取切实有效的安全防范措施，将其危害和可能造成的损失降到最低程度。同时，在寒冷的冬季和炎热的夏季，对从事室外作业的加油人员等，还应做好防寒及防暑降温工作。大风、暴雪和外腐蚀容易造成罩棚坍塌，对作业人员及车辆造成伤害。</w:t>
      </w:r>
    </w:p>
    <w:p w14:paraId="02EB08D8">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综上，危险有害因素辨识情况见表3.2-1。</w:t>
      </w:r>
    </w:p>
    <w:p w14:paraId="63DFAC02">
      <w:pPr>
        <w:pStyle w:val="42"/>
        <w:rPr>
          <w:color w:val="000000" w:themeColor="text1"/>
          <w14:textFill>
            <w14:solidFill>
              <w14:schemeClr w14:val="tx1"/>
            </w14:solidFill>
          </w14:textFill>
        </w:rPr>
      </w:pPr>
      <w:r>
        <w:rPr>
          <w:color w:val="000000" w:themeColor="text1"/>
          <w14:textFill>
            <w14:solidFill>
              <w14:schemeClr w14:val="tx1"/>
            </w14:solidFill>
          </w14:textFill>
        </w:rPr>
        <w:t>表3.2-1 危险有害因素的辨识情况</w:t>
      </w:r>
    </w:p>
    <w:tbl>
      <w:tblPr>
        <w:tblStyle w:val="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757"/>
        <w:gridCol w:w="2260"/>
        <w:gridCol w:w="2900"/>
        <w:gridCol w:w="864"/>
        <w:gridCol w:w="945"/>
      </w:tblGrid>
      <w:tr w14:paraId="4720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74" w:type="dxa"/>
            <w:vAlign w:val="center"/>
          </w:tcPr>
          <w:p w14:paraId="263155A4">
            <w:pPr>
              <w:pStyle w:val="41"/>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757" w:type="dxa"/>
            <w:vAlign w:val="center"/>
          </w:tcPr>
          <w:p w14:paraId="520A027A">
            <w:pPr>
              <w:pStyle w:val="41"/>
              <w:rPr>
                <w:color w:val="000000" w:themeColor="text1"/>
                <w14:textFill>
                  <w14:solidFill>
                    <w14:schemeClr w14:val="tx1"/>
                  </w14:solidFill>
                </w14:textFill>
              </w:rPr>
            </w:pPr>
            <w:r>
              <w:rPr>
                <w:color w:val="000000" w:themeColor="text1"/>
                <w14:textFill>
                  <w14:solidFill>
                    <w14:schemeClr w14:val="tx1"/>
                  </w14:solidFill>
                </w14:textFill>
              </w:rPr>
              <w:t>事故类别名称</w:t>
            </w:r>
          </w:p>
        </w:tc>
        <w:tc>
          <w:tcPr>
            <w:tcW w:w="2260" w:type="dxa"/>
            <w:vAlign w:val="center"/>
          </w:tcPr>
          <w:p w14:paraId="18849347">
            <w:pPr>
              <w:pStyle w:val="41"/>
              <w:rPr>
                <w:color w:val="000000" w:themeColor="text1"/>
                <w14:textFill>
                  <w14:solidFill>
                    <w14:schemeClr w14:val="tx1"/>
                  </w14:solidFill>
                </w14:textFill>
              </w:rPr>
            </w:pPr>
            <w:r>
              <w:rPr>
                <w:color w:val="000000" w:themeColor="text1"/>
                <w14:textFill>
                  <w14:solidFill>
                    <w14:schemeClr w14:val="tx1"/>
                  </w14:solidFill>
                </w14:textFill>
              </w:rPr>
              <w:t>事故后果</w:t>
            </w:r>
          </w:p>
        </w:tc>
        <w:tc>
          <w:tcPr>
            <w:tcW w:w="2900" w:type="dxa"/>
            <w:vAlign w:val="center"/>
          </w:tcPr>
          <w:p w14:paraId="36E82C78">
            <w:pPr>
              <w:pStyle w:val="41"/>
              <w:rPr>
                <w:color w:val="000000" w:themeColor="text1"/>
                <w14:textFill>
                  <w14:solidFill>
                    <w14:schemeClr w14:val="tx1"/>
                  </w14:solidFill>
                </w14:textFill>
              </w:rPr>
            </w:pPr>
            <w:r>
              <w:rPr>
                <w:color w:val="000000" w:themeColor="text1"/>
                <w14:textFill>
                  <w14:solidFill>
                    <w14:schemeClr w14:val="tx1"/>
                  </w14:solidFill>
                </w14:textFill>
              </w:rPr>
              <w:t>危险部位或场所</w:t>
            </w:r>
          </w:p>
        </w:tc>
        <w:tc>
          <w:tcPr>
            <w:tcW w:w="864" w:type="dxa"/>
            <w:vAlign w:val="center"/>
          </w:tcPr>
          <w:p w14:paraId="07D11E99">
            <w:pPr>
              <w:pStyle w:val="41"/>
              <w:rPr>
                <w:color w:val="000000" w:themeColor="text1"/>
                <w14:textFill>
                  <w14:solidFill>
                    <w14:schemeClr w14:val="tx1"/>
                  </w14:solidFill>
                </w14:textFill>
              </w:rPr>
            </w:pPr>
            <w:r>
              <w:rPr>
                <w:color w:val="000000" w:themeColor="text1"/>
                <w14:textFill>
                  <w14:solidFill>
                    <w14:schemeClr w14:val="tx1"/>
                  </w14:solidFill>
                </w14:textFill>
              </w:rPr>
              <w:t>危险</w:t>
            </w:r>
          </w:p>
          <w:p w14:paraId="0A4911DA">
            <w:pPr>
              <w:pStyle w:val="41"/>
              <w:rPr>
                <w:color w:val="000000" w:themeColor="text1"/>
                <w14:textFill>
                  <w14:solidFill>
                    <w14:schemeClr w14:val="tx1"/>
                  </w14:solidFill>
                </w14:textFill>
              </w:rPr>
            </w:pPr>
            <w:r>
              <w:rPr>
                <w:color w:val="000000" w:themeColor="text1"/>
                <w14:textFill>
                  <w14:solidFill>
                    <w14:schemeClr w14:val="tx1"/>
                  </w14:solidFill>
                </w14:textFill>
              </w:rPr>
              <w:t>程度</w:t>
            </w:r>
          </w:p>
        </w:tc>
        <w:tc>
          <w:tcPr>
            <w:tcW w:w="945" w:type="dxa"/>
            <w:vAlign w:val="center"/>
          </w:tcPr>
          <w:p w14:paraId="5C3F805C">
            <w:pPr>
              <w:pStyle w:val="41"/>
              <w:rPr>
                <w:color w:val="000000" w:themeColor="text1"/>
                <w14:textFill>
                  <w14:solidFill>
                    <w14:schemeClr w14:val="tx1"/>
                  </w14:solidFill>
                </w14:textFill>
              </w:rPr>
            </w:pPr>
            <w:r>
              <w:rPr>
                <w:color w:val="000000" w:themeColor="text1"/>
                <w14:textFill>
                  <w14:solidFill>
                    <w14:schemeClr w14:val="tx1"/>
                  </w14:solidFill>
                </w14:textFill>
              </w:rPr>
              <w:t>发生</w:t>
            </w:r>
          </w:p>
          <w:p w14:paraId="6FC75AE4">
            <w:pPr>
              <w:pStyle w:val="41"/>
              <w:rPr>
                <w:color w:val="000000" w:themeColor="text1"/>
                <w14:textFill>
                  <w14:solidFill>
                    <w14:schemeClr w14:val="tx1"/>
                  </w14:solidFill>
                </w14:textFill>
              </w:rPr>
            </w:pPr>
            <w:r>
              <w:rPr>
                <w:color w:val="000000" w:themeColor="text1"/>
                <w14:textFill>
                  <w14:solidFill>
                    <w14:schemeClr w14:val="tx1"/>
                  </w14:solidFill>
                </w14:textFill>
              </w:rPr>
              <w:t>频率</w:t>
            </w:r>
          </w:p>
        </w:tc>
      </w:tr>
      <w:tr w14:paraId="7FB4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674" w:type="dxa"/>
            <w:vAlign w:val="center"/>
          </w:tcPr>
          <w:p w14:paraId="2EC52B93">
            <w:pPr>
              <w:pStyle w:val="41"/>
              <w:rPr>
                <w:color w:val="000000" w:themeColor="text1"/>
                <w14:textFill>
                  <w14:solidFill>
                    <w14:schemeClr w14:val="tx1"/>
                  </w14:solidFill>
                </w14:textFill>
              </w:rPr>
            </w:pPr>
            <w:r>
              <w:rPr>
                <w:color w:val="000000" w:themeColor="text1"/>
                <w14:textFill>
                  <w14:solidFill>
                    <w14:schemeClr w14:val="tx1"/>
                  </w14:solidFill>
                </w14:textFill>
              </w:rPr>
              <w:t>1</w:t>
            </w:r>
          </w:p>
        </w:tc>
        <w:tc>
          <w:tcPr>
            <w:tcW w:w="1757" w:type="dxa"/>
            <w:vAlign w:val="center"/>
          </w:tcPr>
          <w:p w14:paraId="740D6F2B">
            <w:pPr>
              <w:pStyle w:val="41"/>
              <w:rPr>
                <w:color w:val="000000" w:themeColor="text1"/>
                <w14:textFill>
                  <w14:solidFill>
                    <w14:schemeClr w14:val="tx1"/>
                  </w14:solidFill>
                </w14:textFill>
              </w:rPr>
            </w:pPr>
            <w:r>
              <w:rPr>
                <w:color w:val="000000" w:themeColor="text1"/>
                <w14:textFill>
                  <w14:solidFill>
                    <w14:schemeClr w14:val="tx1"/>
                  </w14:solidFill>
                </w14:textFill>
              </w:rPr>
              <w:t>火灾</w:t>
            </w:r>
          </w:p>
        </w:tc>
        <w:tc>
          <w:tcPr>
            <w:tcW w:w="2260" w:type="dxa"/>
            <w:vAlign w:val="center"/>
          </w:tcPr>
          <w:p w14:paraId="2024A80F">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设备损坏、人员伤亡、环境污染、造成严重经济损失</w:t>
            </w:r>
          </w:p>
        </w:tc>
        <w:tc>
          <w:tcPr>
            <w:tcW w:w="2900" w:type="dxa"/>
            <w:vAlign w:val="center"/>
          </w:tcPr>
          <w:p w14:paraId="3B36903C">
            <w:pPr>
              <w:pStyle w:val="41"/>
              <w:rPr>
                <w:color w:val="000000" w:themeColor="text1"/>
                <w14:textFill>
                  <w14:solidFill>
                    <w14:schemeClr w14:val="tx1"/>
                  </w14:solidFill>
                </w14:textFill>
              </w:rPr>
            </w:pPr>
            <w:r>
              <w:rPr>
                <w:color w:val="000000" w:themeColor="text1"/>
                <w14:textFill>
                  <w14:solidFill>
                    <w14:schemeClr w14:val="tx1"/>
                  </w14:solidFill>
                </w14:textFill>
              </w:rPr>
              <w:t>油品装卸作业区、埋地储罐及人孔操作井、加油场地、站房、柴油发电机及排烟区</w:t>
            </w:r>
          </w:p>
        </w:tc>
        <w:tc>
          <w:tcPr>
            <w:tcW w:w="864" w:type="dxa"/>
            <w:vAlign w:val="center"/>
          </w:tcPr>
          <w:p w14:paraId="6192F519">
            <w:pPr>
              <w:pStyle w:val="41"/>
              <w:rPr>
                <w:color w:val="000000" w:themeColor="text1"/>
                <w14:textFill>
                  <w14:solidFill>
                    <w14:schemeClr w14:val="tx1"/>
                  </w14:solidFill>
                </w14:textFill>
              </w:rPr>
            </w:pPr>
            <w:r>
              <w:rPr>
                <w:color w:val="000000" w:themeColor="text1"/>
                <w14:textFill>
                  <w14:solidFill>
                    <w14:schemeClr w14:val="tx1"/>
                  </w14:solidFill>
                </w14:textFill>
              </w:rPr>
              <w:t>高</w:t>
            </w:r>
          </w:p>
        </w:tc>
        <w:tc>
          <w:tcPr>
            <w:tcW w:w="945" w:type="dxa"/>
            <w:vAlign w:val="center"/>
          </w:tcPr>
          <w:p w14:paraId="16CD2E95">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r>
      <w:tr w14:paraId="10C7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674" w:type="dxa"/>
            <w:vAlign w:val="center"/>
          </w:tcPr>
          <w:p w14:paraId="70CB94AF">
            <w:pPr>
              <w:pStyle w:val="41"/>
              <w:rPr>
                <w:color w:val="000000" w:themeColor="text1"/>
                <w14:textFill>
                  <w14:solidFill>
                    <w14:schemeClr w14:val="tx1"/>
                  </w14:solidFill>
                </w14:textFill>
              </w:rPr>
            </w:pPr>
            <w:r>
              <w:rPr>
                <w:color w:val="000000" w:themeColor="text1"/>
                <w14:textFill>
                  <w14:solidFill>
                    <w14:schemeClr w14:val="tx1"/>
                  </w14:solidFill>
                </w14:textFill>
              </w:rPr>
              <w:t>2</w:t>
            </w:r>
          </w:p>
        </w:tc>
        <w:tc>
          <w:tcPr>
            <w:tcW w:w="1757" w:type="dxa"/>
            <w:vAlign w:val="center"/>
          </w:tcPr>
          <w:p w14:paraId="089D53C2">
            <w:pPr>
              <w:pStyle w:val="41"/>
              <w:rPr>
                <w:color w:val="000000" w:themeColor="text1"/>
                <w14:textFill>
                  <w14:solidFill>
                    <w14:schemeClr w14:val="tx1"/>
                  </w14:solidFill>
                </w14:textFill>
              </w:rPr>
            </w:pPr>
            <w:r>
              <w:rPr>
                <w:color w:val="000000" w:themeColor="text1"/>
                <w14:textFill>
                  <w14:solidFill>
                    <w14:schemeClr w14:val="tx1"/>
                  </w14:solidFill>
                </w14:textFill>
              </w:rPr>
              <w:t>可燃气体爆炸</w:t>
            </w:r>
          </w:p>
        </w:tc>
        <w:tc>
          <w:tcPr>
            <w:tcW w:w="2260" w:type="dxa"/>
            <w:vAlign w:val="center"/>
          </w:tcPr>
          <w:p w14:paraId="301073A9">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设备损坏、人员伤亡、环境污染、造成严重经济损失</w:t>
            </w:r>
          </w:p>
        </w:tc>
        <w:tc>
          <w:tcPr>
            <w:tcW w:w="2900" w:type="dxa"/>
            <w:vAlign w:val="center"/>
          </w:tcPr>
          <w:p w14:paraId="1DD0485B">
            <w:pPr>
              <w:pStyle w:val="41"/>
              <w:rPr>
                <w:color w:val="000000" w:themeColor="text1"/>
                <w14:textFill>
                  <w14:solidFill>
                    <w14:schemeClr w14:val="tx1"/>
                  </w14:solidFill>
                </w14:textFill>
              </w:rPr>
            </w:pPr>
            <w:r>
              <w:rPr>
                <w:color w:val="000000" w:themeColor="text1"/>
                <w14:textFill>
                  <w14:solidFill>
                    <w14:schemeClr w14:val="tx1"/>
                  </w14:solidFill>
                </w14:textFill>
              </w:rPr>
              <w:t>油品装卸作业区、埋地储罐及人孔操作井、加油场地、站房、量油作业点位</w:t>
            </w:r>
          </w:p>
        </w:tc>
        <w:tc>
          <w:tcPr>
            <w:tcW w:w="864" w:type="dxa"/>
            <w:vAlign w:val="center"/>
          </w:tcPr>
          <w:p w14:paraId="4B55CB36">
            <w:pPr>
              <w:pStyle w:val="41"/>
              <w:rPr>
                <w:color w:val="000000" w:themeColor="text1"/>
                <w14:textFill>
                  <w14:solidFill>
                    <w14:schemeClr w14:val="tx1"/>
                  </w14:solidFill>
                </w14:textFill>
              </w:rPr>
            </w:pPr>
            <w:r>
              <w:rPr>
                <w:color w:val="000000" w:themeColor="text1"/>
                <w14:textFill>
                  <w14:solidFill>
                    <w14:schemeClr w14:val="tx1"/>
                  </w14:solidFill>
                </w14:textFill>
              </w:rPr>
              <w:t>高</w:t>
            </w:r>
          </w:p>
        </w:tc>
        <w:tc>
          <w:tcPr>
            <w:tcW w:w="945" w:type="dxa"/>
            <w:vAlign w:val="center"/>
          </w:tcPr>
          <w:p w14:paraId="38EB4386">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r>
      <w:tr w14:paraId="3F6A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674" w:type="dxa"/>
            <w:vAlign w:val="center"/>
          </w:tcPr>
          <w:p w14:paraId="0ABD459F">
            <w:pPr>
              <w:pStyle w:val="41"/>
              <w:rPr>
                <w:color w:val="000000" w:themeColor="text1"/>
                <w14:textFill>
                  <w14:solidFill>
                    <w14:schemeClr w14:val="tx1"/>
                  </w14:solidFill>
                </w14:textFill>
              </w:rPr>
            </w:pPr>
            <w:r>
              <w:rPr>
                <w:color w:val="000000" w:themeColor="text1"/>
                <w14:textFill>
                  <w14:solidFill>
                    <w14:schemeClr w14:val="tx1"/>
                  </w14:solidFill>
                </w14:textFill>
              </w:rPr>
              <w:t>3</w:t>
            </w:r>
          </w:p>
        </w:tc>
        <w:tc>
          <w:tcPr>
            <w:tcW w:w="1757" w:type="dxa"/>
            <w:vAlign w:val="center"/>
          </w:tcPr>
          <w:p w14:paraId="6E40BF18">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可燃液体蒸气爆炸</w:t>
            </w:r>
          </w:p>
        </w:tc>
        <w:tc>
          <w:tcPr>
            <w:tcW w:w="2260" w:type="dxa"/>
            <w:vAlign w:val="center"/>
          </w:tcPr>
          <w:p w14:paraId="057F1078">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设备损坏、人员伤亡、环境污染、造成严重经济损失</w:t>
            </w:r>
          </w:p>
        </w:tc>
        <w:tc>
          <w:tcPr>
            <w:tcW w:w="2900" w:type="dxa"/>
            <w:vAlign w:val="center"/>
          </w:tcPr>
          <w:p w14:paraId="2D3CBACF">
            <w:pPr>
              <w:pStyle w:val="41"/>
              <w:rPr>
                <w:color w:val="000000" w:themeColor="text1"/>
                <w14:textFill>
                  <w14:solidFill>
                    <w14:schemeClr w14:val="tx1"/>
                  </w14:solidFill>
                </w14:textFill>
              </w:rPr>
            </w:pPr>
            <w:r>
              <w:rPr>
                <w:color w:val="000000" w:themeColor="text1"/>
                <w14:textFill>
                  <w14:solidFill>
                    <w14:schemeClr w14:val="tx1"/>
                  </w14:solidFill>
                </w14:textFill>
              </w:rPr>
              <w:t>油品装卸作业区、埋地储罐及人孔操作井、加油场地、站房、量油作业点位</w:t>
            </w:r>
          </w:p>
        </w:tc>
        <w:tc>
          <w:tcPr>
            <w:tcW w:w="864" w:type="dxa"/>
            <w:vAlign w:val="center"/>
          </w:tcPr>
          <w:p w14:paraId="27190704">
            <w:pPr>
              <w:pStyle w:val="41"/>
              <w:rPr>
                <w:color w:val="000000" w:themeColor="text1"/>
                <w14:textFill>
                  <w14:solidFill>
                    <w14:schemeClr w14:val="tx1"/>
                  </w14:solidFill>
                </w14:textFill>
              </w:rPr>
            </w:pPr>
            <w:r>
              <w:rPr>
                <w:color w:val="000000" w:themeColor="text1"/>
                <w14:textFill>
                  <w14:solidFill>
                    <w14:schemeClr w14:val="tx1"/>
                  </w14:solidFill>
                </w14:textFill>
              </w:rPr>
              <w:t>高</w:t>
            </w:r>
          </w:p>
        </w:tc>
        <w:tc>
          <w:tcPr>
            <w:tcW w:w="945" w:type="dxa"/>
            <w:vAlign w:val="center"/>
          </w:tcPr>
          <w:p w14:paraId="061F3C39">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r>
      <w:tr w14:paraId="78DD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674" w:type="dxa"/>
            <w:vAlign w:val="center"/>
          </w:tcPr>
          <w:p w14:paraId="2ACEDA32">
            <w:pPr>
              <w:pStyle w:val="41"/>
              <w:rPr>
                <w:color w:val="000000" w:themeColor="text1"/>
                <w14:textFill>
                  <w14:solidFill>
                    <w14:schemeClr w14:val="tx1"/>
                  </w14:solidFill>
                </w14:textFill>
              </w:rPr>
            </w:pPr>
            <w:r>
              <w:rPr>
                <w:color w:val="000000" w:themeColor="text1"/>
                <w14:textFill>
                  <w14:solidFill>
                    <w14:schemeClr w14:val="tx1"/>
                  </w14:solidFill>
                </w14:textFill>
              </w:rPr>
              <w:t>4</w:t>
            </w:r>
          </w:p>
        </w:tc>
        <w:tc>
          <w:tcPr>
            <w:tcW w:w="1757" w:type="dxa"/>
            <w:vAlign w:val="center"/>
          </w:tcPr>
          <w:p w14:paraId="525F8F21">
            <w:pPr>
              <w:pStyle w:val="41"/>
              <w:rPr>
                <w:color w:val="000000" w:themeColor="text1"/>
                <w14:textFill>
                  <w14:solidFill>
                    <w14:schemeClr w14:val="tx1"/>
                  </w14:solidFill>
                </w14:textFill>
              </w:rPr>
            </w:pPr>
            <w:r>
              <w:rPr>
                <w:color w:val="000000" w:themeColor="text1"/>
                <w14:textFill>
                  <w14:solidFill>
                    <w14:schemeClr w14:val="tx1"/>
                  </w14:solidFill>
                </w14:textFill>
              </w:rPr>
              <w:t>触电</w:t>
            </w:r>
          </w:p>
        </w:tc>
        <w:tc>
          <w:tcPr>
            <w:tcW w:w="2260" w:type="dxa"/>
            <w:vAlign w:val="center"/>
          </w:tcPr>
          <w:p w14:paraId="1B8262D7">
            <w:pPr>
              <w:pStyle w:val="41"/>
              <w:rPr>
                <w:color w:val="000000" w:themeColor="text1"/>
                <w14:textFill>
                  <w14:solidFill>
                    <w14:schemeClr w14:val="tx1"/>
                  </w14:solidFill>
                </w14:textFill>
              </w:rPr>
            </w:pPr>
            <w:r>
              <w:rPr>
                <w:color w:val="000000" w:themeColor="text1"/>
                <w14:textFill>
                  <w14:solidFill>
                    <w14:schemeClr w14:val="tx1"/>
                  </w14:solidFill>
                </w14:textFill>
              </w:rPr>
              <w:t>人员伤亡</w:t>
            </w:r>
          </w:p>
        </w:tc>
        <w:tc>
          <w:tcPr>
            <w:tcW w:w="2900" w:type="dxa"/>
            <w:vAlign w:val="center"/>
          </w:tcPr>
          <w:p w14:paraId="5A2D28B5">
            <w:pPr>
              <w:pStyle w:val="41"/>
              <w:rPr>
                <w:color w:val="000000" w:themeColor="text1"/>
                <w14:textFill>
                  <w14:solidFill>
                    <w14:schemeClr w14:val="tx1"/>
                  </w14:solidFill>
                </w14:textFill>
              </w:rPr>
            </w:pPr>
            <w:r>
              <w:rPr>
                <w:color w:val="000000" w:themeColor="text1"/>
                <w14:textFill>
                  <w14:solidFill>
                    <w14:schemeClr w14:val="tx1"/>
                  </w14:solidFill>
                </w14:textFill>
              </w:rPr>
              <w:t>低压配电装置、配电间、加油机等用电设备等处</w:t>
            </w:r>
          </w:p>
        </w:tc>
        <w:tc>
          <w:tcPr>
            <w:tcW w:w="864" w:type="dxa"/>
            <w:vAlign w:val="center"/>
          </w:tcPr>
          <w:p w14:paraId="763114A7">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c>
          <w:tcPr>
            <w:tcW w:w="945" w:type="dxa"/>
            <w:vAlign w:val="center"/>
          </w:tcPr>
          <w:p w14:paraId="24EC4BA8">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r w14:paraId="64E7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674" w:type="dxa"/>
            <w:vAlign w:val="center"/>
          </w:tcPr>
          <w:p w14:paraId="3CCBD2AD">
            <w:pPr>
              <w:pStyle w:val="41"/>
              <w:rPr>
                <w:color w:val="000000" w:themeColor="text1"/>
                <w14:textFill>
                  <w14:solidFill>
                    <w14:schemeClr w14:val="tx1"/>
                  </w14:solidFill>
                </w14:textFill>
              </w:rPr>
            </w:pPr>
            <w:r>
              <w:rPr>
                <w:color w:val="000000" w:themeColor="text1"/>
                <w14:textFill>
                  <w14:solidFill>
                    <w14:schemeClr w14:val="tx1"/>
                  </w14:solidFill>
                </w14:textFill>
              </w:rPr>
              <w:t>5</w:t>
            </w:r>
          </w:p>
        </w:tc>
        <w:tc>
          <w:tcPr>
            <w:tcW w:w="1757" w:type="dxa"/>
            <w:vAlign w:val="center"/>
          </w:tcPr>
          <w:p w14:paraId="52EDC5CF">
            <w:pPr>
              <w:pStyle w:val="41"/>
              <w:rPr>
                <w:color w:val="000000" w:themeColor="text1"/>
                <w14:textFill>
                  <w14:solidFill>
                    <w14:schemeClr w14:val="tx1"/>
                  </w14:solidFill>
                </w14:textFill>
              </w:rPr>
            </w:pPr>
            <w:r>
              <w:rPr>
                <w:color w:val="000000" w:themeColor="text1"/>
                <w14:textFill>
                  <w14:solidFill>
                    <w14:schemeClr w14:val="tx1"/>
                  </w14:solidFill>
                </w14:textFill>
              </w:rPr>
              <w:t>厂（场）内车辆致害</w:t>
            </w:r>
          </w:p>
        </w:tc>
        <w:tc>
          <w:tcPr>
            <w:tcW w:w="2260" w:type="dxa"/>
            <w:vAlign w:val="center"/>
          </w:tcPr>
          <w:p w14:paraId="60A34BD8">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w:t>
            </w:r>
          </w:p>
        </w:tc>
        <w:tc>
          <w:tcPr>
            <w:tcW w:w="2900" w:type="dxa"/>
            <w:vAlign w:val="center"/>
          </w:tcPr>
          <w:p w14:paraId="262F0889">
            <w:pPr>
              <w:pStyle w:val="41"/>
              <w:rPr>
                <w:color w:val="000000" w:themeColor="text1"/>
                <w14:textFill>
                  <w14:solidFill>
                    <w14:schemeClr w14:val="tx1"/>
                  </w14:solidFill>
                </w14:textFill>
              </w:rPr>
            </w:pPr>
            <w:r>
              <w:rPr>
                <w:color w:val="000000" w:themeColor="text1"/>
                <w14:textFill>
                  <w14:solidFill>
                    <w14:schemeClr w14:val="tx1"/>
                  </w14:solidFill>
                </w14:textFill>
              </w:rPr>
              <w:t>加油场地</w:t>
            </w:r>
          </w:p>
        </w:tc>
        <w:tc>
          <w:tcPr>
            <w:tcW w:w="864" w:type="dxa"/>
            <w:vAlign w:val="center"/>
          </w:tcPr>
          <w:p w14:paraId="059402DE">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c>
          <w:tcPr>
            <w:tcW w:w="945" w:type="dxa"/>
            <w:vAlign w:val="center"/>
          </w:tcPr>
          <w:p w14:paraId="3AC481DC">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r>
      <w:tr w14:paraId="4244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674" w:type="dxa"/>
            <w:vAlign w:val="center"/>
          </w:tcPr>
          <w:p w14:paraId="2DFF4C29">
            <w:pPr>
              <w:pStyle w:val="41"/>
              <w:rPr>
                <w:color w:val="000000" w:themeColor="text1"/>
                <w14:textFill>
                  <w14:solidFill>
                    <w14:schemeClr w14:val="tx1"/>
                  </w14:solidFill>
                </w14:textFill>
              </w:rPr>
            </w:pPr>
            <w:r>
              <w:rPr>
                <w:color w:val="000000" w:themeColor="text1"/>
                <w14:textFill>
                  <w14:solidFill>
                    <w14:schemeClr w14:val="tx1"/>
                  </w14:solidFill>
                </w14:textFill>
              </w:rPr>
              <w:t>6</w:t>
            </w:r>
          </w:p>
        </w:tc>
        <w:tc>
          <w:tcPr>
            <w:tcW w:w="1757" w:type="dxa"/>
            <w:vAlign w:val="center"/>
          </w:tcPr>
          <w:p w14:paraId="1F5161FC">
            <w:pPr>
              <w:pStyle w:val="41"/>
              <w:rPr>
                <w:color w:val="000000" w:themeColor="text1"/>
                <w14:textFill>
                  <w14:solidFill>
                    <w14:schemeClr w14:val="tx1"/>
                  </w14:solidFill>
                </w14:textFill>
              </w:rPr>
            </w:pPr>
            <w:r>
              <w:rPr>
                <w:color w:val="000000" w:themeColor="text1"/>
                <w14:textFill>
                  <w14:solidFill>
                    <w14:schemeClr w14:val="tx1"/>
                  </w14:solidFill>
                </w14:textFill>
              </w:rPr>
              <w:t>中毒</w:t>
            </w:r>
          </w:p>
        </w:tc>
        <w:tc>
          <w:tcPr>
            <w:tcW w:w="2260" w:type="dxa"/>
            <w:vAlign w:val="center"/>
          </w:tcPr>
          <w:p w14:paraId="2B45D6E6">
            <w:pPr>
              <w:pStyle w:val="41"/>
              <w:rPr>
                <w:color w:val="000000" w:themeColor="text1"/>
                <w14:textFill>
                  <w14:solidFill>
                    <w14:schemeClr w14:val="tx1"/>
                  </w14:solidFill>
                </w14:textFill>
              </w:rPr>
            </w:pPr>
            <w:r>
              <w:rPr>
                <w:color w:val="000000" w:themeColor="text1"/>
                <w14:textFill>
                  <w14:solidFill>
                    <w14:schemeClr w14:val="tx1"/>
                  </w14:solidFill>
                </w14:textFill>
              </w:rPr>
              <w:t>人员伤亡</w:t>
            </w:r>
          </w:p>
        </w:tc>
        <w:tc>
          <w:tcPr>
            <w:tcW w:w="2900" w:type="dxa"/>
            <w:vAlign w:val="center"/>
          </w:tcPr>
          <w:p w14:paraId="077AD899">
            <w:pPr>
              <w:pStyle w:val="41"/>
              <w:rPr>
                <w:color w:val="000000" w:themeColor="text1"/>
                <w14:textFill>
                  <w14:solidFill>
                    <w14:schemeClr w14:val="tx1"/>
                  </w14:solidFill>
                </w14:textFill>
              </w:rPr>
            </w:pPr>
            <w:r>
              <w:rPr>
                <w:color w:val="000000" w:themeColor="text1"/>
                <w14:textFill>
                  <w14:solidFill>
                    <w14:schemeClr w14:val="tx1"/>
                  </w14:solidFill>
                </w14:textFill>
              </w:rPr>
              <w:t>加油作业区、油罐人孔操作井、埋地油罐、储油密闭设备、油品输送工艺管道、清罐作业现场</w:t>
            </w:r>
          </w:p>
        </w:tc>
        <w:tc>
          <w:tcPr>
            <w:tcW w:w="864" w:type="dxa"/>
            <w:vAlign w:val="center"/>
          </w:tcPr>
          <w:p w14:paraId="11C7DD24">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c>
          <w:tcPr>
            <w:tcW w:w="945" w:type="dxa"/>
            <w:vAlign w:val="center"/>
          </w:tcPr>
          <w:p w14:paraId="26F939F3">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r w14:paraId="054C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674" w:type="dxa"/>
            <w:vAlign w:val="center"/>
          </w:tcPr>
          <w:p w14:paraId="0E754A52">
            <w:pPr>
              <w:pStyle w:val="41"/>
              <w:rPr>
                <w:color w:val="000000" w:themeColor="text1"/>
                <w14:textFill>
                  <w14:solidFill>
                    <w14:schemeClr w14:val="tx1"/>
                  </w14:solidFill>
                </w14:textFill>
              </w:rPr>
            </w:pPr>
            <w:r>
              <w:rPr>
                <w:color w:val="000000" w:themeColor="text1"/>
                <w14:textFill>
                  <w14:solidFill>
                    <w14:schemeClr w14:val="tx1"/>
                  </w14:solidFill>
                </w14:textFill>
              </w:rPr>
              <w:t>7</w:t>
            </w:r>
          </w:p>
        </w:tc>
        <w:tc>
          <w:tcPr>
            <w:tcW w:w="1757" w:type="dxa"/>
            <w:vAlign w:val="center"/>
          </w:tcPr>
          <w:p w14:paraId="46ED58C2">
            <w:pPr>
              <w:pStyle w:val="41"/>
              <w:rPr>
                <w:color w:val="000000" w:themeColor="text1"/>
                <w14:textFill>
                  <w14:solidFill>
                    <w14:schemeClr w14:val="tx1"/>
                  </w14:solidFill>
                </w14:textFill>
              </w:rPr>
            </w:pPr>
            <w:r>
              <w:rPr>
                <w:color w:val="000000" w:themeColor="text1"/>
                <w14:textFill>
                  <w14:solidFill>
                    <w14:schemeClr w14:val="tx1"/>
                  </w14:solidFill>
                </w14:textFill>
              </w:rPr>
              <w:t>窒息</w:t>
            </w:r>
          </w:p>
        </w:tc>
        <w:tc>
          <w:tcPr>
            <w:tcW w:w="2260" w:type="dxa"/>
            <w:vAlign w:val="center"/>
          </w:tcPr>
          <w:p w14:paraId="768D1405">
            <w:pPr>
              <w:pStyle w:val="41"/>
              <w:rPr>
                <w:color w:val="000000" w:themeColor="text1"/>
                <w14:textFill>
                  <w14:solidFill>
                    <w14:schemeClr w14:val="tx1"/>
                  </w14:solidFill>
                </w14:textFill>
              </w:rPr>
            </w:pPr>
            <w:r>
              <w:rPr>
                <w:color w:val="000000" w:themeColor="text1"/>
                <w14:textFill>
                  <w14:solidFill>
                    <w14:schemeClr w14:val="tx1"/>
                  </w14:solidFill>
                </w14:textFill>
              </w:rPr>
              <w:t>人员伤亡</w:t>
            </w:r>
          </w:p>
        </w:tc>
        <w:tc>
          <w:tcPr>
            <w:tcW w:w="2900" w:type="dxa"/>
            <w:vAlign w:val="center"/>
          </w:tcPr>
          <w:p w14:paraId="15AB0407">
            <w:pPr>
              <w:pStyle w:val="41"/>
              <w:rPr>
                <w:color w:val="000000" w:themeColor="text1"/>
                <w14:textFill>
                  <w14:solidFill>
                    <w14:schemeClr w14:val="tx1"/>
                  </w14:solidFill>
                </w14:textFill>
              </w:rPr>
            </w:pPr>
            <w:r>
              <w:rPr>
                <w:color w:val="000000" w:themeColor="text1"/>
                <w14:textFill>
                  <w14:solidFill>
                    <w14:schemeClr w14:val="tx1"/>
                  </w14:solidFill>
                </w14:textFill>
              </w:rPr>
              <w:t>油罐人孔操作井、埋地油罐、油品密闭工艺管道</w:t>
            </w:r>
          </w:p>
        </w:tc>
        <w:tc>
          <w:tcPr>
            <w:tcW w:w="864" w:type="dxa"/>
            <w:vAlign w:val="center"/>
          </w:tcPr>
          <w:p w14:paraId="0A7B4470">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c>
          <w:tcPr>
            <w:tcW w:w="945" w:type="dxa"/>
            <w:vAlign w:val="center"/>
          </w:tcPr>
          <w:p w14:paraId="16304921">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r w14:paraId="3457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674" w:type="dxa"/>
            <w:vAlign w:val="center"/>
          </w:tcPr>
          <w:p w14:paraId="7FBF5A9B">
            <w:pPr>
              <w:pStyle w:val="41"/>
              <w:rPr>
                <w:color w:val="000000" w:themeColor="text1"/>
                <w14:textFill>
                  <w14:solidFill>
                    <w14:schemeClr w14:val="tx1"/>
                  </w14:solidFill>
                </w14:textFill>
              </w:rPr>
            </w:pPr>
            <w:r>
              <w:rPr>
                <w:color w:val="000000" w:themeColor="text1"/>
                <w14:textFill>
                  <w14:solidFill>
                    <w14:schemeClr w14:val="tx1"/>
                  </w14:solidFill>
                </w14:textFill>
              </w:rPr>
              <w:t>8</w:t>
            </w:r>
          </w:p>
        </w:tc>
        <w:tc>
          <w:tcPr>
            <w:tcW w:w="1757" w:type="dxa"/>
            <w:vAlign w:val="center"/>
          </w:tcPr>
          <w:p w14:paraId="17451A5F">
            <w:pPr>
              <w:pStyle w:val="41"/>
              <w:rPr>
                <w:color w:val="000000" w:themeColor="text1"/>
                <w14:textFill>
                  <w14:solidFill>
                    <w14:schemeClr w14:val="tx1"/>
                  </w14:solidFill>
                </w14:textFill>
              </w:rPr>
            </w:pPr>
            <w:r>
              <w:rPr>
                <w:color w:val="000000" w:themeColor="text1"/>
                <w14:textFill>
                  <w14:solidFill>
                    <w14:schemeClr w14:val="tx1"/>
                  </w14:solidFill>
                </w14:textFill>
              </w:rPr>
              <w:t>物体打击</w:t>
            </w:r>
          </w:p>
        </w:tc>
        <w:tc>
          <w:tcPr>
            <w:tcW w:w="2260" w:type="dxa"/>
            <w:vAlign w:val="center"/>
          </w:tcPr>
          <w:p w14:paraId="2C1B11AA">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w:t>
            </w:r>
          </w:p>
        </w:tc>
        <w:tc>
          <w:tcPr>
            <w:tcW w:w="2900" w:type="dxa"/>
            <w:vAlign w:val="center"/>
          </w:tcPr>
          <w:p w14:paraId="16DC5629">
            <w:pPr>
              <w:pStyle w:val="41"/>
              <w:rPr>
                <w:color w:val="000000" w:themeColor="text1"/>
                <w14:textFill>
                  <w14:solidFill>
                    <w14:schemeClr w14:val="tx1"/>
                  </w14:solidFill>
                </w14:textFill>
              </w:rPr>
            </w:pPr>
            <w:r>
              <w:rPr>
                <w:color w:val="000000" w:themeColor="text1"/>
                <w14:textFill>
                  <w14:solidFill>
                    <w14:schemeClr w14:val="tx1"/>
                  </w14:solidFill>
                </w14:textFill>
              </w:rPr>
              <w:t>储罐区、站房、罩棚等处</w:t>
            </w:r>
          </w:p>
        </w:tc>
        <w:tc>
          <w:tcPr>
            <w:tcW w:w="864" w:type="dxa"/>
            <w:vAlign w:val="center"/>
          </w:tcPr>
          <w:p w14:paraId="0A3ABBE7">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c>
          <w:tcPr>
            <w:tcW w:w="945" w:type="dxa"/>
            <w:vAlign w:val="center"/>
          </w:tcPr>
          <w:p w14:paraId="7558ED4D">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r w14:paraId="2FEC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674" w:type="dxa"/>
            <w:vAlign w:val="center"/>
          </w:tcPr>
          <w:p w14:paraId="62F8CCDE">
            <w:pPr>
              <w:pStyle w:val="41"/>
              <w:rPr>
                <w:color w:val="000000" w:themeColor="text1"/>
                <w14:textFill>
                  <w14:solidFill>
                    <w14:schemeClr w14:val="tx1"/>
                  </w14:solidFill>
                </w14:textFill>
              </w:rPr>
            </w:pPr>
            <w:r>
              <w:rPr>
                <w:color w:val="000000" w:themeColor="text1"/>
                <w14:textFill>
                  <w14:solidFill>
                    <w14:schemeClr w14:val="tx1"/>
                  </w14:solidFill>
                </w14:textFill>
              </w:rPr>
              <w:t>9</w:t>
            </w:r>
          </w:p>
        </w:tc>
        <w:tc>
          <w:tcPr>
            <w:tcW w:w="1757" w:type="dxa"/>
            <w:vAlign w:val="center"/>
          </w:tcPr>
          <w:p w14:paraId="48809805">
            <w:pPr>
              <w:pStyle w:val="41"/>
              <w:rPr>
                <w:color w:val="000000" w:themeColor="text1"/>
                <w14:textFill>
                  <w14:solidFill>
                    <w14:schemeClr w14:val="tx1"/>
                  </w14:solidFill>
                </w14:textFill>
              </w:rPr>
            </w:pPr>
            <w:r>
              <w:rPr>
                <w:color w:val="000000" w:themeColor="text1"/>
                <w14:textFill>
                  <w14:solidFill>
                    <w14:schemeClr w14:val="tx1"/>
                  </w14:solidFill>
                </w14:textFill>
              </w:rPr>
              <w:t>坍塌</w:t>
            </w:r>
          </w:p>
        </w:tc>
        <w:tc>
          <w:tcPr>
            <w:tcW w:w="2260" w:type="dxa"/>
            <w:vAlign w:val="center"/>
          </w:tcPr>
          <w:p w14:paraId="0007CD63">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w:t>
            </w:r>
          </w:p>
        </w:tc>
        <w:tc>
          <w:tcPr>
            <w:tcW w:w="2900" w:type="dxa"/>
            <w:vAlign w:val="center"/>
          </w:tcPr>
          <w:p w14:paraId="215F326C">
            <w:pPr>
              <w:pStyle w:val="41"/>
              <w:rPr>
                <w:color w:val="000000" w:themeColor="text1"/>
                <w14:textFill>
                  <w14:solidFill>
                    <w14:schemeClr w14:val="tx1"/>
                  </w14:solidFill>
                </w14:textFill>
              </w:rPr>
            </w:pPr>
            <w:r>
              <w:rPr>
                <w:color w:val="000000" w:themeColor="text1"/>
                <w14:textFill>
                  <w14:solidFill>
                    <w14:schemeClr w14:val="tx1"/>
                  </w14:solidFill>
                </w14:textFill>
              </w:rPr>
              <w:t>站房、罩棚等处</w:t>
            </w:r>
          </w:p>
        </w:tc>
        <w:tc>
          <w:tcPr>
            <w:tcW w:w="864" w:type="dxa"/>
            <w:vAlign w:val="center"/>
          </w:tcPr>
          <w:p w14:paraId="0BBE3C11">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c>
          <w:tcPr>
            <w:tcW w:w="945" w:type="dxa"/>
            <w:vAlign w:val="center"/>
          </w:tcPr>
          <w:p w14:paraId="2D6B7EBF">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r w14:paraId="047F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674" w:type="dxa"/>
            <w:vAlign w:val="center"/>
          </w:tcPr>
          <w:p w14:paraId="6DE65107">
            <w:pPr>
              <w:pStyle w:val="41"/>
              <w:rPr>
                <w:color w:val="000000" w:themeColor="text1"/>
                <w14:textFill>
                  <w14:solidFill>
                    <w14:schemeClr w14:val="tx1"/>
                  </w14:solidFill>
                </w14:textFill>
              </w:rPr>
            </w:pPr>
            <w:r>
              <w:rPr>
                <w:color w:val="000000" w:themeColor="text1"/>
                <w14:textFill>
                  <w14:solidFill>
                    <w14:schemeClr w14:val="tx1"/>
                  </w14:solidFill>
                </w14:textFill>
              </w:rPr>
              <w:t>10</w:t>
            </w:r>
          </w:p>
        </w:tc>
        <w:tc>
          <w:tcPr>
            <w:tcW w:w="1757" w:type="dxa"/>
            <w:vAlign w:val="center"/>
          </w:tcPr>
          <w:p w14:paraId="18E474EA">
            <w:pPr>
              <w:pStyle w:val="41"/>
              <w:rPr>
                <w:color w:val="000000" w:themeColor="text1"/>
                <w14:textFill>
                  <w14:solidFill>
                    <w14:schemeClr w14:val="tx1"/>
                  </w14:solidFill>
                </w14:textFill>
              </w:rPr>
            </w:pPr>
            <w:r>
              <w:rPr>
                <w:color w:val="000000" w:themeColor="text1"/>
                <w14:textFill>
                  <w14:solidFill>
                    <w14:schemeClr w14:val="tx1"/>
                  </w14:solidFill>
                </w14:textFill>
              </w:rPr>
              <w:t>高处坠落</w:t>
            </w:r>
          </w:p>
        </w:tc>
        <w:tc>
          <w:tcPr>
            <w:tcW w:w="2260" w:type="dxa"/>
            <w:vAlign w:val="center"/>
          </w:tcPr>
          <w:p w14:paraId="71F0AB4A">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w:t>
            </w:r>
          </w:p>
        </w:tc>
        <w:tc>
          <w:tcPr>
            <w:tcW w:w="2900" w:type="dxa"/>
            <w:vAlign w:val="center"/>
          </w:tcPr>
          <w:p w14:paraId="6109EEF6">
            <w:pPr>
              <w:pStyle w:val="41"/>
              <w:rPr>
                <w:color w:val="000000" w:themeColor="text1"/>
                <w14:textFill>
                  <w14:solidFill>
                    <w14:schemeClr w14:val="tx1"/>
                  </w14:solidFill>
                </w14:textFill>
              </w:rPr>
            </w:pPr>
            <w:r>
              <w:rPr>
                <w:color w:val="000000" w:themeColor="text1"/>
                <w14:textFill>
                  <w14:solidFill>
                    <w14:schemeClr w14:val="tx1"/>
                  </w14:solidFill>
                </w14:textFill>
              </w:rPr>
              <w:t>站房、罩棚等处</w:t>
            </w:r>
          </w:p>
        </w:tc>
        <w:tc>
          <w:tcPr>
            <w:tcW w:w="864" w:type="dxa"/>
            <w:vAlign w:val="center"/>
          </w:tcPr>
          <w:p w14:paraId="7B950D3D">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c>
          <w:tcPr>
            <w:tcW w:w="945" w:type="dxa"/>
            <w:vAlign w:val="center"/>
          </w:tcPr>
          <w:p w14:paraId="386CB18C">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r w14:paraId="2A60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674" w:type="dxa"/>
            <w:vAlign w:val="center"/>
          </w:tcPr>
          <w:p w14:paraId="1E9F8D6E">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757" w:type="dxa"/>
            <w:vAlign w:val="center"/>
          </w:tcPr>
          <w:p w14:paraId="756E9319">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跌落</w:t>
            </w:r>
          </w:p>
        </w:tc>
        <w:tc>
          <w:tcPr>
            <w:tcW w:w="2260" w:type="dxa"/>
            <w:vAlign w:val="center"/>
          </w:tcPr>
          <w:p w14:paraId="0F8519AF">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w:t>
            </w:r>
          </w:p>
        </w:tc>
        <w:tc>
          <w:tcPr>
            <w:tcW w:w="2900" w:type="dxa"/>
            <w:vAlign w:val="center"/>
          </w:tcPr>
          <w:p w14:paraId="3D6DD602">
            <w:pPr>
              <w:pStyle w:val="41"/>
              <w:rPr>
                <w:color w:val="000000" w:themeColor="text1"/>
                <w14:textFill>
                  <w14:solidFill>
                    <w14:schemeClr w14:val="tx1"/>
                  </w14:solidFill>
                </w14:textFill>
              </w:rPr>
            </w:pPr>
            <w:r>
              <w:rPr>
                <w:color w:val="000000" w:themeColor="text1"/>
                <w14:textFill>
                  <w14:solidFill>
                    <w14:schemeClr w14:val="tx1"/>
                  </w14:solidFill>
                </w14:textFill>
              </w:rPr>
              <w:t>站房、罩棚等处</w:t>
            </w:r>
          </w:p>
        </w:tc>
        <w:tc>
          <w:tcPr>
            <w:tcW w:w="864" w:type="dxa"/>
            <w:vAlign w:val="center"/>
          </w:tcPr>
          <w:p w14:paraId="32490AE1">
            <w:pPr>
              <w:pStyle w:val="41"/>
              <w:rPr>
                <w:color w:val="000000" w:themeColor="text1"/>
                <w14:textFill>
                  <w14:solidFill>
                    <w14:schemeClr w14:val="tx1"/>
                  </w14:solidFill>
                </w14:textFill>
              </w:rPr>
            </w:pPr>
            <w:r>
              <w:rPr>
                <w:color w:val="000000" w:themeColor="text1"/>
                <w14:textFill>
                  <w14:solidFill>
                    <w14:schemeClr w14:val="tx1"/>
                  </w14:solidFill>
                </w14:textFill>
              </w:rPr>
              <w:t>中</w:t>
            </w:r>
          </w:p>
        </w:tc>
        <w:tc>
          <w:tcPr>
            <w:tcW w:w="945" w:type="dxa"/>
            <w:vAlign w:val="center"/>
          </w:tcPr>
          <w:p w14:paraId="067A5C12">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r w14:paraId="2082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674" w:type="dxa"/>
            <w:vAlign w:val="center"/>
          </w:tcPr>
          <w:p w14:paraId="07068CA4">
            <w:pPr>
              <w:pStyle w:val="41"/>
              <w:rPr>
                <w:color w:val="000000" w:themeColor="text1"/>
                <w14:textFill>
                  <w14:solidFill>
                    <w14:schemeClr w14:val="tx1"/>
                  </w14:solidFill>
                </w14:textFill>
              </w:rPr>
            </w:pPr>
            <w:bookmarkStart w:id="294" w:name="_Toc9755122"/>
            <w:bookmarkStart w:id="295" w:name="_Toc29521"/>
            <w:bookmarkStart w:id="296" w:name="_Toc25112"/>
            <w:r>
              <w:rPr>
                <w:color w:val="000000" w:themeColor="text1"/>
                <w14:textFill>
                  <w14:solidFill>
                    <w14:schemeClr w14:val="tx1"/>
                  </w14:solidFill>
                </w14:textFill>
              </w:rPr>
              <w:t>1</w:t>
            </w:r>
            <w:r>
              <w:rPr>
                <w:rFonts w:hint="eastAsia"/>
                <w:color w:val="000000" w:themeColor="text1"/>
                <w14:textFill>
                  <w14:solidFill>
                    <w14:schemeClr w14:val="tx1"/>
                  </w14:solidFill>
                </w14:textFill>
              </w:rPr>
              <w:t>2</w:t>
            </w:r>
          </w:p>
        </w:tc>
        <w:tc>
          <w:tcPr>
            <w:tcW w:w="1757" w:type="dxa"/>
            <w:vAlign w:val="center"/>
          </w:tcPr>
          <w:p w14:paraId="7155D9F4">
            <w:pPr>
              <w:pStyle w:val="41"/>
              <w:rPr>
                <w:color w:val="000000" w:themeColor="text1"/>
                <w14:textFill>
                  <w14:solidFill>
                    <w14:schemeClr w14:val="tx1"/>
                  </w14:solidFill>
                </w14:textFill>
              </w:rPr>
            </w:pPr>
            <w:r>
              <w:rPr>
                <w:color w:val="000000" w:themeColor="text1"/>
                <w14:textFill>
                  <w14:solidFill>
                    <w14:schemeClr w14:val="tx1"/>
                  </w14:solidFill>
                </w14:textFill>
              </w:rPr>
              <w:t>其他伤害</w:t>
            </w:r>
          </w:p>
        </w:tc>
        <w:tc>
          <w:tcPr>
            <w:tcW w:w="2260" w:type="dxa"/>
            <w:vAlign w:val="center"/>
          </w:tcPr>
          <w:p w14:paraId="307647E3">
            <w:pPr>
              <w:pStyle w:val="41"/>
              <w:rPr>
                <w:color w:val="000000" w:themeColor="text1"/>
                <w14:textFill>
                  <w14:solidFill>
                    <w14:schemeClr w14:val="tx1"/>
                  </w14:solidFill>
                </w14:textFill>
              </w:rPr>
            </w:pPr>
            <w:r>
              <w:rPr>
                <w:color w:val="000000" w:themeColor="text1"/>
                <w14:textFill>
                  <w14:solidFill>
                    <w14:schemeClr w14:val="tx1"/>
                  </w14:solidFill>
                </w14:textFill>
              </w:rPr>
              <w:t>设备损坏、人员伤亡</w:t>
            </w:r>
          </w:p>
        </w:tc>
        <w:tc>
          <w:tcPr>
            <w:tcW w:w="2900" w:type="dxa"/>
            <w:vAlign w:val="center"/>
          </w:tcPr>
          <w:p w14:paraId="371A9C1B">
            <w:pPr>
              <w:pStyle w:val="41"/>
              <w:rPr>
                <w:color w:val="000000" w:themeColor="text1"/>
                <w14:textFill>
                  <w14:solidFill>
                    <w14:schemeClr w14:val="tx1"/>
                  </w14:solidFill>
                </w14:textFill>
              </w:rPr>
            </w:pPr>
            <w:r>
              <w:rPr>
                <w:color w:val="000000" w:themeColor="text1"/>
                <w14:textFill>
                  <w14:solidFill>
                    <w14:schemeClr w14:val="tx1"/>
                  </w14:solidFill>
                </w14:textFill>
              </w:rPr>
              <w:t>检维修作业、站区内</w:t>
            </w:r>
          </w:p>
        </w:tc>
        <w:tc>
          <w:tcPr>
            <w:tcW w:w="864" w:type="dxa"/>
            <w:vAlign w:val="center"/>
          </w:tcPr>
          <w:p w14:paraId="1BC40F76">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c>
          <w:tcPr>
            <w:tcW w:w="945" w:type="dxa"/>
            <w:vAlign w:val="center"/>
          </w:tcPr>
          <w:p w14:paraId="79013196">
            <w:pPr>
              <w:pStyle w:val="41"/>
              <w:rPr>
                <w:color w:val="000000" w:themeColor="text1"/>
                <w14:textFill>
                  <w14:solidFill>
                    <w14:schemeClr w14:val="tx1"/>
                  </w14:solidFill>
                </w14:textFill>
              </w:rPr>
            </w:pPr>
            <w:r>
              <w:rPr>
                <w:color w:val="000000" w:themeColor="text1"/>
                <w14:textFill>
                  <w14:solidFill>
                    <w14:schemeClr w14:val="tx1"/>
                  </w14:solidFill>
                </w14:textFill>
              </w:rPr>
              <w:t>低</w:t>
            </w:r>
          </w:p>
        </w:tc>
      </w:tr>
    </w:tbl>
    <w:p w14:paraId="03487418">
      <w:pPr>
        <w:pStyle w:val="3"/>
        <w:rPr>
          <w:color w:val="000000" w:themeColor="text1"/>
          <w14:textFill>
            <w14:solidFill>
              <w14:schemeClr w14:val="tx1"/>
            </w14:solidFill>
          </w14:textFill>
        </w:rPr>
      </w:pPr>
      <w:bookmarkStart w:id="297" w:name="_Toc25744"/>
      <w:r>
        <w:rPr>
          <w:color w:val="000000" w:themeColor="text1"/>
          <w14:textFill>
            <w14:solidFill>
              <w14:schemeClr w14:val="tx1"/>
            </w14:solidFill>
          </w14:textFill>
        </w:rPr>
        <w:t>3.3  重大危险源辨识</w:t>
      </w:r>
      <w:bookmarkEnd w:id="294"/>
      <w:bookmarkEnd w:id="295"/>
      <w:bookmarkEnd w:id="296"/>
      <w:bookmarkEnd w:id="297"/>
    </w:p>
    <w:p w14:paraId="2C521029">
      <w:pPr>
        <w:rPr>
          <w:color w:val="000000" w:themeColor="text1"/>
          <w14:textFill>
            <w14:solidFill>
              <w14:schemeClr w14:val="tx1"/>
            </w14:solidFill>
          </w14:textFill>
        </w:rPr>
      </w:pPr>
      <w:r>
        <w:rPr>
          <w:color w:val="000000" w:themeColor="text1"/>
          <w14:textFill>
            <w14:solidFill>
              <w14:schemeClr w14:val="tx1"/>
            </w14:solidFill>
          </w14:textFill>
        </w:rPr>
        <w:t>（1）定义</w:t>
      </w:r>
    </w:p>
    <w:p w14:paraId="0B7C6B24">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根据《危险化学品重大危险源辨识》（GB 18218-2018），长期地或临时地生产、加工、使用或储存危险化学品，且危险化学品的数量等于或超过临界量的单元，即被定义为重大危险源。</w:t>
      </w:r>
    </w:p>
    <w:p w14:paraId="4C294F32">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单元内存在的危险化学品的数量根据危险化学品种类的多少分为以下两种情况：</w:t>
      </w:r>
    </w:p>
    <w:p w14:paraId="58929796">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①生产单元、储存单元内存在的危险化学品为单一品种时，该危险化学品的数量即为单元内危险化学品的总量，若等于或超过相应的临界量，则定为重大危险源。</w:t>
      </w:r>
    </w:p>
    <w:p w14:paraId="571C5460">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②生产单元、储存单元内存在的危险物质为多品种时，则按下式计算，若满足下式，则定为重大危险源：</w:t>
      </w:r>
    </w:p>
    <w:p w14:paraId="6E025254">
      <w:pPr>
        <w:rPr>
          <w:color w:val="000000" w:themeColor="text1"/>
          <w14:textFill>
            <w14:solidFill>
              <w14:schemeClr w14:val="tx1"/>
            </w14:solidFill>
          </w14:textFill>
        </w:rPr>
      </w:pPr>
      <w:r>
        <w:rPr>
          <w:color w:val="000000" w:themeColor="text1"/>
          <w14:textFill>
            <w14:solidFill>
              <w14:schemeClr w14:val="tx1"/>
            </w14:solidFill>
          </w14:textFill>
        </w:rPr>
        <w:t>S＝q</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q</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≥1     公式（3-1）</w:t>
      </w:r>
    </w:p>
    <w:p w14:paraId="691BE748">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式中：</w:t>
      </w:r>
    </w:p>
    <w:p w14:paraId="0CDA0C15">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S——辨识指标；</w:t>
      </w:r>
    </w:p>
    <w:p w14:paraId="2F126A58">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——每种危险化学品实际存在量，单位为吨（t）；</w:t>
      </w:r>
    </w:p>
    <w:p w14:paraId="40ADA332">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，…，Q</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——与每种危险化学品相对应的临界量，单位为吨（t）。</w:t>
      </w:r>
    </w:p>
    <w:p w14:paraId="739DC3D3">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（2）辨识</w:t>
      </w:r>
    </w:p>
    <w:p w14:paraId="083B9BD2">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根据《危险化学品重大危险源辨识》（GB 18218-2018）的相关规定，危险化学品储罐以及其他容器、设备或仓储区的危险化学品的实际存在量按设计最大量确定。</w:t>
      </w:r>
    </w:p>
    <w:p w14:paraId="29F9B016">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易武加油站储存经营过程中，涉及构成危险化学品重大危险源的物质为汽油、柴油，其临界量分别为200t、5000t：</w:t>
      </w:r>
    </w:p>
    <w:p w14:paraId="12AF0469">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根据易武加油站实际情况划分为1个储存单元，即储罐区。</w:t>
      </w:r>
    </w:p>
    <w:p w14:paraId="1051B67D">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加油站储罐区储存的汽油总容积为60m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，柴油储罐总容积为60m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，汽油为0.75t/m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，柴油的密度为0.845t/m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p w14:paraId="153BE71F">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储存单元的汽油最大储存量：60m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××0.75t/m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=46.5t；</w:t>
      </w:r>
    </w:p>
    <w:p w14:paraId="771D5DBC">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储存单元的柴油最大储存量：60m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×0.845/m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=50.7t；</w:t>
      </w:r>
    </w:p>
    <w:p w14:paraId="3D017BC1">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储存单元的危险化学品的临界量与最大储存量对比，见表3.3-1：</w:t>
      </w:r>
    </w:p>
    <w:p w14:paraId="07FA80EB">
      <w:pPr>
        <w:pStyle w:val="42"/>
        <w:rPr>
          <w:color w:val="000000" w:themeColor="text1"/>
          <w14:textFill>
            <w14:solidFill>
              <w14:schemeClr w14:val="tx1"/>
            </w14:solidFill>
          </w14:textFill>
        </w:rPr>
      </w:pPr>
      <w:r>
        <w:rPr>
          <w:color w:val="000000" w:themeColor="text1"/>
          <w14:textFill>
            <w14:solidFill>
              <w14:schemeClr w14:val="tx1"/>
            </w14:solidFill>
          </w14:textFill>
        </w:rPr>
        <w:t>表3.3-1  储存单元的危险化学品的临界量与最大储存量对比表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2025"/>
        <w:gridCol w:w="2470"/>
        <w:gridCol w:w="1771"/>
        <w:gridCol w:w="1781"/>
      </w:tblGrid>
      <w:tr w14:paraId="3C13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1354" w:type="dxa"/>
            <w:vAlign w:val="center"/>
          </w:tcPr>
          <w:p w14:paraId="32692058">
            <w:pPr>
              <w:pStyle w:val="41"/>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2025" w:type="dxa"/>
            <w:vAlign w:val="center"/>
          </w:tcPr>
          <w:p w14:paraId="18D52779">
            <w:pPr>
              <w:pStyle w:val="41"/>
              <w:rPr>
                <w:color w:val="000000" w:themeColor="text1"/>
                <w14:textFill>
                  <w14:solidFill>
                    <w14:schemeClr w14:val="tx1"/>
                  </w14:solidFill>
                </w14:textFill>
              </w:rPr>
            </w:pPr>
            <w:r>
              <w:rPr>
                <w:color w:val="000000" w:themeColor="text1"/>
                <w14:textFill>
                  <w14:solidFill>
                    <w14:schemeClr w14:val="tx1"/>
                  </w14:solidFill>
                </w14:textFill>
              </w:rPr>
              <w:t>物质名称</w:t>
            </w:r>
          </w:p>
        </w:tc>
        <w:tc>
          <w:tcPr>
            <w:tcW w:w="2470" w:type="dxa"/>
            <w:vAlign w:val="center"/>
          </w:tcPr>
          <w:p w14:paraId="6C79262D">
            <w:pPr>
              <w:pStyle w:val="41"/>
              <w:rPr>
                <w:color w:val="000000" w:themeColor="text1"/>
                <w14:textFill>
                  <w14:solidFill>
                    <w14:schemeClr w14:val="tx1"/>
                  </w14:solidFill>
                </w14:textFill>
              </w:rPr>
            </w:pPr>
            <w:r>
              <w:rPr>
                <w:color w:val="000000" w:themeColor="text1"/>
                <w14:textFill>
                  <w14:solidFill>
                    <w14:schemeClr w14:val="tx1"/>
                  </w14:solidFill>
                </w14:textFill>
              </w:rPr>
              <w:t>危险性类别</w:t>
            </w:r>
          </w:p>
        </w:tc>
        <w:tc>
          <w:tcPr>
            <w:tcW w:w="1771" w:type="dxa"/>
            <w:vAlign w:val="center"/>
          </w:tcPr>
          <w:p w14:paraId="57C26000">
            <w:pPr>
              <w:pStyle w:val="41"/>
              <w:rPr>
                <w:color w:val="000000" w:themeColor="text1"/>
                <w14:textFill>
                  <w14:solidFill>
                    <w14:schemeClr w14:val="tx1"/>
                  </w14:solidFill>
                </w14:textFill>
              </w:rPr>
            </w:pPr>
            <w:r>
              <w:rPr>
                <w:color w:val="000000" w:themeColor="text1"/>
                <w14:textFill>
                  <w14:solidFill>
                    <w14:schemeClr w14:val="tx1"/>
                  </w14:solidFill>
                </w14:textFill>
              </w:rPr>
              <w:t>最大储存量（t）</w:t>
            </w:r>
          </w:p>
        </w:tc>
        <w:tc>
          <w:tcPr>
            <w:tcW w:w="1781" w:type="dxa"/>
            <w:vAlign w:val="center"/>
          </w:tcPr>
          <w:p w14:paraId="585D27DD">
            <w:pPr>
              <w:pStyle w:val="41"/>
              <w:rPr>
                <w:color w:val="000000" w:themeColor="text1"/>
                <w14:textFill>
                  <w14:solidFill>
                    <w14:schemeClr w14:val="tx1"/>
                  </w14:solidFill>
                </w14:textFill>
              </w:rPr>
            </w:pPr>
            <w:r>
              <w:rPr>
                <w:color w:val="000000" w:themeColor="text1"/>
                <w14:textFill>
                  <w14:solidFill>
                    <w14:schemeClr w14:val="tx1"/>
                  </w14:solidFill>
                </w14:textFill>
              </w:rPr>
              <w:t>临界量（t）</w:t>
            </w:r>
          </w:p>
        </w:tc>
      </w:tr>
      <w:tr w14:paraId="3D02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54" w:type="dxa"/>
            <w:vAlign w:val="center"/>
          </w:tcPr>
          <w:p w14:paraId="4D6ABDDA">
            <w:pPr>
              <w:pStyle w:val="41"/>
              <w:rPr>
                <w:color w:val="000000" w:themeColor="text1"/>
                <w14:textFill>
                  <w14:solidFill>
                    <w14:schemeClr w14:val="tx1"/>
                  </w14:solidFill>
                </w14:textFill>
              </w:rPr>
            </w:pPr>
            <w:r>
              <w:rPr>
                <w:color w:val="000000" w:themeColor="text1"/>
                <w14:textFill>
                  <w14:solidFill>
                    <w14:schemeClr w14:val="tx1"/>
                  </w14:solidFill>
                </w14:textFill>
              </w:rPr>
              <w:t>1</w:t>
            </w:r>
          </w:p>
        </w:tc>
        <w:tc>
          <w:tcPr>
            <w:tcW w:w="2025" w:type="dxa"/>
            <w:vAlign w:val="center"/>
          </w:tcPr>
          <w:p w14:paraId="6C809EC8">
            <w:pPr>
              <w:pStyle w:val="41"/>
              <w:rPr>
                <w:color w:val="000000" w:themeColor="text1"/>
                <w14:textFill>
                  <w14:solidFill>
                    <w14:schemeClr w14:val="tx1"/>
                  </w14:solidFill>
                </w14:textFill>
              </w:rPr>
            </w:pPr>
            <w:r>
              <w:rPr>
                <w:color w:val="000000" w:themeColor="text1"/>
                <w14:textFill>
                  <w14:solidFill>
                    <w14:schemeClr w14:val="tx1"/>
                  </w14:solidFill>
                </w14:textFill>
              </w:rPr>
              <w:t>汽油</w:t>
            </w:r>
          </w:p>
        </w:tc>
        <w:tc>
          <w:tcPr>
            <w:tcW w:w="2470" w:type="dxa"/>
            <w:vAlign w:val="center"/>
          </w:tcPr>
          <w:p w14:paraId="4C66DC18">
            <w:pPr>
              <w:pStyle w:val="41"/>
              <w:rPr>
                <w:color w:val="000000" w:themeColor="text1"/>
                <w14:textFill>
                  <w14:solidFill>
                    <w14:schemeClr w14:val="tx1"/>
                  </w14:solidFill>
                </w14:textFill>
              </w:rPr>
            </w:pPr>
            <w:r>
              <w:rPr>
                <w:color w:val="000000" w:themeColor="text1"/>
                <w14:textFill>
                  <w14:solidFill>
                    <w14:schemeClr w14:val="tx1"/>
                  </w14:solidFill>
                </w14:textFill>
              </w:rPr>
              <w:t>易燃液体，类别2*</w:t>
            </w:r>
          </w:p>
        </w:tc>
        <w:tc>
          <w:tcPr>
            <w:tcW w:w="1771" w:type="dxa"/>
          </w:tcPr>
          <w:p w14:paraId="25A0A345">
            <w:pPr>
              <w:pStyle w:val="41"/>
              <w:rPr>
                <w:color w:val="000000" w:themeColor="text1"/>
                <w14:textFill>
                  <w14:solidFill>
                    <w14:schemeClr w14:val="tx1"/>
                  </w14:solidFill>
                </w14:textFill>
              </w:rPr>
            </w:pPr>
            <w:r>
              <w:rPr>
                <w:color w:val="000000" w:themeColor="text1"/>
                <w14:textFill>
                  <w14:solidFill>
                    <w14:schemeClr w14:val="tx1"/>
                  </w14:solidFill>
                </w14:textFill>
              </w:rPr>
              <w:t>46.5</w:t>
            </w:r>
          </w:p>
        </w:tc>
        <w:tc>
          <w:tcPr>
            <w:tcW w:w="1781" w:type="dxa"/>
            <w:vAlign w:val="center"/>
          </w:tcPr>
          <w:p w14:paraId="0AF56067">
            <w:pPr>
              <w:pStyle w:val="41"/>
              <w:rPr>
                <w:color w:val="000000" w:themeColor="text1"/>
                <w14:textFill>
                  <w14:solidFill>
                    <w14:schemeClr w14:val="tx1"/>
                  </w14:solidFill>
                </w14:textFill>
              </w:rPr>
            </w:pPr>
            <w:r>
              <w:rPr>
                <w:color w:val="000000" w:themeColor="text1"/>
                <w14:textFill>
                  <w14:solidFill>
                    <w14:schemeClr w14:val="tx1"/>
                  </w14:solidFill>
                </w14:textFill>
              </w:rPr>
              <w:t>200</w:t>
            </w:r>
          </w:p>
        </w:tc>
      </w:tr>
      <w:tr w14:paraId="3446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54" w:type="dxa"/>
            <w:vAlign w:val="center"/>
          </w:tcPr>
          <w:p w14:paraId="56324047">
            <w:pPr>
              <w:pStyle w:val="41"/>
              <w:rPr>
                <w:color w:val="000000" w:themeColor="text1"/>
                <w14:textFill>
                  <w14:solidFill>
                    <w14:schemeClr w14:val="tx1"/>
                  </w14:solidFill>
                </w14:textFill>
              </w:rPr>
            </w:pPr>
            <w:r>
              <w:rPr>
                <w:color w:val="000000" w:themeColor="text1"/>
                <w14:textFill>
                  <w14:solidFill>
                    <w14:schemeClr w14:val="tx1"/>
                  </w14:solidFill>
                </w14:textFill>
              </w:rPr>
              <w:t>2</w:t>
            </w:r>
          </w:p>
        </w:tc>
        <w:tc>
          <w:tcPr>
            <w:tcW w:w="2025" w:type="dxa"/>
            <w:vAlign w:val="center"/>
          </w:tcPr>
          <w:p w14:paraId="0DCCE284">
            <w:pPr>
              <w:pStyle w:val="41"/>
              <w:rPr>
                <w:color w:val="000000" w:themeColor="text1"/>
                <w14:textFill>
                  <w14:solidFill>
                    <w14:schemeClr w14:val="tx1"/>
                  </w14:solidFill>
                </w14:textFill>
              </w:rPr>
            </w:pPr>
            <w:r>
              <w:rPr>
                <w:color w:val="000000" w:themeColor="text1"/>
                <w14:textFill>
                  <w14:solidFill>
                    <w14:schemeClr w14:val="tx1"/>
                  </w14:solidFill>
                </w14:textFill>
              </w:rPr>
              <w:t>柴油</w:t>
            </w:r>
          </w:p>
        </w:tc>
        <w:tc>
          <w:tcPr>
            <w:tcW w:w="2470" w:type="dxa"/>
            <w:vAlign w:val="center"/>
          </w:tcPr>
          <w:p w14:paraId="7966ADB2">
            <w:pPr>
              <w:pStyle w:val="41"/>
              <w:rPr>
                <w:color w:val="000000" w:themeColor="text1"/>
                <w14:textFill>
                  <w14:solidFill>
                    <w14:schemeClr w14:val="tx1"/>
                  </w14:solidFill>
                </w14:textFill>
              </w:rPr>
            </w:pPr>
            <w:r>
              <w:rPr>
                <w:color w:val="000000" w:themeColor="text1"/>
                <w14:textFill>
                  <w14:solidFill>
                    <w14:schemeClr w14:val="tx1"/>
                  </w14:solidFill>
                </w14:textFill>
              </w:rPr>
              <w:t>易燃液体，类别3</w:t>
            </w:r>
          </w:p>
        </w:tc>
        <w:tc>
          <w:tcPr>
            <w:tcW w:w="1771" w:type="dxa"/>
          </w:tcPr>
          <w:p w14:paraId="293E5F78">
            <w:pPr>
              <w:pStyle w:val="41"/>
              <w:rPr>
                <w:color w:val="000000" w:themeColor="text1"/>
                <w14:textFill>
                  <w14:solidFill>
                    <w14:schemeClr w14:val="tx1"/>
                  </w14:solidFill>
                </w14:textFill>
              </w:rPr>
            </w:pPr>
            <w:r>
              <w:rPr>
                <w:color w:val="000000" w:themeColor="text1"/>
                <w14:textFill>
                  <w14:solidFill>
                    <w14:schemeClr w14:val="tx1"/>
                  </w14:solidFill>
                </w14:textFill>
              </w:rPr>
              <w:t>50.7</w:t>
            </w:r>
          </w:p>
        </w:tc>
        <w:tc>
          <w:tcPr>
            <w:tcW w:w="1781" w:type="dxa"/>
            <w:vAlign w:val="center"/>
          </w:tcPr>
          <w:p w14:paraId="533F9FF8">
            <w:pPr>
              <w:pStyle w:val="41"/>
              <w:rPr>
                <w:color w:val="000000" w:themeColor="text1"/>
                <w14:textFill>
                  <w14:solidFill>
                    <w14:schemeClr w14:val="tx1"/>
                  </w14:solidFill>
                </w14:textFill>
              </w:rPr>
            </w:pPr>
            <w:r>
              <w:rPr>
                <w:color w:val="000000" w:themeColor="text1"/>
                <w14:textFill>
                  <w14:solidFill>
                    <w14:schemeClr w14:val="tx1"/>
                  </w14:solidFill>
                </w14:textFill>
              </w:rPr>
              <w:t>5000</w:t>
            </w:r>
          </w:p>
        </w:tc>
      </w:tr>
    </w:tbl>
    <w:p w14:paraId="095F783C">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S=46.5/200+50.7/5000==0.24264&lt;1</w:t>
      </w:r>
    </w:p>
    <w:p w14:paraId="3E32EC1B">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因此，储存单元未构成危险化学品重大危险源。</w:t>
      </w:r>
    </w:p>
    <w:p w14:paraId="0139DA4A">
      <w:pPr>
        <w:rPr>
          <w:color w:val="000000" w:themeColor="text1"/>
          <w14:textFill>
            <w14:solidFill>
              <w14:schemeClr w14:val="tx1"/>
            </w14:solidFill>
          </w14:textFill>
        </w:rPr>
      </w:pPr>
      <w:r>
        <w:rPr>
          <w:color w:val="000000" w:themeColor="text1"/>
          <w14:textFill>
            <w14:solidFill>
              <w14:schemeClr w14:val="tx1"/>
            </w14:solidFill>
          </w14:textFill>
        </w:rPr>
        <w:t>综上，易武加油站不构成危险化学品重大危险源。</w:t>
      </w:r>
    </w:p>
    <w:p w14:paraId="0A5C8E92">
      <w:pPr>
        <w:pStyle w:val="3"/>
        <w:rPr>
          <w:color w:val="000000" w:themeColor="text1"/>
          <w14:textFill>
            <w14:solidFill>
              <w14:schemeClr w14:val="tx1"/>
            </w14:solidFill>
          </w14:textFill>
        </w:rPr>
      </w:pPr>
      <w:bookmarkStart w:id="298" w:name="_Toc4905"/>
      <w:bookmarkStart w:id="299" w:name="_Toc23433"/>
      <w:bookmarkStart w:id="300" w:name="_Toc355527091"/>
      <w:bookmarkStart w:id="301" w:name="_Toc11882"/>
      <w:bookmarkStart w:id="302" w:name="_Toc109632495"/>
      <w:r>
        <w:rPr>
          <w:color w:val="000000" w:themeColor="text1"/>
          <w14:textFill>
            <w14:solidFill>
              <w14:schemeClr w14:val="tx1"/>
            </w14:solidFill>
          </w14:textFill>
        </w:rPr>
        <w:t>3.</w:t>
      </w:r>
      <w:bookmarkStart w:id="303" w:name="_Toc229286984"/>
      <w:bookmarkStart w:id="304" w:name="_Toc257377733"/>
      <w:bookmarkStart w:id="305" w:name="_Toc249845936"/>
      <w:r>
        <w:rPr>
          <w:color w:val="000000" w:themeColor="text1"/>
          <w14:textFill>
            <w14:solidFill>
              <w14:schemeClr w14:val="tx1"/>
            </w14:solidFill>
          </w14:textFill>
        </w:rPr>
        <w:t>4  剧毒化学品、易制毒化学品、易制爆化学品、国家监控化学品辨识</w:t>
      </w:r>
      <w:bookmarkEnd w:id="298"/>
      <w:bookmarkEnd w:id="299"/>
      <w:bookmarkEnd w:id="300"/>
      <w:bookmarkEnd w:id="301"/>
      <w:bookmarkEnd w:id="302"/>
      <w:bookmarkEnd w:id="303"/>
      <w:bookmarkEnd w:id="304"/>
      <w:bookmarkEnd w:id="305"/>
    </w:p>
    <w:p w14:paraId="744CA2A6">
      <w:pPr>
        <w:rPr>
          <w:color w:val="000000" w:themeColor="text1"/>
          <w14:textFill>
            <w14:solidFill>
              <w14:schemeClr w14:val="tx1"/>
            </w14:solidFill>
          </w14:textFill>
        </w:rPr>
      </w:pPr>
      <w:r>
        <w:rPr>
          <w:color w:val="000000" w:themeColor="text1"/>
          <w14:textFill>
            <w14:solidFill>
              <w14:schemeClr w14:val="tx1"/>
            </w14:solidFill>
          </w14:textFill>
        </w:rPr>
        <w:t>本项目在经营过程中涉及的危险化学品有：汽油、柴油。</w:t>
      </w:r>
    </w:p>
    <w:p w14:paraId="27D1EEC3">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根据《危险化学品目录（2015版）》（</w:t>
      </w:r>
      <w:r>
        <w:rPr>
          <w:rFonts w:hint="eastAsia"/>
          <w:color w:val="000000" w:themeColor="text1"/>
          <w14:textFill>
            <w14:solidFill>
              <w14:schemeClr w14:val="tx1"/>
            </w14:solidFill>
          </w14:textFill>
        </w:rPr>
        <w:t>原</w:t>
      </w:r>
      <w:r>
        <w:rPr>
          <w:color w:val="000000" w:themeColor="text1"/>
          <w14:textFill>
            <w14:solidFill>
              <w14:schemeClr w14:val="tx1"/>
            </w14:solidFill>
          </w14:textFill>
        </w:rPr>
        <w:t>国家安全生产监督管理总局等十部委公告2015年第5号）、《关于调整&lt;危险化学品目录（2015版）&gt;的公告》（应急管理部等10部门公告2022年第8号，2023年1月1日施行）及《易制毒化学品名录》的内容，本项目不涉及剧毒化学品，不涉及易制毒化学品；</w:t>
      </w:r>
    </w:p>
    <w:p w14:paraId="74BB205F">
      <w:pPr>
        <w:rPr>
          <w:color w:val="000000" w:themeColor="text1"/>
          <w14:textFill>
            <w14:solidFill>
              <w14:schemeClr w14:val="tx1"/>
            </w14:solidFill>
          </w14:textFill>
        </w:rPr>
      </w:pPr>
      <w:r>
        <w:rPr>
          <w:color w:val="000000" w:themeColor="text1"/>
          <w14:textFill>
            <w14:solidFill>
              <w14:schemeClr w14:val="tx1"/>
            </w14:solidFill>
          </w14:textFill>
        </w:rPr>
        <w:t>根据《中华人民共和国监控化学品管理条例》的有关条款，本项目不涉及国家监控化学品；</w:t>
      </w:r>
    </w:p>
    <w:p w14:paraId="03D4D10F">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根据《易制爆危险化学品名录》（2017年版，公安部2017年5月11日）的有关条款，本项目不涉及易制爆危险化学品。</w:t>
      </w:r>
    </w:p>
    <w:p w14:paraId="406F42D9">
      <w:pPr>
        <w:pStyle w:val="3"/>
        <w:rPr>
          <w:color w:val="000000" w:themeColor="text1"/>
          <w14:textFill>
            <w14:solidFill>
              <w14:schemeClr w14:val="tx1"/>
            </w14:solidFill>
          </w14:textFill>
        </w:rPr>
      </w:pPr>
      <w:bookmarkStart w:id="306" w:name="_Toc93922872"/>
      <w:bookmarkStart w:id="307" w:name="_Toc14761"/>
      <w:bookmarkStart w:id="308" w:name="_Toc109632496"/>
      <w:bookmarkStart w:id="309" w:name="_Toc30397"/>
      <w:r>
        <w:rPr>
          <w:color w:val="000000" w:themeColor="text1"/>
          <w14:textFill>
            <w14:solidFill>
              <w14:schemeClr w14:val="tx1"/>
            </w14:solidFill>
          </w14:textFill>
        </w:rPr>
        <w:t>3.5  特别管控危险化学品辨识</w:t>
      </w:r>
      <w:bookmarkEnd w:id="306"/>
      <w:bookmarkEnd w:id="307"/>
      <w:bookmarkEnd w:id="308"/>
      <w:bookmarkEnd w:id="309"/>
    </w:p>
    <w:p w14:paraId="0AA5BD02">
      <w:pPr>
        <w:rPr>
          <w:color w:val="000000" w:themeColor="text1"/>
          <w14:textFill>
            <w14:solidFill>
              <w14:schemeClr w14:val="tx1"/>
            </w14:solidFill>
          </w14:textFill>
        </w:rPr>
      </w:pPr>
      <w:r>
        <w:rPr>
          <w:color w:val="000000" w:themeColor="text1"/>
          <w14:textFill>
            <w14:solidFill>
              <w14:schemeClr w14:val="tx1"/>
            </w14:solidFill>
          </w14:textFill>
        </w:rPr>
        <w:t>根据《特别管控危险化学品目录》（第一版）的规定，该加油站经营的汽油为特别管控危险化学品，本次安全评价报告已要求对汽油储存、操作、运输提出相应的措施，并制定相应的应急处置原则，加油站人员应熟悉掌握应急处置措施，确保加油站汽油经营的安全。</w:t>
      </w:r>
    </w:p>
    <w:p w14:paraId="7F58E708">
      <w:pPr>
        <w:pStyle w:val="3"/>
        <w:rPr>
          <w:color w:val="000000" w:themeColor="text1"/>
          <w14:textFill>
            <w14:solidFill>
              <w14:schemeClr w14:val="tx1"/>
            </w14:solidFill>
          </w14:textFill>
        </w:rPr>
      </w:pPr>
      <w:bookmarkStart w:id="310" w:name="_Toc14671"/>
      <w:bookmarkStart w:id="311" w:name="_Toc8037"/>
      <w:bookmarkStart w:id="312" w:name="_Toc109632497"/>
      <w:bookmarkStart w:id="313" w:name="_Toc93922873"/>
      <w:r>
        <w:rPr>
          <w:color w:val="000000" w:themeColor="text1"/>
          <w14:textFill>
            <w14:solidFill>
              <w14:schemeClr w14:val="tx1"/>
            </w14:solidFill>
          </w14:textFill>
        </w:rPr>
        <w:t>3.6  重点监管的危险化学品辨识</w:t>
      </w:r>
      <w:bookmarkEnd w:id="310"/>
      <w:bookmarkEnd w:id="311"/>
      <w:bookmarkEnd w:id="312"/>
      <w:bookmarkEnd w:id="313"/>
    </w:p>
    <w:p w14:paraId="0E90CC50">
      <w:pPr>
        <w:rPr>
          <w:color w:val="000000" w:themeColor="text1"/>
          <w14:textFill>
            <w14:solidFill>
              <w14:schemeClr w14:val="tx1"/>
            </w14:solidFill>
          </w14:textFill>
        </w:rPr>
      </w:pPr>
      <w:r>
        <w:rPr>
          <w:color w:val="000000" w:themeColor="text1"/>
          <w14:textFill>
            <w14:solidFill>
              <w14:schemeClr w14:val="tx1"/>
            </w14:solidFill>
          </w14:textFill>
        </w:rPr>
        <w:t>根据《首批重点监管的危险化学品目录》（安监总管三（2011）95号）、《国家安全监管总局关于公布第二批重点监管危险化学品名录的通知》（安监总管三〔2013〕12号）的规定，该加油站经营的汽油为重点监管的危险化学品，根据《关于印发首批重点监管的危险化学品安全措施和应急处置原则的通知》（总厅管三〔2011〕142号）的要求对汽油储存、操作、运输采取相应的安全措施，并制定相应的应急处置原则，确保加油站汽油经营的安全。</w:t>
      </w:r>
    </w:p>
    <w:p w14:paraId="6AF469D9">
      <w:pPr>
        <w:pStyle w:val="3"/>
        <w:rPr>
          <w:color w:val="000000" w:themeColor="text1"/>
          <w14:textFill>
            <w14:solidFill>
              <w14:schemeClr w14:val="tx1"/>
            </w14:solidFill>
          </w14:textFill>
        </w:rPr>
      </w:pPr>
      <w:bookmarkStart w:id="314" w:name="_Toc14184"/>
      <w:bookmarkStart w:id="315" w:name="_Toc3978"/>
      <w:bookmarkStart w:id="316" w:name="_Toc21482"/>
      <w:r>
        <w:rPr>
          <w:color w:val="000000" w:themeColor="text1"/>
          <w14:textFill>
            <w14:solidFill>
              <w14:schemeClr w14:val="tx1"/>
            </w14:solidFill>
          </w14:textFill>
        </w:rPr>
        <w:t>3.7  事故案例分析</w:t>
      </w:r>
      <w:bookmarkEnd w:id="314"/>
      <w:bookmarkEnd w:id="315"/>
      <w:bookmarkEnd w:id="316"/>
    </w:p>
    <w:p w14:paraId="60C7A432">
      <w:pPr>
        <w:rPr>
          <w:color w:val="000000" w:themeColor="text1"/>
          <w14:textFill>
            <w14:solidFill>
              <w14:schemeClr w14:val="tx1"/>
            </w14:solidFill>
          </w14:textFill>
        </w:rPr>
      </w:pPr>
      <w:r>
        <w:rPr>
          <w:color w:val="000000" w:themeColor="text1"/>
          <w14:textFill>
            <w14:solidFill>
              <w14:schemeClr w14:val="tx1"/>
            </w14:solidFill>
          </w14:textFill>
        </w:rPr>
        <w:t>事故案例分析：通过调查，尽可能收集相关事故资料，找出事故发生的潜在隐患，吸取事故经验教训，避免同类事故发生，为本项目的安全生产与科学管理提供参考与借鉴。以下叙述2起爆炸事故，希望对企业安全生产和管理能起到借鉴作用。</w:t>
      </w:r>
    </w:p>
    <w:p w14:paraId="03220B92">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案例一：山东济南分公司第63加油站施工闪爆事故</w:t>
      </w:r>
    </w:p>
    <w:p w14:paraId="3B400417">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（1）事故概况</w:t>
      </w:r>
    </w:p>
    <w:p w14:paraId="3A271958">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2022年9月8日15:40左右，山东济南分公司第63加油站在安装加油机和潜油泵过程中，由于油罐人孔盖不符合安装潜油泵的条件，对油罐人孔盖进行改造，承包商天津华北有色建设工程公司山东分公司的施工人员，擅自用自带泵将2号埋地罐中的注水抽空，并在无人监控的状况下，在操作井边沿用气割对油罐法兰盘、管线短管开坡口，切割过程中，引燃油罐内残余油气发生闪爆，李洪革当即受伤，送医院经抢救无效，于9月9日凌晨死亡。</w:t>
      </w:r>
    </w:p>
    <w:p w14:paraId="0257804F">
      <w:pPr>
        <w:tabs>
          <w:tab w:val="left" w:pos="1080"/>
        </w:tabs>
        <w:adjustRightInd w:val="0"/>
        <w:snapToGrid w:val="0"/>
        <w:ind w:firstLine="420" w:firstLineChars="150"/>
        <w:rPr>
          <w:color w:val="000000" w:themeColor="text1"/>
          <w14:textFill>
            <w14:solidFill>
              <w14:schemeClr w14:val="tx1"/>
            </w14:solidFill>
          </w14:textFill>
        </w:rPr>
      </w:pPr>
      <w:r>
        <w:rPr>
          <w:color w:val="000000" w:themeColor="text1"/>
          <w14:textFill>
            <w14:solidFill>
              <w14:schemeClr w14:val="tx1"/>
            </w14:solidFill>
          </w14:textFill>
        </w:rPr>
        <w:t>（2）事故原因及分析</w:t>
      </w:r>
    </w:p>
    <w:p w14:paraId="5C28D9BA">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这是一起典型的施工组织混乱、施工安全监管不严、安全制度落实不到位造成的事故。</w:t>
      </w:r>
    </w:p>
    <w:p w14:paraId="7AAF5028">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1）事故发生的直接缘由</w:t>
      </w:r>
    </w:p>
    <w:p w14:paraId="7D612384">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施工单位施工人员严禁违反施工安全管理规定，安装潜油泵过程中将油罐注水抽出，造成油罐及操作井口油气积聚。在当天无动火作业安排、没有办理动火作业票的状况下，施工人员擅自变更作业地点，在靠近油罐口的区域内进行动火作业，造成闪爆。</w:t>
      </w:r>
    </w:p>
    <w:p w14:paraId="59CE07BA">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2）事故发生的间接缘由</w:t>
      </w:r>
    </w:p>
    <w:p w14:paraId="41D683B2">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 xml:space="preserve">①济南分公司没有落实集团公司新、改、扩建项目 </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三同时</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管理规定，对施工单位资质审查不严，导致不具备施工资质的单位进站施工，为事故的发生埋下了隐患。</w:t>
      </w:r>
    </w:p>
    <w:p w14:paraId="4F2CD283">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②济南分公司企管部门负责加油站改造项目，没有制定施工安全管理措施，对施工现场的监督检查流于形式，对安全防护、作业票开具、施工人员持证上岗等方面无一条检查记录，无一条整改要求，对该站施工中多次动火仅办理了一张动火作业票的事实视而不见。</w:t>
      </w:r>
    </w:p>
    <w:p w14:paraId="54B06062">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③施工现场监管严重失职，现场监管责任人（站长）对动火等重大安全作业监管不力，现场安全监督职责未执行到位。</w:t>
      </w:r>
    </w:p>
    <w:p w14:paraId="39300F77">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④济南分公司对施工人员安全教化制度落实不到位，对外来施工人员安全教化没有针对性、走过场，施工人员对危害不了解，违规施工成为必定。</w:t>
      </w:r>
    </w:p>
    <w:p w14:paraId="4A14E61F">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（3）事故教训</w:t>
      </w:r>
    </w:p>
    <w:p w14:paraId="5B415899">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这起事故充分暴露出安全管理中存在的漏洞，尤其是对施工单位和作业现场安全监管上存在的缺陷，主要表现在：对施工方审核不严；各级管理人员安全防范意识淡薄、责任心不强；对施工方进场施工安全教育流于形式；放松了对施工现场安全监管，存在</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以包代管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现象。</w:t>
      </w:r>
    </w:p>
    <w:p w14:paraId="2E7187B2">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案例二：临海市顺风加油站爆燃事故</w:t>
      </w:r>
    </w:p>
    <w:p w14:paraId="3F375B0F">
      <w:pPr>
        <w:tabs>
          <w:tab w:val="left" w:pos="1080"/>
        </w:tabs>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（1）加油站基本状况</w:t>
      </w:r>
    </w:p>
    <w:p w14:paraId="49EF069B">
      <w:pPr>
        <w:rPr>
          <w:color w:val="000000" w:themeColor="text1"/>
          <w14:textFill>
            <w14:solidFill>
              <w14:schemeClr w14:val="tx1"/>
            </w14:solidFill>
          </w14:textFill>
        </w:rPr>
      </w:pPr>
      <w:r>
        <w:rPr>
          <w:color w:val="000000" w:themeColor="text1"/>
          <w14:textFill>
            <w14:solidFill>
              <w14:schemeClr w14:val="tx1"/>
            </w14:solidFill>
          </w14:textFill>
        </w:rPr>
        <w:t>临海市顺风加油站，位于临海市桃渚镇项庄村西边马路旁，法人代表：项某。加油站储备、经营93号汽油和0号柴油两种成品油。站内有两个地下储油罐，每个储油罐约24t。</w:t>
      </w:r>
    </w:p>
    <w:p w14:paraId="0C29C12A">
      <w:pPr>
        <w:rPr>
          <w:color w:val="000000" w:themeColor="text1"/>
          <w14:textFill>
            <w14:solidFill>
              <w14:schemeClr w14:val="tx1"/>
            </w14:solidFill>
          </w14:textFill>
        </w:rPr>
      </w:pPr>
      <w:r>
        <w:rPr>
          <w:color w:val="000000" w:themeColor="text1"/>
          <w14:textFill>
            <w14:solidFill>
              <w14:schemeClr w14:val="tx1"/>
            </w14:solidFill>
          </w14:textFill>
        </w:rPr>
        <w:t>（2）事故经过</w:t>
      </w:r>
    </w:p>
    <w:p w14:paraId="6E4B6A19">
      <w:pPr>
        <w:rPr>
          <w:color w:val="000000" w:themeColor="text1"/>
          <w14:textFill>
            <w14:solidFill>
              <w14:schemeClr w14:val="tx1"/>
            </w14:solidFill>
          </w14:textFill>
        </w:rPr>
      </w:pPr>
      <w:r>
        <w:rPr>
          <w:color w:val="000000" w:themeColor="text1"/>
          <w14:textFill>
            <w14:solidFill>
              <w14:schemeClr w14:val="tx1"/>
            </w14:solidFill>
          </w14:textFill>
        </w:rPr>
        <w:t>2022年6月1日中午，满载汽油（29.48t）的浙BR257大油罐车到达临海市顺风加油站，并在11点50分左右起先向加油站地下储油罐卸油，当时加油站卸油作业现场人员有林某（浙BR257大油罐车驾驶员，事故发生时在副驾驶室）、潘某（浙BR257大油罐车押送员）、朱某（加油站工作人员，小油罐车浙J76829驾驶员）等3人。</w:t>
      </w:r>
    </w:p>
    <w:p w14:paraId="05CB9207">
      <w:pPr>
        <w:rPr>
          <w:color w:val="000000" w:themeColor="text1"/>
          <w14:textFill>
            <w14:solidFill>
              <w14:schemeClr w14:val="tx1"/>
            </w14:solidFill>
          </w14:textFill>
        </w:rPr>
      </w:pPr>
      <w:r>
        <w:rPr>
          <w:color w:val="000000" w:themeColor="text1"/>
          <w14:textFill>
            <w14:solidFill>
              <w14:schemeClr w14:val="tx1"/>
            </w14:solidFill>
          </w14:textFill>
        </w:rPr>
        <w:t>在汽油槽罐车卸油的同时，加油站工作人员朱某考虑到地下储油罐装不下这么多油，就开来一辆小油罐车，停到大油罐车旁，从大油罐吸油，来分装一部分汽油。现场由潘某跟朱某两人负责卸油和抽油作业，潘某站在大油罐车车顶负责看护，朱某操作浙J76829小型油罐车从大油罐车吸油。因为抽油时，需要开启抽油泵，抽油泵利用小油罐车的发动机作为动力，因此整个抽油作业过程中小油罐车的发动机并未熄火。12点30分左右，当朱某从小油罐车车顶下来，去开车门的时候，突然发生爆燃，瞬间火焰高窜，朱某被火焰烧伤。火焰甚至喷到距地面有5米高的潘某，将其右脸颊和手灼伤。</w:t>
      </w:r>
    </w:p>
    <w:p w14:paraId="41E44AF5">
      <w:pPr>
        <w:rPr>
          <w:color w:val="000000" w:themeColor="text1"/>
          <w14:textFill>
            <w14:solidFill>
              <w14:schemeClr w14:val="tx1"/>
            </w14:solidFill>
          </w14:textFill>
        </w:rPr>
      </w:pPr>
      <w:r>
        <w:rPr>
          <w:color w:val="000000" w:themeColor="text1"/>
          <w14:textFill>
            <w14:solidFill>
              <w14:schemeClr w14:val="tx1"/>
            </w14:solidFill>
          </w14:textFill>
        </w:rPr>
        <w:t>12时40分，临海市消防大队接到临海市公安局指挥中心指令，马上出动7辆消防车和42名消防救援人员赶往火灾现场。经过消防救援人员奋力扑救，大火于15时左右被扑灭，此次火灾造成2人受伤。</w:t>
      </w:r>
    </w:p>
    <w:p w14:paraId="6107D20A">
      <w:pPr>
        <w:rPr>
          <w:color w:val="000000" w:themeColor="text1"/>
          <w14:textFill>
            <w14:solidFill>
              <w14:schemeClr w14:val="tx1"/>
            </w14:solidFill>
          </w14:textFill>
        </w:rPr>
      </w:pPr>
      <w:r>
        <w:rPr>
          <w:color w:val="000000" w:themeColor="text1"/>
          <w14:textFill>
            <w14:solidFill>
              <w14:schemeClr w14:val="tx1"/>
            </w14:solidFill>
          </w14:textFill>
        </w:rPr>
        <w:t>（3）事故缘由</w:t>
      </w:r>
    </w:p>
    <w:p w14:paraId="40DB4E8A">
      <w:pPr>
        <w:rPr>
          <w:color w:val="000000" w:themeColor="text1"/>
          <w14:textFill>
            <w14:solidFill>
              <w14:schemeClr w14:val="tx1"/>
            </w14:solidFill>
          </w14:textFill>
        </w:rPr>
      </w:pPr>
      <w:r>
        <w:rPr>
          <w:color w:val="000000" w:themeColor="text1"/>
          <w14:textFill>
            <w14:solidFill>
              <w14:schemeClr w14:val="tx1"/>
            </w14:solidFill>
          </w14:textFill>
        </w:rPr>
        <w:t>依据当事人笔录反映及现场勘验状况，消防部门事故调查结论认为：此次火灾爆燃部位初步确定为小油罐车车头部分，火灾缘由不能解除朱某伸手开车门时触发静电、车辆排气管高温过热、车辆发动机及抽油泵过热引发挥发聚集的油蒸气而产生爆燃。</w:t>
      </w:r>
    </w:p>
    <w:p w14:paraId="2F1E5365">
      <w:pPr>
        <w:rPr>
          <w:color w:val="000000" w:themeColor="text1"/>
          <w14:textFill>
            <w14:solidFill>
              <w14:schemeClr w14:val="tx1"/>
            </w14:solidFill>
          </w14:textFill>
        </w:rPr>
      </w:pPr>
      <w:r>
        <w:rPr>
          <w:color w:val="000000" w:themeColor="text1"/>
          <w14:textFill>
            <w14:solidFill>
              <w14:schemeClr w14:val="tx1"/>
            </w14:solidFill>
          </w14:textFill>
        </w:rPr>
        <w:t>（4）事故教训</w:t>
      </w:r>
    </w:p>
    <w:p w14:paraId="1E8F9643">
      <w:pPr>
        <w:rPr>
          <w:color w:val="000000" w:themeColor="text1"/>
          <w14:textFill>
            <w14:solidFill>
              <w14:schemeClr w14:val="tx1"/>
            </w14:solidFill>
          </w14:textFill>
        </w:rPr>
      </w:pPr>
      <w:r>
        <w:rPr>
          <w:color w:val="000000" w:themeColor="text1"/>
          <w14:textFill>
            <w14:solidFill>
              <w14:schemeClr w14:val="tx1"/>
            </w14:solidFill>
          </w14:textFill>
        </w:rPr>
        <w:t>1）加油站工作人员风险防范意识淡薄。加油站工作人员朱某用来分装汽油的小型油罐车没有独立的抽油泵，利用外部抽油泵并利用车辆发动机作为动力，因此整个抽油作业过程中小油罐车的发动机并未熄火，且该车排气管未安装阻火器，在这种状况下，当事人还是贸然利用此车抽吸汽油，导致发生爆燃事故。</w:t>
      </w:r>
    </w:p>
    <w:p w14:paraId="17413FCA">
      <w:pPr>
        <w:rPr>
          <w:color w:val="000000" w:themeColor="text1"/>
          <w14:textFill>
            <w14:solidFill>
              <w14:schemeClr w14:val="tx1"/>
            </w14:solidFill>
          </w14:textFill>
        </w:rPr>
      </w:pPr>
      <w:r>
        <w:rPr>
          <w:color w:val="000000" w:themeColor="text1"/>
          <w14:textFill>
            <w14:solidFill>
              <w14:schemeClr w14:val="tx1"/>
            </w14:solidFill>
          </w14:textFill>
        </w:rPr>
        <w:t>2）加油站安全防范措施不到位。该加油站仅有一个防静电接地保护装置，且已经接到大油罐车尾部，小油罐车吸油的过程中未实行任何防静电接地措施，同时输油管为塑料软管，无法导除汽油在输送过程中产生的静电。</w:t>
      </w:r>
    </w:p>
    <w:p w14:paraId="4F0AED4A">
      <w:pPr>
        <w:rPr>
          <w:color w:val="000000" w:themeColor="text1"/>
          <w14:textFill>
            <w14:solidFill>
              <w14:schemeClr w14:val="tx1"/>
            </w14:solidFill>
          </w14:textFill>
        </w:rPr>
      </w:pPr>
      <w:r>
        <w:rPr>
          <w:color w:val="000000" w:themeColor="text1"/>
          <w14:textFill>
            <w14:solidFill>
              <w14:schemeClr w14:val="tx1"/>
            </w14:solidFill>
          </w14:textFill>
        </w:rPr>
        <w:t>3）作业人员抽、卸油操作不规范。作业人员在操作时同时对地下储罐和小油罐车进行卸、抽油作业。抽油的过程中塑料管一头接小油罐车下方进油接口处，而另一头则干脆插入大油罐车顶部输油口，管线连接密封不到位，导致有大量油蒸气挥发，甚至有汽油外漏，致使小油罐车下方积聚大量油气。</w:t>
      </w:r>
    </w:p>
    <w:p w14:paraId="19E78921">
      <w:pPr>
        <w:rPr>
          <w:color w:val="000000" w:themeColor="text1"/>
          <w14:textFill>
            <w14:solidFill>
              <w14:schemeClr w14:val="tx1"/>
            </w14:solidFill>
          </w14:textFill>
        </w:rPr>
      </w:pPr>
    </w:p>
    <w:p w14:paraId="266E049F">
      <w:pPr>
        <w:rPr>
          <w:color w:val="000000" w:themeColor="text1"/>
          <w14:textFill>
            <w14:solidFill>
              <w14:schemeClr w14:val="tx1"/>
            </w14:solidFill>
          </w14:textFill>
        </w:rPr>
        <w:sectPr>
          <w:pgSz w:w="11906" w:h="16838"/>
          <w:pgMar w:top="1417" w:right="1134" w:bottom="1134" w:left="1587" w:header="850" w:footer="992" w:gutter="0"/>
          <w:cols w:space="720" w:num="1"/>
          <w:docGrid w:linePitch="381" w:charSpace="0"/>
        </w:sectPr>
      </w:pPr>
    </w:p>
    <w:bookmarkEnd w:id="275"/>
    <w:bookmarkEnd w:id="276"/>
    <w:bookmarkEnd w:id="277"/>
    <w:bookmarkEnd w:id="278"/>
    <w:bookmarkEnd w:id="279"/>
    <w:bookmarkEnd w:id="280"/>
    <w:bookmarkEnd w:id="281"/>
    <w:p w14:paraId="22F6A1E4">
      <w:pPr>
        <w:pStyle w:val="2"/>
        <w:rPr>
          <w:snapToGrid w:val="0"/>
          <w:color w:val="000000" w:themeColor="text1"/>
          <w14:textFill>
            <w14:solidFill>
              <w14:schemeClr w14:val="tx1"/>
            </w14:solidFill>
          </w14:textFill>
        </w:rPr>
      </w:pPr>
      <w:bookmarkStart w:id="317" w:name="_Toc13820"/>
      <w:bookmarkStart w:id="318" w:name="_Toc25185"/>
      <w:r>
        <w:rPr>
          <w:snapToGrid w:val="0"/>
          <w:color w:val="000000" w:themeColor="text1"/>
          <w14:textFill>
            <w14:solidFill>
              <w14:schemeClr w14:val="tx1"/>
            </w14:solidFill>
          </w14:textFill>
        </w:rPr>
        <w:t>4  评价单元的划分与评价方法的选择</w:t>
      </w:r>
      <w:bookmarkEnd w:id="317"/>
      <w:bookmarkEnd w:id="318"/>
    </w:p>
    <w:p w14:paraId="1ADCF590">
      <w:pPr>
        <w:pStyle w:val="3"/>
        <w:rPr>
          <w:color w:val="000000" w:themeColor="text1"/>
          <w14:textFill>
            <w14:solidFill>
              <w14:schemeClr w14:val="tx1"/>
            </w14:solidFill>
          </w14:textFill>
        </w:rPr>
      </w:pPr>
      <w:bookmarkStart w:id="319" w:name="_Toc3376"/>
      <w:bookmarkStart w:id="320" w:name="_Toc19860"/>
      <w:r>
        <w:rPr>
          <w:color w:val="000000" w:themeColor="text1"/>
          <w14:textFill>
            <w14:solidFill>
              <w14:schemeClr w14:val="tx1"/>
            </w14:solidFill>
          </w14:textFill>
        </w:rPr>
        <w:t>4.1  评价单元的划分</w:t>
      </w:r>
      <w:bookmarkEnd w:id="319"/>
      <w:bookmarkEnd w:id="320"/>
    </w:p>
    <w:p w14:paraId="12F4DB6C">
      <w:pPr>
        <w:pStyle w:val="12"/>
        <w:rPr>
          <w:snapToGrid w:val="0"/>
          <w:color w:val="000000" w:themeColor="text1"/>
          <w:kern w:val="0"/>
          <w:sz w:val="28"/>
          <w14:textFill>
            <w14:solidFill>
              <w14:schemeClr w14:val="tx1"/>
            </w14:solidFill>
          </w14:textFill>
        </w:rPr>
      </w:pPr>
      <w:r>
        <w:rPr>
          <w:snapToGrid w:val="0"/>
          <w:color w:val="000000" w:themeColor="text1"/>
          <w:kern w:val="0"/>
          <w:sz w:val="28"/>
          <w14:textFill>
            <w14:solidFill>
              <w14:schemeClr w14:val="tx1"/>
            </w14:solidFill>
          </w14:textFill>
        </w:rPr>
        <w:t>本报告根据</w:t>
      </w:r>
      <w:r>
        <w:rPr>
          <w:rFonts w:hint="eastAsia"/>
          <w:snapToGrid w:val="0"/>
          <w:color w:val="000000" w:themeColor="text1"/>
          <w:kern w:val="0"/>
          <w:sz w:val="28"/>
          <w14:textFill>
            <w14:solidFill>
              <w14:schemeClr w14:val="tx1"/>
            </w14:solidFill>
          </w14:textFill>
        </w:rPr>
        <w:t>加油站</w:t>
      </w:r>
      <w:r>
        <w:rPr>
          <w:snapToGrid w:val="0"/>
          <w:color w:val="000000" w:themeColor="text1"/>
          <w:kern w:val="0"/>
          <w:sz w:val="28"/>
          <w14:textFill>
            <w14:solidFill>
              <w14:schemeClr w14:val="tx1"/>
            </w14:solidFill>
          </w14:textFill>
        </w:rPr>
        <w:t>经营危险化学品过程中危险、有害因素的性质和重点危险、有害因素的分布等情况</w:t>
      </w:r>
      <w:r>
        <w:rPr>
          <w:rFonts w:hint="eastAsia"/>
          <w:snapToGrid w:val="0"/>
          <w:color w:val="000000" w:themeColor="text1"/>
          <w:kern w:val="0"/>
          <w:sz w:val="28"/>
          <w14:textFill>
            <w14:solidFill>
              <w14:schemeClr w14:val="tx1"/>
            </w14:solidFill>
          </w14:textFill>
        </w:rPr>
        <w:t>，</w:t>
      </w:r>
      <w:r>
        <w:rPr>
          <w:snapToGrid w:val="0"/>
          <w:color w:val="000000" w:themeColor="text1"/>
          <w:kern w:val="0"/>
          <w:sz w:val="28"/>
          <w14:textFill>
            <w14:solidFill>
              <w14:schemeClr w14:val="tx1"/>
            </w14:solidFill>
          </w14:textFill>
        </w:rPr>
        <w:t>将加油站划分为以下</w:t>
      </w:r>
      <w:r>
        <w:rPr>
          <w:rFonts w:hint="eastAsia"/>
          <w:snapToGrid w:val="0"/>
          <w:color w:val="000000" w:themeColor="text1"/>
          <w:kern w:val="0"/>
          <w:sz w:val="28"/>
          <w14:textFill>
            <w14:solidFill>
              <w14:schemeClr w14:val="tx1"/>
            </w14:solidFill>
          </w14:textFill>
        </w:rPr>
        <w:t>8</w:t>
      </w:r>
      <w:r>
        <w:rPr>
          <w:snapToGrid w:val="0"/>
          <w:color w:val="000000" w:themeColor="text1"/>
          <w:kern w:val="0"/>
          <w:sz w:val="28"/>
          <w14:textFill>
            <w14:solidFill>
              <w14:schemeClr w14:val="tx1"/>
            </w14:solidFill>
          </w14:textFill>
        </w:rPr>
        <w:t>个评价单元：</w:t>
      </w:r>
    </w:p>
    <w:p w14:paraId="5AF805D8">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加油站基本条件；</w:t>
      </w:r>
    </w:p>
    <w:p w14:paraId="105643E5">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安全管理；</w:t>
      </w:r>
    </w:p>
    <w:p w14:paraId="38B9DE3C">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选址及总平面布置；</w:t>
      </w:r>
    </w:p>
    <w:p w14:paraId="268787B2">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加油工艺及设施；</w:t>
      </w:r>
    </w:p>
    <w:p w14:paraId="063CD16B">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消防设施及给排水；</w:t>
      </w:r>
    </w:p>
    <w:p w14:paraId="70C48872">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电气、报警和紧急切断系统；</w:t>
      </w:r>
    </w:p>
    <w:p w14:paraId="0ABDB9E0">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采暖通风、建（构）筑物、绿化</w:t>
      </w:r>
      <w:r>
        <w:rPr>
          <w:rFonts w:hint="eastAsia"/>
          <w:color w:val="000000" w:themeColor="text1"/>
          <w14:textFill>
            <w14:solidFill>
              <w14:schemeClr w14:val="tx1"/>
            </w14:solidFill>
          </w14:textFill>
        </w:rPr>
        <w:t>；</w:t>
      </w:r>
    </w:p>
    <w:p w14:paraId="64035713">
      <w:pPr>
        <w:numPr>
          <w:ilvl w:val="0"/>
          <w:numId w:val="11"/>
        </w:num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重大生产安全事故隐患排查</w:t>
      </w:r>
      <w:r>
        <w:rPr>
          <w:rFonts w:hint="eastAsia"/>
          <w:color w:val="000000" w:themeColor="text1"/>
          <w14:textFill>
            <w14:solidFill>
              <w14:schemeClr w14:val="tx1"/>
            </w14:solidFill>
          </w14:textFill>
        </w:rPr>
        <w:t>。</w:t>
      </w:r>
    </w:p>
    <w:p w14:paraId="490A8121">
      <w:pPr>
        <w:pStyle w:val="3"/>
        <w:rPr>
          <w:color w:val="000000" w:themeColor="text1"/>
          <w14:textFill>
            <w14:solidFill>
              <w14:schemeClr w14:val="tx1"/>
            </w14:solidFill>
          </w14:textFill>
        </w:rPr>
      </w:pPr>
      <w:bookmarkStart w:id="321" w:name="_Toc23143"/>
      <w:bookmarkStart w:id="322" w:name="_Toc29652"/>
      <w:r>
        <w:rPr>
          <w:color w:val="000000" w:themeColor="text1"/>
          <w14:textFill>
            <w14:solidFill>
              <w14:schemeClr w14:val="tx1"/>
            </w14:solidFill>
          </w14:textFill>
        </w:rPr>
        <w:t>4.2  评价方法的选择</w:t>
      </w:r>
      <w:bookmarkEnd w:id="321"/>
      <w:bookmarkEnd w:id="322"/>
    </w:p>
    <w:p w14:paraId="03243CB2">
      <w:pPr>
        <w:rPr>
          <w:color w:val="000000" w:themeColor="text1"/>
          <w14:textFill>
            <w14:solidFill>
              <w14:schemeClr w14:val="tx1"/>
            </w14:solidFill>
          </w14:textFill>
        </w:rPr>
      </w:pPr>
      <w:r>
        <w:rPr>
          <w:color w:val="000000" w:themeColor="text1"/>
          <w14:textFill>
            <w14:solidFill>
              <w14:schemeClr w14:val="tx1"/>
            </w14:solidFill>
          </w14:textFill>
        </w:rPr>
        <w:t>安全评价方法是进行定性、定量安全评价的工具。安全检查表分析就是其中之一。所谓安全检查表法分析，即为了查找工程、系统中各种设备设施、物料、工件、操作、管理和组织措施中的危险、有害因素，事先把检查对象加以分解，将大系统分割成若干小的子系统，以提问或打分的形式，将评价项目列表逐项检查，避免遗漏，通常将这种评价方法称为安全检查表分析，尤其适用于加油站安全评价，更具针对性、系统性和合理性。因此，本次评价将采用安全检查表分析的方法对其进行安全评价。</w:t>
      </w:r>
    </w:p>
    <w:p w14:paraId="692619C9">
      <w:pPr>
        <w:spacing w:before="120" w:after="120"/>
        <w:ind w:firstLine="0" w:firstLineChars="0"/>
        <w:jc w:val="center"/>
        <w:outlineLvl w:val="1"/>
        <w:rPr>
          <w:rFonts w:eastAsia="黑体"/>
          <w:b/>
          <w:color w:val="000000" w:themeColor="text1"/>
          <w:sz w:val="30"/>
          <w14:textFill>
            <w14:solidFill>
              <w14:schemeClr w14:val="tx1"/>
            </w14:solidFill>
          </w14:textFill>
        </w:rPr>
      </w:pPr>
      <w:bookmarkStart w:id="323" w:name="_Toc1274"/>
      <w:r>
        <w:rPr>
          <w:rFonts w:hint="eastAsia" w:eastAsia="黑体"/>
          <w:b/>
          <w:color w:val="000000" w:themeColor="text1"/>
          <w:sz w:val="30"/>
          <w14:textFill>
            <w14:solidFill>
              <w14:schemeClr w14:val="tx1"/>
            </w14:solidFill>
          </w14:textFill>
        </w:rPr>
        <w:t>4.3  选用的评价方法简介</w:t>
      </w:r>
      <w:bookmarkEnd w:id="323"/>
    </w:p>
    <w:p w14:paraId="1207D2DB">
      <w:pPr>
        <w:rPr>
          <w:color w:val="000000" w:themeColor="text1"/>
          <w14:textFill>
            <w14:solidFill>
              <w14:schemeClr w14:val="tx1"/>
            </w14:solidFill>
          </w14:textFill>
        </w:rPr>
      </w:pPr>
      <w:bookmarkStart w:id="324" w:name="_Toc21378"/>
      <w:r>
        <w:rPr>
          <w:color w:val="000000" w:themeColor="text1"/>
          <w14:textFill>
            <w14:solidFill>
              <w14:schemeClr w14:val="tx1"/>
            </w14:solidFill>
          </w14:textFill>
        </w:rPr>
        <w:t>安全检查表法</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为了系统地发现工厂、车间，工序或机器、设备、装置以及各种操作管理和组织措施中的不安全因素，事先把检查对象加以剖析，把大系统分割成小的子系统，查出不安全因素所在，然后确定检查项目，以提问的方式，将检查项目按系统或子系统顺序编制成表，以便进行检查，这种表称作安全检查表。安全检查表能根据预定的目的要求进行检查，突出重点、避免遗漏，便于发现和查明各种事故隐患；并可针对不同的对象编制安全检查表，使检查与事故分析标准化、规范化。</w:t>
      </w:r>
      <w:bookmarkEnd w:id="324"/>
    </w:p>
    <w:p w14:paraId="34CBD0BD">
      <w:pPr>
        <w:pStyle w:val="49"/>
        <w:ind w:firstLine="56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安全检查表的主要依据是：</w:t>
      </w:r>
    </w:p>
    <w:p w14:paraId="46AAD6B2">
      <w:pPr>
        <w:numPr>
          <w:ilvl w:val="0"/>
          <w:numId w:val="12"/>
        </w:numPr>
        <w:tabs>
          <w:tab w:val="left" w:pos="0"/>
        </w:tabs>
        <w:ind w:left="0" w:firstLine="560"/>
        <w:rPr>
          <w:color w:val="000000" w:themeColor="text1"/>
          <w14:textFill>
            <w14:solidFill>
              <w14:schemeClr w14:val="tx1"/>
            </w14:solidFill>
          </w14:textFill>
        </w:rPr>
      </w:pPr>
      <w:r>
        <w:rPr>
          <w:color w:val="000000" w:themeColor="text1"/>
          <w14:textFill>
            <w14:solidFill>
              <w14:schemeClr w14:val="tx1"/>
            </w14:solidFill>
          </w14:textFill>
        </w:rPr>
        <w:t>有关标准、规程、规范及规定；</w:t>
      </w:r>
    </w:p>
    <w:p w14:paraId="11DF969E">
      <w:pPr>
        <w:numPr>
          <w:ilvl w:val="0"/>
          <w:numId w:val="12"/>
        </w:numPr>
        <w:tabs>
          <w:tab w:val="left" w:pos="0"/>
        </w:tabs>
        <w:ind w:left="0" w:firstLine="560"/>
        <w:rPr>
          <w:color w:val="000000" w:themeColor="text1"/>
          <w14:textFill>
            <w14:solidFill>
              <w14:schemeClr w14:val="tx1"/>
            </w14:solidFill>
          </w14:textFill>
        </w:rPr>
      </w:pPr>
      <w:r>
        <w:rPr>
          <w:color w:val="000000" w:themeColor="text1"/>
          <w14:textFill>
            <w14:solidFill>
              <w14:schemeClr w14:val="tx1"/>
            </w14:solidFill>
          </w14:textFill>
        </w:rPr>
        <w:t>同类企业安全管理经验及国内外事故案例；</w:t>
      </w:r>
    </w:p>
    <w:p w14:paraId="5B54A6D6">
      <w:pPr>
        <w:numPr>
          <w:ilvl w:val="0"/>
          <w:numId w:val="12"/>
        </w:numPr>
        <w:tabs>
          <w:tab w:val="left" w:pos="0"/>
        </w:tabs>
        <w:ind w:left="0" w:firstLine="560"/>
        <w:rPr>
          <w:color w:val="000000" w:themeColor="text1"/>
          <w14:textFill>
            <w14:solidFill>
              <w14:schemeClr w14:val="tx1"/>
            </w14:solidFill>
          </w14:textFill>
        </w:rPr>
      </w:pPr>
      <w:r>
        <w:rPr>
          <w:color w:val="000000" w:themeColor="text1"/>
          <w14:textFill>
            <w14:solidFill>
              <w14:schemeClr w14:val="tx1"/>
            </w14:solidFill>
          </w14:textFill>
        </w:rPr>
        <w:t>通过系统安全分析确定的危险部位及防范措施；</w:t>
      </w:r>
    </w:p>
    <w:p w14:paraId="1D7F67C2">
      <w:pPr>
        <w:numPr>
          <w:ilvl w:val="0"/>
          <w:numId w:val="12"/>
        </w:numPr>
        <w:tabs>
          <w:tab w:val="left" w:pos="0"/>
        </w:tabs>
        <w:ind w:left="0" w:firstLine="560"/>
        <w:rPr>
          <w:color w:val="000000" w:themeColor="text1"/>
          <w14:textFill>
            <w14:solidFill>
              <w14:schemeClr w14:val="tx1"/>
            </w14:solidFill>
          </w14:textFill>
        </w:rPr>
      </w:pPr>
      <w:r>
        <w:rPr>
          <w:color w:val="000000" w:themeColor="text1"/>
          <w14:textFill>
            <w14:solidFill>
              <w14:schemeClr w14:val="tx1"/>
            </w14:solidFill>
          </w14:textFill>
        </w:rPr>
        <w:t>有关技术资料。</w:t>
      </w:r>
    </w:p>
    <w:p w14:paraId="6D96F6C5">
      <w:pPr>
        <w:pStyle w:val="49"/>
        <w:ind w:firstLine="56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安全检查表是列出检查要点逐项检查，检查结果以“符合或不符合”表示，这种否决型安全检查表是给一些重要的检查要点作出标记，这些检查要点如不满足，检查结果视为不合格，这样可以做到重点突出。</w:t>
      </w:r>
    </w:p>
    <w:p w14:paraId="6DA9B563">
      <w:pPr>
        <w:ind w:firstLine="602"/>
        <w:rPr>
          <w:rFonts w:eastAsia="黑体"/>
          <w:b/>
          <w:color w:val="000000" w:themeColor="text1"/>
          <w:sz w:val="30"/>
          <w14:textFill>
            <w14:solidFill>
              <w14:schemeClr w14:val="tx1"/>
            </w14:solidFill>
          </w14:textFill>
        </w:rPr>
        <w:sectPr>
          <w:pgSz w:w="11906" w:h="16838"/>
          <w:pgMar w:top="1417" w:right="1134" w:bottom="1134" w:left="1587" w:header="850" w:footer="992" w:gutter="0"/>
          <w:cols w:space="720" w:num="1"/>
          <w:docGrid w:linePitch="381" w:charSpace="0"/>
        </w:sectPr>
      </w:pPr>
    </w:p>
    <w:p w14:paraId="7DCD7B36">
      <w:pPr>
        <w:pStyle w:val="2"/>
        <w:rPr>
          <w:snapToGrid w:val="0"/>
          <w:color w:val="000000" w:themeColor="text1"/>
          <w14:textFill>
            <w14:solidFill>
              <w14:schemeClr w14:val="tx1"/>
            </w14:solidFill>
          </w14:textFill>
        </w:rPr>
      </w:pPr>
      <w:bookmarkStart w:id="325" w:name="_Toc30960"/>
      <w:bookmarkStart w:id="326" w:name="_Toc8955"/>
      <w:r>
        <w:rPr>
          <w:snapToGrid w:val="0"/>
          <w:color w:val="000000" w:themeColor="text1"/>
          <w14:textFill>
            <w14:solidFill>
              <w14:schemeClr w14:val="tx1"/>
            </w14:solidFill>
          </w14:textFill>
        </w:rPr>
        <w:t>5  定性、定量评价</w:t>
      </w:r>
      <w:bookmarkEnd w:id="325"/>
      <w:bookmarkEnd w:id="326"/>
    </w:p>
    <w:p w14:paraId="67F9F3B0">
      <w:pPr>
        <w:pStyle w:val="3"/>
        <w:rPr>
          <w:color w:val="000000" w:themeColor="text1"/>
          <w14:textFill>
            <w14:solidFill>
              <w14:schemeClr w14:val="tx1"/>
            </w14:solidFill>
          </w14:textFill>
        </w:rPr>
      </w:pPr>
      <w:bookmarkStart w:id="327" w:name="_Toc166118056"/>
      <w:bookmarkStart w:id="328" w:name="_Toc147388802"/>
      <w:bookmarkStart w:id="329" w:name="_Toc144886780"/>
      <w:bookmarkStart w:id="330" w:name="_Toc163694498"/>
      <w:bookmarkStart w:id="331" w:name="_Toc146454772"/>
      <w:bookmarkStart w:id="332" w:name="_Toc144873850"/>
      <w:bookmarkStart w:id="333" w:name="_Toc9755125"/>
      <w:bookmarkStart w:id="334" w:name="_Toc150078376"/>
      <w:bookmarkStart w:id="335" w:name="_Toc156029819"/>
      <w:bookmarkStart w:id="336" w:name="_Toc152490517"/>
      <w:bookmarkStart w:id="337" w:name="_Toc147388095"/>
      <w:bookmarkStart w:id="338" w:name="_Toc145472681"/>
      <w:bookmarkStart w:id="339" w:name="_Toc144691496"/>
      <w:bookmarkStart w:id="340" w:name="_Toc144693717"/>
      <w:bookmarkStart w:id="341" w:name="_Toc146456461"/>
      <w:bookmarkStart w:id="342" w:name="_Toc156033579"/>
      <w:bookmarkStart w:id="343" w:name="_Toc153013335"/>
      <w:bookmarkStart w:id="344" w:name="_Toc152147157"/>
      <w:bookmarkStart w:id="345" w:name="_Toc147389701"/>
      <w:bookmarkStart w:id="346" w:name="_Toc144691730"/>
      <w:bookmarkStart w:id="347" w:name="_Toc152401027"/>
      <w:bookmarkStart w:id="348" w:name="_Toc146456684"/>
      <w:bookmarkStart w:id="349" w:name="_Toc153613490"/>
      <w:bookmarkStart w:id="350" w:name="_Toc163648869"/>
      <w:bookmarkStart w:id="351" w:name="_Toc147388989"/>
      <w:bookmarkStart w:id="352" w:name="_Toc153082050"/>
      <w:bookmarkStart w:id="353" w:name="_Toc152145331"/>
      <w:bookmarkStart w:id="354" w:name="_Toc152490387"/>
      <w:bookmarkStart w:id="355" w:name="_Toc148576401"/>
      <w:bookmarkStart w:id="356" w:name="_Toc152146843"/>
      <w:bookmarkStart w:id="357" w:name="_Toc32389"/>
      <w:bookmarkStart w:id="358" w:name="_Toc20678"/>
      <w:r>
        <w:rPr>
          <w:color w:val="000000" w:themeColor="text1"/>
          <w14:textFill>
            <w14:solidFill>
              <w14:schemeClr w14:val="tx1"/>
            </w14:solidFill>
          </w14:textFill>
        </w:rPr>
        <w:t>5.1  安全检查表</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color w:val="000000" w:themeColor="text1"/>
          <w14:textFill>
            <w14:solidFill>
              <w14:schemeClr w14:val="tx1"/>
            </w14:solidFill>
          </w14:textFill>
        </w:rPr>
        <w:t>法评价</w:t>
      </w:r>
      <w:bookmarkEnd w:id="357"/>
      <w:bookmarkEnd w:id="358"/>
    </w:p>
    <w:p w14:paraId="5537C7FB">
      <w:pPr>
        <w:rPr>
          <w:color w:val="000000" w:themeColor="text1"/>
          <w14:textFill>
            <w14:solidFill>
              <w14:schemeClr w14:val="tx1"/>
            </w14:solidFill>
          </w14:textFill>
        </w:rPr>
      </w:pPr>
      <w:bookmarkStart w:id="359" w:name="_Toc152490388"/>
      <w:bookmarkStart w:id="360" w:name="_Toc146456462"/>
      <w:bookmarkStart w:id="361" w:name="_Toc156033580"/>
      <w:bookmarkStart w:id="362" w:name="_Toc163648870"/>
      <w:bookmarkStart w:id="363" w:name="_Toc153082051"/>
      <w:bookmarkStart w:id="364" w:name="_Toc147388096"/>
      <w:bookmarkStart w:id="365" w:name="_Toc153013336"/>
      <w:bookmarkStart w:id="366" w:name="_Toc150078377"/>
      <w:bookmarkStart w:id="367" w:name="_Toc166118057"/>
      <w:bookmarkStart w:id="368" w:name="_Toc152490518"/>
      <w:bookmarkStart w:id="369" w:name="_Toc163694499"/>
      <w:bookmarkStart w:id="370" w:name="_Toc153613491"/>
      <w:bookmarkStart w:id="371" w:name="_Toc152145332"/>
      <w:bookmarkStart w:id="372" w:name="_Toc152147158"/>
      <w:bookmarkStart w:id="373" w:name="_Toc146456685"/>
      <w:bookmarkStart w:id="374" w:name="_Toc147388990"/>
      <w:bookmarkStart w:id="375" w:name="_Toc152146844"/>
      <w:bookmarkStart w:id="376" w:name="_Toc148576402"/>
      <w:bookmarkStart w:id="377" w:name="_Toc156029820"/>
      <w:bookmarkStart w:id="378" w:name="_Toc147389702"/>
      <w:bookmarkStart w:id="379" w:name="_Toc152401028"/>
      <w:bookmarkStart w:id="380" w:name="_Toc147388803"/>
      <w:bookmarkStart w:id="381" w:name="_Toc166118058"/>
      <w:bookmarkStart w:id="382" w:name="_Toc153013337"/>
      <w:bookmarkStart w:id="383" w:name="_Toc156033581"/>
      <w:bookmarkStart w:id="384" w:name="_Toc152992360"/>
      <w:bookmarkStart w:id="385" w:name="_Toc163648871"/>
      <w:bookmarkStart w:id="386" w:name="_Toc156029821"/>
      <w:bookmarkStart w:id="387" w:name="_Toc153613492"/>
      <w:bookmarkStart w:id="388" w:name="_Toc152992289"/>
      <w:bookmarkStart w:id="389" w:name="_Toc163694500"/>
      <w:bookmarkStart w:id="390" w:name="_Toc153082052"/>
      <w:r>
        <w:rPr>
          <w:color w:val="000000" w:themeColor="text1"/>
          <w14:textFill>
            <w14:solidFill>
              <w14:schemeClr w14:val="tx1"/>
            </w14:solidFill>
          </w14:textFill>
        </w:rPr>
        <w:t>本评价采用安全检查表法进行评价，有关评价结果，见表5.1-1~5.1-7。</w:t>
      </w:r>
    </w:p>
    <w:p w14:paraId="2D383219">
      <w:pPr>
        <w:rPr>
          <w:rFonts w:hint="eastAsia"/>
          <w:color w:val="000000" w:themeColor="text1"/>
          <w:lang w:eastAsia="zh-CN"/>
          <w14:textFill>
            <w14:solidFill>
              <w14:schemeClr w14:val="tx1"/>
            </w14:solidFill>
          </w14:textFill>
        </w:rPr>
      </w:pPr>
      <w:bookmarkStart w:id="391" w:name="_Toc14919"/>
      <w:bookmarkStart w:id="392" w:name="_Toc9755126"/>
      <w:r>
        <w:rPr>
          <w:rFonts w:hint="eastAsia"/>
          <w:color w:val="000000" w:themeColor="text1"/>
          <w:lang w:eastAsia="zh-CN"/>
          <w14:textFill>
            <w14:solidFill>
              <w14:schemeClr w14:val="tx1"/>
            </w14:solidFill>
          </w14:textFill>
        </w:rPr>
        <w:t>……</w:t>
      </w:r>
    </w:p>
    <w:p w14:paraId="58551CBD">
      <w:pPr>
        <w:rPr>
          <w:color w:val="000000" w:themeColor="text1"/>
          <w14:textFill>
            <w14:solidFill>
              <w14:schemeClr w14:val="tx1"/>
            </w14:solidFill>
          </w14:textFill>
        </w:rPr>
      </w:pPr>
      <w:r>
        <w:rPr>
          <w:color w:val="000000" w:themeColor="text1"/>
          <w14:textFill>
            <w14:solidFill>
              <w14:schemeClr w14:val="tx1"/>
            </w14:solidFill>
          </w14:textFill>
        </w:rPr>
        <w:t>小结：重大生产安全事故隐患单元共设</w:t>
      </w:r>
      <w:r>
        <w:rPr>
          <w:rFonts w:hint="eastAsia"/>
          <w:color w:val="000000" w:themeColor="text1"/>
          <w14:textFill>
            <w14:solidFill>
              <w14:schemeClr w14:val="tx1"/>
            </w14:solidFill>
          </w14:textFill>
        </w:rPr>
        <w:t>49</w:t>
      </w:r>
      <w:r>
        <w:rPr>
          <w:color w:val="000000" w:themeColor="text1"/>
          <w14:textFill>
            <w14:solidFill>
              <w14:schemeClr w14:val="tx1"/>
            </w14:solidFill>
          </w14:textFill>
        </w:rPr>
        <w:t>项评价内容，</w:t>
      </w:r>
      <w:r>
        <w:rPr>
          <w:rFonts w:hint="eastAsia"/>
          <w:color w:val="000000" w:themeColor="text1"/>
          <w14:textFill>
            <w14:solidFill>
              <w14:schemeClr w14:val="tx1"/>
            </w14:solidFill>
          </w14:textFill>
        </w:rPr>
        <w:t>本项目不涉及</w:t>
      </w:r>
      <w:r>
        <w:rPr>
          <w:color w:val="000000" w:themeColor="text1"/>
          <w14:textFill>
            <w14:solidFill>
              <w14:schemeClr w14:val="tx1"/>
            </w14:solidFill>
          </w14:textFill>
        </w:rPr>
        <w:t>重大生产安全事故隐患。</w:t>
      </w:r>
    </w:p>
    <w:p w14:paraId="427EC144">
      <w:pPr>
        <w:pStyle w:val="3"/>
        <w:rPr>
          <w:color w:val="000000" w:themeColor="text1"/>
          <w14:textFill>
            <w14:solidFill>
              <w14:schemeClr w14:val="tx1"/>
            </w14:solidFill>
          </w14:textFill>
        </w:rPr>
      </w:pPr>
      <w:bookmarkStart w:id="393" w:name="_Toc16211"/>
      <w:r>
        <w:rPr>
          <w:color w:val="000000" w:themeColor="text1"/>
          <w14:textFill>
            <w14:solidFill>
              <w14:schemeClr w14:val="tx1"/>
            </w14:solidFill>
          </w14:textFill>
        </w:rPr>
        <w:t>5.2  安全检查表检查结果</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91"/>
      <w:bookmarkEnd w:id="392"/>
      <w:bookmarkEnd w:id="393"/>
    </w:p>
    <w:p w14:paraId="7A513B20">
      <w:pPr>
        <w:rPr>
          <w:color w:val="000000" w:themeColor="text1"/>
          <w14:textFill>
            <w14:solidFill>
              <w14:schemeClr w14:val="tx1"/>
            </w14:solidFill>
          </w14:textFill>
        </w:rPr>
      </w:pPr>
      <w:bookmarkStart w:id="394" w:name="_Toc9755127"/>
      <w:r>
        <w:rPr>
          <w:color w:val="000000" w:themeColor="text1"/>
          <w14:textFill>
            <w14:solidFill>
              <w14:schemeClr w14:val="tx1"/>
            </w14:solidFill>
          </w14:textFill>
        </w:rPr>
        <w:t>安全检查表的检查结果（见表5.2-1）为：</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个评价单元总检查项目为</w:t>
      </w:r>
      <w:r>
        <w:rPr>
          <w:rFonts w:hint="eastAsia"/>
          <w:color w:val="000000" w:themeColor="text1"/>
          <w14:textFill>
            <w14:solidFill>
              <w14:schemeClr w14:val="tx1"/>
            </w14:solidFill>
          </w14:textFill>
        </w:rPr>
        <w:t>204</w:t>
      </w:r>
      <w:r>
        <w:rPr>
          <w:color w:val="000000" w:themeColor="text1"/>
          <w14:textFill>
            <w14:solidFill>
              <w14:schemeClr w14:val="tx1"/>
            </w14:solidFill>
          </w14:textFill>
        </w:rPr>
        <w:t>项，其中符合项为</w:t>
      </w:r>
      <w:r>
        <w:rPr>
          <w:rFonts w:hint="eastAsia"/>
          <w:color w:val="000000" w:themeColor="text1"/>
          <w14:textFill>
            <w14:solidFill>
              <w14:schemeClr w14:val="tx1"/>
            </w14:solidFill>
          </w14:textFill>
        </w:rPr>
        <w:t>134</w:t>
      </w:r>
      <w:r>
        <w:rPr>
          <w:color w:val="000000" w:themeColor="text1"/>
          <w14:textFill>
            <w14:solidFill>
              <w14:schemeClr w14:val="tx1"/>
            </w14:solidFill>
          </w14:textFill>
        </w:rPr>
        <w:t>项，</w:t>
      </w:r>
      <w:r>
        <w:rPr>
          <w:rFonts w:hint="eastAsia"/>
          <w:color w:val="000000" w:themeColor="text1"/>
          <w14:textFill>
            <w14:solidFill>
              <w14:schemeClr w14:val="tx1"/>
            </w14:solidFill>
          </w14:textFill>
        </w:rPr>
        <w:t>不符合项为2项，</w:t>
      </w:r>
      <w:r>
        <w:rPr>
          <w:color w:val="000000" w:themeColor="text1"/>
          <w14:textFill>
            <w14:solidFill>
              <w14:schemeClr w14:val="tx1"/>
            </w14:solidFill>
          </w14:textFill>
        </w:rPr>
        <w:t>无关项为</w:t>
      </w:r>
      <w:r>
        <w:rPr>
          <w:rFonts w:hint="eastAsia"/>
          <w:color w:val="000000" w:themeColor="text1"/>
          <w14:textFill>
            <w14:solidFill>
              <w14:schemeClr w14:val="tx1"/>
            </w14:solidFill>
          </w14:textFill>
        </w:rPr>
        <w:t>19</w:t>
      </w:r>
      <w:r>
        <w:rPr>
          <w:color w:val="000000" w:themeColor="text1"/>
          <w14:textFill>
            <w14:solidFill>
              <w14:schemeClr w14:val="tx1"/>
            </w14:solidFill>
          </w14:textFill>
        </w:rPr>
        <w:t>项</w:t>
      </w:r>
      <w:r>
        <w:rPr>
          <w:rFonts w:hint="eastAsia"/>
          <w:color w:val="000000" w:themeColor="text1"/>
          <w14:textFill>
            <w14:solidFill>
              <w14:schemeClr w14:val="tx1"/>
            </w14:solidFill>
          </w14:textFill>
        </w:rPr>
        <w:t>，49项</w:t>
      </w:r>
      <w:r>
        <w:rPr>
          <w:color w:val="000000" w:themeColor="text1"/>
          <w14:textFill>
            <w14:solidFill>
              <w14:schemeClr w14:val="tx1"/>
            </w14:solidFill>
          </w14:textFill>
        </w:rPr>
        <w:t>重大生产安全事故隐患</w:t>
      </w:r>
      <w:r>
        <w:rPr>
          <w:rFonts w:hint="eastAsia"/>
          <w:color w:val="000000" w:themeColor="text1"/>
          <w14:textFill>
            <w14:solidFill>
              <w14:schemeClr w14:val="tx1"/>
            </w14:solidFill>
          </w14:textFill>
        </w:rPr>
        <w:t>为不涉及。</w:t>
      </w:r>
      <w:r>
        <w:rPr>
          <w:color w:val="000000" w:themeColor="text1"/>
          <w14:textFill>
            <w14:solidFill>
              <w14:schemeClr w14:val="tx1"/>
            </w14:solidFill>
          </w14:textFill>
        </w:rPr>
        <w:t>。</w:t>
      </w:r>
    </w:p>
    <w:p w14:paraId="53D27EB1">
      <w:pPr>
        <w:pStyle w:val="42"/>
        <w:rPr>
          <w:color w:val="000000" w:themeColor="text1"/>
          <w14:textFill>
            <w14:solidFill>
              <w14:schemeClr w14:val="tx1"/>
            </w14:solidFill>
          </w14:textFill>
        </w:rPr>
      </w:pPr>
      <w:r>
        <w:rPr>
          <w:color w:val="000000" w:themeColor="text1"/>
          <w14:textFill>
            <w14:solidFill>
              <w14:schemeClr w14:val="tx1"/>
            </w14:solidFill>
          </w14:textFill>
        </w:rPr>
        <w:t>表5.2-1  检查结论汇总表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7"/>
        <w:gridCol w:w="1827"/>
        <w:gridCol w:w="1959"/>
        <w:gridCol w:w="1648"/>
        <w:gridCol w:w="1880"/>
      </w:tblGrid>
      <w:tr w14:paraId="133D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blHeader/>
          <w:jc w:val="center"/>
        </w:trPr>
        <w:tc>
          <w:tcPr>
            <w:tcW w:w="2087" w:type="dxa"/>
            <w:tcBorders>
              <w:tl2br w:val="single" w:color="auto" w:sz="4" w:space="0"/>
            </w:tcBorders>
            <w:vAlign w:val="center"/>
          </w:tcPr>
          <w:p w14:paraId="0DDC967C">
            <w:pPr>
              <w:pStyle w:val="41"/>
              <w:rPr>
                <w:color w:val="000000" w:themeColor="text1"/>
                <w14:textFill>
                  <w14:solidFill>
                    <w14:schemeClr w14:val="tx1"/>
                  </w14:solidFill>
                </w14:textFill>
              </w:rPr>
            </w:pPr>
            <w:r>
              <w:rPr>
                <w:color w:val="000000" w:themeColor="text1"/>
                <w14:textFill>
                  <w14:solidFill>
                    <w14:schemeClr w14:val="tx1"/>
                  </w14:solidFill>
                </w14:textFill>
              </w:rPr>
              <w:t xml:space="preserve">            类别</w:t>
            </w:r>
          </w:p>
          <w:p w14:paraId="11A13072">
            <w:pPr>
              <w:pStyle w:val="41"/>
              <w:rPr>
                <w:color w:val="000000" w:themeColor="text1"/>
                <w14:textFill>
                  <w14:solidFill>
                    <w14:schemeClr w14:val="tx1"/>
                  </w14:solidFill>
                </w14:textFill>
              </w:rPr>
            </w:pPr>
            <w:r>
              <w:rPr>
                <w:color w:val="000000" w:themeColor="text1"/>
                <w14:textFill>
                  <w14:solidFill>
                    <w14:schemeClr w14:val="tx1"/>
                  </w14:solidFill>
                </w14:textFill>
              </w:rPr>
              <w:t>单元</w:t>
            </w:r>
          </w:p>
        </w:tc>
        <w:tc>
          <w:tcPr>
            <w:tcW w:w="1827" w:type="dxa"/>
            <w:vAlign w:val="center"/>
          </w:tcPr>
          <w:p w14:paraId="4BE06AD8">
            <w:pPr>
              <w:pStyle w:val="41"/>
              <w:rPr>
                <w:color w:val="000000" w:themeColor="text1"/>
                <w14:textFill>
                  <w14:solidFill>
                    <w14:schemeClr w14:val="tx1"/>
                  </w14:solidFill>
                </w14:textFill>
              </w:rPr>
            </w:pPr>
            <w:r>
              <w:rPr>
                <w:color w:val="000000" w:themeColor="text1"/>
                <w14:textFill>
                  <w14:solidFill>
                    <w14:schemeClr w14:val="tx1"/>
                  </w14:solidFill>
                </w14:textFill>
              </w:rPr>
              <w:t>总 项</w:t>
            </w:r>
          </w:p>
        </w:tc>
        <w:tc>
          <w:tcPr>
            <w:tcW w:w="1959" w:type="dxa"/>
            <w:vAlign w:val="center"/>
          </w:tcPr>
          <w:p w14:paraId="5545C1D6">
            <w:pPr>
              <w:pStyle w:val="41"/>
              <w:rPr>
                <w:color w:val="000000" w:themeColor="text1"/>
                <w14:textFill>
                  <w14:solidFill>
                    <w14:schemeClr w14:val="tx1"/>
                  </w14:solidFill>
                </w14:textFill>
              </w:rPr>
            </w:pPr>
            <w:r>
              <w:rPr>
                <w:color w:val="000000" w:themeColor="text1"/>
                <w14:textFill>
                  <w14:solidFill>
                    <w14:schemeClr w14:val="tx1"/>
                  </w14:solidFill>
                </w14:textFill>
              </w:rPr>
              <w:t>符 合</w:t>
            </w:r>
          </w:p>
        </w:tc>
        <w:tc>
          <w:tcPr>
            <w:tcW w:w="1648" w:type="dxa"/>
            <w:vAlign w:val="center"/>
          </w:tcPr>
          <w:p w14:paraId="7DC71641">
            <w:pPr>
              <w:pStyle w:val="41"/>
              <w:rPr>
                <w:color w:val="000000" w:themeColor="text1"/>
                <w14:textFill>
                  <w14:solidFill>
                    <w14:schemeClr w14:val="tx1"/>
                  </w14:solidFill>
                </w14:textFill>
              </w:rPr>
            </w:pPr>
            <w:r>
              <w:rPr>
                <w:color w:val="000000" w:themeColor="text1"/>
                <w14:textFill>
                  <w14:solidFill>
                    <w14:schemeClr w14:val="tx1"/>
                  </w14:solidFill>
                </w14:textFill>
              </w:rPr>
              <w:t>不 符 合</w:t>
            </w:r>
          </w:p>
        </w:tc>
        <w:tc>
          <w:tcPr>
            <w:tcW w:w="1880" w:type="dxa"/>
            <w:vAlign w:val="center"/>
          </w:tcPr>
          <w:p w14:paraId="2A63A7BF">
            <w:pPr>
              <w:pStyle w:val="41"/>
              <w:rPr>
                <w:color w:val="000000" w:themeColor="text1"/>
                <w14:textFill>
                  <w14:solidFill>
                    <w14:schemeClr w14:val="tx1"/>
                  </w14:solidFill>
                </w14:textFill>
              </w:rPr>
            </w:pPr>
            <w:r>
              <w:rPr>
                <w:color w:val="000000" w:themeColor="text1"/>
                <w14:textFill>
                  <w14:solidFill>
                    <w14:schemeClr w14:val="tx1"/>
                  </w14:solidFill>
                </w14:textFill>
              </w:rPr>
              <w:t>无关</w:t>
            </w:r>
          </w:p>
        </w:tc>
      </w:tr>
      <w:tr w14:paraId="0613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4A068C23">
            <w:pPr>
              <w:pStyle w:val="41"/>
              <w:rPr>
                <w:color w:val="000000" w:themeColor="text1"/>
                <w14:textFill>
                  <w14:solidFill>
                    <w14:schemeClr w14:val="tx1"/>
                  </w14:solidFill>
                </w14:textFill>
              </w:rPr>
            </w:pPr>
            <w:r>
              <w:rPr>
                <w:color w:val="000000" w:themeColor="text1"/>
                <w14:textFill>
                  <w14:solidFill>
                    <w14:schemeClr w14:val="tx1"/>
                  </w14:solidFill>
                </w14:textFill>
              </w:rPr>
              <w:t>基本条件</w:t>
            </w:r>
          </w:p>
        </w:tc>
        <w:tc>
          <w:tcPr>
            <w:tcW w:w="1827" w:type="dxa"/>
            <w:vAlign w:val="center"/>
          </w:tcPr>
          <w:p w14:paraId="2C20C07B">
            <w:pPr>
              <w:pStyle w:val="41"/>
              <w:rPr>
                <w:color w:val="000000" w:themeColor="text1"/>
                <w14:textFill>
                  <w14:solidFill>
                    <w14:schemeClr w14:val="tx1"/>
                  </w14:solidFill>
                </w14:textFill>
              </w:rPr>
            </w:pPr>
            <w:r>
              <w:rPr>
                <w:color w:val="000000" w:themeColor="text1"/>
                <w14:textFill>
                  <w14:solidFill>
                    <w14:schemeClr w14:val="tx1"/>
                  </w14:solidFill>
                </w14:textFill>
              </w:rPr>
              <w:t>6</w:t>
            </w:r>
          </w:p>
        </w:tc>
        <w:tc>
          <w:tcPr>
            <w:tcW w:w="1959" w:type="dxa"/>
            <w:vAlign w:val="center"/>
          </w:tcPr>
          <w:p w14:paraId="445DD2C6">
            <w:pPr>
              <w:pStyle w:val="41"/>
              <w:rPr>
                <w:color w:val="000000" w:themeColor="text1"/>
                <w14:textFill>
                  <w14:solidFill>
                    <w14:schemeClr w14:val="tx1"/>
                  </w14:solidFill>
                </w14:textFill>
              </w:rPr>
            </w:pPr>
            <w:r>
              <w:rPr>
                <w:color w:val="000000" w:themeColor="text1"/>
                <w14:textFill>
                  <w14:solidFill>
                    <w14:schemeClr w14:val="tx1"/>
                  </w14:solidFill>
                </w14:textFill>
              </w:rPr>
              <w:t>6</w:t>
            </w:r>
          </w:p>
        </w:tc>
        <w:tc>
          <w:tcPr>
            <w:tcW w:w="1648" w:type="dxa"/>
            <w:vAlign w:val="center"/>
          </w:tcPr>
          <w:p w14:paraId="3C24793E">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c>
          <w:tcPr>
            <w:tcW w:w="1880" w:type="dxa"/>
            <w:vAlign w:val="center"/>
          </w:tcPr>
          <w:p w14:paraId="1D41DF8A">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r>
      <w:tr w14:paraId="7A17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42B95F47">
            <w:pPr>
              <w:pStyle w:val="41"/>
              <w:rPr>
                <w:color w:val="000000" w:themeColor="text1"/>
                <w14:textFill>
                  <w14:solidFill>
                    <w14:schemeClr w14:val="tx1"/>
                  </w14:solidFill>
                </w14:textFill>
              </w:rPr>
            </w:pPr>
            <w:r>
              <w:rPr>
                <w:color w:val="000000" w:themeColor="text1"/>
                <w14:textFill>
                  <w14:solidFill>
                    <w14:schemeClr w14:val="tx1"/>
                  </w14:solidFill>
                </w14:textFill>
              </w:rPr>
              <w:t>安全管理</w:t>
            </w:r>
          </w:p>
        </w:tc>
        <w:tc>
          <w:tcPr>
            <w:tcW w:w="1827" w:type="dxa"/>
            <w:vAlign w:val="center"/>
          </w:tcPr>
          <w:p w14:paraId="12D6741D">
            <w:pPr>
              <w:pStyle w:val="41"/>
              <w:rPr>
                <w:color w:val="000000" w:themeColor="text1"/>
                <w14:textFill>
                  <w14:solidFill>
                    <w14:schemeClr w14:val="tx1"/>
                  </w14:solidFill>
                </w14:textFill>
              </w:rPr>
            </w:pPr>
            <w:r>
              <w:rPr>
                <w:color w:val="000000" w:themeColor="text1"/>
                <w14:textFill>
                  <w14:solidFill>
                    <w14:schemeClr w14:val="tx1"/>
                  </w14:solidFill>
                </w14:textFill>
              </w:rPr>
              <w:t>26</w:t>
            </w:r>
          </w:p>
        </w:tc>
        <w:tc>
          <w:tcPr>
            <w:tcW w:w="1959" w:type="dxa"/>
            <w:vAlign w:val="center"/>
          </w:tcPr>
          <w:p w14:paraId="5831C0FB">
            <w:pPr>
              <w:pStyle w:val="41"/>
              <w:rPr>
                <w:color w:val="000000" w:themeColor="text1"/>
                <w14:textFill>
                  <w14:solidFill>
                    <w14:schemeClr w14:val="tx1"/>
                  </w14:solidFill>
                </w14:textFill>
              </w:rPr>
            </w:pPr>
            <w:r>
              <w:rPr>
                <w:color w:val="000000" w:themeColor="text1"/>
                <w14:textFill>
                  <w14:solidFill>
                    <w14:schemeClr w14:val="tx1"/>
                  </w14:solidFill>
                </w14:textFill>
              </w:rPr>
              <w:t>26</w:t>
            </w:r>
          </w:p>
        </w:tc>
        <w:tc>
          <w:tcPr>
            <w:tcW w:w="1648" w:type="dxa"/>
            <w:vAlign w:val="center"/>
          </w:tcPr>
          <w:p w14:paraId="78ED5546">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c>
          <w:tcPr>
            <w:tcW w:w="1880" w:type="dxa"/>
            <w:vAlign w:val="center"/>
          </w:tcPr>
          <w:p w14:paraId="2110A40C">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r>
      <w:tr w14:paraId="70A0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472570D8">
            <w:pPr>
              <w:pStyle w:val="41"/>
              <w:rPr>
                <w:color w:val="000000" w:themeColor="text1"/>
                <w14:textFill>
                  <w14:solidFill>
                    <w14:schemeClr w14:val="tx1"/>
                  </w14:solidFill>
                </w14:textFill>
              </w:rPr>
            </w:pPr>
            <w:r>
              <w:rPr>
                <w:color w:val="000000" w:themeColor="text1"/>
                <w14:textFill>
                  <w14:solidFill>
                    <w14:schemeClr w14:val="tx1"/>
                  </w14:solidFill>
                </w14:textFill>
              </w:rPr>
              <w:t>选址及总平面布置</w:t>
            </w:r>
          </w:p>
        </w:tc>
        <w:tc>
          <w:tcPr>
            <w:tcW w:w="1827" w:type="dxa"/>
            <w:vAlign w:val="center"/>
          </w:tcPr>
          <w:p w14:paraId="03FEDD16">
            <w:pPr>
              <w:pStyle w:val="41"/>
              <w:rPr>
                <w:color w:val="000000" w:themeColor="text1"/>
                <w14:textFill>
                  <w14:solidFill>
                    <w14:schemeClr w14:val="tx1"/>
                  </w14:solidFill>
                </w14:textFill>
              </w:rPr>
            </w:pPr>
            <w:r>
              <w:rPr>
                <w:color w:val="000000" w:themeColor="text1"/>
                <w14:textFill>
                  <w14:solidFill>
                    <w14:schemeClr w14:val="tx1"/>
                  </w14:solidFill>
                </w14:textFill>
              </w:rPr>
              <w:t>22</w:t>
            </w:r>
          </w:p>
        </w:tc>
        <w:tc>
          <w:tcPr>
            <w:tcW w:w="1959" w:type="dxa"/>
            <w:vAlign w:val="center"/>
          </w:tcPr>
          <w:p w14:paraId="43A787E7">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1648" w:type="dxa"/>
            <w:vAlign w:val="center"/>
          </w:tcPr>
          <w:p w14:paraId="4ED7705F">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880" w:type="dxa"/>
            <w:vAlign w:val="center"/>
          </w:tcPr>
          <w:p w14:paraId="2AE8DE0F">
            <w:pPr>
              <w:pStyle w:val="41"/>
              <w:rPr>
                <w:color w:val="000000" w:themeColor="text1"/>
                <w14:textFill>
                  <w14:solidFill>
                    <w14:schemeClr w14:val="tx1"/>
                  </w14:solidFill>
                </w14:textFill>
              </w:rPr>
            </w:pPr>
            <w:r>
              <w:rPr>
                <w:color w:val="000000" w:themeColor="text1"/>
                <w14:textFill>
                  <w14:solidFill>
                    <w14:schemeClr w14:val="tx1"/>
                  </w14:solidFill>
                </w14:textFill>
              </w:rPr>
              <w:t>2</w:t>
            </w:r>
          </w:p>
        </w:tc>
      </w:tr>
      <w:tr w14:paraId="4F96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2014A661">
            <w:pPr>
              <w:pStyle w:val="41"/>
              <w:rPr>
                <w:color w:val="000000" w:themeColor="text1"/>
                <w14:textFill>
                  <w14:solidFill>
                    <w14:schemeClr w14:val="tx1"/>
                  </w14:solidFill>
                </w14:textFill>
              </w:rPr>
            </w:pPr>
            <w:r>
              <w:rPr>
                <w:color w:val="000000" w:themeColor="text1"/>
                <w14:textFill>
                  <w14:solidFill>
                    <w14:schemeClr w14:val="tx1"/>
                  </w14:solidFill>
                </w14:textFill>
              </w:rPr>
              <w:t>加油工艺及设施</w:t>
            </w:r>
          </w:p>
        </w:tc>
        <w:tc>
          <w:tcPr>
            <w:tcW w:w="1827" w:type="dxa"/>
            <w:vAlign w:val="center"/>
          </w:tcPr>
          <w:p w14:paraId="233E7BD5">
            <w:pPr>
              <w:pStyle w:val="41"/>
              <w:rPr>
                <w:color w:val="000000" w:themeColor="text1"/>
                <w14:textFill>
                  <w14:solidFill>
                    <w14:schemeClr w14:val="tx1"/>
                  </w14:solidFill>
                </w14:textFill>
              </w:rPr>
            </w:pPr>
            <w:r>
              <w:rPr>
                <w:color w:val="000000" w:themeColor="text1"/>
                <w14:textFill>
                  <w14:solidFill>
                    <w14:schemeClr w14:val="tx1"/>
                  </w14:solidFill>
                </w14:textFill>
              </w:rPr>
              <w:t>50</w:t>
            </w:r>
          </w:p>
        </w:tc>
        <w:tc>
          <w:tcPr>
            <w:tcW w:w="1959" w:type="dxa"/>
            <w:vAlign w:val="center"/>
          </w:tcPr>
          <w:p w14:paraId="3D74C15E">
            <w:pPr>
              <w:pStyle w:val="41"/>
              <w:rPr>
                <w:color w:val="000000" w:themeColor="text1"/>
                <w14:textFill>
                  <w14:solidFill>
                    <w14:schemeClr w14:val="tx1"/>
                  </w14:solidFill>
                </w14:textFill>
              </w:rPr>
            </w:pPr>
            <w:r>
              <w:rPr>
                <w:color w:val="000000" w:themeColor="text1"/>
                <w14:textFill>
                  <w14:solidFill>
                    <w14:schemeClr w14:val="tx1"/>
                  </w14:solidFill>
                </w14:textFill>
              </w:rPr>
              <w:t>40</w:t>
            </w:r>
          </w:p>
        </w:tc>
        <w:tc>
          <w:tcPr>
            <w:tcW w:w="1648" w:type="dxa"/>
            <w:vAlign w:val="center"/>
          </w:tcPr>
          <w:p w14:paraId="0EA1CEDE">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c>
          <w:tcPr>
            <w:tcW w:w="1880" w:type="dxa"/>
            <w:vAlign w:val="center"/>
          </w:tcPr>
          <w:p w14:paraId="57256FD5">
            <w:pPr>
              <w:pStyle w:val="41"/>
              <w:rPr>
                <w:color w:val="000000" w:themeColor="text1"/>
                <w14:textFill>
                  <w14:solidFill>
                    <w14:schemeClr w14:val="tx1"/>
                  </w14:solidFill>
                </w14:textFill>
              </w:rPr>
            </w:pPr>
            <w:r>
              <w:rPr>
                <w:color w:val="000000" w:themeColor="text1"/>
                <w14:textFill>
                  <w14:solidFill>
                    <w14:schemeClr w14:val="tx1"/>
                  </w14:solidFill>
                </w14:textFill>
              </w:rPr>
              <w:t>10</w:t>
            </w:r>
          </w:p>
        </w:tc>
      </w:tr>
      <w:tr w14:paraId="1331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109E8A39">
            <w:pPr>
              <w:pStyle w:val="41"/>
              <w:rPr>
                <w:color w:val="000000" w:themeColor="text1"/>
                <w14:textFill>
                  <w14:solidFill>
                    <w14:schemeClr w14:val="tx1"/>
                  </w14:solidFill>
                </w14:textFill>
              </w:rPr>
            </w:pPr>
            <w:r>
              <w:rPr>
                <w:color w:val="000000" w:themeColor="text1"/>
                <w14:textFill>
                  <w14:solidFill>
                    <w14:schemeClr w14:val="tx1"/>
                  </w14:solidFill>
                </w14:textFill>
              </w:rPr>
              <w:t>消防设施及给排水</w:t>
            </w:r>
          </w:p>
        </w:tc>
        <w:tc>
          <w:tcPr>
            <w:tcW w:w="1827" w:type="dxa"/>
            <w:vAlign w:val="center"/>
          </w:tcPr>
          <w:p w14:paraId="600306D8">
            <w:pPr>
              <w:pStyle w:val="41"/>
              <w:rPr>
                <w:color w:val="000000" w:themeColor="text1"/>
                <w14:textFill>
                  <w14:solidFill>
                    <w14:schemeClr w14:val="tx1"/>
                  </w14:solidFill>
                </w14:textFill>
              </w:rPr>
            </w:pPr>
            <w:r>
              <w:rPr>
                <w:color w:val="000000" w:themeColor="text1"/>
                <w14:textFill>
                  <w14:solidFill>
                    <w14:schemeClr w14:val="tx1"/>
                  </w14:solidFill>
                </w14:textFill>
              </w:rPr>
              <w:t>4</w:t>
            </w:r>
          </w:p>
        </w:tc>
        <w:tc>
          <w:tcPr>
            <w:tcW w:w="1959" w:type="dxa"/>
            <w:vAlign w:val="center"/>
          </w:tcPr>
          <w:p w14:paraId="1BC924A7">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648" w:type="dxa"/>
            <w:vAlign w:val="center"/>
          </w:tcPr>
          <w:p w14:paraId="30707311">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880" w:type="dxa"/>
            <w:vAlign w:val="center"/>
          </w:tcPr>
          <w:p w14:paraId="070A4CC6">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r>
      <w:tr w14:paraId="6A80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7624CB3A">
            <w:pPr>
              <w:pStyle w:val="41"/>
              <w:rPr>
                <w:color w:val="000000" w:themeColor="text1"/>
                <w14:textFill>
                  <w14:solidFill>
                    <w14:schemeClr w14:val="tx1"/>
                  </w14:solidFill>
                </w14:textFill>
              </w:rPr>
            </w:pPr>
            <w:r>
              <w:rPr>
                <w:color w:val="000000" w:themeColor="text1"/>
                <w14:textFill>
                  <w14:solidFill>
                    <w14:schemeClr w14:val="tx1"/>
                  </w14:solidFill>
                </w14:textFill>
              </w:rPr>
              <w:t>电气、报警和紧急切断系统</w:t>
            </w:r>
          </w:p>
        </w:tc>
        <w:tc>
          <w:tcPr>
            <w:tcW w:w="1827" w:type="dxa"/>
            <w:vAlign w:val="center"/>
          </w:tcPr>
          <w:p w14:paraId="5BDB57B0">
            <w:pPr>
              <w:pStyle w:val="41"/>
              <w:rPr>
                <w:color w:val="000000" w:themeColor="text1"/>
                <w14:textFill>
                  <w14:solidFill>
                    <w14:schemeClr w14:val="tx1"/>
                  </w14:solidFill>
                </w14:textFill>
              </w:rPr>
            </w:pPr>
            <w:r>
              <w:rPr>
                <w:color w:val="000000" w:themeColor="text1"/>
                <w14:textFill>
                  <w14:solidFill>
                    <w14:schemeClr w14:val="tx1"/>
                  </w14:solidFill>
                </w14:textFill>
              </w:rPr>
              <w:t>30</w:t>
            </w:r>
          </w:p>
        </w:tc>
        <w:tc>
          <w:tcPr>
            <w:tcW w:w="1959" w:type="dxa"/>
            <w:vAlign w:val="center"/>
          </w:tcPr>
          <w:p w14:paraId="45E00F02">
            <w:pPr>
              <w:pStyle w:val="41"/>
              <w:rPr>
                <w:color w:val="000000" w:themeColor="text1"/>
                <w14:textFill>
                  <w14:solidFill>
                    <w14:schemeClr w14:val="tx1"/>
                  </w14:solidFill>
                </w14:textFill>
              </w:rPr>
            </w:pPr>
            <w:r>
              <w:rPr>
                <w:color w:val="000000" w:themeColor="text1"/>
                <w14:textFill>
                  <w14:solidFill>
                    <w14:schemeClr w14:val="tx1"/>
                  </w14:solidFill>
                </w14:textFill>
              </w:rPr>
              <w:t>30</w:t>
            </w:r>
          </w:p>
        </w:tc>
        <w:tc>
          <w:tcPr>
            <w:tcW w:w="1648" w:type="dxa"/>
            <w:vAlign w:val="center"/>
          </w:tcPr>
          <w:p w14:paraId="030BF4A5">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c>
          <w:tcPr>
            <w:tcW w:w="1880" w:type="dxa"/>
            <w:vAlign w:val="center"/>
          </w:tcPr>
          <w:p w14:paraId="1C1C3ACF">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r>
      <w:tr w14:paraId="7C59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612AC9D3">
            <w:pPr>
              <w:pStyle w:val="41"/>
              <w:rPr>
                <w:color w:val="000000" w:themeColor="text1"/>
                <w14:textFill>
                  <w14:solidFill>
                    <w14:schemeClr w14:val="tx1"/>
                  </w14:solidFill>
                </w14:textFill>
              </w:rPr>
            </w:pPr>
            <w:r>
              <w:rPr>
                <w:color w:val="000000" w:themeColor="text1"/>
                <w14:textFill>
                  <w14:solidFill>
                    <w14:schemeClr w14:val="tx1"/>
                  </w14:solidFill>
                </w14:textFill>
              </w:rPr>
              <w:t>采暖通风、建（构）筑物、绿化</w:t>
            </w:r>
          </w:p>
        </w:tc>
        <w:tc>
          <w:tcPr>
            <w:tcW w:w="1827" w:type="dxa"/>
            <w:vAlign w:val="center"/>
          </w:tcPr>
          <w:p w14:paraId="74FA71B0">
            <w:pPr>
              <w:pStyle w:val="41"/>
              <w:rPr>
                <w:color w:val="000000" w:themeColor="text1"/>
                <w14:textFill>
                  <w14:solidFill>
                    <w14:schemeClr w14:val="tx1"/>
                  </w14:solidFill>
                </w14:textFill>
              </w:rPr>
            </w:pPr>
            <w:r>
              <w:rPr>
                <w:color w:val="000000" w:themeColor="text1"/>
                <w14:textFill>
                  <w14:solidFill>
                    <w14:schemeClr w14:val="tx1"/>
                  </w14:solidFill>
                </w14:textFill>
              </w:rPr>
              <w:t>17</w:t>
            </w:r>
          </w:p>
        </w:tc>
        <w:tc>
          <w:tcPr>
            <w:tcW w:w="1959" w:type="dxa"/>
            <w:vAlign w:val="center"/>
          </w:tcPr>
          <w:p w14:paraId="2E15730F">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648" w:type="dxa"/>
            <w:vAlign w:val="center"/>
          </w:tcPr>
          <w:p w14:paraId="7CD3B478">
            <w:pPr>
              <w:pStyle w:val="41"/>
              <w:rPr>
                <w:color w:val="000000" w:themeColor="text1"/>
                <w14:textFill>
                  <w14:solidFill>
                    <w14:schemeClr w14:val="tx1"/>
                  </w14:solidFill>
                </w14:textFill>
              </w:rPr>
            </w:pPr>
            <w:r>
              <w:rPr>
                <w:color w:val="000000" w:themeColor="text1"/>
                <w14:textFill>
                  <w14:solidFill>
                    <w14:schemeClr w14:val="tx1"/>
                  </w14:solidFill>
                </w14:textFill>
              </w:rPr>
              <w:t>0</w:t>
            </w:r>
          </w:p>
        </w:tc>
        <w:tc>
          <w:tcPr>
            <w:tcW w:w="1880" w:type="dxa"/>
            <w:vAlign w:val="center"/>
          </w:tcPr>
          <w:p w14:paraId="1CF63456">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r>
      <w:tr w14:paraId="4F5F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5FF0EF33">
            <w:pPr>
              <w:pStyle w:val="41"/>
              <w:rPr>
                <w:color w:val="000000" w:themeColor="text1"/>
                <w14:textFill>
                  <w14:solidFill>
                    <w14:schemeClr w14:val="tx1"/>
                  </w14:solidFill>
                </w14:textFill>
              </w:rPr>
            </w:pPr>
            <w:r>
              <w:rPr>
                <w:color w:val="000000" w:themeColor="text1"/>
                <w14:textFill>
                  <w14:solidFill>
                    <w14:schemeClr w14:val="tx1"/>
                  </w14:solidFill>
                </w14:textFill>
              </w:rPr>
              <w:t>重大生产安全事故隐患</w:t>
            </w:r>
          </w:p>
        </w:tc>
        <w:tc>
          <w:tcPr>
            <w:tcW w:w="1827" w:type="dxa"/>
            <w:vAlign w:val="center"/>
          </w:tcPr>
          <w:p w14:paraId="5B0E4305">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49</w:t>
            </w:r>
          </w:p>
        </w:tc>
        <w:tc>
          <w:tcPr>
            <w:tcW w:w="1959" w:type="dxa"/>
            <w:vAlign w:val="center"/>
          </w:tcPr>
          <w:p w14:paraId="0F327A87">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不涉及重大隐患</w:t>
            </w:r>
          </w:p>
        </w:tc>
        <w:tc>
          <w:tcPr>
            <w:tcW w:w="1648" w:type="dxa"/>
            <w:vAlign w:val="center"/>
          </w:tcPr>
          <w:p w14:paraId="3FCAF7C0">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不涉及重大隐患</w:t>
            </w:r>
          </w:p>
        </w:tc>
        <w:tc>
          <w:tcPr>
            <w:tcW w:w="1880" w:type="dxa"/>
            <w:vAlign w:val="center"/>
          </w:tcPr>
          <w:p w14:paraId="084DA105">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不涉及重大隐患</w:t>
            </w:r>
          </w:p>
        </w:tc>
      </w:tr>
      <w:tr w14:paraId="5FE7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dxa"/>
            <w:vAlign w:val="center"/>
          </w:tcPr>
          <w:p w14:paraId="0B23EF6E">
            <w:pPr>
              <w:pStyle w:val="41"/>
              <w:rPr>
                <w:color w:val="000000" w:themeColor="text1"/>
                <w14:textFill>
                  <w14:solidFill>
                    <w14:schemeClr w14:val="tx1"/>
                  </w14:solidFill>
                </w14:textFill>
              </w:rPr>
            </w:pPr>
            <w:r>
              <w:rPr>
                <w:color w:val="000000" w:themeColor="text1"/>
                <w14:textFill>
                  <w14:solidFill>
                    <w14:schemeClr w14:val="tx1"/>
                  </w14:solidFill>
                </w14:textFill>
              </w:rPr>
              <w:t>合  计</w:t>
            </w:r>
          </w:p>
        </w:tc>
        <w:tc>
          <w:tcPr>
            <w:tcW w:w="1827" w:type="dxa"/>
            <w:vAlign w:val="center"/>
          </w:tcPr>
          <w:p w14:paraId="3EC2E48A">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204</w:t>
            </w:r>
          </w:p>
        </w:tc>
        <w:tc>
          <w:tcPr>
            <w:tcW w:w="1959" w:type="dxa"/>
            <w:vAlign w:val="center"/>
          </w:tcPr>
          <w:p w14:paraId="7DFD0945">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135</w:t>
            </w:r>
          </w:p>
        </w:tc>
        <w:tc>
          <w:tcPr>
            <w:tcW w:w="1648" w:type="dxa"/>
            <w:vAlign w:val="center"/>
          </w:tcPr>
          <w:p w14:paraId="13CA3C5B">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880" w:type="dxa"/>
            <w:vAlign w:val="center"/>
          </w:tcPr>
          <w:p w14:paraId="662603D9">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r>
    </w:tbl>
    <w:p w14:paraId="730589A8">
      <w:pPr>
        <w:pStyle w:val="3"/>
        <w:rPr>
          <w:color w:val="000000" w:themeColor="text1"/>
          <w14:textFill>
            <w14:solidFill>
              <w14:schemeClr w14:val="tx1"/>
            </w14:solidFill>
          </w14:textFill>
        </w:rPr>
      </w:pPr>
      <w:bookmarkStart w:id="395" w:name="_Toc26163"/>
      <w:bookmarkStart w:id="396" w:name="_Toc4436"/>
      <w:r>
        <w:rPr>
          <w:color w:val="000000" w:themeColor="text1"/>
          <w14:textFill>
            <w14:solidFill>
              <w14:schemeClr w14:val="tx1"/>
            </w14:solidFill>
          </w14:textFill>
        </w:rPr>
        <w:t>5.3  安全检查表附表</w:t>
      </w:r>
      <w:bookmarkEnd w:id="381"/>
      <w:bookmarkEnd w:id="382"/>
      <w:bookmarkEnd w:id="383"/>
      <w:bookmarkEnd w:id="384"/>
      <w:bookmarkEnd w:id="385"/>
      <w:bookmarkEnd w:id="386"/>
      <w:bookmarkEnd w:id="387"/>
      <w:bookmarkEnd w:id="388"/>
      <w:bookmarkEnd w:id="389"/>
      <w:bookmarkEnd w:id="390"/>
      <w:bookmarkEnd w:id="394"/>
      <w:bookmarkEnd w:id="395"/>
      <w:bookmarkEnd w:id="396"/>
    </w:p>
    <w:p w14:paraId="1DCF1DD6">
      <w:pPr>
        <w:pStyle w:val="4"/>
        <w:rPr>
          <w:color w:val="000000" w:themeColor="text1"/>
          <w14:textFill>
            <w14:solidFill>
              <w14:schemeClr w14:val="tx1"/>
            </w14:solidFill>
          </w14:textFill>
        </w:rPr>
      </w:pPr>
      <w:bookmarkStart w:id="397" w:name="_Toc152992290"/>
      <w:r>
        <w:rPr>
          <w:color w:val="000000" w:themeColor="text1"/>
          <w14:textFill>
            <w14:solidFill>
              <w14:schemeClr w14:val="tx1"/>
            </w14:solidFill>
          </w14:textFill>
        </w:rPr>
        <w:t>5.3.1加油站工艺设施与站外建（构）筑物安全距离表</w:t>
      </w:r>
      <w:bookmarkEnd w:id="397"/>
    </w:p>
    <w:p w14:paraId="0F363DB1">
      <w:pPr>
        <w:rPr>
          <w:color w:val="000000" w:themeColor="text1"/>
          <w14:textFill>
            <w14:solidFill>
              <w14:schemeClr w14:val="tx1"/>
            </w14:solidFill>
          </w14:textFill>
        </w:rPr>
      </w:pPr>
      <w:r>
        <w:rPr>
          <w:color w:val="000000" w:themeColor="text1"/>
          <w14:textFill>
            <w14:solidFill>
              <w14:schemeClr w14:val="tx1"/>
            </w14:solidFill>
          </w14:textFill>
        </w:rPr>
        <w:t>加油站工艺设施与站外建（构）筑物安全距离，见表5.3-1。</w:t>
      </w:r>
    </w:p>
    <w:p w14:paraId="2AFC0698">
      <w:pPr>
        <w:pStyle w:val="42"/>
        <w:rPr>
          <w:color w:val="000000" w:themeColor="text1"/>
          <w14:textFill>
            <w14:solidFill>
              <w14:schemeClr w14:val="tx1"/>
            </w14:solidFill>
          </w14:textFill>
        </w:rPr>
      </w:pPr>
      <w:r>
        <w:rPr>
          <w:color w:val="000000" w:themeColor="text1"/>
          <w14:textFill>
            <w14:solidFill>
              <w14:schemeClr w14:val="tx1"/>
            </w14:solidFill>
          </w14:textFill>
        </w:rPr>
        <w:t>表5.3-1  加油站工艺设施与站外建（构）筑物安全距离表（三级加油站）</w:t>
      </w:r>
    </w:p>
    <w:tbl>
      <w:tblPr>
        <w:tblStyle w:val="2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26"/>
        <w:gridCol w:w="680"/>
        <w:gridCol w:w="873"/>
        <w:gridCol w:w="693"/>
        <w:gridCol w:w="887"/>
        <w:gridCol w:w="902"/>
        <w:gridCol w:w="873"/>
        <w:gridCol w:w="853"/>
        <w:gridCol w:w="926"/>
        <w:gridCol w:w="1704"/>
      </w:tblGrid>
      <w:tr w14:paraId="5FED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94" w:type="pct"/>
            <w:gridSpan w:val="3"/>
            <w:vMerge w:val="restart"/>
            <w:vAlign w:val="center"/>
          </w:tcPr>
          <w:p w14:paraId="21D2472E">
            <w:pPr>
              <w:pStyle w:val="41"/>
              <w:rPr>
                <w:color w:val="000000" w:themeColor="text1"/>
                <w14:textFill>
                  <w14:solidFill>
                    <w14:schemeClr w14:val="tx1"/>
                  </w14:solidFill>
                </w14:textFill>
              </w:rPr>
            </w:pPr>
            <w:r>
              <w:rPr>
                <w:color w:val="000000" w:themeColor="text1"/>
                <w14:textFill>
                  <w14:solidFill>
                    <w14:schemeClr w14:val="tx1"/>
                  </w14:solidFill>
                </w14:textFill>
              </w:rPr>
              <w:t>站外建（构）筑物</w:t>
            </w:r>
          </w:p>
        </w:tc>
        <w:tc>
          <w:tcPr>
            <w:tcW w:w="3198" w:type="pct"/>
            <w:gridSpan w:val="7"/>
            <w:vAlign w:val="center"/>
          </w:tcPr>
          <w:p w14:paraId="234E0B2C">
            <w:pPr>
              <w:pStyle w:val="41"/>
              <w:rPr>
                <w:color w:val="000000" w:themeColor="text1"/>
                <w14:textFill>
                  <w14:solidFill>
                    <w14:schemeClr w14:val="tx1"/>
                  </w14:solidFill>
                </w14:textFill>
              </w:rPr>
            </w:pPr>
            <w:r>
              <w:rPr>
                <w:color w:val="000000" w:themeColor="text1"/>
                <w14:textFill>
                  <w14:solidFill>
                    <w14:schemeClr w14:val="tx1"/>
                  </w14:solidFill>
                </w14:textFill>
              </w:rPr>
              <w:t>三级站（总储量90m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，柴油储量折半计算）</w:t>
            </w:r>
          </w:p>
        </w:tc>
        <w:tc>
          <w:tcPr>
            <w:tcW w:w="906" w:type="pct"/>
            <w:vMerge w:val="restart"/>
            <w:vAlign w:val="center"/>
          </w:tcPr>
          <w:p w14:paraId="3DA7FFDF">
            <w:pPr>
              <w:pStyle w:val="41"/>
              <w:rPr>
                <w:color w:val="000000" w:themeColor="text1"/>
                <w14:textFill>
                  <w14:solidFill>
                    <w14:schemeClr w14:val="tx1"/>
                  </w14:solidFill>
                </w14:textFill>
              </w:rPr>
            </w:pPr>
            <w:r>
              <w:rPr>
                <w:color w:val="000000" w:themeColor="text1"/>
                <w14:textFill>
                  <w14:solidFill>
                    <w14:schemeClr w14:val="tx1"/>
                  </w14:solidFill>
                </w14:textFill>
              </w:rPr>
              <w:t>备注</w:t>
            </w:r>
          </w:p>
        </w:tc>
      </w:tr>
      <w:tr w14:paraId="7F78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94" w:type="pct"/>
            <w:gridSpan w:val="3"/>
            <w:vMerge w:val="continue"/>
            <w:vAlign w:val="center"/>
          </w:tcPr>
          <w:p w14:paraId="306B74C6">
            <w:pPr>
              <w:pStyle w:val="41"/>
              <w:rPr>
                <w:color w:val="000000" w:themeColor="text1"/>
                <w14:textFill>
                  <w14:solidFill>
                    <w14:schemeClr w14:val="tx1"/>
                  </w14:solidFill>
                </w14:textFill>
              </w:rPr>
            </w:pPr>
          </w:p>
        </w:tc>
        <w:tc>
          <w:tcPr>
            <w:tcW w:w="1786" w:type="pct"/>
            <w:gridSpan w:val="4"/>
            <w:vAlign w:val="center"/>
          </w:tcPr>
          <w:p w14:paraId="623646E1">
            <w:pPr>
              <w:pStyle w:val="41"/>
              <w:rPr>
                <w:color w:val="000000" w:themeColor="text1"/>
                <w14:textFill>
                  <w14:solidFill>
                    <w14:schemeClr w14:val="tx1"/>
                  </w14:solidFill>
                </w14:textFill>
              </w:rPr>
            </w:pPr>
            <w:r>
              <w:rPr>
                <w:color w:val="000000" w:themeColor="text1"/>
                <w14:textFill>
                  <w14:solidFill>
                    <w14:schemeClr w14:val="tx1"/>
                  </w14:solidFill>
                </w14:textFill>
              </w:rPr>
              <w:t>站内汽油设备</w:t>
            </w:r>
          </w:p>
        </w:tc>
        <w:tc>
          <w:tcPr>
            <w:tcW w:w="1412" w:type="pct"/>
            <w:gridSpan w:val="3"/>
            <w:vAlign w:val="center"/>
          </w:tcPr>
          <w:p w14:paraId="7ED8708D">
            <w:pPr>
              <w:pStyle w:val="41"/>
              <w:rPr>
                <w:color w:val="000000" w:themeColor="text1"/>
                <w14:textFill>
                  <w14:solidFill>
                    <w14:schemeClr w14:val="tx1"/>
                  </w14:solidFill>
                </w14:textFill>
              </w:rPr>
            </w:pPr>
            <w:r>
              <w:rPr>
                <w:color w:val="000000" w:themeColor="text1"/>
                <w14:textFill>
                  <w14:solidFill>
                    <w14:schemeClr w14:val="tx1"/>
                  </w14:solidFill>
                </w14:textFill>
              </w:rPr>
              <w:t>站内柴油设备</w:t>
            </w:r>
          </w:p>
        </w:tc>
        <w:tc>
          <w:tcPr>
            <w:tcW w:w="906" w:type="pct"/>
            <w:vMerge w:val="continue"/>
            <w:vAlign w:val="center"/>
          </w:tcPr>
          <w:p w14:paraId="3EF43436">
            <w:pPr>
              <w:pStyle w:val="41"/>
              <w:rPr>
                <w:color w:val="000000" w:themeColor="text1"/>
                <w14:textFill>
                  <w14:solidFill>
                    <w14:schemeClr w14:val="tx1"/>
                  </w14:solidFill>
                </w14:textFill>
              </w:rPr>
            </w:pPr>
          </w:p>
        </w:tc>
      </w:tr>
      <w:tr w14:paraId="07DC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94" w:type="pct"/>
            <w:gridSpan w:val="3"/>
            <w:vMerge w:val="continue"/>
            <w:vAlign w:val="center"/>
          </w:tcPr>
          <w:p w14:paraId="35632C7B">
            <w:pPr>
              <w:pStyle w:val="41"/>
              <w:rPr>
                <w:color w:val="000000" w:themeColor="text1"/>
                <w14:textFill>
                  <w14:solidFill>
                    <w14:schemeClr w14:val="tx1"/>
                  </w14:solidFill>
                </w14:textFill>
              </w:rPr>
            </w:pPr>
          </w:p>
        </w:tc>
        <w:tc>
          <w:tcPr>
            <w:tcW w:w="834" w:type="pct"/>
            <w:gridSpan w:val="2"/>
            <w:vAlign w:val="center"/>
          </w:tcPr>
          <w:p w14:paraId="433ED903">
            <w:pPr>
              <w:pStyle w:val="41"/>
              <w:rPr>
                <w:color w:val="000000" w:themeColor="text1"/>
                <w14:textFill>
                  <w14:solidFill>
                    <w14:schemeClr w14:val="tx1"/>
                  </w14:solidFill>
                </w14:textFill>
              </w:rPr>
            </w:pPr>
            <w:r>
              <w:rPr>
                <w:color w:val="000000" w:themeColor="text1"/>
                <w14:textFill>
                  <w14:solidFill>
                    <w14:schemeClr w14:val="tx1"/>
                  </w14:solidFill>
                </w14:textFill>
              </w:rPr>
              <w:t>埋地汽油罐</w:t>
            </w:r>
          </w:p>
        </w:tc>
        <w:tc>
          <w:tcPr>
            <w:tcW w:w="472" w:type="pct"/>
            <w:vAlign w:val="center"/>
          </w:tcPr>
          <w:p w14:paraId="495674A5">
            <w:pPr>
              <w:pStyle w:val="41"/>
              <w:rPr>
                <w:color w:val="000000" w:themeColor="text1"/>
                <w14:textFill>
                  <w14:solidFill>
                    <w14:schemeClr w14:val="tx1"/>
                  </w14:solidFill>
                </w14:textFill>
              </w:rPr>
            </w:pPr>
            <w:r>
              <w:rPr>
                <w:color w:val="000000" w:themeColor="text1"/>
                <w14:textFill>
                  <w14:solidFill>
                    <w14:schemeClr w14:val="tx1"/>
                  </w14:solidFill>
                </w14:textFill>
              </w:rPr>
              <w:t>通气管管口</w:t>
            </w:r>
          </w:p>
        </w:tc>
        <w:tc>
          <w:tcPr>
            <w:tcW w:w="479" w:type="pct"/>
            <w:vAlign w:val="center"/>
          </w:tcPr>
          <w:p w14:paraId="0189F8F4">
            <w:pPr>
              <w:pStyle w:val="41"/>
              <w:rPr>
                <w:color w:val="000000" w:themeColor="text1"/>
                <w14:textFill>
                  <w14:solidFill>
                    <w14:schemeClr w14:val="tx1"/>
                  </w14:solidFill>
                </w14:textFill>
              </w:rPr>
            </w:pPr>
            <w:r>
              <w:rPr>
                <w:color w:val="000000" w:themeColor="text1"/>
                <w14:textFill>
                  <w14:solidFill>
                    <w14:schemeClr w14:val="tx1"/>
                  </w14:solidFill>
                </w14:textFill>
              </w:rPr>
              <w:t>汽油加油机</w:t>
            </w:r>
          </w:p>
        </w:tc>
        <w:tc>
          <w:tcPr>
            <w:tcW w:w="465" w:type="pct"/>
            <w:vAlign w:val="center"/>
          </w:tcPr>
          <w:p w14:paraId="4EF23386">
            <w:pPr>
              <w:pStyle w:val="41"/>
              <w:rPr>
                <w:color w:val="000000" w:themeColor="text1"/>
                <w14:textFill>
                  <w14:solidFill>
                    <w14:schemeClr w14:val="tx1"/>
                  </w14:solidFill>
                </w14:textFill>
              </w:rPr>
            </w:pPr>
            <w:r>
              <w:rPr>
                <w:color w:val="000000" w:themeColor="text1"/>
                <w14:textFill>
                  <w14:solidFill>
                    <w14:schemeClr w14:val="tx1"/>
                  </w14:solidFill>
                </w14:textFill>
              </w:rPr>
              <w:t>埋地柴油罐</w:t>
            </w:r>
          </w:p>
        </w:tc>
        <w:tc>
          <w:tcPr>
            <w:tcW w:w="454" w:type="pct"/>
            <w:vAlign w:val="center"/>
          </w:tcPr>
          <w:p w14:paraId="30030857">
            <w:pPr>
              <w:pStyle w:val="41"/>
              <w:rPr>
                <w:color w:val="000000" w:themeColor="text1"/>
                <w14:textFill>
                  <w14:solidFill>
                    <w14:schemeClr w14:val="tx1"/>
                  </w14:solidFill>
                </w14:textFill>
              </w:rPr>
            </w:pPr>
            <w:r>
              <w:rPr>
                <w:color w:val="000000" w:themeColor="text1"/>
                <w14:textFill>
                  <w14:solidFill>
                    <w14:schemeClr w14:val="tx1"/>
                  </w14:solidFill>
                </w14:textFill>
              </w:rPr>
              <w:t>通气管管口</w:t>
            </w:r>
          </w:p>
        </w:tc>
        <w:tc>
          <w:tcPr>
            <w:tcW w:w="492" w:type="pct"/>
            <w:vAlign w:val="center"/>
          </w:tcPr>
          <w:p w14:paraId="6683B8E5">
            <w:pPr>
              <w:pStyle w:val="41"/>
              <w:rPr>
                <w:color w:val="000000" w:themeColor="text1"/>
                <w14:textFill>
                  <w14:solidFill>
                    <w14:schemeClr w14:val="tx1"/>
                  </w14:solidFill>
                </w14:textFill>
              </w:rPr>
            </w:pPr>
            <w:r>
              <w:rPr>
                <w:color w:val="000000" w:themeColor="text1"/>
                <w14:textFill>
                  <w14:solidFill>
                    <w14:schemeClr w14:val="tx1"/>
                  </w14:solidFill>
                </w14:textFill>
              </w:rPr>
              <w:t>柴油加油机</w:t>
            </w:r>
          </w:p>
        </w:tc>
        <w:tc>
          <w:tcPr>
            <w:tcW w:w="906" w:type="pct"/>
            <w:vMerge w:val="continue"/>
            <w:vAlign w:val="center"/>
          </w:tcPr>
          <w:p w14:paraId="585555C7">
            <w:pPr>
              <w:pStyle w:val="41"/>
              <w:rPr>
                <w:color w:val="000000" w:themeColor="text1"/>
                <w14:textFill>
                  <w14:solidFill>
                    <w14:schemeClr w14:val="tx1"/>
                  </w14:solidFill>
                </w14:textFill>
              </w:rPr>
            </w:pPr>
          </w:p>
        </w:tc>
      </w:tr>
      <w:tr w14:paraId="0A7F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4BE91AC6">
            <w:pPr>
              <w:pStyle w:val="41"/>
              <w:rPr>
                <w:color w:val="000000" w:themeColor="text1"/>
                <w14:textFill>
                  <w14:solidFill>
                    <w14:schemeClr w14:val="tx1"/>
                  </w14:solidFill>
                </w14:textFill>
              </w:rPr>
            </w:pPr>
            <w:r>
              <w:rPr>
                <w:color w:val="000000" w:themeColor="text1"/>
                <w14:textFill>
                  <w14:solidFill>
                    <w14:schemeClr w14:val="tx1"/>
                  </w14:solidFill>
                </w14:textFill>
              </w:rPr>
              <w:t>重要公共建筑物</w:t>
            </w:r>
          </w:p>
        </w:tc>
        <w:tc>
          <w:tcPr>
            <w:tcW w:w="465" w:type="pct"/>
            <w:vAlign w:val="center"/>
          </w:tcPr>
          <w:p w14:paraId="61A9566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5247808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35</w:t>
            </w:r>
          </w:p>
        </w:tc>
        <w:tc>
          <w:tcPr>
            <w:tcW w:w="472" w:type="pct"/>
            <w:vAlign w:val="center"/>
          </w:tcPr>
          <w:p w14:paraId="5841417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35</w:t>
            </w:r>
          </w:p>
        </w:tc>
        <w:tc>
          <w:tcPr>
            <w:tcW w:w="479" w:type="pct"/>
            <w:vAlign w:val="center"/>
          </w:tcPr>
          <w:p w14:paraId="24F96C9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35</w:t>
            </w:r>
          </w:p>
        </w:tc>
        <w:tc>
          <w:tcPr>
            <w:tcW w:w="465" w:type="pct"/>
            <w:vAlign w:val="center"/>
          </w:tcPr>
          <w:p w14:paraId="4C7BE9B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25</w:t>
            </w:r>
          </w:p>
        </w:tc>
        <w:tc>
          <w:tcPr>
            <w:tcW w:w="454" w:type="pct"/>
            <w:vAlign w:val="center"/>
          </w:tcPr>
          <w:p w14:paraId="1636921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25</w:t>
            </w:r>
          </w:p>
        </w:tc>
        <w:tc>
          <w:tcPr>
            <w:tcW w:w="492" w:type="pct"/>
            <w:vAlign w:val="center"/>
          </w:tcPr>
          <w:p w14:paraId="208A4631">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25</w:t>
            </w:r>
          </w:p>
        </w:tc>
        <w:tc>
          <w:tcPr>
            <w:tcW w:w="906" w:type="pct"/>
            <w:vMerge w:val="restart"/>
            <w:vAlign w:val="center"/>
          </w:tcPr>
          <w:p w14:paraId="5BF2F639">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4490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42844AD0">
            <w:pPr>
              <w:pStyle w:val="41"/>
              <w:rPr>
                <w:color w:val="000000" w:themeColor="text1"/>
                <w14:textFill>
                  <w14:solidFill>
                    <w14:schemeClr w14:val="tx1"/>
                  </w14:solidFill>
                </w14:textFill>
              </w:rPr>
            </w:pPr>
          </w:p>
        </w:tc>
        <w:tc>
          <w:tcPr>
            <w:tcW w:w="465" w:type="pct"/>
            <w:vAlign w:val="center"/>
          </w:tcPr>
          <w:p w14:paraId="3B0F1742">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5DA29750">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4EB07C57">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70C4E986">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66451CB1">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5392ACF5">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09D74E61">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58EA54F8">
            <w:pPr>
              <w:pStyle w:val="41"/>
              <w:rPr>
                <w:color w:val="000000" w:themeColor="text1"/>
                <w14:textFill>
                  <w14:solidFill>
                    <w14:schemeClr w14:val="tx1"/>
                  </w14:solidFill>
                </w14:textFill>
              </w:rPr>
            </w:pPr>
          </w:p>
        </w:tc>
      </w:tr>
      <w:tr w14:paraId="4D60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38236040">
            <w:pPr>
              <w:pStyle w:val="41"/>
              <w:rPr>
                <w:color w:val="000000" w:themeColor="text1"/>
                <w14:textFill>
                  <w14:solidFill>
                    <w14:schemeClr w14:val="tx1"/>
                  </w14:solidFill>
                </w14:textFill>
              </w:rPr>
            </w:pPr>
            <w:r>
              <w:rPr>
                <w:color w:val="000000" w:themeColor="text1"/>
                <w14:textFill>
                  <w14:solidFill>
                    <w14:schemeClr w14:val="tx1"/>
                  </w14:solidFill>
                </w14:textFill>
              </w:rPr>
              <w:t>明火地点或散发火花地点</w:t>
            </w:r>
          </w:p>
        </w:tc>
        <w:tc>
          <w:tcPr>
            <w:tcW w:w="465" w:type="pct"/>
            <w:vAlign w:val="center"/>
          </w:tcPr>
          <w:p w14:paraId="555D35E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4C9E233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72" w:type="pct"/>
            <w:vAlign w:val="center"/>
          </w:tcPr>
          <w:p w14:paraId="74B92148">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79" w:type="pct"/>
            <w:vAlign w:val="center"/>
          </w:tcPr>
          <w:p w14:paraId="0F10BB91">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65" w:type="pct"/>
            <w:vAlign w:val="center"/>
          </w:tcPr>
          <w:p w14:paraId="7DCDCF8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54" w:type="pct"/>
            <w:vAlign w:val="center"/>
          </w:tcPr>
          <w:p w14:paraId="38132BA1">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10</w:t>
            </w:r>
          </w:p>
        </w:tc>
        <w:tc>
          <w:tcPr>
            <w:tcW w:w="492" w:type="pct"/>
            <w:vAlign w:val="center"/>
          </w:tcPr>
          <w:p w14:paraId="0EA14AF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10</w:t>
            </w:r>
          </w:p>
        </w:tc>
        <w:tc>
          <w:tcPr>
            <w:tcW w:w="906" w:type="pct"/>
            <w:vMerge w:val="restart"/>
            <w:vAlign w:val="center"/>
          </w:tcPr>
          <w:p w14:paraId="09DE7743">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0415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5B93C93E">
            <w:pPr>
              <w:pStyle w:val="41"/>
              <w:rPr>
                <w:b/>
                <w:bCs/>
                <w:color w:val="000000" w:themeColor="text1"/>
                <w14:textFill>
                  <w14:solidFill>
                    <w14:schemeClr w14:val="tx1"/>
                  </w14:solidFill>
                </w14:textFill>
              </w:rPr>
            </w:pPr>
          </w:p>
        </w:tc>
        <w:tc>
          <w:tcPr>
            <w:tcW w:w="465" w:type="pct"/>
            <w:vAlign w:val="center"/>
          </w:tcPr>
          <w:p w14:paraId="391CA71D">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7D11ABA8">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4A7100D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5301AC1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06F3F5D0">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6E200C58">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0DAE0F57">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594CB3D8">
            <w:pPr>
              <w:pStyle w:val="41"/>
              <w:rPr>
                <w:color w:val="000000" w:themeColor="text1"/>
                <w14:textFill>
                  <w14:solidFill>
                    <w14:schemeClr w14:val="tx1"/>
                  </w14:solidFill>
                </w14:textFill>
              </w:rPr>
            </w:pPr>
          </w:p>
        </w:tc>
      </w:tr>
      <w:tr w14:paraId="023E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restart"/>
            <w:vAlign w:val="center"/>
          </w:tcPr>
          <w:p w14:paraId="2378989E">
            <w:pPr>
              <w:pStyle w:val="41"/>
              <w:rPr>
                <w:color w:val="000000" w:themeColor="text1"/>
                <w14:textFill>
                  <w14:solidFill>
                    <w14:schemeClr w14:val="tx1"/>
                  </w14:solidFill>
                </w14:textFill>
              </w:rPr>
            </w:pPr>
            <w:r>
              <w:rPr>
                <w:color w:val="000000" w:themeColor="text1"/>
                <w14:textFill>
                  <w14:solidFill>
                    <w14:schemeClr w14:val="tx1"/>
                  </w14:solidFill>
                </w14:textFill>
              </w:rPr>
              <w:t>民用建筑物保护类别</w:t>
            </w:r>
          </w:p>
        </w:tc>
        <w:tc>
          <w:tcPr>
            <w:tcW w:w="535" w:type="pct"/>
            <w:gridSpan w:val="2"/>
            <w:vMerge w:val="restart"/>
            <w:vAlign w:val="center"/>
          </w:tcPr>
          <w:p w14:paraId="576C8E50">
            <w:pPr>
              <w:pStyle w:val="41"/>
              <w:rPr>
                <w:color w:val="000000" w:themeColor="text1"/>
                <w14:textFill>
                  <w14:solidFill>
                    <w14:schemeClr w14:val="tx1"/>
                  </w14:solidFill>
                </w14:textFill>
              </w:rPr>
            </w:pPr>
            <w:r>
              <w:rPr>
                <w:color w:val="000000" w:themeColor="text1"/>
                <w14:textFill>
                  <w14:solidFill>
                    <w14:schemeClr w14:val="tx1"/>
                  </w14:solidFill>
                </w14:textFill>
              </w:rPr>
              <w:t>一类保护物</w:t>
            </w:r>
          </w:p>
        </w:tc>
        <w:tc>
          <w:tcPr>
            <w:tcW w:w="465" w:type="pct"/>
            <w:vAlign w:val="center"/>
          </w:tcPr>
          <w:p w14:paraId="47C3412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0CCB27C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11</w:t>
            </w:r>
          </w:p>
        </w:tc>
        <w:tc>
          <w:tcPr>
            <w:tcW w:w="472" w:type="pct"/>
            <w:vAlign w:val="center"/>
          </w:tcPr>
          <w:p w14:paraId="69108D88">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11</w:t>
            </w:r>
          </w:p>
        </w:tc>
        <w:tc>
          <w:tcPr>
            <w:tcW w:w="479" w:type="pct"/>
            <w:vAlign w:val="center"/>
          </w:tcPr>
          <w:p w14:paraId="1B61BAA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11</w:t>
            </w:r>
          </w:p>
        </w:tc>
        <w:tc>
          <w:tcPr>
            <w:tcW w:w="465" w:type="pct"/>
            <w:vAlign w:val="center"/>
          </w:tcPr>
          <w:p w14:paraId="7D59EE3F">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54" w:type="pct"/>
            <w:vAlign w:val="center"/>
          </w:tcPr>
          <w:p w14:paraId="3E9C939F">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92" w:type="pct"/>
            <w:vAlign w:val="center"/>
          </w:tcPr>
          <w:p w14:paraId="24BC54A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906" w:type="pct"/>
            <w:vMerge w:val="restart"/>
            <w:vAlign w:val="center"/>
          </w:tcPr>
          <w:p w14:paraId="3DF5A453">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083A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503DD4E8">
            <w:pPr>
              <w:pStyle w:val="41"/>
              <w:rPr>
                <w:color w:val="000000" w:themeColor="text1"/>
                <w14:textFill>
                  <w14:solidFill>
                    <w14:schemeClr w14:val="tx1"/>
                  </w14:solidFill>
                </w14:textFill>
              </w:rPr>
            </w:pPr>
          </w:p>
        </w:tc>
        <w:tc>
          <w:tcPr>
            <w:tcW w:w="535" w:type="pct"/>
            <w:gridSpan w:val="2"/>
            <w:vMerge w:val="continue"/>
            <w:vAlign w:val="center"/>
          </w:tcPr>
          <w:p w14:paraId="07E93736">
            <w:pPr>
              <w:pStyle w:val="41"/>
              <w:rPr>
                <w:color w:val="000000" w:themeColor="text1"/>
                <w14:textFill>
                  <w14:solidFill>
                    <w14:schemeClr w14:val="tx1"/>
                  </w14:solidFill>
                </w14:textFill>
              </w:rPr>
            </w:pPr>
          </w:p>
        </w:tc>
        <w:tc>
          <w:tcPr>
            <w:tcW w:w="465" w:type="pct"/>
            <w:vAlign w:val="center"/>
          </w:tcPr>
          <w:p w14:paraId="4D1BF54E">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30B4AAE6">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441F8671">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36C9CB5E">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605A47DC">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45B7A79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4DBDA649">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6A42A7FB">
            <w:pPr>
              <w:pStyle w:val="41"/>
              <w:rPr>
                <w:color w:val="000000" w:themeColor="text1"/>
                <w14:textFill>
                  <w14:solidFill>
                    <w14:schemeClr w14:val="tx1"/>
                  </w14:solidFill>
                </w14:textFill>
              </w:rPr>
            </w:pPr>
          </w:p>
        </w:tc>
      </w:tr>
      <w:tr w14:paraId="6502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561AA16A">
            <w:pPr>
              <w:pStyle w:val="41"/>
              <w:rPr>
                <w:color w:val="000000" w:themeColor="text1"/>
                <w14:textFill>
                  <w14:solidFill>
                    <w14:schemeClr w14:val="tx1"/>
                  </w14:solidFill>
                </w14:textFill>
              </w:rPr>
            </w:pPr>
          </w:p>
        </w:tc>
        <w:tc>
          <w:tcPr>
            <w:tcW w:w="535" w:type="pct"/>
            <w:gridSpan w:val="2"/>
            <w:vMerge w:val="restart"/>
            <w:vAlign w:val="center"/>
          </w:tcPr>
          <w:p w14:paraId="6D08A73F">
            <w:pPr>
              <w:pStyle w:val="41"/>
              <w:rPr>
                <w:color w:val="000000" w:themeColor="text1"/>
                <w14:textFill>
                  <w14:solidFill>
                    <w14:schemeClr w14:val="tx1"/>
                  </w14:solidFill>
                </w14:textFill>
              </w:rPr>
            </w:pPr>
            <w:r>
              <w:rPr>
                <w:color w:val="000000" w:themeColor="text1"/>
                <w14:textFill>
                  <w14:solidFill>
                    <w14:schemeClr w14:val="tx1"/>
                  </w14:solidFill>
                </w14:textFill>
              </w:rPr>
              <w:t>二类保护物</w:t>
            </w:r>
          </w:p>
        </w:tc>
        <w:tc>
          <w:tcPr>
            <w:tcW w:w="465" w:type="pct"/>
            <w:vAlign w:val="center"/>
          </w:tcPr>
          <w:p w14:paraId="41493ABA">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469BC0C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8.5</w:t>
            </w:r>
          </w:p>
        </w:tc>
        <w:tc>
          <w:tcPr>
            <w:tcW w:w="472" w:type="pct"/>
            <w:vAlign w:val="center"/>
          </w:tcPr>
          <w:p w14:paraId="43D5F3D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8.5</w:t>
            </w:r>
          </w:p>
        </w:tc>
        <w:tc>
          <w:tcPr>
            <w:tcW w:w="479" w:type="pct"/>
            <w:vAlign w:val="center"/>
          </w:tcPr>
          <w:p w14:paraId="781027A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8.5</w:t>
            </w:r>
          </w:p>
        </w:tc>
        <w:tc>
          <w:tcPr>
            <w:tcW w:w="465" w:type="pct"/>
            <w:vAlign w:val="center"/>
          </w:tcPr>
          <w:p w14:paraId="30DC697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54" w:type="pct"/>
            <w:vAlign w:val="center"/>
          </w:tcPr>
          <w:p w14:paraId="6D1B129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92" w:type="pct"/>
            <w:vAlign w:val="center"/>
          </w:tcPr>
          <w:p w14:paraId="170D8B3A">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906" w:type="pct"/>
            <w:vMerge w:val="restart"/>
            <w:vAlign w:val="center"/>
          </w:tcPr>
          <w:p w14:paraId="62D70081">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76F3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053FF4D7">
            <w:pPr>
              <w:pStyle w:val="41"/>
              <w:rPr>
                <w:color w:val="000000" w:themeColor="text1"/>
                <w14:textFill>
                  <w14:solidFill>
                    <w14:schemeClr w14:val="tx1"/>
                  </w14:solidFill>
                </w14:textFill>
              </w:rPr>
            </w:pPr>
          </w:p>
        </w:tc>
        <w:tc>
          <w:tcPr>
            <w:tcW w:w="535" w:type="pct"/>
            <w:gridSpan w:val="2"/>
            <w:vMerge w:val="continue"/>
            <w:vAlign w:val="center"/>
          </w:tcPr>
          <w:p w14:paraId="1451A650">
            <w:pPr>
              <w:pStyle w:val="41"/>
              <w:rPr>
                <w:color w:val="000000" w:themeColor="text1"/>
                <w14:textFill>
                  <w14:solidFill>
                    <w14:schemeClr w14:val="tx1"/>
                  </w14:solidFill>
                </w14:textFill>
              </w:rPr>
            </w:pPr>
          </w:p>
        </w:tc>
        <w:tc>
          <w:tcPr>
            <w:tcW w:w="465" w:type="pct"/>
            <w:vAlign w:val="center"/>
          </w:tcPr>
          <w:p w14:paraId="017F306D">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433608B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6621BAA8">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3A30806B">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17E11F13">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7628F069">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60056131">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01AC3039">
            <w:pPr>
              <w:pStyle w:val="41"/>
              <w:rPr>
                <w:color w:val="000000" w:themeColor="text1"/>
                <w14:textFill>
                  <w14:solidFill>
                    <w14:schemeClr w14:val="tx1"/>
                  </w14:solidFill>
                </w14:textFill>
              </w:rPr>
            </w:pPr>
          </w:p>
        </w:tc>
      </w:tr>
      <w:tr w14:paraId="5E6C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0A659FFE">
            <w:pPr>
              <w:pStyle w:val="41"/>
              <w:rPr>
                <w:color w:val="000000" w:themeColor="text1"/>
                <w14:textFill>
                  <w14:solidFill>
                    <w14:schemeClr w14:val="tx1"/>
                  </w14:solidFill>
                </w14:textFill>
              </w:rPr>
            </w:pPr>
          </w:p>
        </w:tc>
        <w:tc>
          <w:tcPr>
            <w:tcW w:w="535" w:type="pct"/>
            <w:gridSpan w:val="2"/>
            <w:vMerge w:val="restart"/>
            <w:vAlign w:val="center"/>
          </w:tcPr>
          <w:p w14:paraId="7AEE3FC8">
            <w:pPr>
              <w:pStyle w:val="41"/>
              <w:rPr>
                <w:color w:val="000000" w:themeColor="text1"/>
                <w14:textFill>
                  <w14:solidFill>
                    <w14:schemeClr w14:val="tx1"/>
                  </w14:solidFill>
                </w14:textFill>
              </w:rPr>
            </w:pPr>
            <w:r>
              <w:rPr>
                <w:color w:val="000000" w:themeColor="text1"/>
                <w14:textFill>
                  <w14:solidFill>
                    <w14:schemeClr w14:val="tx1"/>
                  </w14:solidFill>
                </w14:textFill>
              </w:rPr>
              <w:t>三类保护物</w:t>
            </w:r>
          </w:p>
        </w:tc>
        <w:tc>
          <w:tcPr>
            <w:tcW w:w="465" w:type="pct"/>
            <w:vAlign w:val="center"/>
          </w:tcPr>
          <w:p w14:paraId="43D6D06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284E356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72" w:type="pct"/>
            <w:vAlign w:val="center"/>
          </w:tcPr>
          <w:p w14:paraId="407619E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79" w:type="pct"/>
            <w:vAlign w:val="center"/>
          </w:tcPr>
          <w:p w14:paraId="1ACA609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65" w:type="pct"/>
            <w:vAlign w:val="center"/>
          </w:tcPr>
          <w:p w14:paraId="549206F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54" w:type="pct"/>
            <w:vAlign w:val="center"/>
          </w:tcPr>
          <w:p w14:paraId="3B91FB3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92" w:type="pct"/>
            <w:vAlign w:val="center"/>
          </w:tcPr>
          <w:p w14:paraId="4A602A8A">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906" w:type="pct"/>
            <w:vMerge w:val="restart"/>
            <w:vAlign w:val="center"/>
          </w:tcPr>
          <w:p w14:paraId="1139B6BD">
            <w:pPr>
              <w:pStyle w:val="41"/>
              <w:rPr>
                <w:color w:val="000000" w:themeColor="text1"/>
                <w14:textFill>
                  <w14:solidFill>
                    <w14:schemeClr w14:val="tx1"/>
                  </w14:solidFill>
                </w14:textFill>
              </w:rPr>
            </w:pPr>
            <w:r>
              <w:rPr>
                <w:color w:val="000000" w:themeColor="text1"/>
                <w14:textFill>
                  <w14:solidFill>
                    <w14:schemeClr w14:val="tx1"/>
                  </w14:solidFill>
                </w14:textFill>
              </w:rPr>
              <w:t>东北面云南交投高速施工队员工临时住房（已无人）</w:t>
            </w:r>
          </w:p>
        </w:tc>
      </w:tr>
      <w:tr w14:paraId="5760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17C51583">
            <w:pPr>
              <w:pStyle w:val="41"/>
              <w:rPr>
                <w:color w:val="000000" w:themeColor="text1"/>
                <w14:textFill>
                  <w14:solidFill>
                    <w14:schemeClr w14:val="tx1"/>
                  </w14:solidFill>
                </w14:textFill>
              </w:rPr>
            </w:pPr>
          </w:p>
        </w:tc>
        <w:tc>
          <w:tcPr>
            <w:tcW w:w="535" w:type="pct"/>
            <w:gridSpan w:val="2"/>
            <w:vMerge w:val="continue"/>
            <w:vAlign w:val="center"/>
          </w:tcPr>
          <w:p w14:paraId="17AB46E0">
            <w:pPr>
              <w:pStyle w:val="41"/>
              <w:rPr>
                <w:color w:val="000000" w:themeColor="text1"/>
                <w14:textFill>
                  <w14:solidFill>
                    <w14:schemeClr w14:val="tx1"/>
                  </w14:solidFill>
                </w14:textFill>
              </w:rPr>
            </w:pPr>
          </w:p>
        </w:tc>
        <w:tc>
          <w:tcPr>
            <w:tcW w:w="465" w:type="pct"/>
            <w:vAlign w:val="center"/>
          </w:tcPr>
          <w:p w14:paraId="63A08E6F">
            <w:pPr>
              <w:pStyle w:val="41"/>
              <w:rPr>
                <w:b/>
                <w:bCs/>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592595E7">
            <w:pPr>
              <w:pStyle w:val="41"/>
              <w:rPr>
                <w:color w:val="000000" w:themeColor="text1"/>
                <w14:textFill>
                  <w14:solidFill>
                    <w14:schemeClr w14:val="tx1"/>
                  </w14:solidFill>
                </w14:textFill>
              </w:rPr>
            </w:pPr>
            <w:r>
              <w:rPr>
                <w:color w:val="000000" w:themeColor="text1"/>
                <w14:textFill>
                  <w14:solidFill>
                    <w14:schemeClr w14:val="tx1"/>
                  </w14:solidFill>
                </w14:textFill>
              </w:rPr>
              <w:t>93.8</w:t>
            </w:r>
          </w:p>
        </w:tc>
        <w:tc>
          <w:tcPr>
            <w:tcW w:w="472" w:type="pct"/>
            <w:vAlign w:val="center"/>
          </w:tcPr>
          <w:p w14:paraId="0E20F380">
            <w:pPr>
              <w:pStyle w:val="41"/>
              <w:rPr>
                <w:color w:val="000000" w:themeColor="text1"/>
                <w14:textFill>
                  <w14:solidFill>
                    <w14:schemeClr w14:val="tx1"/>
                  </w14:solidFill>
                </w14:textFill>
              </w:rPr>
            </w:pPr>
            <w:r>
              <w:rPr>
                <w:color w:val="000000" w:themeColor="text1"/>
                <w14:textFill>
                  <w14:solidFill>
                    <w14:schemeClr w14:val="tx1"/>
                  </w14:solidFill>
                </w14:textFill>
              </w:rPr>
              <w:t>63.6</w:t>
            </w:r>
          </w:p>
        </w:tc>
        <w:tc>
          <w:tcPr>
            <w:tcW w:w="479" w:type="pct"/>
            <w:vAlign w:val="center"/>
          </w:tcPr>
          <w:p w14:paraId="181647EB">
            <w:pPr>
              <w:pStyle w:val="41"/>
              <w:rPr>
                <w:color w:val="000000" w:themeColor="text1"/>
                <w14:textFill>
                  <w14:solidFill>
                    <w14:schemeClr w14:val="tx1"/>
                  </w14:solidFill>
                </w14:textFill>
              </w:rPr>
            </w:pPr>
            <w:r>
              <w:rPr>
                <w:color w:val="000000" w:themeColor="text1"/>
                <w14:textFill>
                  <w14:solidFill>
                    <w14:schemeClr w14:val="tx1"/>
                  </w14:solidFill>
                </w14:textFill>
              </w:rPr>
              <w:t>96.5</w:t>
            </w:r>
          </w:p>
        </w:tc>
        <w:tc>
          <w:tcPr>
            <w:tcW w:w="465" w:type="pct"/>
            <w:vAlign w:val="center"/>
          </w:tcPr>
          <w:p w14:paraId="582D0C0D">
            <w:pPr>
              <w:pStyle w:val="41"/>
              <w:rPr>
                <w:color w:val="000000" w:themeColor="text1"/>
                <w14:textFill>
                  <w14:solidFill>
                    <w14:schemeClr w14:val="tx1"/>
                  </w14:solidFill>
                </w14:textFill>
              </w:rPr>
            </w:pPr>
            <w:r>
              <w:rPr>
                <w:color w:val="000000" w:themeColor="text1"/>
                <w14:textFill>
                  <w14:solidFill>
                    <w14:schemeClr w14:val="tx1"/>
                  </w14:solidFill>
                </w14:textFill>
              </w:rPr>
              <w:t>89.8</w:t>
            </w:r>
          </w:p>
        </w:tc>
        <w:tc>
          <w:tcPr>
            <w:tcW w:w="454" w:type="pct"/>
            <w:vAlign w:val="center"/>
          </w:tcPr>
          <w:p w14:paraId="31539424">
            <w:pPr>
              <w:pStyle w:val="41"/>
              <w:rPr>
                <w:color w:val="000000" w:themeColor="text1"/>
                <w14:textFill>
                  <w14:solidFill>
                    <w14:schemeClr w14:val="tx1"/>
                  </w14:solidFill>
                </w14:textFill>
              </w:rPr>
            </w:pPr>
            <w:r>
              <w:rPr>
                <w:color w:val="000000" w:themeColor="text1"/>
                <w14:textFill>
                  <w14:solidFill>
                    <w14:schemeClr w14:val="tx1"/>
                  </w14:solidFill>
                </w14:textFill>
              </w:rPr>
              <w:t>63.6</w:t>
            </w:r>
          </w:p>
        </w:tc>
        <w:tc>
          <w:tcPr>
            <w:tcW w:w="492" w:type="pct"/>
            <w:vAlign w:val="center"/>
          </w:tcPr>
          <w:p w14:paraId="513A55B4">
            <w:pPr>
              <w:pStyle w:val="41"/>
              <w:rPr>
                <w:color w:val="000000" w:themeColor="text1"/>
                <w14:textFill>
                  <w14:solidFill>
                    <w14:schemeClr w14:val="tx1"/>
                  </w14:solidFill>
                </w14:textFill>
              </w:rPr>
            </w:pPr>
            <w:r>
              <w:rPr>
                <w:color w:val="000000" w:themeColor="text1"/>
                <w14:textFill>
                  <w14:solidFill>
                    <w14:schemeClr w14:val="tx1"/>
                  </w14:solidFill>
                </w14:textFill>
              </w:rPr>
              <w:t>96.3</w:t>
            </w:r>
          </w:p>
        </w:tc>
        <w:tc>
          <w:tcPr>
            <w:tcW w:w="906" w:type="pct"/>
            <w:vMerge w:val="continue"/>
            <w:vAlign w:val="center"/>
          </w:tcPr>
          <w:p w14:paraId="2543CB22">
            <w:pPr>
              <w:pStyle w:val="41"/>
              <w:rPr>
                <w:color w:val="000000" w:themeColor="text1"/>
                <w14:textFill>
                  <w14:solidFill>
                    <w14:schemeClr w14:val="tx1"/>
                  </w14:solidFill>
                </w14:textFill>
              </w:rPr>
            </w:pPr>
          </w:p>
        </w:tc>
      </w:tr>
      <w:tr w14:paraId="527E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22E0BC54">
            <w:pPr>
              <w:pStyle w:val="41"/>
              <w:rPr>
                <w:color w:val="000000" w:themeColor="text1"/>
                <w14:textFill>
                  <w14:solidFill>
                    <w14:schemeClr w14:val="tx1"/>
                  </w14:solidFill>
                </w14:textFill>
              </w:rPr>
            </w:pPr>
          </w:p>
        </w:tc>
        <w:tc>
          <w:tcPr>
            <w:tcW w:w="535" w:type="pct"/>
            <w:gridSpan w:val="2"/>
            <w:vMerge w:val="continue"/>
            <w:vAlign w:val="center"/>
          </w:tcPr>
          <w:p w14:paraId="05035102">
            <w:pPr>
              <w:pStyle w:val="41"/>
              <w:rPr>
                <w:color w:val="000000" w:themeColor="text1"/>
                <w14:textFill>
                  <w14:solidFill>
                    <w14:schemeClr w14:val="tx1"/>
                  </w14:solidFill>
                </w14:textFill>
              </w:rPr>
            </w:pPr>
          </w:p>
        </w:tc>
        <w:tc>
          <w:tcPr>
            <w:tcW w:w="465" w:type="pct"/>
            <w:vAlign w:val="center"/>
          </w:tcPr>
          <w:p w14:paraId="3FC042B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66DF2C6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72" w:type="pct"/>
            <w:vAlign w:val="center"/>
          </w:tcPr>
          <w:p w14:paraId="229BE2A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79" w:type="pct"/>
            <w:vAlign w:val="center"/>
          </w:tcPr>
          <w:p w14:paraId="0C5568B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65" w:type="pct"/>
            <w:vAlign w:val="center"/>
          </w:tcPr>
          <w:p w14:paraId="249A29C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54" w:type="pct"/>
            <w:vAlign w:val="center"/>
          </w:tcPr>
          <w:p w14:paraId="1BA5D25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92" w:type="pct"/>
            <w:vAlign w:val="center"/>
          </w:tcPr>
          <w:p w14:paraId="578D4DD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906" w:type="pct"/>
            <w:vMerge w:val="restart"/>
            <w:vAlign w:val="center"/>
          </w:tcPr>
          <w:p w14:paraId="142B69B9">
            <w:pPr>
              <w:pStyle w:val="41"/>
              <w:rPr>
                <w:color w:val="000000" w:themeColor="text1"/>
                <w14:textFill>
                  <w14:solidFill>
                    <w14:schemeClr w14:val="tx1"/>
                  </w14:solidFill>
                </w14:textFill>
              </w:rPr>
            </w:pPr>
            <w:r>
              <w:rPr>
                <w:color w:val="000000" w:themeColor="text1"/>
                <w14:textFill>
                  <w14:solidFill>
                    <w14:schemeClr w14:val="tx1"/>
                  </w14:solidFill>
                </w14:textFill>
              </w:rPr>
              <w:t>东南面民房</w:t>
            </w:r>
          </w:p>
        </w:tc>
      </w:tr>
      <w:tr w14:paraId="1478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095B0C11">
            <w:pPr>
              <w:pStyle w:val="41"/>
              <w:rPr>
                <w:color w:val="000000" w:themeColor="text1"/>
                <w14:textFill>
                  <w14:solidFill>
                    <w14:schemeClr w14:val="tx1"/>
                  </w14:solidFill>
                </w14:textFill>
              </w:rPr>
            </w:pPr>
          </w:p>
        </w:tc>
        <w:tc>
          <w:tcPr>
            <w:tcW w:w="535" w:type="pct"/>
            <w:gridSpan w:val="2"/>
            <w:vMerge w:val="continue"/>
            <w:vAlign w:val="center"/>
          </w:tcPr>
          <w:p w14:paraId="45C427BD">
            <w:pPr>
              <w:pStyle w:val="41"/>
              <w:rPr>
                <w:color w:val="000000" w:themeColor="text1"/>
                <w14:textFill>
                  <w14:solidFill>
                    <w14:schemeClr w14:val="tx1"/>
                  </w14:solidFill>
                </w14:textFill>
              </w:rPr>
            </w:pPr>
          </w:p>
        </w:tc>
        <w:tc>
          <w:tcPr>
            <w:tcW w:w="465" w:type="pct"/>
            <w:vAlign w:val="center"/>
          </w:tcPr>
          <w:p w14:paraId="2AAA13F9">
            <w:pPr>
              <w:pStyle w:val="41"/>
              <w:rPr>
                <w:b/>
                <w:bCs/>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554C855B">
            <w:pPr>
              <w:pStyle w:val="41"/>
              <w:rPr>
                <w:color w:val="000000" w:themeColor="text1"/>
                <w14:textFill>
                  <w14:solidFill>
                    <w14:schemeClr w14:val="tx1"/>
                  </w14:solidFill>
                </w14:textFill>
              </w:rPr>
            </w:pPr>
            <w:r>
              <w:rPr>
                <w:color w:val="000000" w:themeColor="text1"/>
                <w14:textFill>
                  <w14:solidFill>
                    <w14:schemeClr w14:val="tx1"/>
                  </w14:solidFill>
                </w14:textFill>
              </w:rPr>
              <w:t>66.8</w:t>
            </w:r>
          </w:p>
        </w:tc>
        <w:tc>
          <w:tcPr>
            <w:tcW w:w="472" w:type="pct"/>
            <w:vAlign w:val="center"/>
          </w:tcPr>
          <w:p w14:paraId="24D33267">
            <w:pPr>
              <w:pStyle w:val="41"/>
              <w:rPr>
                <w:color w:val="000000" w:themeColor="text1"/>
                <w14:textFill>
                  <w14:solidFill>
                    <w14:schemeClr w14:val="tx1"/>
                  </w14:solidFill>
                </w14:textFill>
              </w:rPr>
            </w:pPr>
            <w:r>
              <w:rPr>
                <w:color w:val="000000" w:themeColor="text1"/>
                <w14:textFill>
                  <w14:solidFill>
                    <w14:schemeClr w14:val="tx1"/>
                  </w14:solidFill>
                </w14:textFill>
              </w:rPr>
              <w:t>69.4</w:t>
            </w:r>
          </w:p>
        </w:tc>
        <w:tc>
          <w:tcPr>
            <w:tcW w:w="479" w:type="pct"/>
            <w:vAlign w:val="center"/>
          </w:tcPr>
          <w:p w14:paraId="23A3D591">
            <w:pPr>
              <w:pStyle w:val="41"/>
              <w:rPr>
                <w:color w:val="000000" w:themeColor="text1"/>
                <w14:textFill>
                  <w14:solidFill>
                    <w14:schemeClr w14:val="tx1"/>
                  </w14:solidFill>
                </w14:textFill>
              </w:rPr>
            </w:pPr>
            <w:r>
              <w:rPr>
                <w:color w:val="000000" w:themeColor="text1"/>
                <w14:textFill>
                  <w14:solidFill>
                    <w14:schemeClr w14:val="tx1"/>
                  </w14:solidFill>
                </w14:textFill>
              </w:rPr>
              <w:t>72.8</w:t>
            </w:r>
          </w:p>
        </w:tc>
        <w:tc>
          <w:tcPr>
            <w:tcW w:w="465" w:type="pct"/>
            <w:vAlign w:val="center"/>
          </w:tcPr>
          <w:p w14:paraId="606F0435">
            <w:pPr>
              <w:pStyle w:val="41"/>
              <w:rPr>
                <w:color w:val="000000" w:themeColor="text1"/>
                <w14:textFill>
                  <w14:solidFill>
                    <w14:schemeClr w14:val="tx1"/>
                  </w14:solidFill>
                </w14:textFill>
              </w:rPr>
            </w:pPr>
            <w:r>
              <w:rPr>
                <w:color w:val="000000" w:themeColor="text1"/>
                <w14:textFill>
                  <w14:solidFill>
                    <w14:schemeClr w14:val="tx1"/>
                  </w14:solidFill>
                </w14:textFill>
              </w:rPr>
              <w:t>68.3</w:t>
            </w:r>
          </w:p>
        </w:tc>
        <w:tc>
          <w:tcPr>
            <w:tcW w:w="454" w:type="pct"/>
            <w:vAlign w:val="center"/>
          </w:tcPr>
          <w:p w14:paraId="7414E308">
            <w:pPr>
              <w:pStyle w:val="41"/>
              <w:rPr>
                <w:color w:val="000000" w:themeColor="text1"/>
                <w14:textFill>
                  <w14:solidFill>
                    <w14:schemeClr w14:val="tx1"/>
                  </w14:solidFill>
                </w14:textFill>
              </w:rPr>
            </w:pPr>
            <w:r>
              <w:rPr>
                <w:color w:val="000000" w:themeColor="text1"/>
                <w14:textFill>
                  <w14:solidFill>
                    <w14:schemeClr w14:val="tx1"/>
                  </w14:solidFill>
                </w14:textFill>
              </w:rPr>
              <w:t>60.7</w:t>
            </w:r>
          </w:p>
        </w:tc>
        <w:tc>
          <w:tcPr>
            <w:tcW w:w="492" w:type="pct"/>
            <w:vAlign w:val="center"/>
          </w:tcPr>
          <w:p w14:paraId="3573F326">
            <w:pPr>
              <w:pStyle w:val="41"/>
              <w:rPr>
                <w:color w:val="000000" w:themeColor="text1"/>
                <w14:textFill>
                  <w14:solidFill>
                    <w14:schemeClr w14:val="tx1"/>
                  </w14:solidFill>
                </w14:textFill>
              </w:rPr>
            </w:pPr>
            <w:r>
              <w:rPr>
                <w:color w:val="000000" w:themeColor="text1"/>
                <w14:textFill>
                  <w14:solidFill>
                    <w14:schemeClr w14:val="tx1"/>
                  </w14:solidFill>
                </w14:textFill>
              </w:rPr>
              <w:t>74.6</w:t>
            </w:r>
          </w:p>
        </w:tc>
        <w:tc>
          <w:tcPr>
            <w:tcW w:w="906" w:type="pct"/>
            <w:vMerge w:val="continue"/>
            <w:vAlign w:val="center"/>
          </w:tcPr>
          <w:p w14:paraId="2A8FD79E">
            <w:pPr>
              <w:pStyle w:val="41"/>
              <w:rPr>
                <w:color w:val="000000" w:themeColor="text1"/>
                <w14:textFill>
                  <w14:solidFill>
                    <w14:schemeClr w14:val="tx1"/>
                  </w14:solidFill>
                </w14:textFill>
              </w:rPr>
            </w:pPr>
          </w:p>
        </w:tc>
      </w:tr>
      <w:tr w14:paraId="60A1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577BDB47">
            <w:pPr>
              <w:pStyle w:val="41"/>
              <w:rPr>
                <w:color w:val="000000" w:themeColor="text1"/>
                <w14:textFill>
                  <w14:solidFill>
                    <w14:schemeClr w14:val="tx1"/>
                  </w14:solidFill>
                </w14:textFill>
              </w:rPr>
            </w:pPr>
          </w:p>
        </w:tc>
        <w:tc>
          <w:tcPr>
            <w:tcW w:w="535" w:type="pct"/>
            <w:gridSpan w:val="2"/>
            <w:vMerge w:val="continue"/>
            <w:vAlign w:val="center"/>
          </w:tcPr>
          <w:p w14:paraId="2B95331C">
            <w:pPr>
              <w:pStyle w:val="41"/>
              <w:rPr>
                <w:color w:val="000000" w:themeColor="text1"/>
                <w14:textFill>
                  <w14:solidFill>
                    <w14:schemeClr w14:val="tx1"/>
                  </w14:solidFill>
                </w14:textFill>
              </w:rPr>
            </w:pPr>
          </w:p>
        </w:tc>
        <w:tc>
          <w:tcPr>
            <w:tcW w:w="465" w:type="pct"/>
            <w:vAlign w:val="center"/>
          </w:tcPr>
          <w:p w14:paraId="211E0CB5">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732B64C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72" w:type="pct"/>
            <w:vAlign w:val="center"/>
          </w:tcPr>
          <w:p w14:paraId="11F75CF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79" w:type="pct"/>
            <w:vAlign w:val="center"/>
          </w:tcPr>
          <w:p w14:paraId="62C6680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7</w:t>
            </w:r>
          </w:p>
        </w:tc>
        <w:tc>
          <w:tcPr>
            <w:tcW w:w="465" w:type="pct"/>
            <w:vAlign w:val="center"/>
          </w:tcPr>
          <w:p w14:paraId="47D388E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54" w:type="pct"/>
            <w:vAlign w:val="center"/>
          </w:tcPr>
          <w:p w14:paraId="344825B5">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492" w:type="pct"/>
            <w:vAlign w:val="center"/>
          </w:tcPr>
          <w:p w14:paraId="00F71A6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w:t>
            </w:r>
          </w:p>
        </w:tc>
        <w:tc>
          <w:tcPr>
            <w:tcW w:w="906" w:type="pct"/>
            <w:vMerge w:val="restart"/>
            <w:vAlign w:val="center"/>
          </w:tcPr>
          <w:p w14:paraId="06511E02">
            <w:pPr>
              <w:pStyle w:val="41"/>
              <w:rPr>
                <w:color w:val="000000" w:themeColor="text1"/>
                <w14:textFill>
                  <w14:solidFill>
                    <w14:schemeClr w14:val="tx1"/>
                  </w14:solidFill>
                </w14:textFill>
              </w:rPr>
            </w:pPr>
            <w:r>
              <w:rPr>
                <w:color w:val="000000" w:themeColor="text1"/>
                <w14:textFill>
                  <w14:solidFill>
                    <w14:schemeClr w14:val="tx1"/>
                  </w14:solidFill>
                </w14:textFill>
              </w:rPr>
              <w:t>东面民房</w:t>
            </w:r>
          </w:p>
        </w:tc>
      </w:tr>
      <w:tr w14:paraId="1B07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9" w:type="pct"/>
            <w:vMerge w:val="continue"/>
            <w:vAlign w:val="center"/>
          </w:tcPr>
          <w:p w14:paraId="391B14C7">
            <w:pPr>
              <w:pStyle w:val="41"/>
              <w:rPr>
                <w:color w:val="000000" w:themeColor="text1"/>
                <w14:textFill>
                  <w14:solidFill>
                    <w14:schemeClr w14:val="tx1"/>
                  </w14:solidFill>
                </w14:textFill>
              </w:rPr>
            </w:pPr>
          </w:p>
        </w:tc>
        <w:tc>
          <w:tcPr>
            <w:tcW w:w="535" w:type="pct"/>
            <w:gridSpan w:val="2"/>
            <w:vMerge w:val="continue"/>
            <w:vAlign w:val="center"/>
          </w:tcPr>
          <w:p w14:paraId="19CACD5F">
            <w:pPr>
              <w:pStyle w:val="41"/>
              <w:rPr>
                <w:color w:val="000000" w:themeColor="text1"/>
                <w14:textFill>
                  <w14:solidFill>
                    <w14:schemeClr w14:val="tx1"/>
                  </w14:solidFill>
                </w14:textFill>
              </w:rPr>
            </w:pPr>
          </w:p>
        </w:tc>
        <w:tc>
          <w:tcPr>
            <w:tcW w:w="465" w:type="pct"/>
            <w:vAlign w:val="center"/>
          </w:tcPr>
          <w:p w14:paraId="06BD6E85">
            <w:pPr>
              <w:pStyle w:val="41"/>
              <w:rPr>
                <w:b/>
                <w:bCs/>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5F7757BA">
            <w:pPr>
              <w:pStyle w:val="41"/>
              <w:rPr>
                <w:color w:val="000000" w:themeColor="text1"/>
                <w14:textFill>
                  <w14:solidFill>
                    <w14:schemeClr w14:val="tx1"/>
                  </w14:solidFill>
                </w14:textFill>
              </w:rPr>
            </w:pPr>
            <w:r>
              <w:rPr>
                <w:color w:val="000000" w:themeColor="text1"/>
                <w14:textFill>
                  <w14:solidFill>
                    <w14:schemeClr w14:val="tx1"/>
                  </w14:solidFill>
                </w14:textFill>
              </w:rPr>
              <w:t>104</w:t>
            </w:r>
          </w:p>
        </w:tc>
        <w:tc>
          <w:tcPr>
            <w:tcW w:w="472" w:type="pct"/>
            <w:vAlign w:val="center"/>
          </w:tcPr>
          <w:p w14:paraId="0755EBD3">
            <w:pPr>
              <w:pStyle w:val="41"/>
              <w:rPr>
                <w:color w:val="000000" w:themeColor="text1"/>
                <w14:textFill>
                  <w14:solidFill>
                    <w14:schemeClr w14:val="tx1"/>
                  </w14:solidFill>
                </w14:textFill>
              </w:rPr>
            </w:pPr>
            <w:r>
              <w:rPr>
                <w:color w:val="000000" w:themeColor="text1"/>
                <w14:textFill>
                  <w14:solidFill>
                    <w14:schemeClr w14:val="tx1"/>
                  </w14:solidFill>
                </w14:textFill>
              </w:rPr>
              <w:t>72.8</w:t>
            </w:r>
          </w:p>
        </w:tc>
        <w:tc>
          <w:tcPr>
            <w:tcW w:w="479" w:type="pct"/>
            <w:vAlign w:val="center"/>
          </w:tcPr>
          <w:p w14:paraId="444A2F4B">
            <w:pPr>
              <w:pStyle w:val="41"/>
              <w:rPr>
                <w:color w:val="000000" w:themeColor="text1"/>
                <w14:textFill>
                  <w14:solidFill>
                    <w14:schemeClr w14:val="tx1"/>
                  </w14:solidFill>
                </w14:textFill>
              </w:rPr>
            </w:pPr>
            <w:r>
              <w:rPr>
                <w:color w:val="000000" w:themeColor="text1"/>
                <w14:textFill>
                  <w14:solidFill>
                    <w14:schemeClr w14:val="tx1"/>
                  </w14:solidFill>
                </w14:textFill>
              </w:rPr>
              <w:t>106.3</w:t>
            </w:r>
          </w:p>
        </w:tc>
        <w:tc>
          <w:tcPr>
            <w:tcW w:w="465" w:type="pct"/>
            <w:vAlign w:val="center"/>
          </w:tcPr>
          <w:p w14:paraId="047EE6EF">
            <w:pPr>
              <w:pStyle w:val="41"/>
              <w:rPr>
                <w:color w:val="000000" w:themeColor="text1"/>
                <w14:textFill>
                  <w14:solidFill>
                    <w14:schemeClr w14:val="tx1"/>
                  </w14:solidFill>
                </w14:textFill>
              </w:rPr>
            </w:pPr>
            <w:r>
              <w:rPr>
                <w:color w:val="000000" w:themeColor="text1"/>
                <w14:textFill>
                  <w14:solidFill>
                    <w14:schemeClr w14:val="tx1"/>
                  </w14:solidFill>
                </w14:textFill>
              </w:rPr>
              <w:t>98</w:t>
            </w:r>
          </w:p>
        </w:tc>
        <w:tc>
          <w:tcPr>
            <w:tcW w:w="454" w:type="pct"/>
            <w:vAlign w:val="center"/>
          </w:tcPr>
          <w:p w14:paraId="664F5103">
            <w:pPr>
              <w:pStyle w:val="41"/>
              <w:rPr>
                <w:color w:val="000000" w:themeColor="text1"/>
                <w14:textFill>
                  <w14:solidFill>
                    <w14:schemeClr w14:val="tx1"/>
                  </w14:solidFill>
                </w14:textFill>
              </w:rPr>
            </w:pPr>
            <w:r>
              <w:rPr>
                <w:color w:val="000000" w:themeColor="text1"/>
                <w14:textFill>
                  <w14:solidFill>
                    <w14:schemeClr w14:val="tx1"/>
                  </w14:solidFill>
                </w14:textFill>
              </w:rPr>
              <w:t>74.3</w:t>
            </w:r>
          </w:p>
        </w:tc>
        <w:tc>
          <w:tcPr>
            <w:tcW w:w="492" w:type="pct"/>
            <w:vAlign w:val="center"/>
          </w:tcPr>
          <w:p w14:paraId="44D9D4B3">
            <w:pPr>
              <w:pStyle w:val="41"/>
              <w:rPr>
                <w:color w:val="000000" w:themeColor="text1"/>
                <w14:textFill>
                  <w14:solidFill>
                    <w14:schemeClr w14:val="tx1"/>
                  </w14:solidFill>
                </w14:textFill>
              </w:rPr>
            </w:pPr>
            <w:r>
              <w:rPr>
                <w:color w:val="000000" w:themeColor="text1"/>
                <w14:textFill>
                  <w14:solidFill>
                    <w14:schemeClr w14:val="tx1"/>
                  </w14:solidFill>
                </w14:textFill>
              </w:rPr>
              <w:t>106</w:t>
            </w:r>
          </w:p>
        </w:tc>
        <w:tc>
          <w:tcPr>
            <w:tcW w:w="906" w:type="pct"/>
            <w:vMerge w:val="continue"/>
            <w:vAlign w:val="center"/>
          </w:tcPr>
          <w:p w14:paraId="1B5CB963">
            <w:pPr>
              <w:pStyle w:val="41"/>
              <w:rPr>
                <w:color w:val="000000" w:themeColor="text1"/>
                <w14:textFill>
                  <w14:solidFill>
                    <w14:schemeClr w14:val="tx1"/>
                  </w14:solidFill>
                </w14:textFill>
              </w:rPr>
            </w:pPr>
          </w:p>
        </w:tc>
      </w:tr>
      <w:tr w14:paraId="4475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436E8210">
            <w:pPr>
              <w:pStyle w:val="41"/>
              <w:rPr>
                <w:color w:val="000000" w:themeColor="text1"/>
                <w14:textFill>
                  <w14:solidFill>
                    <w14:schemeClr w14:val="tx1"/>
                  </w14:solidFill>
                </w14:textFill>
              </w:rPr>
            </w:pPr>
            <w:r>
              <w:rPr>
                <w:color w:val="000000" w:themeColor="text1"/>
                <w14:textFill>
                  <w14:solidFill>
                    <w14:schemeClr w14:val="tx1"/>
                  </w14:solidFill>
                </w14:textFill>
              </w:rPr>
              <w:t>甲、乙类物品生产厂房、库房和甲、乙类液体储罐</w:t>
            </w:r>
          </w:p>
        </w:tc>
        <w:tc>
          <w:tcPr>
            <w:tcW w:w="465" w:type="pct"/>
            <w:vAlign w:val="center"/>
          </w:tcPr>
          <w:p w14:paraId="482CF5C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092BDB7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72" w:type="pct"/>
            <w:vAlign w:val="center"/>
          </w:tcPr>
          <w:p w14:paraId="6D37BDF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79" w:type="pct"/>
            <w:vAlign w:val="center"/>
          </w:tcPr>
          <w:p w14:paraId="0F2195D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65" w:type="pct"/>
            <w:vAlign w:val="center"/>
          </w:tcPr>
          <w:p w14:paraId="73CBF7FC">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9</w:t>
            </w:r>
          </w:p>
        </w:tc>
        <w:tc>
          <w:tcPr>
            <w:tcW w:w="454" w:type="pct"/>
            <w:vAlign w:val="center"/>
          </w:tcPr>
          <w:p w14:paraId="000F3D9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9</w:t>
            </w:r>
          </w:p>
        </w:tc>
        <w:tc>
          <w:tcPr>
            <w:tcW w:w="492" w:type="pct"/>
            <w:vAlign w:val="center"/>
          </w:tcPr>
          <w:p w14:paraId="6420659A">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9</w:t>
            </w:r>
          </w:p>
        </w:tc>
        <w:tc>
          <w:tcPr>
            <w:tcW w:w="906" w:type="pct"/>
            <w:vMerge w:val="restart"/>
            <w:vAlign w:val="center"/>
          </w:tcPr>
          <w:p w14:paraId="20B3DB03">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7BC6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355EA5B4">
            <w:pPr>
              <w:pStyle w:val="41"/>
              <w:rPr>
                <w:color w:val="000000" w:themeColor="text1"/>
                <w14:textFill>
                  <w14:solidFill>
                    <w14:schemeClr w14:val="tx1"/>
                  </w14:solidFill>
                </w14:textFill>
              </w:rPr>
            </w:pPr>
          </w:p>
        </w:tc>
        <w:tc>
          <w:tcPr>
            <w:tcW w:w="465" w:type="pct"/>
            <w:vAlign w:val="center"/>
          </w:tcPr>
          <w:p w14:paraId="0FBAA21D">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04F234B9">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4A7B3DFE">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3797294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4F1888A4">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39D92B64">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6BB8881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008DD655">
            <w:pPr>
              <w:pStyle w:val="41"/>
              <w:rPr>
                <w:color w:val="000000" w:themeColor="text1"/>
                <w14:textFill>
                  <w14:solidFill>
                    <w14:schemeClr w14:val="tx1"/>
                  </w14:solidFill>
                </w14:textFill>
              </w:rPr>
            </w:pPr>
          </w:p>
        </w:tc>
      </w:tr>
      <w:tr w14:paraId="17D9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6DA190DA">
            <w:pPr>
              <w:pStyle w:val="41"/>
              <w:rPr>
                <w:color w:val="000000" w:themeColor="text1"/>
                <w14:textFill>
                  <w14:solidFill>
                    <w14:schemeClr w14:val="tx1"/>
                  </w14:solidFill>
                </w14:textFill>
              </w:rPr>
            </w:pPr>
            <w:r>
              <w:rPr>
                <w:color w:val="000000" w:themeColor="text1"/>
                <w14:textFill>
                  <w14:solidFill>
                    <w14:schemeClr w14:val="tx1"/>
                  </w14:solidFill>
                </w14:textFill>
              </w:rPr>
              <w:t>丙、丁、戊类物品生产厂房、库房和丙类液体储罐以及容积不大于50m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的埋地甲、乙类液体储罐</w:t>
            </w:r>
          </w:p>
        </w:tc>
        <w:tc>
          <w:tcPr>
            <w:tcW w:w="465" w:type="pct"/>
            <w:vAlign w:val="center"/>
          </w:tcPr>
          <w:p w14:paraId="5931465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3069076F">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10.5</w:t>
            </w:r>
          </w:p>
        </w:tc>
        <w:tc>
          <w:tcPr>
            <w:tcW w:w="472" w:type="pct"/>
            <w:vAlign w:val="center"/>
          </w:tcPr>
          <w:p w14:paraId="34061C5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10.5</w:t>
            </w:r>
          </w:p>
        </w:tc>
        <w:tc>
          <w:tcPr>
            <w:tcW w:w="479" w:type="pct"/>
            <w:vAlign w:val="center"/>
          </w:tcPr>
          <w:p w14:paraId="3C7175B5">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10.5</w:t>
            </w:r>
          </w:p>
        </w:tc>
        <w:tc>
          <w:tcPr>
            <w:tcW w:w="465" w:type="pct"/>
            <w:vAlign w:val="center"/>
          </w:tcPr>
          <w:p w14:paraId="21AD1BDD">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9</w:t>
            </w:r>
          </w:p>
        </w:tc>
        <w:tc>
          <w:tcPr>
            <w:tcW w:w="454" w:type="pct"/>
            <w:vAlign w:val="center"/>
          </w:tcPr>
          <w:p w14:paraId="233F2D0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9</w:t>
            </w:r>
          </w:p>
        </w:tc>
        <w:tc>
          <w:tcPr>
            <w:tcW w:w="492" w:type="pct"/>
            <w:vAlign w:val="center"/>
          </w:tcPr>
          <w:p w14:paraId="545E0C8F">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9</w:t>
            </w:r>
          </w:p>
        </w:tc>
        <w:tc>
          <w:tcPr>
            <w:tcW w:w="906" w:type="pct"/>
            <w:vMerge w:val="restart"/>
            <w:vAlign w:val="center"/>
          </w:tcPr>
          <w:p w14:paraId="0DA0CBCA">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2C9A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4932A9F2">
            <w:pPr>
              <w:pStyle w:val="41"/>
              <w:rPr>
                <w:color w:val="000000" w:themeColor="text1"/>
                <w14:textFill>
                  <w14:solidFill>
                    <w14:schemeClr w14:val="tx1"/>
                  </w14:solidFill>
                </w14:textFill>
              </w:rPr>
            </w:pPr>
          </w:p>
        </w:tc>
        <w:tc>
          <w:tcPr>
            <w:tcW w:w="465" w:type="pct"/>
            <w:vAlign w:val="center"/>
          </w:tcPr>
          <w:p w14:paraId="1DD5AD8E">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693" w:type="dxa"/>
            <w:vAlign w:val="center"/>
          </w:tcPr>
          <w:p w14:paraId="6FA194CB">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887" w:type="dxa"/>
            <w:vAlign w:val="center"/>
          </w:tcPr>
          <w:p w14:paraId="0BD1D15C">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0" w:type="dxa"/>
            <w:vAlign w:val="center"/>
          </w:tcPr>
          <w:p w14:paraId="299A6226">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875" w:type="dxa"/>
            <w:vAlign w:val="center"/>
          </w:tcPr>
          <w:p w14:paraId="1504B059">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853" w:type="dxa"/>
            <w:vAlign w:val="center"/>
          </w:tcPr>
          <w:p w14:paraId="42DE9106">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26" w:type="dxa"/>
            <w:vAlign w:val="center"/>
          </w:tcPr>
          <w:p w14:paraId="54FB1D6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34C0879A">
            <w:pPr>
              <w:pStyle w:val="41"/>
              <w:rPr>
                <w:color w:val="000000" w:themeColor="text1"/>
                <w14:textFill>
                  <w14:solidFill>
                    <w14:schemeClr w14:val="tx1"/>
                  </w14:solidFill>
                </w14:textFill>
              </w:rPr>
            </w:pPr>
          </w:p>
        </w:tc>
      </w:tr>
      <w:tr w14:paraId="72CA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1894681C">
            <w:pPr>
              <w:pStyle w:val="41"/>
              <w:rPr>
                <w:color w:val="000000" w:themeColor="text1"/>
                <w14:textFill>
                  <w14:solidFill>
                    <w14:schemeClr w14:val="tx1"/>
                  </w14:solidFill>
                </w14:textFill>
              </w:rPr>
            </w:pPr>
            <w:r>
              <w:rPr>
                <w:color w:val="000000" w:themeColor="text1"/>
                <w14:textFill>
                  <w14:solidFill>
                    <w14:schemeClr w14:val="tx1"/>
                  </w14:solidFill>
                </w14:textFill>
              </w:rPr>
              <w:t>室外变配电站</w:t>
            </w:r>
          </w:p>
        </w:tc>
        <w:tc>
          <w:tcPr>
            <w:tcW w:w="465" w:type="pct"/>
            <w:vAlign w:val="center"/>
          </w:tcPr>
          <w:p w14:paraId="25347BC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1567E7B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72" w:type="pct"/>
            <w:vAlign w:val="center"/>
          </w:tcPr>
          <w:p w14:paraId="57B5B97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79" w:type="pct"/>
            <w:vAlign w:val="center"/>
          </w:tcPr>
          <w:p w14:paraId="53874BA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65" w:type="pct"/>
            <w:vAlign w:val="center"/>
          </w:tcPr>
          <w:p w14:paraId="429AAE0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54" w:type="pct"/>
            <w:vAlign w:val="center"/>
          </w:tcPr>
          <w:p w14:paraId="7B365BCA">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492" w:type="pct"/>
            <w:vAlign w:val="center"/>
          </w:tcPr>
          <w:p w14:paraId="0FC2305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12.5</w:t>
            </w:r>
          </w:p>
        </w:tc>
        <w:tc>
          <w:tcPr>
            <w:tcW w:w="906" w:type="pct"/>
            <w:vMerge w:val="restart"/>
            <w:vAlign w:val="center"/>
          </w:tcPr>
          <w:p w14:paraId="42E374C2">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282B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32591CEC">
            <w:pPr>
              <w:pStyle w:val="41"/>
              <w:rPr>
                <w:color w:val="000000" w:themeColor="text1"/>
                <w14:textFill>
                  <w14:solidFill>
                    <w14:schemeClr w14:val="tx1"/>
                  </w14:solidFill>
                </w14:textFill>
              </w:rPr>
            </w:pPr>
          </w:p>
        </w:tc>
        <w:tc>
          <w:tcPr>
            <w:tcW w:w="465" w:type="pct"/>
            <w:vAlign w:val="center"/>
          </w:tcPr>
          <w:p w14:paraId="51B84416">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31DAF85E">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3F5C5752">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1616DDDF">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22EFD646">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776F201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13ADE1BB">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0317DE5D">
            <w:pPr>
              <w:pStyle w:val="41"/>
              <w:rPr>
                <w:color w:val="000000" w:themeColor="text1"/>
                <w14:textFill>
                  <w14:solidFill>
                    <w14:schemeClr w14:val="tx1"/>
                  </w14:solidFill>
                </w14:textFill>
              </w:rPr>
            </w:pPr>
          </w:p>
        </w:tc>
      </w:tr>
      <w:tr w14:paraId="1E17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894" w:type="pct"/>
            <w:gridSpan w:val="3"/>
            <w:vMerge w:val="restart"/>
            <w:vAlign w:val="center"/>
          </w:tcPr>
          <w:p w14:paraId="0929EFFC">
            <w:pPr>
              <w:pStyle w:val="41"/>
              <w:rPr>
                <w:color w:val="000000" w:themeColor="text1"/>
                <w14:textFill>
                  <w14:solidFill>
                    <w14:schemeClr w14:val="tx1"/>
                  </w14:solidFill>
                </w14:textFill>
              </w:rPr>
            </w:pPr>
            <w:r>
              <w:rPr>
                <w:color w:val="000000" w:themeColor="text1"/>
                <w14:textFill>
                  <w14:solidFill>
                    <w14:schemeClr w14:val="tx1"/>
                  </w14:solidFill>
                </w14:textFill>
              </w:rPr>
              <w:t>铁路、地上城市轨道线路</w:t>
            </w:r>
          </w:p>
        </w:tc>
        <w:tc>
          <w:tcPr>
            <w:tcW w:w="465" w:type="pct"/>
            <w:vAlign w:val="center"/>
          </w:tcPr>
          <w:p w14:paraId="4A41CFB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7BB2209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15.5</w:t>
            </w:r>
          </w:p>
        </w:tc>
        <w:tc>
          <w:tcPr>
            <w:tcW w:w="472" w:type="pct"/>
            <w:vAlign w:val="center"/>
          </w:tcPr>
          <w:p w14:paraId="183EEFE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15.5</w:t>
            </w:r>
          </w:p>
        </w:tc>
        <w:tc>
          <w:tcPr>
            <w:tcW w:w="479" w:type="pct"/>
            <w:vAlign w:val="center"/>
          </w:tcPr>
          <w:p w14:paraId="523F2D3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15.5</w:t>
            </w:r>
          </w:p>
        </w:tc>
        <w:tc>
          <w:tcPr>
            <w:tcW w:w="465" w:type="pct"/>
            <w:vAlign w:val="center"/>
          </w:tcPr>
          <w:p w14:paraId="556F120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15</w:t>
            </w:r>
          </w:p>
        </w:tc>
        <w:tc>
          <w:tcPr>
            <w:tcW w:w="454" w:type="pct"/>
            <w:vAlign w:val="center"/>
          </w:tcPr>
          <w:p w14:paraId="5332AF7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15</w:t>
            </w:r>
          </w:p>
        </w:tc>
        <w:tc>
          <w:tcPr>
            <w:tcW w:w="492" w:type="pct"/>
            <w:vAlign w:val="center"/>
          </w:tcPr>
          <w:p w14:paraId="4E04610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15</w:t>
            </w:r>
          </w:p>
        </w:tc>
        <w:tc>
          <w:tcPr>
            <w:tcW w:w="906" w:type="pct"/>
            <w:vMerge w:val="restart"/>
            <w:vAlign w:val="center"/>
          </w:tcPr>
          <w:p w14:paraId="091B2FA2">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516E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4D0117C4">
            <w:pPr>
              <w:pStyle w:val="41"/>
              <w:rPr>
                <w:color w:val="000000" w:themeColor="text1"/>
                <w14:textFill>
                  <w14:solidFill>
                    <w14:schemeClr w14:val="tx1"/>
                  </w14:solidFill>
                </w14:textFill>
              </w:rPr>
            </w:pPr>
          </w:p>
        </w:tc>
        <w:tc>
          <w:tcPr>
            <w:tcW w:w="465" w:type="pct"/>
            <w:vAlign w:val="center"/>
          </w:tcPr>
          <w:p w14:paraId="38AA11BB">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6A8C99B1">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1140AB35">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11D8A8A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6DC01476">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424FD9FA">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4824EB27">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376DABD1">
            <w:pPr>
              <w:pStyle w:val="41"/>
              <w:rPr>
                <w:color w:val="000000" w:themeColor="text1"/>
                <w14:textFill>
                  <w14:solidFill>
                    <w14:schemeClr w14:val="tx1"/>
                  </w14:solidFill>
                </w14:textFill>
              </w:rPr>
            </w:pPr>
          </w:p>
        </w:tc>
      </w:tr>
      <w:tr w14:paraId="3228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0175B1C8">
            <w:pPr>
              <w:pStyle w:val="41"/>
              <w:rPr>
                <w:color w:val="000000" w:themeColor="text1"/>
                <w14:textFill>
                  <w14:solidFill>
                    <w14:schemeClr w14:val="tx1"/>
                  </w14:solidFill>
                </w14:textFill>
              </w:rPr>
            </w:pPr>
            <w:r>
              <w:rPr>
                <w:color w:val="000000" w:themeColor="text1"/>
                <w14:textFill>
                  <w14:solidFill>
                    <w14:schemeClr w14:val="tx1"/>
                  </w14:solidFill>
                </w14:textFill>
              </w:rPr>
              <w:t>城市快速路、主干路和高速公路、一级公路、二级公路</w:t>
            </w:r>
          </w:p>
        </w:tc>
        <w:tc>
          <w:tcPr>
            <w:tcW w:w="465" w:type="pct"/>
            <w:vAlign w:val="center"/>
          </w:tcPr>
          <w:p w14:paraId="4C01B14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4557D58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5.5</w:t>
            </w:r>
          </w:p>
        </w:tc>
        <w:tc>
          <w:tcPr>
            <w:tcW w:w="472" w:type="pct"/>
            <w:vAlign w:val="center"/>
          </w:tcPr>
          <w:p w14:paraId="23E1ED01">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9" w:type="pct"/>
            <w:vAlign w:val="center"/>
          </w:tcPr>
          <w:p w14:paraId="3528849A">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65" w:type="pct"/>
            <w:vAlign w:val="center"/>
          </w:tcPr>
          <w:p w14:paraId="5AD0764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w:t>
            </w:r>
          </w:p>
        </w:tc>
        <w:tc>
          <w:tcPr>
            <w:tcW w:w="454" w:type="pct"/>
            <w:vAlign w:val="center"/>
          </w:tcPr>
          <w:p w14:paraId="6C4DE78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w:t>
            </w:r>
          </w:p>
        </w:tc>
        <w:tc>
          <w:tcPr>
            <w:tcW w:w="492" w:type="pct"/>
            <w:vAlign w:val="center"/>
          </w:tcPr>
          <w:p w14:paraId="7965A6A8">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w:t>
            </w:r>
          </w:p>
        </w:tc>
        <w:tc>
          <w:tcPr>
            <w:tcW w:w="906" w:type="pct"/>
            <w:vMerge w:val="restart"/>
            <w:vAlign w:val="center"/>
          </w:tcPr>
          <w:p w14:paraId="3F0AC66F">
            <w:pPr>
              <w:pStyle w:val="41"/>
              <w:rPr>
                <w:color w:val="000000" w:themeColor="text1"/>
                <w14:textFill>
                  <w14:solidFill>
                    <w14:schemeClr w14:val="tx1"/>
                  </w14:solidFill>
                </w14:textFill>
              </w:rPr>
            </w:pPr>
            <w:r>
              <w:rPr>
                <w:color w:val="000000" w:themeColor="text1"/>
                <w14:textFill>
                  <w14:solidFill>
                    <w14:schemeClr w14:val="tx1"/>
                  </w14:solidFill>
                </w14:textFill>
              </w:rPr>
              <w:t>东面G219国道</w:t>
            </w:r>
          </w:p>
        </w:tc>
      </w:tr>
      <w:tr w14:paraId="4744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5C571AD6">
            <w:pPr>
              <w:pStyle w:val="41"/>
              <w:rPr>
                <w:color w:val="000000" w:themeColor="text1"/>
                <w14:textFill>
                  <w14:solidFill>
                    <w14:schemeClr w14:val="tx1"/>
                  </w14:solidFill>
                </w14:textFill>
              </w:rPr>
            </w:pPr>
          </w:p>
        </w:tc>
        <w:tc>
          <w:tcPr>
            <w:tcW w:w="465" w:type="pct"/>
            <w:vAlign w:val="center"/>
          </w:tcPr>
          <w:p w14:paraId="260A8C36">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6D432DD4">
            <w:pPr>
              <w:pStyle w:val="41"/>
              <w:spacing w:before="0" w:after="0"/>
              <w:rPr>
                <w:color w:val="000000" w:themeColor="text1"/>
                <w:lang w:eastAsia="en-US"/>
                <w14:textFill>
                  <w14:solidFill>
                    <w14:schemeClr w14:val="tx1"/>
                  </w14:solidFill>
                </w14:textFill>
              </w:rPr>
            </w:pPr>
            <w:r>
              <w:rPr>
                <w:color w:val="000000" w:themeColor="text1"/>
                <w14:textFill>
                  <w14:solidFill>
                    <w14:schemeClr w14:val="tx1"/>
                  </w14:solidFill>
                </w14:textFill>
              </w:rPr>
              <w:t>37.42</w:t>
            </w:r>
          </w:p>
        </w:tc>
        <w:tc>
          <w:tcPr>
            <w:tcW w:w="472" w:type="pct"/>
            <w:vAlign w:val="center"/>
          </w:tcPr>
          <w:p w14:paraId="75499A53">
            <w:pPr>
              <w:pStyle w:val="41"/>
              <w:spacing w:before="0" w:after="0"/>
              <w:rPr>
                <w:color w:val="000000" w:themeColor="text1"/>
                <w:lang w:eastAsia="en-US"/>
                <w14:textFill>
                  <w14:solidFill>
                    <w14:schemeClr w14:val="tx1"/>
                  </w14:solidFill>
                </w14:textFill>
              </w:rPr>
            </w:pPr>
            <w:r>
              <w:rPr>
                <w:color w:val="000000" w:themeColor="text1"/>
                <w14:textFill>
                  <w14:solidFill>
                    <w14:schemeClr w14:val="tx1"/>
                  </w14:solidFill>
                </w14:textFill>
              </w:rPr>
              <w:t>27.98</w:t>
            </w:r>
          </w:p>
        </w:tc>
        <w:tc>
          <w:tcPr>
            <w:tcW w:w="479" w:type="pct"/>
            <w:vAlign w:val="center"/>
          </w:tcPr>
          <w:p w14:paraId="54B93AC1">
            <w:pPr>
              <w:pStyle w:val="41"/>
              <w:spacing w:before="0" w:after="0"/>
              <w:rPr>
                <w:color w:val="000000" w:themeColor="text1"/>
                <w:lang w:eastAsia="en-US"/>
                <w14:textFill>
                  <w14:solidFill>
                    <w14:schemeClr w14:val="tx1"/>
                  </w14:solidFill>
                </w14:textFill>
              </w:rPr>
            </w:pPr>
            <w:r>
              <w:rPr>
                <w:color w:val="000000" w:themeColor="text1"/>
                <w14:textFill>
                  <w14:solidFill>
                    <w14:schemeClr w14:val="tx1"/>
                  </w14:solidFill>
                </w14:textFill>
              </w:rPr>
              <w:t>43.48</w:t>
            </w:r>
          </w:p>
        </w:tc>
        <w:tc>
          <w:tcPr>
            <w:tcW w:w="465" w:type="pct"/>
            <w:vAlign w:val="center"/>
          </w:tcPr>
          <w:p w14:paraId="24BDA321">
            <w:pPr>
              <w:pStyle w:val="41"/>
              <w:spacing w:before="0" w:after="0"/>
              <w:rPr>
                <w:color w:val="000000" w:themeColor="text1"/>
                <w:lang w:eastAsia="en-US"/>
                <w14:textFill>
                  <w14:solidFill>
                    <w14:schemeClr w14:val="tx1"/>
                  </w14:solidFill>
                </w14:textFill>
              </w:rPr>
            </w:pPr>
            <w:r>
              <w:rPr>
                <w:color w:val="000000" w:themeColor="text1"/>
                <w14:textFill>
                  <w14:solidFill>
                    <w14:schemeClr w14:val="tx1"/>
                  </w14:solidFill>
                </w14:textFill>
              </w:rPr>
              <w:t>37.24</w:t>
            </w:r>
          </w:p>
        </w:tc>
        <w:tc>
          <w:tcPr>
            <w:tcW w:w="454" w:type="pct"/>
            <w:vAlign w:val="center"/>
          </w:tcPr>
          <w:p w14:paraId="5531B0DB">
            <w:pPr>
              <w:pStyle w:val="41"/>
              <w:spacing w:before="0" w:after="0"/>
              <w:rPr>
                <w:color w:val="000000" w:themeColor="text1"/>
                <w:lang w:eastAsia="en-US"/>
                <w14:textFill>
                  <w14:solidFill>
                    <w14:schemeClr w14:val="tx1"/>
                  </w14:solidFill>
                </w14:textFill>
              </w:rPr>
            </w:pPr>
            <w:r>
              <w:rPr>
                <w:color w:val="000000" w:themeColor="text1"/>
                <w14:textFill>
                  <w14:solidFill>
                    <w14:schemeClr w14:val="tx1"/>
                  </w14:solidFill>
                </w14:textFill>
              </w:rPr>
              <w:t>17.00</w:t>
            </w:r>
          </w:p>
        </w:tc>
        <w:tc>
          <w:tcPr>
            <w:tcW w:w="492" w:type="pct"/>
            <w:vAlign w:val="center"/>
          </w:tcPr>
          <w:p w14:paraId="4DBC543A">
            <w:pPr>
              <w:pStyle w:val="41"/>
              <w:spacing w:before="0" w:after="0"/>
              <w:rPr>
                <w:color w:val="000000" w:themeColor="text1"/>
                <w:lang w:eastAsia="en-US"/>
                <w14:textFill>
                  <w14:solidFill>
                    <w14:schemeClr w14:val="tx1"/>
                  </w14:solidFill>
                </w14:textFill>
              </w:rPr>
            </w:pPr>
            <w:r>
              <w:rPr>
                <w:color w:val="000000" w:themeColor="text1"/>
                <w14:textFill>
                  <w14:solidFill>
                    <w14:schemeClr w14:val="tx1"/>
                  </w14:solidFill>
                </w14:textFill>
              </w:rPr>
              <w:t>43.45</w:t>
            </w:r>
          </w:p>
        </w:tc>
        <w:tc>
          <w:tcPr>
            <w:tcW w:w="906" w:type="pct"/>
            <w:vMerge w:val="continue"/>
            <w:vAlign w:val="center"/>
          </w:tcPr>
          <w:p w14:paraId="407BCCB9">
            <w:pPr>
              <w:pStyle w:val="41"/>
              <w:rPr>
                <w:color w:val="000000" w:themeColor="text1"/>
                <w14:textFill>
                  <w14:solidFill>
                    <w14:schemeClr w14:val="tx1"/>
                  </w14:solidFill>
                </w14:textFill>
              </w:rPr>
            </w:pPr>
          </w:p>
        </w:tc>
      </w:tr>
      <w:tr w14:paraId="5B3D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525B6B2B">
            <w:pPr>
              <w:pStyle w:val="41"/>
              <w:rPr>
                <w:color w:val="000000" w:themeColor="text1"/>
                <w14:textFill>
                  <w14:solidFill>
                    <w14:schemeClr w14:val="tx1"/>
                  </w14:solidFill>
                </w14:textFill>
              </w:rPr>
            </w:pPr>
            <w:r>
              <w:rPr>
                <w:color w:val="000000" w:themeColor="text1"/>
                <w14:textFill>
                  <w14:solidFill>
                    <w14:schemeClr w14:val="tx1"/>
                  </w14:solidFill>
                </w14:textFill>
              </w:rPr>
              <w:t>城市次干路、支路和三级公路、四级公路</w:t>
            </w:r>
          </w:p>
        </w:tc>
        <w:tc>
          <w:tcPr>
            <w:tcW w:w="465" w:type="pct"/>
            <w:vAlign w:val="center"/>
          </w:tcPr>
          <w:p w14:paraId="22D684B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248C3CDF">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2" w:type="pct"/>
            <w:vAlign w:val="center"/>
          </w:tcPr>
          <w:p w14:paraId="584D15F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9" w:type="pct"/>
            <w:vAlign w:val="center"/>
          </w:tcPr>
          <w:p w14:paraId="0D78933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65" w:type="pct"/>
            <w:vAlign w:val="center"/>
          </w:tcPr>
          <w:p w14:paraId="3D7AF47F">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w:t>
            </w:r>
          </w:p>
        </w:tc>
        <w:tc>
          <w:tcPr>
            <w:tcW w:w="454" w:type="pct"/>
            <w:vAlign w:val="center"/>
          </w:tcPr>
          <w:p w14:paraId="0EC0C5D5">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w:t>
            </w:r>
          </w:p>
        </w:tc>
        <w:tc>
          <w:tcPr>
            <w:tcW w:w="492" w:type="pct"/>
            <w:vAlign w:val="center"/>
          </w:tcPr>
          <w:p w14:paraId="1A184A4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3</w:t>
            </w:r>
          </w:p>
        </w:tc>
        <w:tc>
          <w:tcPr>
            <w:tcW w:w="906" w:type="pct"/>
            <w:vMerge w:val="restart"/>
            <w:vAlign w:val="center"/>
          </w:tcPr>
          <w:p w14:paraId="0F77C052">
            <w:pPr>
              <w:pStyle w:val="41"/>
              <w:rPr>
                <w:color w:val="000000" w:themeColor="text1"/>
                <w14:textFill>
                  <w14:solidFill>
                    <w14:schemeClr w14:val="tx1"/>
                  </w14:solidFill>
                </w14:textFill>
              </w:rPr>
            </w:pPr>
            <w:r>
              <w:rPr>
                <w:color w:val="000000" w:themeColor="text1"/>
                <w14:textFill>
                  <w14:solidFill>
                    <w14:schemeClr w14:val="tx1"/>
                  </w14:solidFill>
                </w14:textFill>
              </w:rPr>
              <w:t>不涉及</w:t>
            </w:r>
          </w:p>
        </w:tc>
      </w:tr>
      <w:tr w14:paraId="55E1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4956CFCC">
            <w:pPr>
              <w:pStyle w:val="41"/>
              <w:rPr>
                <w:color w:val="000000" w:themeColor="text1"/>
                <w14:textFill>
                  <w14:solidFill>
                    <w14:schemeClr w14:val="tx1"/>
                  </w14:solidFill>
                </w14:textFill>
              </w:rPr>
            </w:pPr>
          </w:p>
        </w:tc>
        <w:tc>
          <w:tcPr>
            <w:tcW w:w="465" w:type="pct"/>
            <w:vAlign w:val="center"/>
          </w:tcPr>
          <w:p w14:paraId="5CC10E15">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709667EF">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33B353A4">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57CDC51B">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2AFEC0AB">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6C7367B2">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0C99CBD4">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3E52C286">
            <w:pPr>
              <w:pStyle w:val="41"/>
              <w:rPr>
                <w:color w:val="000000" w:themeColor="text1"/>
                <w14:textFill>
                  <w14:solidFill>
                    <w14:schemeClr w14:val="tx1"/>
                  </w14:solidFill>
                </w14:textFill>
              </w:rPr>
            </w:pPr>
          </w:p>
        </w:tc>
      </w:tr>
      <w:tr w14:paraId="0022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restart"/>
            <w:vAlign w:val="center"/>
          </w:tcPr>
          <w:p w14:paraId="6CD901AC">
            <w:pPr>
              <w:pStyle w:val="41"/>
              <w:rPr>
                <w:color w:val="000000" w:themeColor="text1"/>
                <w14:textFill>
                  <w14:solidFill>
                    <w14:schemeClr w14:val="tx1"/>
                  </w14:solidFill>
                </w14:textFill>
              </w:rPr>
            </w:pPr>
            <w:r>
              <w:rPr>
                <w:color w:val="000000" w:themeColor="text1"/>
                <w14:textFill>
                  <w14:solidFill>
                    <w14:schemeClr w14:val="tx1"/>
                  </w14:solidFill>
                </w14:textFill>
              </w:rPr>
              <w:t>架空通讯线路</w:t>
            </w:r>
          </w:p>
        </w:tc>
        <w:tc>
          <w:tcPr>
            <w:tcW w:w="465" w:type="pct"/>
            <w:vAlign w:val="center"/>
          </w:tcPr>
          <w:p w14:paraId="08D54BDA">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12D66DE5">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2" w:type="pct"/>
            <w:vAlign w:val="center"/>
          </w:tcPr>
          <w:p w14:paraId="72406F4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9" w:type="pct"/>
            <w:vAlign w:val="center"/>
          </w:tcPr>
          <w:p w14:paraId="529CBDC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65" w:type="pct"/>
            <w:vAlign w:val="center"/>
          </w:tcPr>
          <w:p w14:paraId="0F03AAE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54" w:type="pct"/>
            <w:vAlign w:val="center"/>
          </w:tcPr>
          <w:p w14:paraId="482D3EB8">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92" w:type="pct"/>
            <w:vAlign w:val="center"/>
          </w:tcPr>
          <w:p w14:paraId="4FE1164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906" w:type="pct"/>
            <w:vMerge w:val="restart"/>
            <w:vAlign w:val="center"/>
          </w:tcPr>
          <w:p w14:paraId="55F67D64">
            <w:pPr>
              <w:pStyle w:val="41"/>
              <w:rPr>
                <w:color w:val="000000" w:themeColor="text1"/>
                <w14:textFill>
                  <w14:solidFill>
                    <w14:schemeClr w14:val="tx1"/>
                  </w14:solidFill>
                </w14:textFill>
              </w:rPr>
            </w:pPr>
            <w:r>
              <w:rPr>
                <w:color w:val="000000" w:themeColor="text1"/>
                <w14:textFill>
                  <w14:solidFill>
                    <w14:schemeClr w14:val="tx1"/>
                  </w14:solidFill>
                </w14:textFill>
              </w:rPr>
              <w:t>西南面架空通信线</w:t>
            </w:r>
          </w:p>
        </w:tc>
      </w:tr>
      <w:tr w14:paraId="6E7A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7597C909">
            <w:pPr>
              <w:pStyle w:val="41"/>
              <w:rPr>
                <w:color w:val="000000" w:themeColor="text1"/>
                <w14:textFill>
                  <w14:solidFill>
                    <w14:schemeClr w14:val="tx1"/>
                  </w14:solidFill>
                </w14:textFill>
              </w:rPr>
            </w:pPr>
          </w:p>
        </w:tc>
        <w:tc>
          <w:tcPr>
            <w:tcW w:w="465" w:type="pct"/>
            <w:vAlign w:val="center"/>
          </w:tcPr>
          <w:p w14:paraId="61FFC71D">
            <w:pPr>
              <w:pStyle w:val="41"/>
              <w:rPr>
                <w:b/>
                <w:bCs/>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12CF0C39">
            <w:pPr>
              <w:pStyle w:val="41"/>
              <w:rPr>
                <w:color w:val="000000" w:themeColor="text1"/>
                <w14:textFill>
                  <w14:solidFill>
                    <w14:schemeClr w14:val="tx1"/>
                  </w14:solidFill>
                </w14:textFill>
              </w:rPr>
            </w:pPr>
            <w:r>
              <w:rPr>
                <w:color w:val="000000" w:themeColor="text1"/>
                <w14:textFill>
                  <w14:solidFill>
                    <w14:schemeClr w14:val="tx1"/>
                  </w14:solidFill>
                </w14:textFill>
              </w:rPr>
              <w:t>16.9</w:t>
            </w:r>
          </w:p>
        </w:tc>
        <w:tc>
          <w:tcPr>
            <w:tcW w:w="472" w:type="pct"/>
            <w:vAlign w:val="center"/>
          </w:tcPr>
          <w:p w14:paraId="6CF37A69">
            <w:pPr>
              <w:pStyle w:val="41"/>
              <w:rPr>
                <w:color w:val="000000" w:themeColor="text1"/>
                <w14:textFill>
                  <w14:solidFill>
                    <w14:schemeClr w14:val="tx1"/>
                  </w14:solidFill>
                </w14:textFill>
              </w:rPr>
            </w:pPr>
            <w:r>
              <w:rPr>
                <w:color w:val="000000" w:themeColor="text1"/>
                <w14:textFill>
                  <w14:solidFill>
                    <w14:schemeClr w14:val="tx1"/>
                  </w14:solidFill>
                </w14:textFill>
              </w:rPr>
              <w:t>40.8</w:t>
            </w:r>
          </w:p>
        </w:tc>
        <w:tc>
          <w:tcPr>
            <w:tcW w:w="479" w:type="pct"/>
            <w:vAlign w:val="center"/>
          </w:tcPr>
          <w:p w14:paraId="37A5E047">
            <w:pPr>
              <w:pStyle w:val="41"/>
              <w:rPr>
                <w:color w:val="000000" w:themeColor="text1"/>
                <w14:textFill>
                  <w14:solidFill>
                    <w14:schemeClr w14:val="tx1"/>
                  </w14:solidFill>
                </w14:textFill>
              </w:rPr>
            </w:pPr>
            <w:r>
              <w:rPr>
                <w:color w:val="000000" w:themeColor="text1"/>
                <w14:textFill>
                  <w14:solidFill>
                    <w14:schemeClr w14:val="tx1"/>
                  </w14:solidFill>
                </w14:textFill>
              </w:rPr>
              <w:t>22</w:t>
            </w:r>
          </w:p>
        </w:tc>
        <w:tc>
          <w:tcPr>
            <w:tcW w:w="465" w:type="pct"/>
            <w:vAlign w:val="center"/>
          </w:tcPr>
          <w:p w14:paraId="10027CBC">
            <w:pPr>
              <w:pStyle w:val="41"/>
              <w:rPr>
                <w:color w:val="000000" w:themeColor="text1"/>
                <w14:textFill>
                  <w14:solidFill>
                    <w14:schemeClr w14:val="tx1"/>
                  </w14:solidFill>
                </w14:textFill>
              </w:rPr>
            </w:pPr>
            <w:r>
              <w:rPr>
                <w:color w:val="000000" w:themeColor="text1"/>
                <w14:textFill>
                  <w14:solidFill>
                    <w14:schemeClr w14:val="tx1"/>
                  </w14:solidFill>
                </w14:textFill>
              </w:rPr>
              <w:t>23</w:t>
            </w:r>
          </w:p>
        </w:tc>
        <w:tc>
          <w:tcPr>
            <w:tcW w:w="454" w:type="pct"/>
            <w:vAlign w:val="center"/>
          </w:tcPr>
          <w:p w14:paraId="3C5D0000">
            <w:pPr>
              <w:pStyle w:val="41"/>
              <w:rPr>
                <w:color w:val="000000" w:themeColor="text1"/>
                <w14:textFill>
                  <w14:solidFill>
                    <w14:schemeClr w14:val="tx1"/>
                  </w14:solidFill>
                </w14:textFill>
              </w:rPr>
            </w:pPr>
            <w:r>
              <w:rPr>
                <w:color w:val="000000" w:themeColor="text1"/>
                <w14:textFill>
                  <w14:solidFill>
                    <w14:schemeClr w14:val="tx1"/>
                  </w14:solidFill>
                </w14:textFill>
              </w:rPr>
              <w:t>44.6</w:t>
            </w:r>
          </w:p>
        </w:tc>
        <w:tc>
          <w:tcPr>
            <w:tcW w:w="492" w:type="pct"/>
            <w:vAlign w:val="center"/>
          </w:tcPr>
          <w:p w14:paraId="6A14D8D7">
            <w:pPr>
              <w:pStyle w:val="41"/>
              <w:rPr>
                <w:color w:val="000000" w:themeColor="text1"/>
                <w14:textFill>
                  <w14:solidFill>
                    <w14:schemeClr w14:val="tx1"/>
                  </w14:solidFill>
                </w14:textFill>
              </w:rPr>
            </w:pPr>
            <w:r>
              <w:rPr>
                <w:color w:val="000000" w:themeColor="text1"/>
                <w14:textFill>
                  <w14:solidFill>
                    <w14:schemeClr w14:val="tx1"/>
                  </w14:solidFill>
                </w14:textFill>
              </w:rPr>
              <w:t>23.3</w:t>
            </w:r>
          </w:p>
        </w:tc>
        <w:tc>
          <w:tcPr>
            <w:tcW w:w="906" w:type="pct"/>
            <w:vMerge w:val="continue"/>
            <w:vAlign w:val="center"/>
          </w:tcPr>
          <w:p w14:paraId="33A87AF9">
            <w:pPr>
              <w:pStyle w:val="41"/>
              <w:rPr>
                <w:color w:val="000000" w:themeColor="text1"/>
                <w14:textFill>
                  <w14:solidFill>
                    <w14:schemeClr w14:val="tx1"/>
                  </w14:solidFill>
                </w14:textFill>
              </w:rPr>
            </w:pPr>
          </w:p>
        </w:tc>
      </w:tr>
      <w:tr w14:paraId="55A9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0C1D3290">
            <w:pPr>
              <w:pStyle w:val="41"/>
              <w:rPr>
                <w:color w:val="000000" w:themeColor="text1"/>
                <w14:textFill>
                  <w14:solidFill>
                    <w14:schemeClr w14:val="tx1"/>
                  </w14:solidFill>
                </w14:textFill>
              </w:rPr>
            </w:pPr>
          </w:p>
        </w:tc>
        <w:tc>
          <w:tcPr>
            <w:tcW w:w="465" w:type="pct"/>
            <w:vAlign w:val="center"/>
          </w:tcPr>
          <w:p w14:paraId="2B1BF30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3172125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2" w:type="pct"/>
            <w:vAlign w:val="center"/>
          </w:tcPr>
          <w:p w14:paraId="57E16D2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9" w:type="pct"/>
            <w:vAlign w:val="center"/>
          </w:tcPr>
          <w:p w14:paraId="44D6AEF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65" w:type="pct"/>
            <w:vAlign w:val="center"/>
          </w:tcPr>
          <w:p w14:paraId="53CD1E82">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54" w:type="pct"/>
            <w:vAlign w:val="center"/>
          </w:tcPr>
          <w:p w14:paraId="2D1C572E">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92" w:type="pct"/>
            <w:vAlign w:val="center"/>
          </w:tcPr>
          <w:p w14:paraId="2DF2EA8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906" w:type="pct"/>
            <w:vMerge w:val="restart"/>
            <w:vAlign w:val="center"/>
          </w:tcPr>
          <w:p w14:paraId="61B51BD4">
            <w:pPr>
              <w:pStyle w:val="41"/>
              <w:rPr>
                <w:color w:val="000000" w:themeColor="text1"/>
                <w14:textFill>
                  <w14:solidFill>
                    <w14:schemeClr w14:val="tx1"/>
                  </w14:solidFill>
                </w14:textFill>
              </w:rPr>
            </w:pPr>
            <w:r>
              <w:rPr>
                <w:color w:val="000000" w:themeColor="text1"/>
                <w14:textFill>
                  <w14:solidFill>
                    <w14:schemeClr w14:val="tx1"/>
                  </w14:solidFill>
                </w14:textFill>
              </w:rPr>
              <w:t>西北面架空通信线</w:t>
            </w:r>
          </w:p>
        </w:tc>
      </w:tr>
      <w:tr w14:paraId="03A5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Merge w:val="continue"/>
            <w:vAlign w:val="center"/>
          </w:tcPr>
          <w:p w14:paraId="7B5D6B0A">
            <w:pPr>
              <w:pStyle w:val="41"/>
              <w:rPr>
                <w:color w:val="000000" w:themeColor="text1"/>
                <w14:textFill>
                  <w14:solidFill>
                    <w14:schemeClr w14:val="tx1"/>
                  </w14:solidFill>
                </w14:textFill>
              </w:rPr>
            </w:pPr>
          </w:p>
        </w:tc>
        <w:tc>
          <w:tcPr>
            <w:tcW w:w="465" w:type="pct"/>
            <w:vAlign w:val="center"/>
          </w:tcPr>
          <w:p w14:paraId="41795669">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6F4A4FD5">
            <w:pPr>
              <w:pStyle w:val="41"/>
              <w:rPr>
                <w:color w:val="000000" w:themeColor="text1"/>
                <w14:textFill>
                  <w14:solidFill>
                    <w14:schemeClr w14:val="tx1"/>
                  </w14:solidFill>
                </w14:textFill>
              </w:rPr>
            </w:pPr>
            <w:r>
              <w:rPr>
                <w:color w:val="000000" w:themeColor="text1"/>
                <w14:textFill>
                  <w14:solidFill>
                    <w14:schemeClr w14:val="tx1"/>
                  </w14:solidFill>
                </w14:textFill>
              </w:rPr>
              <w:t>13</w:t>
            </w:r>
          </w:p>
        </w:tc>
        <w:tc>
          <w:tcPr>
            <w:tcW w:w="472" w:type="pct"/>
            <w:vAlign w:val="center"/>
          </w:tcPr>
          <w:p w14:paraId="7089BC9E">
            <w:pPr>
              <w:pStyle w:val="41"/>
              <w:rPr>
                <w:color w:val="000000" w:themeColor="text1"/>
                <w14:textFill>
                  <w14:solidFill>
                    <w14:schemeClr w14:val="tx1"/>
                  </w14:solidFill>
                </w14:textFill>
              </w:rPr>
            </w:pPr>
            <w:r>
              <w:rPr>
                <w:color w:val="000000" w:themeColor="text1"/>
                <w14:textFill>
                  <w14:solidFill>
                    <w14:schemeClr w14:val="tx1"/>
                  </w14:solidFill>
                </w14:textFill>
              </w:rPr>
              <w:t>25.9</w:t>
            </w:r>
          </w:p>
        </w:tc>
        <w:tc>
          <w:tcPr>
            <w:tcW w:w="479" w:type="pct"/>
            <w:vAlign w:val="center"/>
          </w:tcPr>
          <w:p w14:paraId="1D67EB37">
            <w:pPr>
              <w:pStyle w:val="41"/>
              <w:rPr>
                <w:color w:val="000000" w:themeColor="text1"/>
                <w14:textFill>
                  <w14:solidFill>
                    <w14:schemeClr w14:val="tx1"/>
                  </w14:solidFill>
                </w14:textFill>
              </w:rPr>
            </w:pPr>
            <w:r>
              <w:rPr>
                <w:color w:val="000000" w:themeColor="text1"/>
                <w14:textFill>
                  <w14:solidFill>
                    <w14:schemeClr w14:val="tx1"/>
                  </w14:solidFill>
                </w14:textFill>
              </w:rPr>
              <w:t>12</w:t>
            </w:r>
          </w:p>
        </w:tc>
        <w:tc>
          <w:tcPr>
            <w:tcW w:w="465" w:type="pct"/>
            <w:vAlign w:val="center"/>
          </w:tcPr>
          <w:p w14:paraId="7FE125BD">
            <w:pPr>
              <w:pStyle w:val="41"/>
              <w:rPr>
                <w:color w:val="000000" w:themeColor="text1"/>
                <w14:textFill>
                  <w14:solidFill>
                    <w14:schemeClr w14:val="tx1"/>
                  </w14:solidFill>
                </w14:textFill>
              </w:rPr>
            </w:pPr>
            <w:r>
              <w:rPr>
                <w:color w:val="000000" w:themeColor="text1"/>
                <w14:textFill>
                  <w14:solidFill>
                    <w14:schemeClr w14:val="tx1"/>
                  </w14:solidFill>
                </w14:textFill>
              </w:rPr>
              <w:t>13</w:t>
            </w:r>
          </w:p>
        </w:tc>
        <w:tc>
          <w:tcPr>
            <w:tcW w:w="454" w:type="pct"/>
            <w:vAlign w:val="center"/>
          </w:tcPr>
          <w:p w14:paraId="5283C54A">
            <w:pPr>
              <w:pStyle w:val="41"/>
              <w:rPr>
                <w:color w:val="000000" w:themeColor="text1"/>
                <w14:textFill>
                  <w14:solidFill>
                    <w14:schemeClr w14:val="tx1"/>
                  </w14:solidFill>
                </w14:textFill>
              </w:rPr>
            </w:pPr>
            <w:r>
              <w:rPr>
                <w:color w:val="000000" w:themeColor="text1"/>
                <w14:textFill>
                  <w14:solidFill>
                    <w14:schemeClr w14:val="tx1"/>
                  </w14:solidFill>
                </w14:textFill>
              </w:rPr>
              <w:t>36.5</w:t>
            </w:r>
          </w:p>
        </w:tc>
        <w:tc>
          <w:tcPr>
            <w:tcW w:w="492" w:type="pct"/>
            <w:vAlign w:val="center"/>
          </w:tcPr>
          <w:p w14:paraId="7FF246CB">
            <w:pPr>
              <w:pStyle w:val="41"/>
              <w:rPr>
                <w:color w:val="000000" w:themeColor="text1"/>
                <w14:textFill>
                  <w14:solidFill>
                    <w14:schemeClr w14:val="tx1"/>
                  </w14:solidFill>
                </w14:textFill>
              </w:rPr>
            </w:pPr>
            <w:r>
              <w:rPr>
                <w:color w:val="000000" w:themeColor="text1"/>
                <w14:textFill>
                  <w14:solidFill>
                    <w14:schemeClr w14:val="tx1"/>
                  </w14:solidFill>
                </w14:textFill>
              </w:rPr>
              <w:t>12</w:t>
            </w:r>
          </w:p>
        </w:tc>
        <w:tc>
          <w:tcPr>
            <w:tcW w:w="906" w:type="pct"/>
            <w:vMerge w:val="continue"/>
            <w:vAlign w:val="center"/>
          </w:tcPr>
          <w:p w14:paraId="31B52588">
            <w:pPr>
              <w:pStyle w:val="41"/>
              <w:rPr>
                <w:color w:val="000000" w:themeColor="text1"/>
                <w14:textFill>
                  <w14:solidFill>
                    <w14:schemeClr w14:val="tx1"/>
                  </w14:solidFill>
                </w14:textFill>
              </w:rPr>
            </w:pPr>
          </w:p>
        </w:tc>
      </w:tr>
      <w:tr w14:paraId="661B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2" w:type="pct"/>
            <w:gridSpan w:val="2"/>
            <w:vMerge w:val="restart"/>
            <w:vAlign w:val="center"/>
          </w:tcPr>
          <w:p w14:paraId="13FA4358">
            <w:pPr>
              <w:pStyle w:val="41"/>
              <w:rPr>
                <w:color w:val="000000" w:themeColor="text1"/>
                <w14:textFill>
                  <w14:solidFill>
                    <w14:schemeClr w14:val="tx1"/>
                  </w14:solidFill>
                </w14:textFill>
              </w:rPr>
            </w:pPr>
            <w:r>
              <w:rPr>
                <w:color w:val="000000" w:themeColor="text1"/>
                <w14:textFill>
                  <w14:solidFill>
                    <w14:schemeClr w14:val="tx1"/>
                  </w14:solidFill>
                </w14:textFill>
              </w:rPr>
              <w:t>架空电力线路</w:t>
            </w:r>
          </w:p>
        </w:tc>
        <w:tc>
          <w:tcPr>
            <w:tcW w:w="362" w:type="pct"/>
            <w:vMerge w:val="restart"/>
            <w:vAlign w:val="center"/>
          </w:tcPr>
          <w:p w14:paraId="1D51A93B">
            <w:pPr>
              <w:pStyle w:val="41"/>
              <w:rPr>
                <w:color w:val="000000" w:themeColor="text1"/>
                <w14:textFill>
                  <w14:solidFill>
                    <w14:schemeClr w14:val="tx1"/>
                  </w14:solidFill>
                </w14:textFill>
              </w:rPr>
            </w:pPr>
            <w:r>
              <w:rPr>
                <w:color w:val="000000" w:themeColor="text1"/>
                <w14:textFill>
                  <w14:solidFill>
                    <w14:schemeClr w14:val="tx1"/>
                  </w14:solidFill>
                </w14:textFill>
              </w:rPr>
              <w:t>无绝缘层</w:t>
            </w:r>
          </w:p>
        </w:tc>
        <w:tc>
          <w:tcPr>
            <w:tcW w:w="465" w:type="pct"/>
            <w:vAlign w:val="center"/>
          </w:tcPr>
          <w:p w14:paraId="6EEF6E9C">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4FAC5D5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6.5</w:t>
            </w:r>
          </w:p>
        </w:tc>
        <w:tc>
          <w:tcPr>
            <w:tcW w:w="472" w:type="pct"/>
            <w:vAlign w:val="center"/>
          </w:tcPr>
          <w:p w14:paraId="7588A8CB">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6.5</w:t>
            </w:r>
          </w:p>
        </w:tc>
        <w:tc>
          <w:tcPr>
            <w:tcW w:w="479" w:type="pct"/>
            <w:vAlign w:val="center"/>
          </w:tcPr>
          <w:p w14:paraId="1E1D8F36">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6.5</w:t>
            </w:r>
          </w:p>
        </w:tc>
        <w:tc>
          <w:tcPr>
            <w:tcW w:w="465" w:type="pct"/>
            <w:vAlign w:val="center"/>
          </w:tcPr>
          <w:p w14:paraId="631CFFD9">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6.5</w:t>
            </w:r>
          </w:p>
        </w:tc>
        <w:tc>
          <w:tcPr>
            <w:tcW w:w="454" w:type="pct"/>
            <w:vAlign w:val="center"/>
          </w:tcPr>
          <w:p w14:paraId="6B1EABF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6.5</w:t>
            </w:r>
          </w:p>
        </w:tc>
        <w:tc>
          <w:tcPr>
            <w:tcW w:w="492" w:type="pct"/>
            <w:vAlign w:val="center"/>
          </w:tcPr>
          <w:p w14:paraId="28B5CB0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6.5</w:t>
            </w:r>
          </w:p>
        </w:tc>
        <w:tc>
          <w:tcPr>
            <w:tcW w:w="906" w:type="pct"/>
            <w:vMerge w:val="restart"/>
            <w:vAlign w:val="center"/>
          </w:tcPr>
          <w:p w14:paraId="324DF78A">
            <w:pPr>
              <w:pStyle w:val="41"/>
              <w:rPr>
                <w:color w:val="000000" w:themeColor="text1"/>
                <w14:textFill>
                  <w14:solidFill>
                    <w14:schemeClr w14:val="tx1"/>
                  </w14:solidFill>
                </w14:textFill>
              </w:rPr>
            </w:pPr>
            <w:r>
              <w:rPr>
                <w:color w:val="000000" w:themeColor="text1"/>
                <w14:textFill>
                  <w14:solidFill>
                    <w14:schemeClr w14:val="tx1"/>
                  </w14:solidFill>
                </w14:textFill>
              </w:rPr>
              <w:t>西北面架空电力线</w:t>
            </w:r>
          </w:p>
        </w:tc>
      </w:tr>
      <w:tr w14:paraId="4329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2" w:type="pct"/>
            <w:gridSpan w:val="2"/>
            <w:vMerge w:val="continue"/>
            <w:vAlign w:val="center"/>
          </w:tcPr>
          <w:p w14:paraId="7F0611AD">
            <w:pPr>
              <w:pStyle w:val="41"/>
              <w:rPr>
                <w:color w:val="000000" w:themeColor="text1"/>
                <w14:textFill>
                  <w14:solidFill>
                    <w14:schemeClr w14:val="tx1"/>
                  </w14:solidFill>
                </w14:textFill>
              </w:rPr>
            </w:pPr>
          </w:p>
        </w:tc>
        <w:tc>
          <w:tcPr>
            <w:tcW w:w="362" w:type="pct"/>
            <w:vMerge w:val="continue"/>
            <w:vAlign w:val="center"/>
          </w:tcPr>
          <w:p w14:paraId="55735118">
            <w:pPr>
              <w:pStyle w:val="41"/>
              <w:rPr>
                <w:color w:val="000000" w:themeColor="text1"/>
                <w14:textFill>
                  <w14:solidFill>
                    <w14:schemeClr w14:val="tx1"/>
                  </w14:solidFill>
                </w14:textFill>
              </w:rPr>
            </w:pPr>
          </w:p>
        </w:tc>
        <w:tc>
          <w:tcPr>
            <w:tcW w:w="465" w:type="pct"/>
            <w:vAlign w:val="center"/>
          </w:tcPr>
          <w:p w14:paraId="295FAFDB">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60A0D3D2">
            <w:pPr>
              <w:pStyle w:val="41"/>
              <w:rPr>
                <w:color w:val="000000" w:themeColor="text1"/>
                <w14:textFill>
                  <w14:solidFill>
                    <w14:schemeClr w14:val="tx1"/>
                  </w14:solidFill>
                </w14:textFill>
              </w:rPr>
            </w:pPr>
            <w:r>
              <w:rPr>
                <w:color w:val="000000" w:themeColor="text1"/>
                <w14:textFill>
                  <w14:solidFill>
                    <w14:schemeClr w14:val="tx1"/>
                  </w14:solidFill>
                </w14:textFill>
              </w:rPr>
              <w:t>25</w:t>
            </w:r>
          </w:p>
        </w:tc>
        <w:tc>
          <w:tcPr>
            <w:tcW w:w="472" w:type="pct"/>
            <w:vAlign w:val="center"/>
          </w:tcPr>
          <w:p w14:paraId="0B8838C0">
            <w:pPr>
              <w:pStyle w:val="41"/>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79" w:type="pct"/>
            <w:vAlign w:val="center"/>
          </w:tcPr>
          <w:p w14:paraId="52D4F8BC">
            <w:pPr>
              <w:pStyle w:val="41"/>
              <w:rPr>
                <w:color w:val="000000" w:themeColor="text1"/>
                <w14:textFill>
                  <w14:solidFill>
                    <w14:schemeClr w14:val="tx1"/>
                  </w14:solidFill>
                </w14:textFill>
              </w:rPr>
            </w:pPr>
            <w:r>
              <w:rPr>
                <w:color w:val="000000" w:themeColor="text1"/>
                <w14:textFill>
                  <w14:solidFill>
                    <w14:schemeClr w14:val="tx1"/>
                  </w14:solidFill>
                </w14:textFill>
              </w:rPr>
              <w:t>24</w:t>
            </w:r>
          </w:p>
        </w:tc>
        <w:tc>
          <w:tcPr>
            <w:tcW w:w="465" w:type="pct"/>
            <w:vAlign w:val="center"/>
          </w:tcPr>
          <w:p w14:paraId="2A1279C0">
            <w:pPr>
              <w:pStyle w:val="41"/>
              <w:rPr>
                <w:color w:val="000000" w:themeColor="text1"/>
                <w14:textFill>
                  <w14:solidFill>
                    <w14:schemeClr w14:val="tx1"/>
                  </w14:solidFill>
                </w14:textFill>
              </w:rPr>
            </w:pPr>
            <w:r>
              <w:rPr>
                <w:color w:val="000000" w:themeColor="text1"/>
                <w14:textFill>
                  <w14:solidFill>
                    <w14:schemeClr w14:val="tx1"/>
                  </w14:solidFill>
                </w14:textFill>
              </w:rPr>
              <w:t>23</w:t>
            </w:r>
          </w:p>
        </w:tc>
        <w:tc>
          <w:tcPr>
            <w:tcW w:w="454" w:type="pct"/>
            <w:vAlign w:val="center"/>
          </w:tcPr>
          <w:p w14:paraId="610F1118">
            <w:pPr>
              <w:pStyle w:val="41"/>
              <w:rPr>
                <w:color w:val="000000" w:themeColor="text1"/>
                <w14:textFill>
                  <w14:solidFill>
                    <w14:schemeClr w14:val="tx1"/>
                  </w14:solidFill>
                </w14:textFill>
              </w:rPr>
            </w:pPr>
            <w:r>
              <w:rPr>
                <w:color w:val="000000" w:themeColor="text1"/>
                <w14:textFill>
                  <w14:solidFill>
                    <w14:schemeClr w14:val="tx1"/>
                  </w14:solidFill>
                </w14:textFill>
              </w:rPr>
              <w:t>48</w:t>
            </w:r>
          </w:p>
        </w:tc>
        <w:tc>
          <w:tcPr>
            <w:tcW w:w="492" w:type="pct"/>
            <w:vAlign w:val="center"/>
          </w:tcPr>
          <w:p w14:paraId="3169DE1A">
            <w:pPr>
              <w:pStyle w:val="41"/>
              <w:rPr>
                <w:color w:val="000000" w:themeColor="text1"/>
                <w14:textFill>
                  <w14:solidFill>
                    <w14:schemeClr w14:val="tx1"/>
                  </w14:solidFill>
                </w14:textFill>
              </w:rPr>
            </w:pPr>
            <w:r>
              <w:rPr>
                <w:color w:val="000000" w:themeColor="text1"/>
                <w14:textFill>
                  <w14:solidFill>
                    <w14:schemeClr w14:val="tx1"/>
                  </w14:solidFill>
                </w14:textFill>
              </w:rPr>
              <w:t>22</w:t>
            </w:r>
          </w:p>
        </w:tc>
        <w:tc>
          <w:tcPr>
            <w:tcW w:w="906" w:type="pct"/>
            <w:vMerge w:val="continue"/>
            <w:vAlign w:val="center"/>
          </w:tcPr>
          <w:p w14:paraId="31261EF0">
            <w:pPr>
              <w:pStyle w:val="41"/>
              <w:rPr>
                <w:color w:val="000000" w:themeColor="text1"/>
                <w14:textFill>
                  <w14:solidFill>
                    <w14:schemeClr w14:val="tx1"/>
                  </w14:solidFill>
                </w14:textFill>
              </w:rPr>
            </w:pPr>
          </w:p>
        </w:tc>
      </w:tr>
      <w:tr w14:paraId="42DA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2" w:type="pct"/>
            <w:gridSpan w:val="2"/>
            <w:vMerge w:val="continue"/>
            <w:vAlign w:val="center"/>
          </w:tcPr>
          <w:p w14:paraId="1039A6E2">
            <w:pPr>
              <w:pStyle w:val="41"/>
              <w:rPr>
                <w:color w:val="000000" w:themeColor="text1"/>
                <w14:textFill>
                  <w14:solidFill>
                    <w14:schemeClr w14:val="tx1"/>
                  </w14:solidFill>
                </w14:textFill>
              </w:rPr>
            </w:pPr>
          </w:p>
        </w:tc>
        <w:tc>
          <w:tcPr>
            <w:tcW w:w="362" w:type="pct"/>
            <w:vMerge w:val="restart"/>
            <w:vAlign w:val="center"/>
          </w:tcPr>
          <w:p w14:paraId="5193AFB9">
            <w:pPr>
              <w:pStyle w:val="41"/>
              <w:rPr>
                <w:color w:val="000000" w:themeColor="text1"/>
                <w14:textFill>
                  <w14:solidFill>
                    <w14:schemeClr w14:val="tx1"/>
                  </w14:solidFill>
                </w14:textFill>
              </w:rPr>
            </w:pPr>
            <w:r>
              <w:rPr>
                <w:color w:val="000000" w:themeColor="text1"/>
                <w14:textFill>
                  <w14:solidFill>
                    <w14:schemeClr w14:val="tx1"/>
                  </w14:solidFill>
                </w14:textFill>
              </w:rPr>
              <w:t>有绝缘层</w:t>
            </w:r>
          </w:p>
        </w:tc>
        <w:tc>
          <w:tcPr>
            <w:tcW w:w="465" w:type="pct"/>
            <w:vAlign w:val="center"/>
          </w:tcPr>
          <w:p w14:paraId="522C5984">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tc>
        <w:tc>
          <w:tcPr>
            <w:tcW w:w="368" w:type="pct"/>
            <w:vAlign w:val="center"/>
          </w:tcPr>
          <w:p w14:paraId="673D7107">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2" w:type="pct"/>
            <w:vAlign w:val="center"/>
          </w:tcPr>
          <w:p w14:paraId="172B597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79" w:type="pct"/>
            <w:vAlign w:val="center"/>
          </w:tcPr>
          <w:p w14:paraId="37FF3F70">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65" w:type="pct"/>
            <w:vAlign w:val="center"/>
          </w:tcPr>
          <w:p w14:paraId="138806F3">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54" w:type="pct"/>
            <w:vAlign w:val="center"/>
          </w:tcPr>
          <w:p w14:paraId="79685C48">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492" w:type="pct"/>
            <w:vAlign w:val="center"/>
          </w:tcPr>
          <w:p w14:paraId="1A43A585">
            <w:pPr>
              <w:pStyle w:val="41"/>
              <w:rPr>
                <w:b/>
                <w:bCs/>
                <w:color w:val="000000" w:themeColor="text1"/>
                <w14:textFill>
                  <w14:solidFill>
                    <w14:schemeClr w14:val="tx1"/>
                  </w14:solidFill>
                </w14:textFill>
              </w:rPr>
            </w:pPr>
            <w:r>
              <w:rPr>
                <w:b/>
                <w:bCs/>
                <w:color w:val="000000" w:themeColor="text1"/>
                <w14:textFill>
                  <w14:solidFill>
                    <w14:schemeClr w14:val="tx1"/>
                  </w14:solidFill>
                </w14:textFill>
              </w:rPr>
              <w:t>5</w:t>
            </w:r>
          </w:p>
        </w:tc>
        <w:tc>
          <w:tcPr>
            <w:tcW w:w="906" w:type="pct"/>
            <w:vMerge w:val="restart"/>
            <w:vAlign w:val="center"/>
          </w:tcPr>
          <w:p w14:paraId="3C71C7FD">
            <w:pPr>
              <w:pStyle w:val="41"/>
              <w:rPr>
                <w:color w:val="000000" w:themeColor="text1"/>
                <w14:textFill>
                  <w14:solidFill>
                    <w14:schemeClr w14:val="tx1"/>
                  </w14:solidFill>
                </w14:textFill>
              </w:rPr>
            </w:pPr>
            <w:r>
              <w:rPr>
                <w:color w:val="000000" w:themeColor="text1"/>
                <w14:textFill>
                  <w14:solidFill>
                    <w14:schemeClr w14:val="tx1"/>
                  </w14:solidFill>
                </w14:textFill>
              </w:rPr>
              <w:t>东南面架空线（杆高约9m）</w:t>
            </w:r>
          </w:p>
        </w:tc>
      </w:tr>
      <w:tr w14:paraId="633D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2" w:type="pct"/>
            <w:gridSpan w:val="2"/>
            <w:vMerge w:val="continue"/>
            <w:vAlign w:val="center"/>
          </w:tcPr>
          <w:p w14:paraId="661C7F98">
            <w:pPr>
              <w:pStyle w:val="41"/>
              <w:rPr>
                <w:color w:val="000000" w:themeColor="text1"/>
                <w14:textFill>
                  <w14:solidFill>
                    <w14:schemeClr w14:val="tx1"/>
                  </w14:solidFill>
                </w14:textFill>
              </w:rPr>
            </w:pPr>
          </w:p>
        </w:tc>
        <w:tc>
          <w:tcPr>
            <w:tcW w:w="362" w:type="pct"/>
            <w:vMerge w:val="continue"/>
            <w:vAlign w:val="center"/>
          </w:tcPr>
          <w:p w14:paraId="21D8168E">
            <w:pPr>
              <w:pStyle w:val="41"/>
              <w:rPr>
                <w:color w:val="000000" w:themeColor="text1"/>
                <w14:textFill>
                  <w14:solidFill>
                    <w14:schemeClr w14:val="tx1"/>
                  </w14:solidFill>
                </w14:textFill>
              </w:rPr>
            </w:pPr>
          </w:p>
        </w:tc>
        <w:tc>
          <w:tcPr>
            <w:tcW w:w="465" w:type="pct"/>
            <w:vAlign w:val="center"/>
          </w:tcPr>
          <w:p w14:paraId="29A6EA60">
            <w:pPr>
              <w:pStyle w:val="41"/>
              <w:rPr>
                <w:color w:val="000000" w:themeColor="text1"/>
                <w14:textFill>
                  <w14:solidFill>
                    <w14:schemeClr w14:val="tx1"/>
                  </w14:solidFill>
                </w14:textFill>
              </w:rPr>
            </w:pPr>
            <w:r>
              <w:rPr>
                <w:color w:val="000000" w:themeColor="text1"/>
                <w14:textFill>
                  <w14:solidFill>
                    <w14:schemeClr w14:val="tx1"/>
                  </w14:solidFill>
                </w14:textFill>
              </w:rPr>
              <w:t>实测值</w:t>
            </w:r>
          </w:p>
        </w:tc>
        <w:tc>
          <w:tcPr>
            <w:tcW w:w="368" w:type="pct"/>
            <w:vAlign w:val="center"/>
          </w:tcPr>
          <w:p w14:paraId="7A0F3FC5">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2" w:type="pct"/>
            <w:vAlign w:val="center"/>
          </w:tcPr>
          <w:p w14:paraId="554B3A52">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79" w:type="pct"/>
            <w:vAlign w:val="center"/>
          </w:tcPr>
          <w:p w14:paraId="79C13CAB">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65" w:type="pct"/>
            <w:vAlign w:val="center"/>
          </w:tcPr>
          <w:p w14:paraId="18F3E8B7">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54" w:type="pct"/>
            <w:vAlign w:val="center"/>
          </w:tcPr>
          <w:p w14:paraId="46DA107B">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492" w:type="pct"/>
            <w:vAlign w:val="center"/>
          </w:tcPr>
          <w:p w14:paraId="0639ECE7">
            <w:pPr>
              <w:pStyle w:val="41"/>
              <w:rPr>
                <w:color w:val="000000" w:themeColor="text1"/>
                <w14:textFill>
                  <w14:solidFill>
                    <w14:schemeClr w14:val="tx1"/>
                  </w14:solidFill>
                </w14:textFill>
              </w:rPr>
            </w:pPr>
            <w:r>
              <w:rPr>
                <w:color w:val="000000" w:themeColor="text1"/>
                <w14:textFill>
                  <w14:solidFill>
                    <w14:schemeClr w14:val="tx1"/>
                  </w14:solidFill>
                </w14:textFill>
              </w:rPr>
              <w:t>-</w:t>
            </w:r>
          </w:p>
        </w:tc>
        <w:tc>
          <w:tcPr>
            <w:tcW w:w="906" w:type="pct"/>
            <w:vMerge w:val="continue"/>
            <w:vAlign w:val="center"/>
          </w:tcPr>
          <w:p w14:paraId="3BF44307">
            <w:pPr>
              <w:pStyle w:val="41"/>
              <w:rPr>
                <w:color w:val="000000" w:themeColor="text1"/>
                <w14:textFill>
                  <w14:solidFill>
                    <w14:schemeClr w14:val="tx1"/>
                  </w14:solidFill>
                </w14:textFill>
              </w:rPr>
            </w:pPr>
          </w:p>
        </w:tc>
      </w:tr>
      <w:tr w14:paraId="363E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4" w:type="pct"/>
            <w:gridSpan w:val="3"/>
            <w:vAlign w:val="center"/>
          </w:tcPr>
          <w:p w14:paraId="47A65558">
            <w:pPr>
              <w:pStyle w:val="41"/>
              <w:rPr>
                <w:color w:val="000000" w:themeColor="text1"/>
                <w14:textFill>
                  <w14:solidFill>
                    <w14:schemeClr w14:val="tx1"/>
                  </w14:solidFill>
                </w14:textFill>
              </w:rPr>
            </w:pPr>
            <w:r>
              <w:rPr>
                <w:color w:val="000000" w:themeColor="text1"/>
                <w14:textFill>
                  <w14:solidFill>
                    <w14:schemeClr w14:val="tx1"/>
                  </w14:solidFill>
                </w14:textFill>
              </w:rPr>
              <w:t>备注</w:t>
            </w:r>
          </w:p>
        </w:tc>
        <w:tc>
          <w:tcPr>
            <w:tcW w:w="4105" w:type="pct"/>
            <w:gridSpan w:val="8"/>
            <w:vAlign w:val="center"/>
          </w:tcPr>
          <w:p w14:paraId="1BED3BED">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1.各建构筑物起算点：1）道路－路面边缘；2）储罐－罐外壁；3）加油机－中心线；4）架空电力线路－线路中心线；5）建（构）筑物-外墙轴线</w:t>
            </w:r>
          </w:p>
          <w:p w14:paraId="759DD6C3">
            <w:pPr>
              <w:pStyle w:val="41"/>
              <w:jc w:val="left"/>
              <w:rPr>
                <w:color w:val="000000" w:themeColor="text1"/>
                <w14:textFill>
                  <w14:solidFill>
                    <w14:schemeClr w14:val="tx1"/>
                  </w14:solidFill>
                </w14:textFill>
              </w:rPr>
            </w:pPr>
            <w:r>
              <w:rPr>
                <w:color w:val="000000" w:themeColor="text1"/>
                <w14:textFill>
                  <w14:solidFill>
                    <w14:schemeClr w14:val="tx1"/>
                  </w14:solidFill>
                </w14:textFill>
              </w:rPr>
              <w:t>2.黑体部分为标准值，根据《汽车加油加气加氢站技术标准》（GB50156-2021）表4.0.4列出，实测值是根据平面布置及现场调查得来。</w:t>
            </w:r>
          </w:p>
          <w:p w14:paraId="63198B8D">
            <w:pPr>
              <w:pStyle w:val="41"/>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.站外建构筑物保护类别根据《汽车加油加气加氢站技术标准》（GB50156-2021）附录B划分：东北面云南交投高速施工队员工临时住房（已无人）（建筑面积小于500m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东南面民房（建筑面积小于500m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、东面民房</w:t>
            </w:r>
            <w:r>
              <w:rPr>
                <w:color w:val="000000" w:themeColor="text1"/>
                <w14:textFill>
                  <w14:solidFill>
                    <w14:schemeClr w14:val="tx1"/>
                  </w14:solidFill>
                </w14:textFill>
              </w:rPr>
              <w:t>（建筑面积小于500m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）均为三类保护物。</w:t>
            </w:r>
          </w:p>
          <w:p w14:paraId="71DC21F0">
            <w:pPr>
              <w:pStyle w:val="41"/>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.站内洗车机根据《汽车加油加气加氢站技术标准》（GB50156-2021）中5.0.10节内容定为三类保护物。</w:t>
            </w:r>
          </w:p>
        </w:tc>
      </w:tr>
    </w:tbl>
    <w:p w14:paraId="649952BE">
      <w:pPr>
        <w:pStyle w:val="4"/>
        <w:rPr>
          <w:color w:val="000000" w:themeColor="text1"/>
          <w14:textFill>
            <w14:solidFill>
              <w14:schemeClr w14:val="tx1"/>
            </w14:solidFill>
          </w14:textFill>
        </w:rPr>
      </w:pPr>
      <w:r>
        <w:rPr>
          <w:color w:val="000000" w:themeColor="text1"/>
          <w14:textFill>
            <w14:solidFill>
              <w14:schemeClr w14:val="tx1"/>
            </w14:solidFill>
          </w14:textFill>
        </w:rPr>
        <w:t>5.3.2加油站内设施之间防火距离表</w:t>
      </w:r>
    </w:p>
    <w:p w14:paraId="02997775">
      <w:pPr>
        <w:rPr>
          <w:color w:val="000000" w:themeColor="text1"/>
          <w14:textFill>
            <w14:solidFill>
              <w14:schemeClr w14:val="tx1"/>
            </w14:solidFill>
          </w14:textFill>
        </w:rPr>
      </w:pPr>
      <w:r>
        <w:rPr>
          <w:color w:val="000000" w:themeColor="text1"/>
          <w14:textFill>
            <w14:solidFill>
              <w14:schemeClr w14:val="tx1"/>
            </w14:solidFill>
          </w14:textFill>
        </w:rPr>
        <w:t>加油站内设施之间防火距离，见表5.3-2。</w:t>
      </w:r>
    </w:p>
    <w:p w14:paraId="4F9CD02B">
      <w:pPr>
        <w:pStyle w:val="42"/>
        <w:rPr>
          <w:color w:val="000000" w:themeColor="text1"/>
          <w14:textFill>
            <w14:solidFill>
              <w14:schemeClr w14:val="tx1"/>
            </w14:solidFill>
          </w14:textFill>
        </w:rPr>
      </w:pPr>
      <w:r>
        <w:rPr>
          <w:color w:val="000000" w:themeColor="text1"/>
          <w14:textFill>
            <w14:solidFill>
              <w14:schemeClr w14:val="tx1"/>
            </w14:solidFill>
          </w14:textFill>
        </w:rPr>
        <w:t>表5.3-2  加油站内设施之间防火距离表（三级加油站）</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422"/>
        <w:gridCol w:w="473"/>
        <w:gridCol w:w="473"/>
        <w:gridCol w:w="576"/>
        <w:gridCol w:w="576"/>
        <w:gridCol w:w="576"/>
        <w:gridCol w:w="422"/>
        <w:gridCol w:w="987"/>
        <w:gridCol w:w="730"/>
        <w:gridCol w:w="987"/>
        <w:gridCol w:w="1090"/>
        <w:gridCol w:w="1090"/>
        <w:gridCol w:w="577"/>
      </w:tblGrid>
      <w:tr w14:paraId="39D6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4" w:type="dxa"/>
            <w:gridSpan w:val="2"/>
            <w:vAlign w:val="center"/>
          </w:tcPr>
          <w:p w14:paraId="6EBBE6F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设施名称</w:t>
            </w:r>
          </w:p>
        </w:tc>
        <w:tc>
          <w:tcPr>
            <w:tcW w:w="473" w:type="dxa"/>
            <w:vAlign w:val="center"/>
          </w:tcPr>
          <w:p w14:paraId="3C1AA8F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汽油罐</w:t>
            </w:r>
          </w:p>
        </w:tc>
        <w:tc>
          <w:tcPr>
            <w:tcW w:w="473" w:type="dxa"/>
            <w:vAlign w:val="center"/>
          </w:tcPr>
          <w:p w14:paraId="517E843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柴油罐</w:t>
            </w:r>
          </w:p>
        </w:tc>
        <w:tc>
          <w:tcPr>
            <w:tcW w:w="576" w:type="dxa"/>
            <w:vAlign w:val="center"/>
          </w:tcPr>
          <w:p w14:paraId="499FF05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汽油通气管管口</w:t>
            </w:r>
          </w:p>
        </w:tc>
        <w:tc>
          <w:tcPr>
            <w:tcW w:w="576" w:type="dxa"/>
            <w:vAlign w:val="center"/>
          </w:tcPr>
          <w:p w14:paraId="4BB51FF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柴油通气管管口</w:t>
            </w:r>
          </w:p>
        </w:tc>
        <w:tc>
          <w:tcPr>
            <w:tcW w:w="576" w:type="dxa"/>
            <w:vAlign w:val="center"/>
          </w:tcPr>
          <w:p w14:paraId="5C9F5CD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油品卸车点</w:t>
            </w:r>
          </w:p>
        </w:tc>
        <w:tc>
          <w:tcPr>
            <w:tcW w:w="422" w:type="dxa"/>
            <w:vAlign w:val="center"/>
          </w:tcPr>
          <w:p w14:paraId="5C0EBA7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加油机</w:t>
            </w:r>
          </w:p>
        </w:tc>
        <w:tc>
          <w:tcPr>
            <w:tcW w:w="987" w:type="dxa"/>
            <w:vAlign w:val="center"/>
          </w:tcPr>
          <w:p w14:paraId="5B3C4A9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站房</w:t>
            </w:r>
          </w:p>
        </w:tc>
        <w:tc>
          <w:tcPr>
            <w:tcW w:w="730" w:type="dxa"/>
            <w:vAlign w:val="center"/>
          </w:tcPr>
          <w:p w14:paraId="5066532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辅房</w:t>
            </w:r>
          </w:p>
        </w:tc>
        <w:tc>
          <w:tcPr>
            <w:tcW w:w="987" w:type="dxa"/>
            <w:vAlign w:val="center"/>
          </w:tcPr>
          <w:p w14:paraId="6554F34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全自动洗车机</w:t>
            </w:r>
          </w:p>
        </w:tc>
        <w:tc>
          <w:tcPr>
            <w:tcW w:w="1090" w:type="dxa"/>
            <w:vAlign w:val="center"/>
          </w:tcPr>
          <w:p w14:paraId="60560D6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发电机房</w:t>
            </w:r>
          </w:p>
        </w:tc>
        <w:tc>
          <w:tcPr>
            <w:tcW w:w="1090" w:type="dxa"/>
            <w:vAlign w:val="center"/>
          </w:tcPr>
          <w:p w14:paraId="1C15936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变压器</w:t>
            </w:r>
          </w:p>
        </w:tc>
        <w:tc>
          <w:tcPr>
            <w:tcW w:w="577" w:type="dxa"/>
            <w:vAlign w:val="center"/>
          </w:tcPr>
          <w:p w14:paraId="09D63BD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站区围墙</w:t>
            </w:r>
          </w:p>
        </w:tc>
      </w:tr>
      <w:tr w14:paraId="6AE6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restart"/>
            <w:vAlign w:val="center"/>
          </w:tcPr>
          <w:p w14:paraId="092DA0F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汽油罐</w:t>
            </w:r>
          </w:p>
        </w:tc>
        <w:tc>
          <w:tcPr>
            <w:tcW w:w="422" w:type="dxa"/>
            <w:vAlign w:val="center"/>
          </w:tcPr>
          <w:p w14:paraId="478472EF">
            <w:pPr>
              <w:pStyle w:val="42"/>
              <w:spacing w:before="0" w:after="0"/>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规范要求</w:t>
            </w:r>
          </w:p>
        </w:tc>
        <w:tc>
          <w:tcPr>
            <w:tcW w:w="473" w:type="dxa"/>
            <w:vAlign w:val="center"/>
          </w:tcPr>
          <w:p w14:paraId="5A00171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473" w:type="dxa"/>
            <w:vAlign w:val="center"/>
          </w:tcPr>
          <w:p w14:paraId="7D61992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576" w:type="dxa"/>
            <w:vAlign w:val="center"/>
          </w:tcPr>
          <w:p w14:paraId="26B05E4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76C83D1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5824BA7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7C5E39D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05547AB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w:t>
            </w:r>
          </w:p>
        </w:tc>
        <w:tc>
          <w:tcPr>
            <w:tcW w:w="730" w:type="dxa"/>
            <w:vAlign w:val="center"/>
          </w:tcPr>
          <w:p w14:paraId="175E96C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w:t>
            </w:r>
          </w:p>
        </w:tc>
        <w:tc>
          <w:tcPr>
            <w:tcW w:w="987" w:type="dxa"/>
            <w:vAlign w:val="center"/>
          </w:tcPr>
          <w:p w14:paraId="05D3B48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w:t>
            </w:r>
          </w:p>
        </w:tc>
        <w:tc>
          <w:tcPr>
            <w:tcW w:w="1090" w:type="dxa"/>
            <w:vAlign w:val="center"/>
          </w:tcPr>
          <w:p w14:paraId="40A1370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w:t>
            </w:r>
          </w:p>
        </w:tc>
        <w:tc>
          <w:tcPr>
            <w:tcW w:w="1090" w:type="dxa"/>
            <w:vAlign w:val="center"/>
          </w:tcPr>
          <w:p w14:paraId="5B4B6C9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10.5</w:t>
            </w:r>
          </w:p>
        </w:tc>
        <w:tc>
          <w:tcPr>
            <w:tcW w:w="577" w:type="dxa"/>
            <w:vAlign w:val="center"/>
          </w:tcPr>
          <w:p w14:paraId="4B570EA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074B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28B9D3C6">
            <w:pPr>
              <w:pStyle w:val="42"/>
              <w:spacing w:before="0" w:after="0"/>
              <w:rPr>
                <w:color w:val="000000" w:themeColor="text1"/>
                <w:sz w:val="21"/>
                <w:szCs w:val="21"/>
                <w14:textFill>
                  <w14:solidFill>
                    <w14:schemeClr w14:val="tx1"/>
                  </w14:solidFill>
                </w14:textFill>
              </w:rPr>
            </w:pPr>
          </w:p>
        </w:tc>
        <w:tc>
          <w:tcPr>
            <w:tcW w:w="422" w:type="dxa"/>
            <w:vAlign w:val="center"/>
          </w:tcPr>
          <w:p w14:paraId="2CB87FE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实测值</w:t>
            </w:r>
          </w:p>
        </w:tc>
        <w:tc>
          <w:tcPr>
            <w:tcW w:w="473" w:type="dxa"/>
            <w:vAlign w:val="center"/>
          </w:tcPr>
          <w:p w14:paraId="5C3E9A0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473" w:type="dxa"/>
            <w:vAlign w:val="center"/>
          </w:tcPr>
          <w:p w14:paraId="36D2BAD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576" w:type="dxa"/>
            <w:vAlign w:val="center"/>
          </w:tcPr>
          <w:p w14:paraId="555F272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7C913FE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77E72D0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48BAF11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2576C94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14.28</w:t>
            </w:r>
          </w:p>
        </w:tc>
        <w:tc>
          <w:tcPr>
            <w:tcW w:w="730" w:type="dxa"/>
            <w:vAlign w:val="center"/>
          </w:tcPr>
          <w:p w14:paraId="552E9C6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47</w:t>
            </w:r>
          </w:p>
        </w:tc>
        <w:tc>
          <w:tcPr>
            <w:tcW w:w="987" w:type="dxa"/>
            <w:vAlign w:val="center"/>
          </w:tcPr>
          <w:p w14:paraId="4C0FFF7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46.4</w:t>
            </w:r>
          </w:p>
        </w:tc>
        <w:tc>
          <w:tcPr>
            <w:tcW w:w="1090" w:type="dxa"/>
            <w:vAlign w:val="center"/>
          </w:tcPr>
          <w:p w14:paraId="737A2CE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47</w:t>
            </w:r>
          </w:p>
        </w:tc>
        <w:tc>
          <w:tcPr>
            <w:tcW w:w="1090" w:type="dxa"/>
            <w:vAlign w:val="center"/>
          </w:tcPr>
          <w:p w14:paraId="2476F94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61.01</w:t>
            </w:r>
          </w:p>
        </w:tc>
        <w:tc>
          <w:tcPr>
            <w:tcW w:w="577" w:type="dxa"/>
            <w:vAlign w:val="center"/>
          </w:tcPr>
          <w:p w14:paraId="352FED9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3.8</w:t>
            </w:r>
          </w:p>
        </w:tc>
      </w:tr>
      <w:tr w14:paraId="154F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1625E4EC">
            <w:pPr>
              <w:pStyle w:val="42"/>
              <w:spacing w:before="0" w:after="0"/>
              <w:rPr>
                <w:color w:val="000000" w:themeColor="text1"/>
                <w:sz w:val="21"/>
                <w:szCs w:val="21"/>
                <w14:textFill>
                  <w14:solidFill>
                    <w14:schemeClr w14:val="tx1"/>
                  </w14:solidFill>
                </w14:textFill>
              </w:rPr>
            </w:pPr>
          </w:p>
        </w:tc>
        <w:tc>
          <w:tcPr>
            <w:tcW w:w="422" w:type="dxa"/>
            <w:vAlign w:val="center"/>
          </w:tcPr>
          <w:p w14:paraId="592DE63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结论</w:t>
            </w:r>
          </w:p>
        </w:tc>
        <w:tc>
          <w:tcPr>
            <w:tcW w:w="473" w:type="dxa"/>
            <w:vAlign w:val="center"/>
          </w:tcPr>
          <w:p w14:paraId="088B570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473" w:type="dxa"/>
            <w:vAlign w:val="center"/>
          </w:tcPr>
          <w:p w14:paraId="5F6A5DA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6" w:type="dxa"/>
            <w:vAlign w:val="center"/>
          </w:tcPr>
          <w:p w14:paraId="6D743B8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648035D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DCC8E1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0E5714A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559AFBB4">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730" w:type="dxa"/>
            <w:vAlign w:val="center"/>
          </w:tcPr>
          <w:p w14:paraId="0BF2A66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987" w:type="dxa"/>
            <w:vAlign w:val="center"/>
          </w:tcPr>
          <w:p w14:paraId="1B76580E">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58D184EF">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70F0A0E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7" w:type="dxa"/>
            <w:vAlign w:val="center"/>
          </w:tcPr>
          <w:p w14:paraId="2EEA526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r>
      <w:tr w14:paraId="2623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restart"/>
            <w:vAlign w:val="center"/>
          </w:tcPr>
          <w:p w14:paraId="4C53EDA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柴油罐</w:t>
            </w:r>
          </w:p>
        </w:tc>
        <w:tc>
          <w:tcPr>
            <w:tcW w:w="422" w:type="dxa"/>
            <w:vAlign w:val="center"/>
          </w:tcPr>
          <w:p w14:paraId="7C40398C">
            <w:pPr>
              <w:pStyle w:val="42"/>
              <w:spacing w:before="0" w:after="0"/>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规范要求</w:t>
            </w:r>
          </w:p>
        </w:tc>
        <w:tc>
          <w:tcPr>
            <w:tcW w:w="473" w:type="dxa"/>
            <w:vAlign w:val="center"/>
          </w:tcPr>
          <w:p w14:paraId="59E5019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473" w:type="dxa"/>
            <w:vAlign w:val="center"/>
          </w:tcPr>
          <w:p w14:paraId="5E2E165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576" w:type="dxa"/>
            <w:vAlign w:val="center"/>
          </w:tcPr>
          <w:p w14:paraId="7865F9D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15165E0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359A022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1DCCB99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0C73AFA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w:t>
            </w:r>
          </w:p>
        </w:tc>
        <w:tc>
          <w:tcPr>
            <w:tcW w:w="730" w:type="dxa"/>
            <w:vAlign w:val="center"/>
          </w:tcPr>
          <w:p w14:paraId="3BAA4C5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w:t>
            </w:r>
          </w:p>
        </w:tc>
        <w:tc>
          <w:tcPr>
            <w:tcW w:w="987" w:type="dxa"/>
            <w:vAlign w:val="center"/>
          </w:tcPr>
          <w:p w14:paraId="1EFBA92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w:t>
            </w:r>
          </w:p>
        </w:tc>
        <w:tc>
          <w:tcPr>
            <w:tcW w:w="1090" w:type="dxa"/>
            <w:vAlign w:val="center"/>
          </w:tcPr>
          <w:p w14:paraId="3780AA3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w:t>
            </w:r>
          </w:p>
        </w:tc>
        <w:tc>
          <w:tcPr>
            <w:tcW w:w="1090" w:type="dxa"/>
            <w:vAlign w:val="center"/>
          </w:tcPr>
          <w:p w14:paraId="1CF7748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w:t>
            </w:r>
          </w:p>
        </w:tc>
        <w:tc>
          <w:tcPr>
            <w:tcW w:w="577" w:type="dxa"/>
            <w:vAlign w:val="center"/>
          </w:tcPr>
          <w:p w14:paraId="2E98C3B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70E7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38A061EA">
            <w:pPr>
              <w:pStyle w:val="42"/>
              <w:spacing w:before="0" w:after="0"/>
              <w:rPr>
                <w:color w:val="000000" w:themeColor="text1"/>
                <w:sz w:val="21"/>
                <w:szCs w:val="21"/>
                <w14:textFill>
                  <w14:solidFill>
                    <w14:schemeClr w14:val="tx1"/>
                  </w14:solidFill>
                </w14:textFill>
              </w:rPr>
            </w:pPr>
          </w:p>
        </w:tc>
        <w:tc>
          <w:tcPr>
            <w:tcW w:w="422" w:type="dxa"/>
            <w:vAlign w:val="center"/>
          </w:tcPr>
          <w:p w14:paraId="77058E1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实测值</w:t>
            </w:r>
          </w:p>
        </w:tc>
        <w:tc>
          <w:tcPr>
            <w:tcW w:w="473" w:type="dxa"/>
            <w:vAlign w:val="center"/>
          </w:tcPr>
          <w:p w14:paraId="2352677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473" w:type="dxa"/>
            <w:vAlign w:val="center"/>
          </w:tcPr>
          <w:p w14:paraId="6EA2DE2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0.5</w:t>
            </w:r>
          </w:p>
        </w:tc>
        <w:tc>
          <w:tcPr>
            <w:tcW w:w="576" w:type="dxa"/>
            <w:vAlign w:val="center"/>
          </w:tcPr>
          <w:p w14:paraId="215FBCA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749B277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0DF8200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4C423CF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42507F2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8.08</w:t>
            </w:r>
          </w:p>
        </w:tc>
        <w:tc>
          <w:tcPr>
            <w:tcW w:w="730" w:type="dxa"/>
            <w:vAlign w:val="center"/>
          </w:tcPr>
          <w:p w14:paraId="75F670B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40.8</w:t>
            </w:r>
          </w:p>
        </w:tc>
        <w:tc>
          <w:tcPr>
            <w:tcW w:w="987" w:type="dxa"/>
            <w:vAlign w:val="center"/>
          </w:tcPr>
          <w:p w14:paraId="00AEE92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40.2</w:t>
            </w:r>
          </w:p>
        </w:tc>
        <w:tc>
          <w:tcPr>
            <w:tcW w:w="1090" w:type="dxa"/>
            <w:vAlign w:val="center"/>
          </w:tcPr>
          <w:p w14:paraId="06ED799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40.8</w:t>
            </w:r>
          </w:p>
        </w:tc>
        <w:tc>
          <w:tcPr>
            <w:tcW w:w="1090" w:type="dxa"/>
            <w:vAlign w:val="center"/>
          </w:tcPr>
          <w:p w14:paraId="36ADEFB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67.2</w:t>
            </w:r>
          </w:p>
        </w:tc>
        <w:tc>
          <w:tcPr>
            <w:tcW w:w="577" w:type="dxa"/>
            <w:vAlign w:val="center"/>
          </w:tcPr>
          <w:p w14:paraId="79472A9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3.85</w:t>
            </w:r>
          </w:p>
        </w:tc>
      </w:tr>
      <w:tr w14:paraId="76C8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2D964940">
            <w:pPr>
              <w:pStyle w:val="42"/>
              <w:spacing w:before="0" w:after="0"/>
              <w:rPr>
                <w:color w:val="000000" w:themeColor="text1"/>
                <w:sz w:val="21"/>
                <w:szCs w:val="21"/>
                <w14:textFill>
                  <w14:solidFill>
                    <w14:schemeClr w14:val="tx1"/>
                  </w14:solidFill>
                </w14:textFill>
              </w:rPr>
            </w:pPr>
          </w:p>
        </w:tc>
        <w:tc>
          <w:tcPr>
            <w:tcW w:w="422" w:type="dxa"/>
            <w:vAlign w:val="center"/>
          </w:tcPr>
          <w:p w14:paraId="525E661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结论</w:t>
            </w:r>
          </w:p>
        </w:tc>
        <w:tc>
          <w:tcPr>
            <w:tcW w:w="473" w:type="dxa"/>
            <w:vAlign w:val="center"/>
          </w:tcPr>
          <w:p w14:paraId="3F87369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473" w:type="dxa"/>
            <w:vAlign w:val="center"/>
          </w:tcPr>
          <w:p w14:paraId="3159B08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6" w:type="dxa"/>
            <w:vAlign w:val="center"/>
          </w:tcPr>
          <w:p w14:paraId="5ADE9C0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3C89236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60C5359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719E0EB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09B169E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730" w:type="dxa"/>
            <w:vAlign w:val="center"/>
          </w:tcPr>
          <w:p w14:paraId="4560C45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987" w:type="dxa"/>
            <w:vAlign w:val="center"/>
          </w:tcPr>
          <w:p w14:paraId="05969A4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7F55A7C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3DA6167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7" w:type="dxa"/>
            <w:vAlign w:val="center"/>
          </w:tcPr>
          <w:p w14:paraId="2F75510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r>
      <w:tr w14:paraId="33A4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restart"/>
            <w:vAlign w:val="center"/>
          </w:tcPr>
          <w:p w14:paraId="5F8C472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汽油通气管管口</w:t>
            </w:r>
          </w:p>
        </w:tc>
        <w:tc>
          <w:tcPr>
            <w:tcW w:w="422" w:type="dxa"/>
            <w:vAlign w:val="center"/>
          </w:tcPr>
          <w:p w14:paraId="761F6FCC">
            <w:pPr>
              <w:pStyle w:val="42"/>
              <w:spacing w:before="0" w:after="0"/>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规范要求</w:t>
            </w:r>
          </w:p>
        </w:tc>
        <w:tc>
          <w:tcPr>
            <w:tcW w:w="473" w:type="dxa"/>
            <w:vAlign w:val="center"/>
          </w:tcPr>
          <w:p w14:paraId="2D258FD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30AA388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660E90B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2A4740D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BB9EAE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w:t>
            </w:r>
          </w:p>
        </w:tc>
        <w:tc>
          <w:tcPr>
            <w:tcW w:w="422" w:type="dxa"/>
            <w:vAlign w:val="center"/>
          </w:tcPr>
          <w:p w14:paraId="25FD042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4C61368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w:t>
            </w:r>
          </w:p>
        </w:tc>
        <w:tc>
          <w:tcPr>
            <w:tcW w:w="730" w:type="dxa"/>
            <w:vAlign w:val="center"/>
          </w:tcPr>
          <w:p w14:paraId="6D8BA13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w:t>
            </w:r>
          </w:p>
        </w:tc>
        <w:tc>
          <w:tcPr>
            <w:tcW w:w="987" w:type="dxa"/>
            <w:vAlign w:val="center"/>
          </w:tcPr>
          <w:p w14:paraId="7633CFF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w:t>
            </w:r>
          </w:p>
        </w:tc>
        <w:tc>
          <w:tcPr>
            <w:tcW w:w="1090" w:type="dxa"/>
            <w:vAlign w:val="center"/>
          </w:tcPr>
          <w:p w14:paraId="29DC499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w:t>
            </w:r>
          </w:p>
        </w:tc>
        <w:tc>
          <w:tcPr>
            <w:tcW w:w="1090" w:type="dxa"/>
            <w:vAlign w:val="center"/>
          </w:tcPr>
          <w:p w14:paraId="3A0B78F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10.5</w:t>
            </w:r>
          </w:p>
        </w:tc>
        <w:tc>
          <w:tcPr>
            <w:tcW w:w="577" w:type="dxa"/>
            <w:vAlign w:val="center"/>
          </w:tcPr>
          <w:p w14:paraId="518A5E2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50B6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320B4117">
            <w:pPr>
              <w:pStyle w:val="42"/>
              <w:spacing w:before="0" w:after="0"/>
              <w:rPr>
                <w:color w:val="000000" w:themeColor="text1"/>
                <w:sz w:val="21"/>
                <w:szCs w:val="21"/>
                <w14:textFill>
                  <w14:solidFill>
                    <w14:schemeClr w14:val="tx1"/>
                  </w14:solidFill>
                </w14:textFill>
              </w:rPr>
            </w:pPr>
          </w:p>
        </w:tc>
        <w:tc>
          <w:tcPr>
            <w:tcW w:w="422" w:type="dxa"/>
            <w:vAlign w:val="center"/>
          </w:tcPr>
          <w:p w14:paraId="70BB106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实测值</w:t>
            </w:r>
          </w:p>
        </w:tc>
        <w:tc>
          <w:tcPr>
            <w:tcW w:w="473" w:type="dxa"/>
            <w:vAlign w:val="center"/>
          </w:tcPr>
          <w:p w14:paraId="58B6916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171E53C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7EFCCE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62FD7CD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58AA3AD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7.41</w:t>
            </w:r>
          </w:p>
        </w:tc>
        <w:tc>
          <w:tcPr>
            <w:tcW w:w="422" w:type="dxa"/>
            <w:vAlign w:val="center"/>
          </w:tcPr>
          <w:p w14:paraId="3641993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1E7CA37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14.9</w:t>
            </w:r>
          </w:p>
        </w:tc>
        <w:tc>
          <w:tcPr>
            <w:tcW w:w="730" w:type="dxa"/>
            <w:vAlign w:val="center"/>
          </w:tcPr>
          <w:p w14:paraId="01F4CB8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46.91</w:t>
            </w:r>
          </w:p>
        </w:tc>
        <w:tc>
          <w:tcPr>
            <w:tcW w:w="987" w:type="dxa"/>
            <w:vAlign w:val="center"/>
          </w:tcPr>
          <w:p w14:paraId="40E07DE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47</w:t>
            </w:r>
          </w:p>
        </w:tc>
        <w:tc>
          <w:tcPr>
            <w:tcW w:w="1090" w:type="dxa"/>
            <w:vAlign w:val="center"/>
          </w:tcPr>
          <w:p w14:paraId="29C52CE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46.92</w:t>
            </w:r>
          </w:p>
        </w:tc>
        <w:tc>
          <w:tcPr>
            <w:tcW w:w="1090" w:type="dxa"/>
            <w:vAlign w:val="center"/>
          </w:tcPr>
          <w:p w14:paraId="715C2FA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67.12</w:t>
            </w:r>
          </w:p>
        </w:tc>
        <w:tc>
          <w:tcPr>
            <w:tcW w:w="577" w:type="dxa"/>
            <w:vAlign w:val="center"/>
          </w:tcPr>
          <w:p w14:paraId="619C251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3.86</w:t>
            </w:r>
          </w:p>
        </w:tc>
      </w:tr>
      <w:tr w14:paraId="2700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4F7CB414">
            <w:pPr>
              <w:pStyle w:val="42"/>
              <w:spacing w:before="0" w:after="0"/>
              <w:rPr>
                <w:color w:val="000000" w:themeColor="text1"/>
                <w:sz w:val="21"/>
                <w:szCs w:val="21"/>
                <w14:textFill>
                  <w14:solidFill>
                    <w14:schemeClr w14:val="tx1"/>
                  </w14:solidFill>
                </w14:textFill>
              </w:rPr>
            </w:pPr>
          </w:p>
        </w:tc>
        <w:tc>
          <w:tcPr>
            <w:tcW w:w="422" w:type="dxa"/>
            <w:vAlign w:val="center"/>
          </w:tcPr>
          <w:p w14:paraId="6C39A38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结论</w:t>
            </w:r>
          </w:p>
        </w:tc>
        <w:tc>
          <w:tcPr>
            <w:tcW w:w="473" w:type="dxa"/>
            <w:vAlign w:val="center"/>
          </w:tcPr>
          <w:p w14:paraId="5086FAF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54235D0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5FD679E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83DE25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3E63FC6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422" w:type="dxa"/>
            <w:vAlign w:val="center"/>
          </w:tcPr>
          <w:p w14:paraId="35A3A32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6875764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730" w:type="dxa"/>
            <w:vAlign w:val="center"/>
          </w:tcPr>
          <w:p w14:paraId="0A40FA2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987" w:type="dxa"/>
            <w:vAlign w:val="center"/>
          </w:tcPr>
          <w:p w14:paraId="27448E8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7E47528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5B14E55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7" w:type="dxa"/>
            <w:vAlign w:val="center"/>
          </w:tcPr>
          <w:p w14:paraId="375ED92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r>
      <w:tr w14:paraId="772B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restart"/>
            <w:vAlign w:val="center"/>
          </w:tcPr>
          <w:p w14:paraId="579ADD5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柴油通气管管口</w:t>
            </w:r>
          </w:p>
        </w:tc>
        <w:tc>
          <w:tcPr>
            <w:tcW w:w="422" w:type="dxa"/>
            <w:vAlign w:val="center"/>
          </w:tcPr>
          <w:p w14:paraId="0E20544F">
            <w:pPr>
              <w:pStyle w:val="42"/>
              <w:spacing w:before="0" w:after="0"/>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规范要求</w:t>
            </w:r>
          </w:p>
        </w:tc>
        <w:tc>
          <w:tcPr>
            <w:tcW w:w="473" w:type="dxa"/>
            <w:vAlign w:val="center"/>
          </w:tcPr>
          <w:p w14:paraId="1BF8657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494746A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357A71E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07B3A50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24E11D6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c>
          <w:tcPr>
            <w:tcW w:w="422" w:type="dxa"/>
            <w:vAlign w:val="center"/>
          </w:tcPr>
          <w:p w14:paraId="62262DF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19C0BE5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3.5</w:t>
            </w:r>
          </w:p>
        </w:tc>
        <w:tc>
          <w:tcPr>
            <w:tcW w:w="730" w:type="dxa"/>
            <w:vAlign w:val="center"/>
          </w:tcPr>
          <w:p w14:paraId="3A2EA98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w:t>
            </w:r>
          </w:p>
        </w:tc>
        <w:tc>
          <w:tcPr>
            <w:tcW w:w="987" w:type="dxa"/>
            <w:vAlign w:val="center"/>
          </w:tcPr>
          <w:p w14:paraId="753CBFA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w:t>
            </w:r>
          </w:p>
        </w:tc>
        <w:tc>
          <w:tcPr>
            <w:tcW w:w="1090" w:type="dxa"/>
            <w:vAlign w:val="center"/>
          </w:tcPr>
          <w:p w14:paraId="06474A4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w:t>
            </w:r>
          </w:p>
        </w:tc>
        <w:tc>
          <w:tcPr>
            <w:tcW w:w="1090" w:type="dxa"/>
            <w:vAlign w:val="center"/>
          </w:tcPr>
          <w:p w14:paraId="0CF4E75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w:t>
            </w:r>
          </w:p>
        </w:tc>
        <w:tc>
          <w:tcPr>
            <w:tcW w:w="577" w:type="dxa"/>
            <w:vAlign w:val="center"/>
          </w:tcPr>
          <w:p w14:paraId="3FD6777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5470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1DD4BA90">
            <w:pPr>
              <w:pStyle w:val="42"/>
              <w:spacing w:before="0" w:after="0"/>
              <w:rPr>
                <w:color w:val="000000" w:themeColor="text1"/>
                <w:sz w:val="21"/>
                <w:szCs w:val="21"/>
                <w14:textFill>
                  <w14:solidFill>
                    <w14:schemeClr w14:val="tx1"/>
                  </w14:solidFill>
                </w14:textFill>
              </w:rPr>
            </w:pPr>
          </w:p>
        </w:tc>
        <w:tc>
          <w:tcPr>
            <w:tcW w:w="422" w:type="dxa"/>
            <w:vAlign w:val="center"/>
          </w:tcPr>
          <w:p w14:paraId="5B4B577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实测值</w:t>
            </w:r>
          </w:p>
        </w:tc>
        <w:tc>
          <w:tcPr>
            <w:tcW w:w="473" w:type="dxa"/>
            <w:vAlign w:val="center"/>
          </w:tcPr>
          <w:p w14:paraId="1FE25BC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02C0A83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009DA7E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2A52037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168EB86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7.41</w:t>
            </w:r>
          </w:p>
        </w:tc>
        <w:tc>
          <w:tcPr>
            <w:tcW w:w="422" w:type="dxa"/>
            <w:vAlign w:val="center"/>
          </w:tcPr>
          <w:p w14:paraId="420029F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33D51EA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13.59</w:t>
            </w:r>
          </w:p>
        </w:tc>
        <w:tc>
          <w:tcPr>
            <w:tcW w:w="730" w:type="dxa"/>
            <w:vAlign w:val="center"/>
          </w:tcPr>
          <w:p w14:paraId="398AF18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46.31</w:t>
            </w:r>
          </w:p>
        </w:tc>
        <w:tc>
          <w:tcPr>
            <w:tcW w:w="987" w:type="dxa"/>
            <w:vAlign w:val="center"/>
          </w:tcPr>
          <w:p w14:paraId="6469DAC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46.4</w:t>
            </w:r>
          </w:p>
        </w:tc>
        <w:tc>
          <w:tcPr>
            <w:tcW w:w="1090" w:type="dxa"/>
            <w:vAlign w:val="center"/>
          </w:tcPr>
          <w:p w14:paraId="248232E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46.32</w:t>
            </w:r>
          </w:p>
        </w:tc>
        <w:tc>
          <w:tcPr>
            <w:tcW w:w="1090" w:type="dxa"/>
            <w:vAlign w:val="center"/>
          </w:tcPr>
          <w:p w14:paraId="7943848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66.52</w:t>
            </w:r>
          </w:p>
        </w:tc>
        <w:tc>
          <w:tcPr>
            <w:tcW w:w="577" w:type="dxa"/>
            <w:vAlign w:val="center"/>
          </w:tcPr>
          <w:p w14:paraId="385FC56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3.86</w:t>
            </w:r>
          </w:p>
        </w:tc>
      </w:tr>
      <w:tr w14:paraId="771C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500BE05C">
            <w:pPr>
              <w:pStyle w:val="42"/>
              <w:spacing w:before="0" w:after="0"/>
              <w:rPr>
                <w:color w:val="000000" w:themeColor="text1"/>
                <w:sz w:val="21"/>
                <w:szCs w:val="21"/>
                <w14:textFill>
                  <w14:solidFill>
                    <w14:schemeClr w14:val="tx1"/>
                  </w14:solidFill>
                </w14:textFill>
              </w:rPr>
            </w:pPr>
          </w:p>
        </w:tc>
        <w:tc>
          <w:tcPr>
            <w:tcW w:w="422" w:type="dxa"/>
            <w:vAlign w:val="center"/>
          </w:tcPr>
          <w:p w14:paraId="16759BB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结论</w:t>
            </w:r>
          </w:p>
        </w:tc>
        <w:tc>
          <w:tcPr>
            <w:tcW w:w="473" w:type="dxa"/>
            <w:vAlign w:val="center"/>
          </w:tcPr>
          <w:p w14:paraId="1747325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28FE88F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2404806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599267F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6A977A7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422" w:type="dxa"/>
            <w:vAlign w:val="center"/>
          </w:tcPr>
          <w:p w14:paraId="4887F71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41AC383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730" w:type="dxa"/>
            <w:vAlign w:val="center"/>
          </w:tcPr>
          <w:p w14:paraId="5961F5C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987" w:type="dxa"/>
            <w:vAlign w:val="center"/>
          </w:tcPr>
          <w:p w14:paraId="1BD9A30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34D6A99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7B1A483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7" w:type="dxa"/>
            <w:vAlign w:val="center"/>
          </w:tcPr>
          <w:p w14:paraId="2AD1299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r>
      <w:tr w14:paraId="39C1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restart"/>
            <w:vAlign w:val="center"/>
          </w:tcPr>
          <w:p w14:paraId="06CB390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油品卸车点</w:t>
            </w:r>
          </w:p>
        </w:tc>
        <w:tc>
          <w:tcPr>
            <w:tcW w:w="422" w:type="dxa"/>
            <w:vAlign w:val="center"/>
          </w:tcPr>
          <w:p w14:paraId="4CD3D0DE">
            <w:pPr>
              <w:pStyle w:val="42"/>
              <w:spacing w:before="0" w:after="0"/>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规范要求</w:t>
            </w:r>
          </w:p>
        </w:tc>
        <w:tc>
          <w:tcPr>
            <w:tcW w:w="473" w:type="dxa"/>
            <w:vAlign w:val="center"/>
          </w:tcPr>
          <w:p w14:paraId="2A4DB63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74ED873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E4EA3D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w:t>
            </w:r>
          </w:p>
        </w:tc>
        <w:tc>
          <w:tcPr>
            <w:tcW w:w="576" w:type="dxa"/>
            <w:vAlign w:val="center"/>
          </w:tcPr>
          <w:p w14:paraId="58B98E4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c>
          <w:tcPr>
            <w:tcW w:w="576" w:type="dxa"/>
            <w:vAlign w:val="center"/>
          </w:tcPr>
          <w:p w14:paraId="48F964D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5BE7DBD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1965FB5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w:t>
            </w:r>
          </w:p>
        </w:tc>
        <w:tc>
          <w:tcPr>
            <w:tcW w:w="730" w:type="dxa"/>
            <w:vAlign w:val="center"/>
          </w:tcPr>
          <w:p w14:paraId="4158ED9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6F21FF6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090" w:type="dxa"/>
            <w:vAlign w:val="center"/>
          </w:tcPr>
          <w:p w14:paraId="4B7DD76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w:t>
            </w:r>
          </w:p>
        </w:tc>
        <w:tc>
          <w:tcPr>
            <w:tcW w:w="1090" w:type="dxa"/>
            <w:vAlign w:val="center"/>
          </w:tcPr>
          <w:p w14:paraId="411CF61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7" w:type="dxa"/>
            <w:vAlign w:val="center"/>
          </w:tcPr>
          <w:p w14:paraId="587D1B3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5A6B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128B385E">
            <w:pPr>
              <w:pStyle w:val="42"/>
              <w:spacing w:before="0" w:after="0"/>
              <w:rPr>
                <w:color w:val="000000" w:themeColor="text1"/>
                <w:sz w:val="21"/>
                <w:szCs w:val="21"/>
                <w14:textFill>
                  <w14:solidFill>
                    <w14:schemeClr w14:val="tx1"/>
                  </w14:solidFill>
                </w14:textFill>
              </w:rPr>
            </w:pPr>
          </w:p>
        </w:tc>
        <w:tc>
          <w:tcPr>
            <w:tcW w:w="422" w:type="dxa"/>
            <w:vAlign w:val="center"/>
          </w:tcPr>
          <w:p w14:paraId="1318F0B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实测值</w:t>
            </w:r>
          </w:p>
        </w:tc>
        <w:tc>
          <w:tcPr>
            <w:tcW w:w="473" w:type="dxa"/>
            <w:vAlign w:val="center"/>
          </w:tcPr>
          <w:p w14:paraId="06ABC76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1F90938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22BB47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7.41</w:t>
            </w:r>
          </w:p>
        </w:tc>
        <w:tc>
          <w:tcPr>
            <w:tcW w:w="576" w:type="dxa"/>
            <w:vAlign w:val="center"/>
          </w:tcPr>
          <w:p w14:paraId="385E208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7.41</w:t>
            </w:r>
          </w:p>
        </w:tc>
        <w:tc>
          <w:tcPr>
            <w:tcW w:w="576" w:type="dxa"/>
            <w:vAlign w:val="center"/>
          </w:tcPr>
          <w:p w14:paraId="56ECD10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27EA207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49CCCF7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13.25</w:t>
            </w:r>
          </w:p>
        </w:tc>
        <w:tc>
          <w:tcPr>
            <w:tcW w:w="730" w:type="dxa"/>
            <w:vAlign w:val="center"/>
          </w:tcPr>
          <w:p w14:paraId="6E9327C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2069EBB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090" w:type="dxa"/>
            <w:vAlign w:val="center"/>
          </w:tcPr>
          <w:p w14:paraId="0E3FF57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46.25</w:t>
            </w:r>
          </w:p>
        </w:tc>
        <w:tc>
          <w:tcPr>
            <w:tcW w:w="1090" w:type="dxa"/>
            <w:vAlign w:val="center"/>
          </w:tcPr>
          <w:p w14:paraId="7CD9692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7" w:type="dxa"/>
            <w:vAlign w:val="center"/>
          </w:tcPr>
          <w:p w14:paraId="24C23C5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12F4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26F4BBF9">
            <w:pPr>
              <w:pStyle w:val="42"/>
              <w:spacing w:before="0" w:after="0"/>
              <w:rPr>
                <w:color w:val="000000" w:themeColor="text1"/>
                <w:sz w:val="21"/>
                <w:szCs w:val="21"/>
                <w14:textFill>
                  <w14:solidFill>
                    <w14:schemeClr w14:val="tx1"/>
                  </w14:solidFill>
                </w14:textFill>
              </w:rPr>
            </w:pPr>
          </w:p>
        </w:tc>
        <w:tc>
          <w:tcPr>
            <w:tcW w:w="422" w:type="dxa"/>
            <w:vAlign w:val="center"/>
          </w:tcPr>
          <w:p w14:paraId="7E5764A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结论</w:t>
            </w:r>
          </w:p>
        </w:tc>
        <w:tc>
          <w:tcPr>
            <w:tcW w:w="473" w:type="dxa"/>
            <w:vAlign w:val="center"/>
          </w:tcPr>
          <w:p w14:paraId="0DF3FAB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07AAD14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2416E1C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6" w:type="dxa"/>
            <w:vAlign w:val="center"/>
          </w:tcPr>
          <w:p w14:paraId="4899479E">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6" w:type="dxa"/>
            <w:vAlign w:val="center"/>
          </w:tcPr>
          <w:p w14:paraId="2F62101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1EB005E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41AD998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730" w:type="dxa"/>
            <w:vAlign w:val="center"/>
          </w:tcPr>
          <w:p w14:paraId="3F11FC3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25432AA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090" w:type="dxa"/>
            <w:vAlign w:val="center"/>
          </w:tcPr>
          <w:p w14:paraId="5994A37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1CF9781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7" w:type="dxa"/>
            <w:vAlign w:val="center"/>
          </w:tcPr>
          <w:p w14:paraId="58D30D5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178C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restart"/>
            <w:vAlign w:val="center"/>
          </w:tcPr>
          <w:p w14:paraId="56B1CD8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加油机</w:t>
            </w:r>
          </w:p>
        </w:tc>
        <w:tc>
          <w:tcPr>
            <w:tcW w:w="422" w:type="dxa"/>
            <w:vAlign w:val="center"/>
          </w:tcPr>
          <w:p w14:paraId="64CEF7BB">
            <w:pPr>
              <w:pStyle w:val="42"/>
              <w:spacing w:before="0" w:after="0"/>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规范要求</w:t>
            </w:r>
          </w:p>
        </w:tc>
        <w:tc>
          <w:tcPr>
            <w:tcW w:w="473" w:type="dxa"/>
            <w:vAlign w:val="center"/>
          </w:tcPr>
          <w:p w14:paraId="2B6E10E9">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6FD7AFDC">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383F69E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29AAA1D8">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1AB208B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7D2EB6B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73BBC96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5（4）</w:t>
            </w:r>
          </w:p>
        </w:tc>
        <w:tc>
          <w:tcPr>
            <w:tcW w:w="730" w:type="dxa"/>
            <w:vAlign w:val="center"/>
          </w:tcPr>
          <w:p w14:paraId="3E18356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7（6）</w:t>
            </w:r>
          </w:p>
        </w:tc>
        <w:tc>
          <w:tcPr>
            <w:tcW w:w="987" w:type="dxa"/>
            <w:vAlign w:val="center"/>
          </w:tcPr>
          <w:p w14:paraId="535AA10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7（6）</w:t>
            </w:r>
          </w:p>
        </w:tc>
        <w:tc>
          <w:tcPr>
            <w:tcW w:w="1090" w:type="dxa"/>
            <w:vAlign w:val="center"/>
          </w:tcPr>
          <w:p w14:paraId="122BB36B">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8（6）</w:t>
            </w:r>
          </w:p>
        </w:tc>
        <w:tc>
          <w:tcPr>
            <w:tcW w:w="1090" w:type="dxa"/>
            <w:vAlign w:val="center"/>
          </w:tcPr>
          <w:p w14:paraId="3459064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10.5（9）</w:t>
            </w:r>
          </w:p>
        </w:tc>
        <w:tc>
          <w:tcPr>
            <w:tcW w:w="577" w:type="dxa"/>
            <w:vAlign w:val="center"/>
          </w:tcPr>
          <w:p w14:paraId="3FDDB3B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715E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3895D0FD">
            <w:pPr>
              <w:pStyle w:val="42"/>
              <w:spacing w:before="0" w:after="0"/>
              <w:rPr>
                <w:color w:val="000000" w:themeColor="text1"/>
                <w:sz w:val="21"/>
                <w:szCs w:val="21"/>
                <w14:textFill>
                  <w14:solidFill>
                    <w14:schemeClr w14:val="tx1"/>
                  </w14:solidFill>
                </w14:textFill>
              </w:rPr>
            </w:pPr>
          </w:p>
        </w:tc>
        <w:tc>
          <w:tcPr>
            <w:tcW w:w="422" w:type="dxa"/>
            <w:vAlign w:val="center"/>
          </w:tcPr>
          <w:p w14:paraId="23AF7E2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实测值</w:t>
            </w:r>
          </w:p>
        </w:tc>
        <w:tc>
          <w:tcPr>
            <w:tcW w:w="473" w:type="dxa"/>
            <w:vAlign w:val="center"/>
          </w:tcPr>
          <w:p w14:paraId="501093A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58C9775D">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028883A4">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364C901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4A47CC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26637EBF">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0576D43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7.5（18.5）</w:t>
            </w:r>
          </w:p>
        </w:tc>
        <w:tc>
          <w:tcPr>
            <w:tcW w:w="730" w:type="dxa"/>
            <w:vAlign w:val="center"/>
          </w:tcPr>
          <w:p w14:paraId="6F908A8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17.48（23.</w:t>
            </w:r>
          </w:p>
          <w:p w14:paraId="3E7CD90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91）</w:t>
            </w:r>
          </w:p>
        </w:tc>
        <w:tc>
          <w:tcPr>
            <w:tcW w:w="987" w:type="dxa"/>
            <w:vAlign w:val="center"/>
          </w:tcPr>
          <w:p w14:paraId="04C62CA0">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13.3（18.3）</w:t>
            </w:r>
          </w:p>
        </w:tc>
        <w:tc>
          <w:tcPr>
            <w:tcW w:w="1090" w:type="dxa"/>
            <w:vAlign w:val="center"/>
          </w:tcPr>
          <w:p w14:paraId="7741F326">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20.48（28.47）</w:t>
            </w:r>
          </w:p>
        </w:tc>
        <w:tc>
          <w:tcPr>
            <w:tcW w:w="1090" w:type="dxa"/>
            <w:vAlign w:val="center"/>
          </w:tcPr>
          <w:p w14:paraId="3FB36CC5">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39.25（44.54）</w:t>
            </w:r>
          </w:p>
        </w:tc>
        <w:tc>
          <w:tcPr>
            <w:tcW w:w="577" w:type="dxa"/>
            <w:vAlign w:val="center"/>
          </w:tcPr>
          <w:p w14:paraId="1DBBB4A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6581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 w:type="dxa"/>
            <w:vMerge w:val="continue"/>
            <w:vAlign w:val="center"/>
          </w:tcPr>
          <w:p w14:paraId="5B6C0E5B">
            <w:pPr>
              <w:pStyle w:val="42"/>
              <w:spacing w:before="0" w:after="0"/>
              <w:rPr>
                <w:color w:val="000000" w:themeColor="text1"/>
                <w:sz w:val="21"/>
                <w:szCs w:val="21"/>
                <w14:textFill>
                  <w14:solidFill>
                    <w14:schemeClr w14:val="tx1"/>
                  </w14:solidFill>
                </w14:textFill>
              </w:rPr>
            </w:pPr>
          </w:p>
        </w:tc>
        <w:tc>
          <w:tcPr>
            <w:tcW w:w="422" w:type="dxa"/>
            <w:vAlign w:val="center"/>
          </w:tcPr>
          <w:p w14:paraId="2993C61E">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结论</w:t>
            </w:r>
          </w:p>
        </w:tc>
        <w:tc>
          <w:tcPr>
            <w:tcW w:w="473" w:type="dxa"/>
            <w:vAlign w:val="center"/>
          </w:tcPr>
          <w:p w14:paraId="4E9E0A7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73" w:type="dxa"/>
            <w:vAlign w:val="center"/>
          </w:tcPr>
          <w:p w14:paraId="7B3DEBE3">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077F350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4F9110C7">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576" w:type="dxa"/>
            <w:vAlign w:val="center"/>
          </w:tcPr>
          <w:p w14:paraId="18B27C1A">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422" w:type="dxa"/>
            <w:vAlign w:val="center"/>
          </w:tcPr>
          <w:p w14:paraId="4C8E4061">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987" w:type="dxa"/>
            <w:vAlign w:val="center"/>
          </w:tcPr>
          <w:p w14:paraId="5C3F150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730" w:type="dxa"/>
            <w:vAlign w:val="center"/>
          </w:tcPr>
          <w:p w14:paraId="105DC82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987" w:type="dxa"/>
            <w:vAlign w:val="center"/>
          </w:tcPr>
          <w:p w14:paraId="15CFB39B">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6B8B860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1090" w:type="dxa"/>
            <w:vAlign w:val="center"/>
          </w:tcPr>
          <w:p w14:paraId="65E9C84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c>
          <w:tcPr>
            <w:tcW w:w="577" w:type="dxa"/>
            <w:vAlign w:val="center"/>
          </w:tcPr>
          <w:p w14:paraId="50DE3472">
            <w:pPr>
              <w:pStyle w:val="42"/>
              <w:spacing w:before="0" w:after="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bl>
    <w:p w14:paraId="760459BF">
      <w:pPr>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注：1、表中</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表示无防火距离要求</w:t>
      </w:r>
    </w:p>
    <w:p w14:paraId="759028C5">
      <w:pPr>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2、括号内的数值为柴油设备的距离。</w:t>
      </w:r>
    </w:p>
    <w:p w14:paraId="060D6AC4">
      <w:pPr>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3、加油站辅房、全自动洗车机和变压器布置于作业区之外。站内建筑及设施之间的防火间距按照《汽车加油加气加氢站技术标准》（GB50156-2021）第5.0.8条规定执行。</w:t>
      </w:r>
    </w:p>
    <w:p w14:paraId="6B4D1CF0">
      <w:pPr>
        <w:pStyle w:val="4"/>
        <w:rPr>
          <w:color w:val="000000" w:themeColor="text1"/>
          <w14:textFill>
            <w14:solidFill>
              <w14:schemeClr w14:val="tx1"/>
            </w14:solidFill>
          </w14:textFill>
        </w:rPr>
      </w:pPr>
      <w:r>
        <w:rPr>
          <w:color w:val="000000" w:themeColor="text1"/>
          <w14:textFill>
            <w14:solidFill>
              <w14:schemeClr w14:val="tx1"/>
            </w14:solidFill>
          </w14:textFill>
        </w:rPr>
        <w:t>5.3.3消防器材配置情况表</w:t>
      </w:r>
    </w:p>
    <w:p w14:paraId="341918A2">
      <w:pPr>
        <w:rPr>
          <w:color w:val="000000" w:themeColor="text1"/>
          <w14:textFill>
            <w14:solidFill>
              <w14:schemeClr w14:val="tx1"/>
            </w14:solidFill>
          </w14:textFill>
        </w:rPr>
      </w:pPr>
      <w:r>
        <w:rPr>
          <w:color w:val="000000" w:themeColor="text1"/>
          <w14:textFill>
            <w14:solidFill>
              <w14:schemeClr w14:val="tx1"/>
            </w14:solidFill>
          </w14:textFill>
        </w:rPr>
        <w:t>消防器材配置，见表5.3-3。</w:t>
      </w:r>
    </w:p>
    <w:p w14:paraId="4D0FB706">
      <w:pPr>
        <w:pStyle w:val="42"/>
        <w:rPr>
          <w:color w:val="000000" w:themeColor="text1"/>
          <w14:textFill>
            <w14:solidFill>
              <w14:schemeClr w14:val="tx1"/>
            </w14:solidFill>
          </w14:textFill>
        </w:rPr>
      </w:pPr>
      <w:r>
        <w:rPr>
          <w:color w:val="000000" w:themeColor="text1"/>
          <w14:textFill>
            <w14:solidFill>
              <w14:schemeClr w14:val="tx1"/>
            </w14:solidFill>
          </w14:textFill>
        </w:rPr>
        <w:t>表5.3-3  消防器材一览表</w:t>
      </w:r>
    </w:p>
    <w:tbl>
      <w:tblPr>
        <w:tblStyle w:val="48"/>
        <w:tblW w:w="84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060"/>
        <w:gridCol w:w="1443"/>
        <w:gridCol w:w="1124"/>
        <w:gridCol w:w="1627"/>
      </w:tblGrid>
      <w:tr w14:paraId="39CE6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jc w:val="center"/>
        </w:trPr>
        <w:tc>
          <w:tcPr>
            <w:tcW w:w="1210" w:type="dxa"/>
            <w:vAlign w:val="center"/>
          </w:tcPr>
          <w:p w14:paraId="71642A38">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3060" w:type="dxa"/>
            <w:vAlign w:val="center"/>
          </w:tcPr>
          <w:p w14:paraId="6B24B485">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安全防护设施</w:t>
            </w:r>
          </w:p>
        </w:tc>
        <w:tc>
          <w:tcPr>
            <w:tcW w:w="1443" w:type="dxa"/>
            <w:vAlign w:val="center"/>
          </w:tcPr>
          <w:p w14:paraId="782A9241">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单位</w:t>
            </w:r>
          </w:p>
        </w:tc>
        <w:tc>
          <w:tcPr>
            <w:tcW w:w="1124" w:type="dxa"/>
            <w:vAlign w:val="center"/>
          </w:tcPr>
          <w:p w14:paraId="3483A2FF">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数量</w:t>
            </w:r>
          </w:p>
        </w:tc>
        <w:tc>
          <w:tcPr>
            <w:tcW w:w="1627" w:type="dxa"/>
            <w:vAlign w:val="center"/>
          </w:tcPr>
          <w:p w14:paraId="5934FE8B">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设置位置</w:t>
            </w:r>
          </w:p>
        </w:tc>
      </w:tr>
      <w:tr w14:paraId="59630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1210" w:type="dxa"/>
            <w:vAlign w:val="center"/>
          </w:tcPr>
          <w:p w14:paraId="361E3788">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1</w:t>
            </w:r>
          </w:p>
        </w:tc>
        <w:tc>
          <w:tcPr>
            <w:tcW w:w="3060" w:type="dxa"/>
            <w:vAlign w:val="center"/>
          </w:tcPr>
          <w:p w14:paraId="121AFFBF">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5kg 手提式干粉灭火器</w:t>
            </w:r>
          </w:p>
        </w:tc>
        <w:tc>
          <w:tcPr>
            <w:tcW w:w="1443" w:type="dxa"/>
            <w:vAlign w:val="center"/>
          </w:tcPr>
          <w:p w14:paraId="7329BE23">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具</w:t>
            </w:r>
          </w:p>
        </w:tc>
        <w:tc>
          <w:tcPr>
            <w:tcW w:w="1124" w:type="dxa"/>
            <w:vAlign w:val="center"/>
          </w:tcPr>
          <w:p w14:paraId="766CF6E7">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40</w:t>
            </w:r>
          </w:p>
        </w:tc>
        <w:tc>
          <w:tcPr>
            <w:tcW w:w="1627" w:type="dxa"/>
            <w:vAlign w:val="center"/>
          </w:tcPr>
          <w:p w14:paraId="2B26184E">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全站</w:t>
            </w:r>
          </w:p>
        </w:tc>
      </w:tr>
      <w:tr w14:paraId="3FDC4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1210" w:type="dxa"/>
            <w:vAlign w:val="center"/>
          </w:tcPr>
          <w:p w14:paraId="5E5060C9">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2</w:t>
            </w:r>
          </w:p>
        </w:tc>
        <w:tc>
          <w:tcPr>
            <w:tcW w:w="3060" w:type="dxa"/>
            <w:vAlign w:val="center"/>
          </w:tcPr>
          <w:p w14:paraId="54769D2B">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7kg 手提式二氧化碳灭火器</w:t>
            </w:r>
          </w:p>
        </w:tc>
        <w:tc>
          <w:tcPr>
            <w:tcW w:w="1443" w:type="dxa"/>
            <w:vAlign w:val="center"/>
          </w:tcPr>
          <w:p w14:paraId="414306BF">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具</w:t>
            </w:r>
          </w:p>
        </w:tc>
        <w:tc>
          <w:tcPr>
            <w:tcW w:w="1124" w:type="dxa"/>
            <w:vAlign w:val="center"/>
          </w:tcPr>
          <w:p w14:paraId="66584C3E">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4</w:t>
            </w:r>
          </w:p>
        </w:tc>
        <w:tc>
          <w:tcPr>
            <w:tcW w:w="1627" w:type="dxa"/>
            <w:vAlign w:val="center"/>
          </w:tcPr>
          <w:p w14:paraId="024C08EA">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发电间、配电间</w:t>
            </w:r>
          </w:p>
        </w:tc>
      </w:tr>
      <w:tr w14:paraId="0D5B5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1210" w:type="dxa"/>
            <w:vAlign w:val="center"/>
          </w:tcPr>
          <w:p w14:paraId="42E02171">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3</w:t>
            </w:r>
          </w:p>
        </w:tc>
        <w:tc>
          <w:tcPr>
            <w:tcW w:w="3060" w:type="dxa"/>
            <w:vAlign w:val="center"/>
          </w:tcPr>
          <w:p w14:paraId="4D427E17">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35kg 推车式干粉灭火器</w:t>
            </w:r>
          </w:p>
        </w:tc>
        <w:tc>
          <w:tcPr>
            <w:tcW w:w="1443" w:type="dxa"/>
            <w:vAlign w:val="center"/>
          </w:tcPr>
          <w:p w14:paraId="500F6998">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台</w:t>
            </w:r>
          </w:p>
        </w:tc>
        <w:tc>
          <w:tcPr>
            <w:tcW w:w="1124" w:type="dxa"/>
            <w:vAlign w:val="center"/>
          </w:tcPr>
          <w:p w14:paraId="19515260">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1</w:t>
            </w:r>
          </w:p>
        </w:tc>
        <w:tc>
          <w:tcPr>
            <w:tcW w:w="1627" w:type="dxa"/>
            <w:vAlign w:val="center"/>
          </w:tcPr>
          <w:p w14:paraId="4F73CF68">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消防器材箱内</w:t>
            </w:r>
          </w:p>
        </w:tc>
      </w:tr>
      <w:tr w14:paraId="07A93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1210" w:type="dxa"/>
            <w:vAlign w:val="center"/>
          </w:tcPr>
          <w:p w14:paraId="4589DF1E">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4</w:t>
            </w:r>
          </w:p>
        </w:tc>
        <w:tc>
          <w:tcPr>
            <w:tcW w:w="3060" w:type="dxa"/>
            <w:vAlign w:val="center"/>
          </w:tcPr>
          <w:p w14:paraId="7720E83F">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灭火毯</w:t>
            </w:r>
          </w:p>
        </w:tc>
        <w:tc>
          <w:tcPr>
            <w:tcW w:w="1443" w:type="dxa"/>
            <w:vAlign w:val="center"/>
          </w:tcPr>
          <w:p w14:paraId="7F211047">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块</w:t>
            </w:r>
          </w:p>
        </w:tc>
        <w:tc>
          <w:tcPr>
            <w:tcW w:w="1124" w:type="dxa"/>
            <w:vAlign w:val="center"/>
          </w:tcPr>
          <w:p w14:paraId="76547B22">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2</w:t>
            </w:r>
          </w:p>
        </w:tc>
        <w:tc>
          <w:tcPr>
            <w:tcW w:w="1627" w:type="dxa"/>
            <w:vAlign w:val="center"/>
          </w:tcPr>
          <w:p w14:paraId="1B55777E">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消防器材箱内</w:t>
            </w:r>
          </w:p>
        </w:tc>
      </w:tr>
      <w:tr w14:paraId="19A19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jc w:val="center"/>
        </w:trPr>
        <w:tc>
          <w:tcPr>
            <w:tcW w:w="1210" w:type="dxa"/>
            <w:vAlign w:val="center"/>
          </w:tcPr>
          <w:p w14:paraId="4747E255">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5</w:t>
            </w:r>
          </w:p>
        </w:tc>
        <w:tc>
          <w:tcPr>
            <w:tcW w:w="3060" w:type="dxa"/>
            <w:vAlign w:val="center"/>
          </w:tcPr>
          <w:p w14:paraId="12636388">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消防沙</w:t>
            </w:r>
          </w:p>
        </w:tc>
        <w:tc>
          <w:tcPr>
            <w:tcW w:w="1443" w:type="dxa"/>
            <w:vAlign w:val="center"/>
          </w:tcPr>
          <w:p w14:paraId="778D53FE">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m3</w:t>
            </w:r>
          </w:p>
        </w:tc>
        <w:tc>
          <w:tcPr>
            <w:tcW w:w="1124" w:type="dxa"/>
            <w:vAlign w:val="center"/>
          </w:tcPr>
          <w:p w14:paraId="1765BFB8">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2</w:t>
            </w:r>
          </w:p>
        </w:tc>
        <w:tc>
          <w:tcPr>
            <w:tcW w:w="1627" w:type="dxa"/>
            <w:vAlign w:val="center"/>
          </w:tcPr>
          <w:p w14:paraId="1ADB930C">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消防沙箱内</w:t>
            </w:r>
          </w:p>
        </w:tc>
      </w:tr>
      <w:tr w14:paraId="00640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1210" w:type="dxa"/>
            <w:vAlign w:val="center"/>
          </w:tcPr>
          <w:p w14:paraId="0E56C885">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6</w:t>
            </w:r>
          </w:p>
        </w:tc>
        <w:tc>
          <w:tcPr>
            <w:tcW w:w="3060" w:type="dxa"/>
            <w:vAlign w:val="center"/>
          </w:tcPr>
          <w:p w14:paraId="2A4DD3EC">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消防沙箱</w:t>
            </w:r>
          </w:p>
        </w:tc>
        <w:tc>
          <w:tcPr>
            <w:tcW w:w="1443" w:type="dxa"/>
            <w:vAlign w:val="center"/>
          </w:tcPr>
          <w:p w14:paraId="237D8743">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座</w:t>
            </w:r>
          </w:p>
        </w:tc>
        <w:tc>
          <w:tcPr>
            <w:tcW w:w="1124" w:type="dxa"/>
            <w:vAlign w:val="center"/>
          </w:tcPr>
          <w:p w14:paraId="2CF9643E">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1</w:t>
            </w:r>
          </w:p>
        </w:tc>
        <w:tc>
          <w:tcPr>
            <w:tcW w:w="1627" w:type="dxa"/>
            <w:vAlign w:val="center"/>
          </w:tcPr>
          <w:p w14:paraId="381DAA54">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卸油口附近</w:t>
            </w:r>
          </w:p>
        </w:tc>
      </w:tr>
      <w:tr w14:paraId="5B81E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1210" w:type="dxa"/>
            <w:vAlign w:val="center"/>
          </w:tcPr>
          <w:p w14:paraId="7C07F749">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7</w:t>
            </w:r>
          </w:p>
        </w:tc>
        <w:tc>
          <w:tcPr>
            <w:tcW w:w="3060" w:type="dxa"/>
            <w:vAlign w:val="center"/>
          </w:tcPr>
          <w:p w14:paraId="7E7DEEC1">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消防器材箱</w:t>
            </w:r>
          </w:p>
        </w:tc>
        <w:tc>
          <w:tcPr>
            <w:tcW w:w="1443" w:type="dxa"/>
            <w:vAlign w:val="center"/>
          </w:tcPr>
          <w:p w14:paraId="6E0B9ABF">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座</w:t>
            </w:r>
          </w:p>
        </w:tc>
        <w:tc>
          <w:tcPr>
            <w:tcW w:w="1124" w:type="dxa"/>
            <w:vAlign w:val="center"/>
          </w:tcPr>
          <w:p w14:paraId="49671142">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1</w:t>
            </w:r>
          </w:p>
        </w:tc>
        <w:tc>
          <w:tcPr>
            <w:tcW w:w="1627" w:type="dxa"/>
            <w:vAlign w:val="center"/>
          </w:tcPr>
          <w:p w14:paraId="24C3E1BA">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卸油口附近</w:t>
            </w:r>
          </w:p>
        </w:tc>
      </w:tr>
      <w:tr w14:paraId="73D7B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1210" w:type="dxa"/>
            <w:vAlign w:val="center"/>
          </w:tcPr>
          <w:p w14:paraId="579FB25C">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8</w:t>
            </w:r>
          </w:p>
        </w:tc>
        <w:tc>
          <w:tcPr>
            <w:tcW w:w="3060" w:type="dxa"/>
            <w:vAlign w:val="center"/>
          </w:tcPr>
          <w:p w14:paraId="03181D53">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灭火器箱</w:t>
            </w:r>
          </w:p>
        </w:tc>
        <w:tc>
          <w:tcPr>
            <w:tcW w:w="1443" w:type="dxa"/>
            <w:vAlign w:val="center"/>
          </w:tcPr>
          <w:p w14:paraId="77309AD4">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个</w:t>
            </w:r>
          </w:p>
        </w:tc>
        <w:tc>
          <w:tcPr>
            <w:tcW w:w="1124" w:type="dxa"/>
            <w:vAlign w:val="center"/>
          </w:tcPr>
          <w:p w14:paraId="3CA9A608">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22</w:t>
            </w:r>
          </w:p>
        </w:tc>
        <w:tc>
          <w:tcPr>
            <w:tcW w:w="1627" w:type="dxa"/>
            <w:vAlign w:val="center"/>
          </w:tcPr>
          <w:p w14:paraId="49178BDC">
            <w:pPr>
              <w:pStyle w:val="41"/>
              <w:spacing w:before="0" w:after="0"/>
              <w:rPr>
                <w:color w:val="000000" w:themeColor="text1"/>
                <w14:textFill>
                  <w14:solidFill>
                    <w14:schemeClr w14:val="tx1"/>
                  </w14:solidFill>
                </w14:textFill>
              </w:rPr>
            </w:pPr>
            <w:r>
              <w:rPr>
                <w:color w:val="000000" w:themeColor="text1"/>
                <w14:textFill>
                  <w14:solidFill>
                    <w14:schemeClr w14:val="tx1"/>
                  </w14:solidFill>
                </w14:textFill>
              </w:rPr>
              <w:t>全站</w:t>
            </w:r>
          </w:p>
        </w:tc>
      </w:tr>
    </w:tbl>
    <w:p w14:paraId="6E30AB1F">
      <w:pPr>
        <w:rPr>
          <w:color w:val="000000" w:themeColor="text1"/>
          <w14:textFill>
            <w14:solidFill>
              <w14:schemeClr w14:val="tx1"/>
            </w14:solidFill>
          </w14:textFill>
        </w:rPr>
        <w:sectPr>
          <w:footerReference r:id="rId16" w:type="default"/>
          <w:pgSz w:w="11906" w:h="16838"/>
          <w:pgMar w:top="1417" w:right="1134" w:bottom="1134" w:left="1587" w:header="851" w:footer="992" w:gutter="0"/>
          <w:cols w:space="720" w:num="1"/>
          <w:docGrid w:type="lines" w:linePitch="386" w:charSpace="0"/>
        </w:sectPr>
      </w:pPr>
    </w:p>
    <w:p w14:paraId="74EC6908">
      <w:pPr>
        <w:pStyle w:val="2"/>
        <w:rPr>
          <w:color w:val="000000" w:themeColor="text1"/>
          <w14:textFill>
            <w14:solidFill>
              <w14:schemeClr w14:val="tx1"/>
            </w14:solidFill>
          </w14:textFill>
        </w:rPr>
      </w:pPr>
      <w:bookmarkStart w:id="398" w:name="_Toc370194906"/>
      <w:bookmarkStart w:id="399" w:name="_Toc9755137"/>
      <w:bookmarkStart w:id="400" w:name="_Toc19680"/>
      <w:bookmarkStart w:id="401" w:name="_Toc23531"/>
      <w:bookmarkStart w:id="402" w:name="_Toc153613494"/>
      <w:bookmarkStart w:id="403" w:name="_Toc152145341"/>
      <w:bookmarkStart w:id="404" w:name="_Toc147389712"/>
      <w:bookmarkStart w:id="405" w:name="_Toc152146853"/>
      <w:bookmarkStart w:id="406" w:name="_Toc145472691"/>
      <w:bookmarkStart w:id="407" w:name="_Toc144691740"/>
      <w:bookmarkStart w:id="408" w:name="_Toc152147167"/>
      <w:bookmarkStart w:id="409" w:name="_Toc166118060"/>
      <w:bookmarkStart w:id="410" w:name="_Toc146456472"/>
      <w:bookmarkStart w:id="411" w:name="_Toc153013339"/>
      <w:bookmarkStart w:id="412" w:name="_Toc144873860"/>
      <w:bookmarkStart w:id="413" w:name="_Toc150078387"/>
      <w:bookmarkStart w:id="414" w:name="_Toc147389000"/>
      <w:bookmarkStart w:id="415" w:name="_Toc147388106"/>
      <w:bookmarkStart w:id="416" w:name="_Toc146456695"/>
      <w:bookmarkStart w:id="417" w:name="_Toc152401037"/>
      <w:bookmarkStart w:id="418" w:name="_Toc144691506"/>
      <w:bookmarkStart w:id="419" w:name="_Toc163694502"/>
      <w:bookmarkStart w:id="420" w:name="_Toc153082054"/>
      <w:bookmarkStart w:id="421" w:name="_Toc144886790"/>
      <w:bookmarkStart w:id="422" w:name="_Toc152490527"/>
      <w:bookmarkStart w:id="423" w:name="_Toc156029823"/>
      <w:bookmarkStart w:id="424" w:name="_Toc144693727"/>
      <w:bookmarkStart w:id="425" w:name="_Toc152490397"/>
      <w:bookmarkStart w:id="426" w:name="_Toc146454783"/>
      <w:bookmarkStart w:id="427" w:name="_Toc148576412"/>
      <w:bookmarkStart w:id="428" w:name="_Toc147388813"/>
      <w:bookmarkStart w:id="429" w:name="_Toc156033583"/>
      <w:bookmarkStart w:id="430" w:name="_Toc163648873"/>
      <w:r>
        <w:rPr>
          <w:color w:val="000000" w:themeColor="text1"/>
          <w14:textFill>
            <w14:solidFill>
              <w14:schemeClr w14:val="tx1"/>
            </w14:solidFill>
          </w14:textFill>
        </w:rPr>
        <w:t>6  安全对策措施</w:t>
      </w:r>
      <w:bookmarkEnd w:id="398"/>
      <w:bookmarkEnd w:id="399"/>
      <w:r>
        <w:rPr>
          <w:color w:val="000000" w:themeColor="text1"/>
          <w14:textFill>
            <w14:solidFill>
              <w14:schemeClr w14:val="tx1"/>
            </w14:solidFill>
          </w14:textFill>
        </w:rPr>
        <w:t>和整改建议</w:t>
      </w:r>
      <w:bookmarkEnd w:id="400"/>
      <w:bookmarkEnd w:id="401"/>
    </w:p>
    <w:p w14:paraId="1EB64E3E">
      <w:pPr>
        <w:pStyle w:val="3"/>
        <w:rPr>
          <w:color w:val="000000" w:themeColor="text1"/>
          <w14:textFill>
            <w14:solidFill>
              <w14:schemeClr w14:val="tx1"/>
            </w14:solidFill>
          </w14:textFill>
        </w:rPr>
      </w:pPr>
      <w:bookmarkStart w:id="431" w:name="_Toc9755138"/>
      <w:bookmarkStart w:id="432" w:name="_Toc260924774"/>
      <w:bookmarkStart w:id="433" w:name="_Toc13801"/>
      <w:bookmarkStart w:id="434" w:name="_Toc30994"/>
      <w:r>
        <w:rPr>
          <w:color w:val="000000" w:themeColor="text1"/>
          <w14:textFill>
            <w14:solidFill>
              <w14:schemeClr w14:val="tx1"/>
            </w14:solidFill>
          </w14:textFill>
        </w:rPr>
        <w:t>6.1  安全对策措施</w:t>
      </w:r>
      <w:bookmarkEnd w:id="431"/>
      <w:bookmarkEnd w:id="432"/>
      <w:bookmarkEnd w:id="433"/>
      <w:bookmarkEnd w:id="434"/>
    </w:p>
    <w:p w14:paraId="6CE7F116">
      <w:pPr>
        <w:rPr>
          <w:color w:val="000000" w:themeColor="text1"/>
          <w14:textFill>
            <w14:solidFill>
              <w14:schemeClr w14:val="tx1"/>
            </w14:solidFill>
          </w14:textFill>
        </w:rPr>
      </w:pPr>
      <w:r>
        <w:rPr>
          <w:color w:val="000000" w:themeColor="text1"/>
          <w14:textFill>
            <w14:solidFill>
              <w14:schemeClr w14:val="tx1"/>
            </w14:solidFill>
          </w14:textFill>
        </w:rPr>
        <w:t>（1）健全安全生产管理制度、风险防控机制和隐患排查治理机制，加强日常安全管理工作，认真贯彻落实各种安全规章制度及岗位安全操作规程，对危险化学品经营过程实现有效的安全监控，保证危险化学品安全经营的安全投入，不断提高危险化学品经营的安全条件。</w:t>
      </w:r>
    </w:p>
    <w:p w14:paraId="5F225108">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根据《安全生产治本攻坚三年行动方案（2024—2026年）》三（3），健全完善企业重大事故隐患排查自查自改常态化机制，主要负责人要每季度带领对站内重大事故隐患排查整治情况至少开展1次检查，完善并落实全员安全生产岗位责任制。</w:t>
      </w:r>
    </w:p>
    <w:p w14:paraId="70293E6A">
      <w:pPr>
        <w:rPr>
          <w:color w:val="000000" w:themeColor="text1"/>
          <w14:textFill>
            <w14:solidFill>
              <w14:schemeClr w14:val="tx1"/>
            </w14:solidFill>
          </w14:textFill>
        </w:rPr>
      </w:pPr>
      <w:r>
        <w:rPr>
          <w:color w:val="000000" w:themeColor="text1"/>
          <w14:textFill>
            <w14:solidFill>
              <w14:schemeClr w14:val="tx1"/>
            </w14:solidFill>
          </w14:textFill>
        </w:rPr>
        <w:t>（3）对加油站从业人员安全技能培训深化提升，加油站主要负责人、安全生产管理人员安全生产知识和管理能力考核，将重大事故隐患排查整治有关要求作为培训考核的重要内容。</w:t>
      </w:r>
    </w:p>
    <w:p w14:paraId="7F6009E7">
      <w:pPr>
        <w:rPr>
          <w:color w:val="000000" w:themeColor="text1"/>
          <w14:textFill>
            <w14:solidFill>
              <w14:schemeClr w14:val="tx1"/>
            </w14:solidFill>
          </w14:textFill>
        </w:rPr>
      </w:pPr>
      <w:r>
        <w:rPr>
          <w:color w:val="000000" w:themeColor="text1"/>
          <w14:textFill>
            <w14:solidFill>
              <w14:schemeClr w14:val="tx1"/>
            </w14:solidFill>
          </w14:textFill>
        </w:rPr>
        <w:t>（4）根据《生产安全事故应急预案管理办法》第三十三条、第三十五条，易武加油站每半年组织一次生产安全事故应急预案演练，提升企业员工疏散逃生避险意识能力，并将演练情况报送所在地县级以上地方人民政府负有安全生产监督管理职责的部门。每三年进行一次应急预案修订更新。依法建设安全生产应急救援队伍，满足安全风险防范和事故抢险救援需要。</w:t>
      </w:r>
    </w:p>
    <w:p w14:paraId="6963BA9A">
      <w:pPr>
        <w:rPr>
          <w:color w:val="000000" w:themeColor="text1"/>
          <w14:textFill>
            <w14:solidFill>
              <w14:schemeClr w14:val="tx1"/>
            </w14:solidFill>
          </w14:textFill>
        </w:rPr>
      </w:pPr>
      <w:r>
        <w:rPr>
          <w:color w:val="000000" w:themeColor="text1"/>
          <w14:textFill>
            <w14:solidFill>
              <w14:schemeClr w14:val="tx1"/>
            </w14:solidFill>
          </w14:textFill>
        </w:rPr>
        <w:t>（5）严格实施并强化从成品油接卸入罐开始，直至在站内储存到最后将油品销售给用户的全过程、全员参与和全方位的安全生产标准化管理，着力削减和控制风险因素，切实做到岗位有专责，操作有规程，管理有制度，行为有规范，检查有方法，考核有标准，处理有措施的制度化、规范化和科学化的安全生产标准化管理体系；力求做到人人安全、事事安全、时时安全、处处安全，严防生产安全事故的发生。</w:t>
      </w:r>
    </w:p>
    <w:p w14:paraId="10E083D0">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6）易武加油站虽未构成危险化学品重大危险源，但仍需给予高度重视，切实强化安全管理，建立设备技术档案，切实加强加油机、油罐、管线、电器设施及防雷防静电接地装置等的检查测试与维护保养，定期开展隐患排查，及时消除安全隐患，确保设备（施）完好，做到安全使用。</w:t>
      </w:r>
    </w:p>
    <w:p w14:paraId="5FC8CB47">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7）认真做好经营油品的安全收发和储存的管理工作，切实加强油品计量管理工作，防止发生跑（冒）、混油事故；严格作业现场管理，如在雷雨天气应停止汽油的收发作业；严格加油作业管理，在加油站内严禁往维修车辆和往塑料桶内加注汽油；加油站内严禁吸烟和使用手机，确保加油作业现场的安全。</w:t>
      </w:r>
    </w:p>
    <w:p w14:paraId="033B343A">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8）汽油为特别管控危险化学品。在经营储存过程中，要加强汽油的精细化管理，严格从业人员准入，建立作业信息系统，尤其对汽油的散装如桶类等非汽车油箱的销售，必须实时记录销售情况、货主信息等，强化流向监控和销售信息的管理。</w:t>
      </w:r>
    </w:p>
    <w:p w14:paraId="5BCC8A5E">
      <w:pPr>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color w:val="000000" w:themeColor="text1"/>
          <w14:textFill>
            <w14:solidFill>
              <w14:schemeClr w14:val="tx1"/>
            </w14:solidFill>
          </w14:textFill>
        </w:rPr>
        <w:t>危险化学品经营许可证</w:t>
      </w:r>
      <w:r>
        <w:rPr>
          <w:rFonts w:hint="eastAsia"/>
          <w:color w:val="000000" w:themeColor="text1"/>
          <w14:textFill>
            <w14:solidFill>
              <w14:schemeClr w14:val="tx1"/>
            </w14:solidFill>
          </w14:textFill>
        </w:rPr>
        <w:t>过期后不得开展经营活动，待换取危化证后方可恢复危化品经营。</w:t>
      </w:r>
    </w:p>
    <w:p w14:paraId="425BA7D0">
      <w:pPr>
        <w:pStyle w:val="3"/>
        <w:rPr>
          <w:color w:val="000000" w:themeColor="text1"/>
          <w14:textFill>
            <w14:solidFill>
              <w14:schemeClr w14:val="tx1"/>
            </w14:solidFill>
          </w14:textFill>
        </w:rPr>
      </w:pPr>
      <w:bookmarkStart w:id="435" w:name="_Toc13611"/>
      <w:bookmarkStart w:id="436" w:name="_Toc18415"/>
      <w:r>
        <w:rPr>
          <w:color w:val="000000" w:themeColor="text1"/>
          <w14:textFill>
            <w14:solidFill>
              <w14:schemeClr w14:val="tx1"/>
            </w14:solidFill>
          </w14:textFill>
        </w:rPr>
        <w:t>6.2  整改建议</w:t>
      </w:r>
      <w:bookmarkEnd w:id="435"/>
      <w:bookmarkEnd w:id="436"/>
      <w:r>
        <w:rPr>
          <w:rFonts w:hint="eastAsia"/>
          <w:color w:val="000000" w:themeColor="text1"/>
          <w14:textFill>
            <w14:solidFill>
              <w14:schemeClr w14:val="tx1"/>
            </w14:solidFill>
          </w14:textFill>
        </w:rPr>
        <w:t>及整改情况</w:t>
      </w:r>
    </w:p>
    <w:p w14:paraId="2179C8FE">
      <w:pPr>
        <w:rPr>
          <w:color w:val="000000" w:themeColor="text1"/>
          <w14:textFill>
            <w14:solidFill>
              <w14:schemeClr w14:val="tx1"/>
            </w14:solidFill>
          </w14:textFill>
        </w:rPr>
      </w:pPr>
      <w:r>
        <w:rPr>
          <w:color w:val="000000" w:themeColor="text1"/>
          <w14:textFill>
            <w14:solidFill>
              <w14:schemeClr w14:val="tx1"/>
            </w14:solidFill>
          </w14:textFill>
        </w:rPr>
        <w:t>辽宁诺诚安全科技有限公司评价组于2026年8月28日进行现场调查时，发现该加油站存在以下问题，并提出相应整改建议。</w:t>
      </w:r>
    </w:p>
    <w:p w14:paraId="0F34E3CA">
      <w:pPr>
        <w:pStyle w:val="42"/>
        <w:rPr>
          <w:color w:val="000000" w:themeColor="text1"/>
          <w14:textFill>
            <w14:solidFill>
              <w14:schemeClr w14:val="tx1"/>
            </w14:solidFill>
          </w14:textFill>
        </w:rPr>
      </w:pPr>
      <w:r>
        <w:rPr>
          <w:color w:val="000000" w:themeColor="text1"/>
          <w14:textFill>
            <w14:solidFill>
              <w14:schemeClr w14:val="tx1"/>
            </w14:solidFill>
          </w14:textFill>
        </w:rPr>
        <w:t>表6.2-1  现场存在主要问题及整改建议</w:t>
      </w:r>
    </w:p>
    <w:tbl>
      <w:tblPr>
        <w:tblStyle w:val="27"/>
        <w:tblpPr w:leftFromText="180" w:rightFromText="180" w:vertAnchor="text" w:tblpY="1"/>
        <w:tblOverlap w:val="never"/>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3749"/>
        <w:gridCol w:w="4878"/>
      </w:tblGrid>
      <w:tr w14:paraId="22CD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407" w:type="pct"/>
            <w:vAlign w:val="center"/>
          </w:tcPr>
          <w:p w14:paraId="4D8E661D">
            <w:pPr>
              <w:pStyle w:val="41"/>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995" w:type="pct"/>
            <w:vAlign w:val="center"/>
          </w:tcPr>
          <w:p w14:paraId="0E24719C">
            <w:pPr>
              <w:pStyle w:val="41"/>
              <w:rPr>
                <w:color w:val="000000" w:themeColor="text1"/>
                <w14:textFill>
                  <w14:solidFill>
                    <w14:schemeClr w14:val="tx1"/>
                  </w14:solidFill>
                </w14:textFill>
              </w:rPr>
            </w:pPr>
            <w:r>
              <w:rPr>
                <w:color w:val="000000" w:themeColor="text1"/>
                <w14:textFill>
                  <w14:solidFill>
                    <w14:schemeClr w14:val="tx1"/>
                  </w14:solidFill>
                </w14:textFill>
              </w:rPr>
              <w:t>隐患描述</w:t>
            </w:r>
          </w:p>
        </w:tc>
        <w:tc>
          <w:tcPr>
            <w:tcW w:w="2596" w:type="pct"/>
            <w:vAlign w:val="center"/>
          </w:tcPr>
          <w:p w14:paraId="6E0900F1">
            <w:pPr>
              <w:pStyle w:val="41"/>
              <w:rPr>
                <w:color w:val="000000" w:themeColor="text1"/>
                <w14:textFill>
                  <w14:solidFill>
                    <w14:schemeClr w14:val="tx1"/>
                  </w14:solidFill>
                </w14:textFill>
              </w:rPr>
            </w:pPr>
            <w:r>
              <w:rPr>
                <w:color w:val="000000" w:themeColor="text1"/>
                <w14:textFill>
                  <w14:solidFill>
                    <w14:schemeClr w14:val="tx1"/>
                  </w14:solidFill>
                </w14:textFill>
              </w:rPr>
              <w:t>整改建议</w:t>
            </w:r>
          </w:p>
        </w:tc>
      </w:tr>
      <w:tr w14:paraId="2069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7" w:type="pct"/>
            <w:vAlign w:val="center"/>
          </w:tcPr>
          <w:p w14:paraId="72418005">
            <w:pPr>
              <w:pStyle w:val="41"/>
              <w:rPr>
                <w:color w:val="000000" w:themeColor="text1"/>
                <w14:textFill>
                  <w14:solidFill>
                    <w14:schemeClr w14:val="tx1"/>
                  </w14:solidFill>
                </w14:textFill>
              </w:rPr>
            </w:pPr>
            <w:r>
              <w:rPr>
                <w:color w:val="000000" w:themeColor="text1"/>
                <w14:textFill>
                  <w14:solidFill>
                    <w14:schemeClr w14:val="tx1"/>
                  </w14:solidFill>
                </w14:textFill>
              </w:rPr>
              <w:t>1</w:t>
            </w:r>
          </w:p>
        </w:tc>
        <w:tc>
          <w:tcPr>
            <w:tcW w:w="1995" w:type="pct"/>
            <w:vAlign w:val="center"/>
          </w:tcPr>
          <w:p w14:paraId="69FAEC29">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卸油口标识已褪色</w:t>
            </w:r>
          </w:p>
        </w:tc>
        <w:tc>
          <w:tcPr>
            <w:tcW w:w="2596" w:type="pct"/>
            <w:vAlign w:val="center"/>
          </w:tcPr>
          <w:p w14:paraId="70670646">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完善卸油口标识。</w:t>
            </w:r>
          </w:p>
        </w:tc>
      </w:tr>
      <w:tr w14:paraId="20E5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7" w:type="pct"/>
            <w:vAlign w:val="center"/>
          </w:tcPr>
          <w:p w14:paraId="6984066B">
            <w:pPr>
              <w:pStyle w:val="41"/>
              <w:rPr>
                <w:color w:val="000000" w:themeColor="text1"/>
                <w14:textFill>
                  <w14:solidFill>
                    <w14:schemeClr w14:val="tx1"/>
                  </w14:solidFill>
                </w14:textFill>
              </w:rPr>
            </w:pPr>
            <w:r>
              <w:rPr>
                <w:color w:val="000000" w:themeColor="text1"/>
                <w14:textFill>
                  <w14:solidFill>
                    <w14:schemeClr w14:val="tx1"/>
                  </w14:solidFill>
                </w14:textFill>
              </w:rPr>
              <w:t>2</w:t>
            </w:r>
          </w:p>
        </w:tc>
        <w:tc>
          <w:tcPr>
            <w:tcW w:w="1995" w:type="pct"/>
            <w:vAlign w:val="center"/>
          </w:tcPr>
          <w:p w14:paraId="190BD9A5">
            <w:pPr>
              <w:ind w:firstLine="42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一台手推式灭火器铅封已失效</w:t>
            </w:r>
            <w:r>
              <w:rPr>
                <w:color w:val="000000" w:themeColor="text1"/>
                <w:sz w:val="21"/>
                <w14:textFill>
                  <w14:solidFill>
                    <w14:schemeClr w14:val="tx1"/>
                  </w14:solidFill>
                </w14:textFill>
              </w:rPr>
              <w:t>。</w:t>
            </w:r>
          </w:p>
        </w:tc>
        <w:tc>
          <w:tcPr>
            <w:tcW w:w="2596" w:type="pct"/>
            <w:vAlign w:val="center"/>
          </w:tcPr>
          <w:p w14:paraId="316B116C">
            <w:pPr>
              <w:pStyle w:val="41"/>
              <w:rPr>
                <w:color w:val="000000" w:themeColor="text1"/>
                <w14:textFill>
                  <w14:solidFill>
                    <w14:schemeClr w14:val="tx1"/>
                  </w14:solidFill>
                </w14:textFill>
              </w:rPr>
            </w:pPr>
            <w:r>
              <w:rPr>
                <w:rFonts w:hint="eastAsia"/>
                <w:color w:val="000000" w:themeColor="text1"/>
                <w14:textFill>
                  <w14:solidFill>
                    <w14:schemeClr w14:val="tx1"/>
                  </w14:solidFill>
                </w14:textFill>
              </w:rPr>
              <w:t>更换符合要求的手推式灭火器。</w:t>
            </w:r>
          </w:p>
        </w:tc>
      </w:tr>
    </w:tbl>
    <w:p w14:paraId="1524579F">
      <w:pPr>
        <w:rPr>
          <w:color w:val="000000" w:themeColor="text1"/>
          <w14:textFill>
            <w14:solidFill>
              <w14:schemeClr w14:val="tx1"/>
            </w14:solidFill>
          </w14:textFill>
        </w:rPr>
        <w:sectPr>
          <w:pgSz w:w="11906" w:h="16838"/>
          <w:pgMar w:top="1417" w:right="1134" w:bottom="1134" w:left="1587" w:header="850" w:footer="992" w:gutter="0"/>
          <w:cols w:space="720" w:num="1"/>
          <w:docGrid w:linePitch="381" w:charSpace="0"/>
        </w:sectPr>
      </w:pPr>
      <w:r>
        <w:rPr>
          <w:rFonts w:hint="eastAsia"/>
          <w:color w:val="000000" w:themeColor="text1"/>
          <w14:textFill>
            <w14:solidFill>
              <w14:schemeClr w14:val="tx1"/>
            </w14:solidFill>
          </w14:textFill>
        </w:rPr>
        <w:t>经企业整改，</w:t>
      </w:r>
      <w:r>
        <w:rPr>
          <w:color w:val="000000" w:themeColor="text1"/>
          <w14:textFill>
            <w14:solidFill>
              <w14:schemeClr w14:val="tx1"/>
            </w14:solidFill>
          </w14:textFill>
        </w:rPr>
        <w:t>辽宁诺诚安全科技有限公司评价组于2026年</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月</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日</w:t>
      </w:r>
      <w:r>
        <w:rPr>
          <w:rFonts w:hint="eastAsia"/>
          <w:color w:val="000000" w:themeColor="text1"/>
          <w14:textFill>
            <w14:solidFill>
              <w14:schemeClr w14:val="tx1"/>
            </w14:solidFill>
          </w14:textFill>
        </w:rPr>
        <w:t>经照片复核，现场存在问题均已整改，详见附件。</w:t>
      </w:r>
    </w:p>
    <w:p w14:paraId="3BB7FB4F">
      <w:pPr>
        <w:pStyle w:val="2"/>
        <w:rPr>
          <w:color w:val="000000" w:themeColor="text1"/>
          <w14:textFill>
            <w14:solidFill>
              <w14:schemeClr w14:val="tx1"/>
            </w14:solidFill>
          </w14:textFill>
        </w:rPr>
      </w:pPr>
      <w:bookmarkStart w:id="437" w:name="_Toc9755139"/>
      <w:bookmarkStart w:id="438" w:name="_Toc26435"/>
      <w:r>
        <w:rPr>
          <w:color w:val="000000" w:themeColor="text1"/>
          <w14:textFill>
            <w14:solidFill>
              <w14:schemeClr w14:val="tx1"/>
            </w14:solidFill>
          </w14:textFill>
        </w:rPr>
        <w:t xml:space="preserve"> </w:t>
      </w:r>
      <w:bookmarkStart w:id="439" w:name="_Toc32143"/>
      <w:r>
        <w:rPr>
          <w:color w:val="000000" w:themeColor="text1"/>
          <w14:textFill>
            <w14:solidFill>
              <w14:schemeClr w14:val="tx1"/>
            </w14:solidFill>
          </w14:textFill>
        </w:rPr>
        <w:t>7  安全评价结论</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7"/>
      <w:bookmarkEnd w:id="438"/>
      <w:bookmarkEnd w:id="439"/>
    </w:p>
    <w:p w14:paraId="65F5C671">
      <w:pPr>
        <w:adjustRightInd w:val="0"/>
        <w:snapToGrid w:val="0"/>
        <w:rPr>
          <w:color w:val="000000" w:themeColor="text1"/>
          <w:kern w:val="0"/>
          <w:lang w:bidi="zh-CN"/>
          <w14:textFill>
            <w14:solidFill>
              <w14:schemeClr w14:val="tx1"/>
            </w14:solidFill>
          </w14:textFill>
        </w:rPr>
      </w:pPr>
      <w:r>
        <w:rPr>
          <w:color w:val="000000" w:themeColor="text1"/>
          <w:kern w:val="0"/>
          <w:lang w:bidi="zh-CN"/>
          <w14:textFill>
            <w14:solidFill>
              <w14:schemeClr w14:val="tx1"/>
            </w14:solidFill>
          </w14:textFill>
        </w:rPr>
        <w:t>西双版纳煜坤能源有限公司易武加油站站内近三年总平面布置未发生变化，且未发生生产安全事故，目前经营状况良好。</w:t>
      </w:r>
    </w:p>
    <w:p w14:paraId="66C23CD3">
      <w:pPr>
        <w:adjustRightInd w:val="0"/>
        <w:snapToGrid w:val="0"/>
        <w:rPr>
          <w:color w:val="000000" w:themeColor="text1"/>
          <w14:textFill>
            <w14:solidFill>
              <w14:schemeClr w14:val="tx1"/>
            </w14:solidFill>
          </w14:textFill>
        </w:rPr>
      </w:pPr>
      <w:r>
        <w:rPr>
          <w:color w:val="000000" w:themeColor="text1"/>
          <w:kern w:val="0"/>
          <w:lang w:bidi="zh-CN"/>
          <w14:textFill>
            <w14:solidFill>
              <w14:schemeClr w14:val="tx1"/>
            </w14:solidFill>
          </w14:textFill>
        </w:rPr>
        <w:t>西双版纳煜坤能源有限公司易武加油站在周边环境、平面布置、设备设施、经营产品、从业人员、安全管理、应急管理等方面，符合《中华人民共和国安全生产法》、《危险化学品安全管理条例》、《危险化学品经营许可证管理办法》、《汽车加油加气加氢站技术标准》对危险化学品的经营条件要求</w:t>
      </w:r>
      <w:r>
        <w:rPr>
          <w:color w:val="000000" w:themeColor="text1"/>
          <w14:textFill>
            <w14:solidFill>
              <w14:schemeClr w14:val="tx1"/>
            </w14:solidFill>
          </w14:textFill>
        </w:rPr>
        <w:t>。</w:t>
      </w:r>
    </w:p>
    <w:p w14:paraId="010A71D8">
      <w:pPr>
        <w:ind w:firstLine="562"/>
        <w:rPr>
          <w:b/>
          <w:color w:val="000000" w:themeColor="text1"/>
          <w14:textFill>
            <w14:solidFill>
              <w14:schemeClr w14:val="tx1"/>
            </w14:solidFill>
          </w14:textFill>
        </w:rPr>
        <w:sectPr>
          <w:pgSz w:w="11906" w:h="16838"/>
          <w:pgMar w:top="1417" w:right="1134" w:bottom="1134" w:left="1587" w:header="851" w:footer="992" w:gutter="0"/>
          <w:cols w:space="720" w:num="1"/>
          <w:docGrid w:type="lines" w:linePitch="386" w:charSpace="0"/>
        </w:sectPr>
      </w:pPr>
      <w:r>
        <w:rPr>
          <w:b/>
          <w:color w:val="000000" w:themeColor="text1"/>
          <w14:textFill>
            <w14:solidFill>
              <w14:schemeClr w14:val="tx1"/>
            </w14:solidFill>
          </w14:textFill>
        </w:rPr>
        <w:t>经评价，西双版纳煜坤能源有限公司易武加油站已对本评价报告第6章提出的整改建议进行整改，并经确认合格，西双版纳煜坤能源有限公司易武加油站经营条件良好，</w:t>
      </w:r>
      <w:r>
        <w:rPr>
          <w:b/>
          <w:bCs/>
          <w:color w:val="000000" w:themeColor="text1"/>
          <w14:textFill>
            <w14:solidFill>
              <w14:schemeClr w14:val="tx1"/>
            </w14:solidFill>
          </w14:textFill>
        </w:rPr>
        <w:t>整体</w:t>
      </w:r>
      <w:r>
        <w:rPr>
          <w:b/>
          <w:color w:val="000000" w:themeColor="text1"/>
          <w14:textFill>
            <w14:solidFill>
              <w14:schemeClr w14:val="tx1"/>
            </w14:solidFill>
          </w14:textFill>
        </w:rPr>
        <w:t>符合经营、储存汽油、柴油的安全要求。</w:t>
      </w:r>
    </w:p>
    <w:p w14:paraId="0EF3D60F">
      <w:pPr>
        <w:pStyle w:val="2"/>
        <w:rPr>
          <w:snapToGrid w:val="0"/>
          <w:color w:val="000000" w:themeColor="text1"/>
          <w14:textFill>
            <w14:solidFill>
              <w14:schemeClr w14:val="tx1"/>
            </w14:solidFill>
          </w14:textFill>
        </w:rPr>
      </w:pPr>
      <w:bookmarkStart w:id="440" w:name="_Toc30342"/>
      <w:bookmarkStart w:id="441" w:name="_Toc23966"/>
      <w:bookmarkStart w:id="442" w:name="_Toc25732"/>
      <w:r>
        <w:rPr>
          <w:snapToGrid w:val="0"/>
          <w:color w:val="000000" w:themeColor="text1"/>
          <w14:textFill>
            <w14:solidFill>
              <w14:schemeClr w14:val="tx1"/>
            </w14:solidFill>
          </w14:textFill>
        </w:rPr>
        <w:t>附  录：加油站内爆炸危险区域的等级范围划分</w:t>
      </w:r>
      <w:bookmarkEnd w:id="440"/>
      <w:bookmarkEnd w:id="441"/>
      <w:bookmarkEnd w:id="442"/>
    </w:p>
    <w:p w14:paraId="106EEBDD">
      <w:pPr>
        <w:rPr>
          <w:color w:val="000000" w:themeColor="text1"/>
          <w14:textFill>
            <w14:solidFill>
              <w14:schemeClr w14:val="tx1"/>
            </w14:solidFill>
          </w14:textFill>
        </w:rPr>
      </w:pPr>
      <w:r>
        <w:rPr>
          <w:color w:val="000000" w:themeColor="text1"/>
          <w14:textFill>
            <w14:solidFill>
              <w14:schemeClr w14:val="tx1"/>
            </w14:solidFill>
          </w14:textFill>
        </w:rPr>
        <w:t>1、爆炸危险区域的等级定义应符合现行国家标准《爆炸危险环境电力装置设计规范》（GB 50058-2014）的规定。</w:t>
      </w:r>
    </w:p>
    <w:p w14:paraId="2883401C">
      <w:pPr>
        <w:rPr>
          <w:color w:val="000000" w:themeColor="text1"/>
          <w14:textFill>
            <w14:solidFill>
              <w14:schemeClr w14:val="tx1"/>
            </w14:solidFill>
          </w14:textFill>
        </w:rPr>
      </w:pPr>
      <w:r>
        <w:rPr>
          <w:color w:val="000000" w:themeColor="text1"/>
          <w14:textFill>
            <w14:solidFill>
              <w14:schemeClr w14:val="tx1"/>
            </w14:solidFill>
          </w14:textFill>
        </w:rPr>
        <w:t>（1）0区：连续出现或长期出现爆炸性气体混合物的环境；</w:t>
      </w:r>
    </w:p>
    <w:p w14:paraId="7D4C9B9C">
      <w:pPr>
        <w:rPr>
          <w:color w:val="000000" w:themeColor="text1"/>
          <w14:textFill>
            <w14:solidFill>
              <w14:schemeClr w14:val="tx1"/>
            </w14:solidFill>
          </w14:textFill>
        </w:rPr>
      </w:pPr>
      <w:r>
        <w:rPr>
          <w:color w:val="000000" w:themeColor="text1"/>
          <w14:textFill>
            <w14:solidFill>
              <w14:schemeClr w14:val="tx1"/>
            </w14:solidFill>
          </w14:textFill>
        </w:rPr>
        <w:t>（2）1区：在正常运行时可能出现爆炸性气体混合物的环境；</w:t>
      </w:r>
    </w:p>
    <w:p w14:paraId="6FC6235D">
      <w:pPr>
        <w:rPr>
          <w:color w:val="000000" w:themeColor="text1"/>
          <w14:textFill>
            <w14:solidFill>
              <w14:schemeClr w14:val="tx1"/>
            </w14:solidFill>
          </w14:textFill>
        </w:rPr>
      </w:pPr>
      <w:r>
        <w:rPr>
          <w:color w:val="000000" w:themeColor="text1"/>
          <w14:textFill>
            <w14:solidFill>
              <w14:schemeClr w14:val="tx1"/>
            </w14:solidFill>
          </w14:textFill>
        </w:rPr>
        <w:t>（3）2区：在正常运行时不可能出现爆炸性气体混合物的环境，或即使出现也仅是短时存在爆炸性气体混合物的环境。</w:t>
      </w:r>
    </w:p>
    <w:p w14:paraId="06C6AE54">
      <w:pPr>
        <w:rPr>
          <w:color w:val="000000" w:themeColor="text1"/>
          <w14:textFill>
            <w14:solidFill>
              <w14:schemeClr w14:val="tx1"/>
            </w14:solidFill>
          </w14:textFill>
        </w:rPr>
      </w:pPr>
      <w:r>
        <w:rPr>
          <w:color w:val="000000" w:themeColor="text1"/>
          <w14:textFill>
            <w14:solidFill>
              <w14:schemeClr w14:val="tx1"/>
            </w14:solidFill>
          </w14:textFill>
        </w:rPr>
        <w:t>正常运行指正常地开车、运行、停车、易燃物质产品的装卸、密闭容器盖的安装、安全阀、排放阀以及所有工厂设备都在其设计参数范围内的工作状态。</w:t>
      </w:r>
    </w:p>
    <w:p w14:paraId="71B89C48">
      <w:pPr>
        <w:rPr>
          <w:color w:val="000000" w:themeColor="text1"/>
          <w14:textFill>
            <w14:solidFill>
              <w14:schemeClr w14:val="tx1"/>
            </w14:solidFill>
          </w14:textFill>
        </w:rPr>
      </w:pPr>
      <w:r>
        <w:rPr>
          <w:color w:val="000000" w:themeColor="text1"/>
          <w14:textFill>
            <w14:solidFill>
              <w14:schemeClr w14:val="tx1"/>
            </w14:solidFill>
          </w14:textFill>
        </w:rPr>
        <w:t>2、汽油设施的爆炸危险区域内地坪以下的坑或沟应划分为1区。</w:t>
      </w:r>
    </w:p>
    <w:p w14:paraId="5F43ED07">
      <w:pPr>
        <w:rPr>
          <w:color w:val="000000" w:themeColor="text1"/>
          <w14:textFill>
            <w14:solidFill>
              <w14:schemeClr w14:val="tx1"/>
            </w14:solidFill>
          </w14:textFill>
        </w:rPr>
      </w:pPr>
      <w:r>
        <w:rPr>
          <w:color w:val="000000" w:themeColor="text1"/>
          <w14:textFill>
            <w14:solidFill>
              <w14:schemeClr w14:val="tx1"/>
            </w14:solidFill>
          </w14:textFill>
        </w:rPr>
        <w:t>3、汽油加油机爆炸危险区域划分应符合下列规定（附图1）：</w:t>
      </w:r>
    </w:p>
    <w:p w14:paraId="7E34E945">
      <w:pPr>
        <w:rPr>
          <w:color w:val="000000" w:themeColor="text1"/>
          <w14:textFill>
            <w14:solidFill>
              <w14:schemeClr w14:val="tx1"/>
            </w14:solidFill>
          </w14:textFill>
        </w:rPr>
      </w:pPr>
      <w:r>
        <w:rPr>
          <w:color w:val="000000" w:themeColor="text1"/>
          <w14:textFill>
            <w14:solidFill>
              <w14:schemeClr w14:val="tx1"/>
            </w14:solidFill>
          </w14:textFill>
        </w:rPr>
        <w:t>（1）加油机下箱体内部空间应划分为1区。</w:t>
      </w:r>
    </w:p>
    <w:p w14:paraId="4E84C2DB">
      <w:pPr>
        <w:rPr>
          <w:color w:val="000000" w:themeColor="text1"/>
          <w14:textFill>
            <w14:solidFill>
              <w14:schemeClr w14:val="tx1"/>
            </w14:solidFill>
          </w14:textFill>
        </w:rPr>
      </w:pPr>
      <w:r>
        <w:rPr>
          <w:color w:val="000000" w:themeColor="text1"/>
          <w14:textFill>
            <w14:solidFill>
              <w14:schemeClr w14:val="tx1"/>
            </w14:solidFill>
          </w14:textFill>
        </w:rPr>
        <w:t>（2）以加油机中心线为中心线、以半径为4.5m（3.0m）的地面区域为底面和以加油机下箱体顶部以上0.15m、半径为3.0m（1.5m）的平面为顶面的圆台形空间，应划分为2区。</w:t>
      </w:r>
    </w:p>
    <w:p w14:paraId="4A07C03B">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418205" cy="2447925"/>
            <wp:effectExtent l="0" t="0" r="10795" b="952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19"/>
                    <a:srcRect l="15235" t="36331" r="18820"/>
                    <a:stretch>
                      <a:fillRect/>
                    </a:stretch>
                  </pic:blipFill>
                  <pic:spPr>
                    <a:xfrm>
                      <a:off x="0" y="0"/>
                      <a:ext cx="3418205" cy="2447925"/>
                    </a:xfrm>
                    <a:prstGeom prst="rect">
                      <a:avLst/>
                    </a:prstGeom>
                    <a:noFill/>
                    <a:ln>
                      <a:noFill/>
                    </a:ln>
                  </pic:spPr>
                </pic:pic>
              </a:graphicData>
            </a:graphic>
          </wp:inline>
        </w:drawing>
      </w:r>
    </w:p>
    <w:p w14:paraId="28AD37FC">
      <w:pPr>
        <w:pStyle w:val="42"/>
        <w:rPr>
          <w:color w:val="000000" w:themeColor="text1"/>
          <w14:textFill>
            <w14:solidFill>
              <w14:schemeClr w14:val="tx1"/>
            </w14:solidFill>
          </w14:textFill>
        </w:rPr>
      </w:pPr>
      <w:r>
        <w:rPr>
          <w:color w:val="000000" w:themeColor="text1"/>
          <w14:textFill>
            <w14:solidFill>
              <w14:schemeClr w14:val="tx1"/>
            </w14:solidFill>
          </w14:textFill>
        </w:rPr>
        <w:t>附图1  埋地卧式汽油储罐、汽油加油机爆炸危险区域</w:t>
      </w:r>
    </w:p>
    <w:p w14:paraId="599003DC">
      <w:pPr>
        <w:rPr>
          <w:color w:val="000000" w:themeColor="text1"/>
          <w14:textFill>
            <w14:solidFill>
              <w14:schemeClr w14:val="tx1"/>
            </w14:solidFill>
          </w14:textFill>
        </w:rPr>
      </w:pPr>
      <w:r>
        <w:rPr>
          <w:color w:val="000000" w:themeColor="text1"/>
          <w14:textFill>
            <w14:solidFill>
              <w14:schemeClr w14:val="tx1"/>
            </w14:solidFill>
          </w14:textFill>
        </w:rPr>
        <w:t>注：采用加油油气回收系统的加油机爆炸危险区域用括号内数字。</w:t>
      </w:r>
    </w:p>
    <w:p w14:paraId="054947ED">
      <w:pPr>
        <w:rPr>
          <w:color w:val="000000" w:themeColor="text1"/>
          <w14:textFill>
            <w14:solidFill>
              <w14:schemeClr w14:val="tx1"/>
            </w14:solidFill>
          </w14:textFill>
        </w:rPr>
      </w:pPr>
      <w:r>
        <w:rPr>
          <w:color w:val="000000" w:themeColor="text1"/>
          <w14:textFill>
            <w14:solidFill>
              <w14:schemeClr w14:val="tx1"/>
            </w14:solidFill>
          </w14:textFill>
        </w:rPr>
        <w:t>4、油罐车卸汽油时爆炸危险区域划分应符合下列规定（附图2）：</w:t>
      </w:r>
    </w:p>
    <w:p w14:paraId="006B71F6">
      <w:pPr>
        <w:rPr>
          <w:color w:val="000000" w:themeColor="text1"/>
          <w14:textFill>
            <w14:solidFill>
              <w14:schemeClr w14:val="tx1"/>
            </w14:solidFill>
          </w14:textFill>
        </w:rPr>
      </w:pPr>
      <w:r>
        <w:rPr>
          <w:color w:val="000000" w:themeColor="text1"/>
          <w14:textFill>
            <w14:solidFill>
              <w14:schemeClr w14:val="tx1"/>
            </w14:solidFill>
          </w14:textFill>
        </w:rPr>
        <w:t>（1）油罐车内部的油品表面以上空间划分为0区。</w:t>
      </w:r>
    </w:p>
    <w:p w14:paraId="0C84F640">
      <w:pPr>
        <w:rPr>
          <w:color w:val="000000" w:themeColor="text1"/>
          <w14:textFill>
            <w14:solidFill>
              <w14:schemeClr w14:val="tx1"/>
            </w14:solidFill>
          </w14:textFill>
        </w:rPr>
      </w:pPr>
      <w:r>
        <w:rPr>
          <w:color w:val="000000" w:themeColor="text1"/>
          <w14:textFill>
            <w14:solidFill>
              <w14:schemeClr w14:val="tx1"/>
            </w14:solidFill>
          </w14:textFill>
        </w:rPr>
        <w:t>（2）以罐车通气口为中心、半径为1.5m的球形空间和以罐车密闭卸油口为中心、半径为0.5m的球形空间，划分为1区。</w:t>
      </w:r>
    </w:p>
    <w:p w14:paraId="420011C8">
      <w:pPr>
        <w:rPr>
          <w:color w:val="000000" w:themeColor="text1"/>
          <w14:textFill>
            <w14:solidFill>
              <w14:schemeClr w14:val="tx1"/>
            </w14:solidFill>
          </w14:textFill>
        </w:rPr>
      </w:pPr>
      <w:r>
        <w:rPr>
          <w:color w:val="000000" w:themeColor="text1"/>
          <w14:textFill>
            <w14:solidFill>
              <w14:schemeClr w14:val="tx1"/>
            </w14:solidFill>
          </w14:textFill>
        </w:rPr>
        <w:t>（3）以罐车通气口为中心、半径为3.0m的球形并延至地面的空间和以罐车密闭卸油口为中心，半径为1.5m的球形并延至地面的空间，划分为2区。</w:t>
      </w:r>
    </w:p>
    <w:p w14:paraId="34438449">
      <w:pPr>
        <w:adjustRightInd w:val="0"/>
        <w:snapToGrid w:val="0"/>
        <w:spacing w:line="336" w:lineRule="auto"/>
        <w:ind w:firstLine="480"/>
        <w:jc w:val="center"/>
        <w:rPr>
          <w:color w:val="000000" w:themeColor="text1"/>
          <w14:textFill>
            <w14:solidFill>
              <w14:schemeClr w14:val="tx1"/>
            </w14:solidFill>
          </w14:textFill>
        </w:rPr>
      </w:pPr>
      <w:r>
        <w:rPr>
          <w:color w:val="000000" w:themeColor="text1"/>
          <w:sz w:val="24"/>
          <w:szCs w:val="24"/>
          <w14:textFill>
            <w14:solidFill>
              <w14:schemeClr w14:val="tx1"/>
            </w14:solidFill>
          </w14:textFill>
        </w:rPr>
        <w:drawing>
          <wp:inline distT="0" distB="0" distL="114300" distR="114300">
            <wp:extent cx="4762500" cy="3267075"/>
            <wp:effectExtent l="0" t="0" r="0" b="9525"/>
            <wp:docPr id="1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IMG_256"/>
                    <pic:cNvPicPr>
                      <a:picLocks noChangeAspect="1"/>
                    </pic:cNvPicPr>
                  </pic:nvPicPr>
                  <pic:blipFill>
                    <a:blip r:embed="rId20"/>
                    <a:stretch>
                      <a:fillRect/>
                    </a:stretch>
                  </pic:blipFill>
                  <pic:spPr>
                    <a:xfrm>
                      <a:off x="0" y="0"/>
                      <a:ext cx="4762500" cy="3267075"/>
                    </a:xfrm>
                    <a:prstGeom prst="rect">
                      <a:avLst/>
                    </a:prstGeom>
                    <a:noFill/>
                    <a:ln w="9525">
                      <a:noFill/>
                    </a:ln>
                  </pic:spPr>
                </pic:pic>
              </a:graphicData>
            </a:graphic>
          </wp:inline>
        </w:drawing>
      </w:r>
    </w:p>
    <w:p w14:paraId="1E1F1419">
      <w:pPr>
        <w:pStyle w:val="42"/>
        <w:rPr>
          <w:color w:val="000000" w:themeColor="text1"/>
          <w14:textFill>
            <w14:solidFill>
              <w14:schemeClr w14:val="tx1"/>
            </w14:solidFill>
          </w14:textFill>
        </w:rPr>
      </w:pPr>
      <w:r>
        <w:rPr>
          <w:color w:val="000000" w:themeColor="text1"/>
          <w14:textFill>
            <w14:solidFill>
              <w14:schemeClr w14:val="tx1"/>
            </w14:solidFill>
          </w14:textFill>
        </w:rPr>
        <w:t>附图2  油罐车卸汽油时爆炸危险区域划分</w:t>
      </w:r>
    </w:p>
    <w:p w14:paraId="61E1D075">
      <w:pPr>
        <w:rPr>
          <w:color w:val="000000" w:themeColor="text1"/>
          <w14:textFill>
            <w14:solidFill>
              <w14:schemeClr w14:val="tx1"/>
            </w14:solidFill>
          </w14:textFill>
        </w:rPr>
      </w:pPr>
      <w:r>
        <w:rPr>
          <w:color w:val="000000" w:themeColor="text1"/>
          <w14:textFill>
            <w14:solidFill>
              <w14:schemeClr w14:val="tx1"/>
            </w14:solidFill>
          </w14:textFill>
        </w:rPr>
        <w:t>5、埋地卧式汽油储罐爆炸危险区域划分应符合下列规定（附图3）：</w:t>
      </w:r>
    </w:p>
    <w:p w14:paraId="209068E5">
      <w:pPr>
        <w:rPr>
          <w:color w:val="000000" w:themeColor="text1"/>
          <w14:textFill>
            <w14:solidFill>
              <w14:schemeClr w14:val="tx1"/>
            </w14:solidFill>
          </w14:textFill>
        </w:rPr>
      </w:pPr>
      <w:r>
        <w:rPr>
          <w:color w:val="000000" w:themeColor="text1"/>
          <w14:textFill>
            <w14:solidFill>
              <w14:schemeClr w14:val="tx1"/>
            </w14:solidFill>
          </w14:textFill>
        </w:rPr>
        <w:t>（1）罐内部油品表面以上的空间划分为0区。</w:t>
      </w:r>
    </w:p>
    <w:p w14:paraId="4F13E4CF">
      <w:pPr>
        <w:rPr>
          <w:color w:val="000000" w:themeColor="text1"/>
          <w14:textFill>
            <w14:solidFill>
              <w14:schemeClr w14:val="tx1"/>
            </w14:solidFill>
          </w14:textFill>
        </w:rPr>
      </w:pPr>
      <w:r>
        <w:rPr>
          <w:color w:val="000000" w:themeColor="text1"/>
          <w14:textFill>
            <w14:solidFill>
              <w14:schemeClr w14:val="tx1"/>
            </w14:solidFill>
          </w14:textFill>
        </w:rPr>
        <w:t>（2）人孔（阀）井内部空间，以通气管管口为中心、半径为1.5m（0.75m）的球形空间和以密闭卸油口为中心、半径为0.5m的球形空间，应划分为1区。</w:t>
      </w:r>
    </w:p>
    <w:p w14:paraId="6C402AB7">
      <w:pPr>
        <w:rPr>
          <w:color w:val="000000" w:themeColor="text1"/>
          <w14:textFill>
            <w14:solidFill>
              <w14:schemeClr w14:val="tx1"/>
            </w14:solidFill>
          </w14:textFill>
        </w:rPr>
      </w:pPr>
      <w:r>
        <w:rPr>
          <w:color w:val="000000" w:themeColor="text1"/>
          <w14:textFill>
            <w14:solidFill>
              <w14:schemeClr w14:val="tx1"/>
            </w14:solidFill>
          </w14:textFill>
        </w:rPr>
        <w:t>（3）距人孔（阀）井外边缘1.5m以内，自地面算起1m高的圆柱形空间，以通气管管口为中心、半径为3.0m（2.0m）的球形空间和以密闭卸油口为中心、半径为1.5m的球形并延至地面的空间，应划分为2区。</w:t>
      </w:r>
    </w:p>
    <w:p w14:paraId="0F3BB754">
      <w:pPr>
        <w:rPr>
          <w:color w:val="000000" w:themeColor="text1"/>
          <w14:textFill>
            <w14:solidFill>
              <w14:schemeClr w14:val="tx1"/>
            </w14:solidFill>
          </w14:textFill>
        </w:rPr>
      </w:pPr>
      <w:r>
        <w:rPr>
          <w:color w:val="000000" w:themeColor="text1"/>
          <w14:textFill>
            <w14:solidFill>
              <w14:schemeClr w14:val="tx1"/>
            </w14:solidFill>
          </w14:textFill>
        </w:rPr>
        <w:t>（4）当地上密闭卸油口设在箱内时，箱体内部的空间应划分为1区，箱体外部四周1m和箱体顶部以上1.5m范围内的空间应划分为2区；当密闭卸油口设在卸油坑内时，坑内的空间应划分为1区，坑口外1.5m范围内的空间应划分为2区。</w:t>
      </w:r>
    </w:p>
    <w:p w14:paraId="23B84C04">
      <w:pPr>
        <w:adjustRightInd w:val="0"/>
        <w:snapToGrid w:val="0"/>
        <w:spacing w:line="336" w:lineRule="auto"/>
        <w:ind w:firstLine="480"/>
        <w:jc w:val="center"/>
        <w:rPr>
          <w:color w:val="000000" w:themeColor="text1"/>
          <w14:textFill>
            <w14:solidFill>
              <w14:schemeClr w14:val="tx1"/>
            </w14:solidFill>
          </w14:textFill>
        </w:rPr>
      </w:pPr>
      <w:r>
        <w:rPr>
          <w:color w:val="000000" w:themeColor="text1"/>
          <w:sz w:val="24"/>
          <w:szCs w:val="24"/>
          <w14:textFill>
            <w14:solidFill>
              <w14:schemeClr w14:val="tx1"/>
            </w14:solidFill>
          </w14:textFill>
        </w:rPr>
        <w:drawing>
          <wp:inline distT="0" distB="0" distL="114300" distR="114300">
            <wp:extent cx="5248275" cy="4638675"/>
            <wp:effectExtent l="0" t="0" r="9525" b="9525"/>
            <wp:docPr id="1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IMG_256"/>
                    <pic:cNvPicPr>
                      <a:picLocks noChangeAspect="1"/>
                    </pic:cNvPicPr>
                  </pic:nvPicPr>
                  <pic:blipFill>
                    <a:blip r:embed="rId21"/>
                    <a:stretch>
                      <a:fillRect/>
                    </a:stretch>
                  </pic:blipFill>
                  <pic:spPr>
                    <a:xfrm>
                      <a:off x="0" y="0"/>
                      <a:ext cx="5248275" cy="4638675"/>
                    </a:xfrm>
                    <a:prstGeom prst="rect">
                      <a:avLst/>
                    </a:prstGeom>
                    <a:noFill/>
                    <a:ln w="9525">
                      <a:noFill/>
                    </a:ln>
                  </pic:spPr>
                </pic:pic>
              </a:graphicData>
            </a:graphic>
          </wp:inline>
        </w:drawing>
      </w:r>
    </w:p>
    <w:p w14:paraId="12419E9D">
      <w:pPr>
        <w:pStyle w:val="42"/>
        <w:rPr>
          <w:color w:val="000000" w:themeColor="text1"/>
          <w14:textFill>
            <w14:solidFill>
              <w14:schemeClr w14:val="tx1"/>
            </w14:solidFill>
          </w14:textFill>
        </w:rPr>
      </w:pPr>
      <w:r>
        <w:rPr>
          <w:color w:val="000000" w:themeColor="text1"/>
          <w14:textFill>
            <w14:solidFill>
              <w14:schemeClr w14:val="tx1"/>
            </w14:solidFill>
          </w14:textFill>
        </w:rPr>
        <w:t>附图3  埋地卧式汽油储罐爆炸危险区域划分</w:t>
      </w:r>
    </w:p>
    <w:p w14:paraId="37896DFD">
      <w:pPr>
        <w:rPr>
          <w:color w:val="000000" w:themeColor="text1"/>
          <w14:textFill>
            <w14:solidFill>
              <w14:schemeClr w14:val="tx1"/>
            </w14:solidFill>
          </w14:textFill>
        </w:rPr>
        <w:sectPr>
          <w:pgSz w:w="11906" w:h="16838"/>
          <w:pgMar w:top="1417" w:right="1134" w:bottom="1134" w:left="1587" w:header="851" w:footer="992" w:gutter="0"/>
          <w:cols w:space="720" w:num="1"/>
          <w:docGrid w:type="lines" w:linePitch="386" w:charSpace="0"/>
        </w:sectPr>
      </w:pPr>
      <w:r>
        <w:rPr>
          <w:color w:val="000000" w:themeColor="text1"/>
          <w14:textFill>
            <w14:solidFill>
              <w14:schemeClr w14:val="tx1"/>
            </w14:solidFill>
          </w14:textFill>
        </w:rPr>
        <w:t>注：采用卸油油气回收系统的汽油罐通气管管口爆炸危险区域用括号内数字。</w:t>
      </w:r>
    </w:p>
    <w:p w14:paraId="0D863EB5">
      <w:pPr>
        <w:pStyle w:val="2"/>
        <w:rPr>
          <w:color w:val="000000" w:themeColor="text1"/>
          <w14:textFill>
            <w14:solidFill>
              <w14:schemeClr w14:val="tx1"/>
            </w14:solidFill>
          </w14:textFill>
        </w:rPr>
      </w:pPr>
      <w:bookmarkStart w:id="443" w:name="_Toc10934"/>
      <w:bookmarkStart w:id="444" w:name="_Toc7699"/>
      <w:bookmarkStart w:id="445" w:name="_Toc26441"/>
      <w:bookmarkStart w:id="446" w:name="_Toc9755140"/>
      <w:r>
        <w:rPr>
          <w:color w:val="000000" w:themeColor="text1"/>
          <w14:textFill>
            <w14:solidFill>
              <w14:schemeClr w14:val="tx1"/>
            </w14:solidFill>
          </w14:textFill>
        </w:rPr>
        <w:t>附  件</w:t>
      </w:r>
      <w:bookmarkEnd w:id="443"/>
      <w:bookmarkEnd w:id="444"/>
      <w:bookmarkEnd w:id="445"/>
      <w:bookmarkEnd w:id="446"/>
    </w:p>
    <w:p w14:paraId="6D88E31A">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 安全评价委托书</w:t>
      </w:r>
    </w:p>
    <w:p w14:paraId="18ED3E53">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附件2 提供资料真实性承诺</w:t>
      </w:r>
    </w:p>
    <w:p w14:paraId="53C0C0A9">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附件3 原营业执照</w:t>
      </w:r>
    </w:p>
    <w:p w14:paraId="52434311">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附件4 现营业执照</w:t>
      </w:r>
    </w:p>
    <w:p w14:paraId="7AE72F3F">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附件5 营业执照情况说明</w:t>
      </w:r>
    </w:p>
    <w:p w14:paraId="4F75AB7E">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附件6 危险化学品经营许可证</w:t>
      </w:r>
    </w:p>
    <w:p w14:paraId="5434AD71">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附件7 成品油零售经营批准证书</w:t>
      </w:r>
    </w:p>
    <w:p w14:paraId="1818754E">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附件8 不动产权证</w:t>
      </w:r>
    </w:p>
    <w:p w14:paraId="3E3D03D6">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附件9 主要负责人和安全管理人员安全生产知识和管理能力考核合格证</w:t>
      </w:r>
    </w:p>
    <w:p w14:paraId="7BD6167B">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附件10 安全领导小组成立文件</w:t>
      </w:r>
    </w:p>
    <w:p w14:paraId="7B0C9AB4">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附件11 主要负责人及安全员任命文件</w:t>
      </w:r>
    </w:p>
    <w:p w14:paraId="37CA5904">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附件12 工伤保险缴费凭证</w:t>
      </w:r>
    </w:p>
    <w:p w14:paraId="34423DD9">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附件13 安全生产责任险缴费证明</w:t>
      </w:r>
    </w:p>
    <w:p w14:paraId="77AAC4E9">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附件14 加油机合格证及防爆标志</w:t>
      </w:r>
    </w:p>
    <w:p w14:paraId="17625692">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附件15 加油机检测合格检定证书</w:t>
      </w:r>
    </w:p>
    <w:p w14:paraId="5FFC6F71">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附件16 潜油泵防爆标志</w:t>
      </w:r>
    </w:p>
    <w:p w14:paraId="493B018D">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附件17 潜油泵合格证</w:t>
      </w:r>
    </w:p>
    <w:p w14:paraId="017EA850">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附件18 油罐合格证</w:t>
      </w:r>
    </w:p>
    <w:p w14:paraId="20674ECE">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附件19 安全生产责任制、安全管理制度及操作规程目录</w:t>
      </w:r>
    </w:p>
    <w:p w14:paraId="60279C3C">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附件20 生产安全事故应急预案封面及备案登记表</w:t>
      </w:r>
    </w:p>
    <w:p w14:paraId="630A5EF4">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附件21 应急演练培训计划及演练记录</w:t>
      </w:r>
    </w:p>
    <w:p w14:paraId="673060F6">
      <w:pPr>
        <w:rPr>
          <w:rFonts w:ascii="Times New Roman" w:hAnsi="Times New Roman" w:cs="Times New Roman"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附件22 雷电防</w:t>
      </w:r>
      <w:r>
        <w:rPr>
          <w:rFonts w:ascii="Times New Roman" w:hAnsi="Times New Roman" w:cs="Times New Roman" w:eastAsiaTheme="minorEastAsia"/>
          <w:color w:val="000000" w:themeColor="text1"/>
          <w14:textFill>
            <w14:solidFill>
              <w14:schemeClr w14:val="tx1"/>
            </w14:solidFill>
          </w14:textFill>
        </w:rPr>
        <w:t>护装置检测报告</w:t>
      </w:r>
    </w:p>
    <w:p w14:paraId="73CFC0FE">
      <w:pP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附件23 部分安全管理台账</w:t>
      </w:r>
    </w:p>
    <w:p w14:paraId="4D97B6C0">
      <w:pP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附件24 整改确认报告</w:t>
      </w:r>
    </w:p>
    <w:p w14:paraId="1FCF9114">
      <w:pPr>
        <w:rPr>
          <w:rFonts w:hint="eastAsia" w:ascii="Times New Roman" w:hAnsi="Times New Roman" w:cs="Times New Roman" w:eastAsiaTheme="minorEastAsia"/>
          <w:color w:val="000000" w:themeColor="text1"/>
          <w:lang w:val="en-US" w:eastAsia="zh-CN"/>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 xml:space="preserve">附件25 </w:t>
      </w:r>
      <w:r>
        <w:rPr>
          <w:rFonts w:hint="eastAsia" w:ascii="Times New Roman" w:hAnsi="Times New Roman" w:cs="Times New Roman" w:eastAsiaTheme="minorEastAsia"/>
          <w:color w:val="000000" w:themeColor="text1"/>
          <w:lang w:val="en-US" w:eastAsia="zh-CN"/>
          <w14:textFill>
            <w14:solidFill>
              <w14:schemeClr w14:val="tx1"/>
            </w14:solidFill>
          </w14:textFill>
        </w:rPr>
        <w:t>安全评价检测检验机构从业告知书</w:t>
      </w:r>
    </w:p>
    <w:p w14:paraId="76DDEF11">
      <w:pP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附件2</w:t>
      </w:r>
      <w:r>
        <w:rPr>
          <w:rFonts w:hint="eastAsia" w:ascii="Times New Roman" w:hAnsi="Times New Roman" w:cs="Times New Roman" w:eastAsiaTheme="minorEastAsia"/>
          <w:color w:val="000000" w:themeColor="text1"/>
          <w:lang w:val="en-US" w:eastAsia="zh-CN"/>
          <w14:textFill>
            <w14:solidFill>
              <w14:schemeClr w14:val="tx1"/>
            </w14:solidFill>
          </w14:textFill>
        </w:rPr>
        <w:t>6</w:t>
      </w:r>
      <w:r>
        <w:rPr>
          <w:rFonts w:ascii="Times New Roman" w:hAnsi="Times New Roman" w:cs="Times New Roman" w:eastAsiaTheme="minorEastAsia"/>
          <w:color w:val="000000" w:themeColor="text1"/>
          <w14:textFill>
            <w14:solidFill>
              <w14:schemeClr w14:val="tx1"/>
            </w14:solidFill>
          </w14:textFill>
        </w:rPr>
        <w:t xml:space="preserve"> 加油站平面布置示意图</w:t>
      </w:r>
    </w:p>
    <w:sectPr>
      <w:pgSz w:w="11906" w:h="16838"/>
      <w:pgMar w:top="1417" w:right="1134" w:bottom="1134" w:left="1587" w:header="851" w:footer="992" w:gutter="0"/>
      <w:cols w:space="720" w:num="1"/>
      <w:docGrid w:type="lines" w:linePitch="3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swiss"/>
    <w:pitch w:val="default"/>
    <w:sig w:usb0="00000000" w:usb1="00000000" w:usb2="00000000" w:usb3="00000000" w:csb0="00040000" w:csb1="00000000"/>
  </w:font>
  <w:font w:name="Arial Unicode MS">
    <w:altName w:val="等线"/>
    <w:panose1 w:val="020B0604020202020204"/>
    <w:charset w:val="86"/>
    <w:family w:val="auto"/>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570A0">
    <w:pPr>
      <w:pStyle w:val="1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303AE">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03FE0">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FA73C">
    <w:pPr>
      <w:tabs>
        <w:tab w:val="center" w:pos="4153"/>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3CD80">
    <w:pPr>
      <w:pBdr>
        <w:top w:val="single" w:color="auto" w:sz="4" w:space="0"/>
      </w:pBdr>
      <w:tabs>
        <w:tab w:val="center" w:pos="4153"/>
      </w:tabs>
      <w:ind w:firstLine="0" w:firstLineChars="0"/>
    </w:pPr>
    <w:r>
      <w:rPr>
        <w:rFonts w:hint="eastAsia"/>
      </w:rPr>
      <w:drawing>
        <wp:inline distT="0" distB="0" distL="114300" distR="114300">
          <wp:extent cx="360045" cy="135890"/>
          <wp:effectExtent l="0" t="0" r="0" b="16510"/>
          <wp:docPr id="13" name="图片 1" descr="2"/>
          <wp:cNvGraphicFramePr/>
          <a:graphic xmlns:a="http://schemas.openxmlformats.org/drawingml/2006/main">
            <a:graphicData uri="http://schemas.openxmlformats.org/drawingml/2006/picture">
              <pic:pic xmlns:pic="http://schemas.openxmlformats.org/drawingml/2006/picture">
                <pic:nvPicPr>
                  <pic:cNvPr id="13" name="图片 1" descr="2"/>
                  <pic:cNvPicPr/>
                </pic:nvPicPr>
                <pic:blipFill>
                  <a:blip r:embed="rId1"/>
                  <a:srcRect t="9578" b="16475"/>
                  <a:stretch>
                    <a:fillRect/>
                  </a:stretch>
                </pic:blipFill>
                <pic:spPr>
                  <a:xfrm>
                    <a:off x="0" y="0"/>
                    <a:ext cx="360045" cy="135890"/>
                  </a:xfrm>
                  <a:prstGeom prst="rect">
                    <a:avLst/>
                  </a:prstGeom>
                  <a:noFill/>
                  <a:ln>
                    <a:noFill/>
                  </a:ln>
                </pic:spPr>
              </pic:pic>
            </a:graphicData>
          </a:graphic>
        </wp:inline>
      </w:drawing>
    </w:r>
    <w:r>
      <w:rPr>
        <w:rFonts w:hint="eastAsia" w:ascii="楷体" w:hAnsi="楷体" w:eastAsia="楷体" w:cs="楷体"/>
        <w:sz w:val="21"/>
        <w:szCs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667BEC">
                          <w:pPr>
                            <w:pStyle w:val="19"/>
                            <w:ind w:firstLine="360"/>
                          </w:pPr>
                          <w:r>
                            <w:fldChar w:fldCharType="begin"/>
                          </w:r>
                          <w:r>
                            <w:instrText xml:space="preserve"> PAGE  \* MERGEFORMAT </w:instrText>
                          </w:r>
                          <w:r>
                            <w:fldChar w:fldCharType="separate"/>
                          </w:r>
                          <w:r>
                            <w:t>I</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2/b/sIBAACO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TUauAeHdIWHh0k9GHaGmYjimwmhaqbwHf95L1tNvtP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dv2/7CAQAAjgMAAA4AAAAAAAAAAQAgAAAAHgEAAGRycy9lMm9Eb2MueG1sUEsF&#10;BgAAAAAGAAYAWQEAAFIFAAAAAA==&#10;">
              <v:fill on="f" focussize="0,0"/>
              <v:stroke on="f"/>
              <v:imagedata o:title=""/>
              <o:lock v:ext="edit" aspectratio="f"/>
              <v:textbox inset="0mm,0mm,0mm,0mm" style="mso-fit-shape-to-text:t;">
                <w:txbxContent>
                  <w:p w14:paraId="00667BEC">
                    <w:pPr>
                      <w:pStyle w:val="19"/>
                      <w:ind w:firstLine="360"/>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ascii="楷体" w:hAnsi="楷体" w:eastAsia="楷体" w:cs="楷体"/>
        <w:sz w:val="21"/>
        <w:szCs w:val="21"/>
      </w:rPr>
      <w:t>辽宁诺诚安全科技有限公司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72E2B">
    <w:pPr>
      <w:pStyle w:val="19"/>
      <w:pBdr>
        <w:top w:val="single" w:color="auto" w:sz="4" w:space="0"/>
      </w:pBdr>
      <w:snapToGrid/>
      <w:spacing w:line="240" w:lineRule="auto"/>
      <w:ind w:firstLine="360"/>
      <w:jc w:val="both"/>
      <w:rPr>
        <w:rFonts w:ascii="楷体_GB2312" w:eastAsia="楷体_GB2312"/>
      </w:rPr>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a:effectLst/>
                    </wps:spPr>
                    <wps:txbx>
                      <w:txbxContent>
                        <w:p w14:paraId="0309CA44">
                          <w:pPr>
                            <w:pStyle w:val="19"/>
                            <w:ind w:firstLine="360"/>
                          </w:pPr>
                          <w:r>
                            <w:fldChar w:fldCharType="begin"/>
                          </w:r>
                          <w:r>
                            <w:instrText xml:space="preserve"> PAGE  \* MERGEFORMAT </w:instrText>
                          </w:r>
                          <w:r>
                            <w:fldChar w:fldCharType="separate"/>
                          </w:r>
                          <w:r>
                            <w:t>17</w:t>
                          </w:r>
                          <w:r>
                            <w:fldChar w:fldCharType="end"/>
                          </w:r>
                        </w:p>
                      </w:txbxContent>
                    </wps:txbx>
                    <wps:bodyPr vert="horz" wrap="none" lIns="0" tIns="0" rIns="0" bIns="0" anchor="t" anchorCtr="0">
                      <a:spAutoFit/>
                    </wps:bodyPr>
                  </wps:wsp>
                </a:graphicData>
              </a:graphic>
            </wp:anchor>
          </w:drawing>
        </mc:Choice>
        <mc:Fallback>
          <w:pict>
            <v:shape id="文本框 22"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yJ92v0wAAAAUBAAAP&#10;AAAAAAAAAAEAIAAAACIAAABkcnMvZG93bnJldi54bWxQSwECFAAUAAAACACHTuJARMOopOQBAADM&#10;AwAADgAAAAAAAAABACAAAAAiAQAAZHJzL2Uyb0RvYy54bWxQSwUGAAAAAAYABgBZAQAAeAUAAAAA&#10;">
              <v:fill on="f" focussize="0,0"/>
              <v:stroke on="f" weight="1pt"/>
              <v:imagedata o:title=""/>
              <o:lock v:ext="edit" aspectratio="f"/>
              <v:textbox inset="0mm,0mm,0mm,0mm" style="mso-fit-shape-to-text:t;">
                <w:txbxContent>
                  <w:p w14:paraId="0309CA44">
                    <w:pPr>
                      <w:pStyle w:val="19"/>
                      <w:ind w:firstLine="360"/>
                    </w:pPr>
                    <w:r>
                      <w:fldChar w:fldCharType="begin"/>
                    </w:r>
                    <w:r>
                      <w:instrText xml:space="preserve"> PAGE  \* MERGEFORMAT </w:instrText>
                    </w:r>
                    <w:r>
                      <w:fldChar w:fldCharType="separate"/>
                    </w:r>
                    <w:r>
                      <w:t>17</w:t>
                    </w:r>
                    <w:r>
                      <w:fldChar w:fldCharType="end"/>
                    </w:r>
                  </w:p>
                </w:txbxContent>
              </v:textbox>
            </v:shape>
          </w:pict>
        </mc:Fallback>
      </mc:AlternateContent>
    </w:r>
    <w:r>
      <w:rPr>
        <w:rFonts w:hint="eastAsia"/>
      </w:rPr>
      <w:drawing>
        <wp:inline distT="0" distB="0" distL="114300" distR="114300">
          <wp:extent cx="361315" cy="136525"/>
          <wp:effectExtent l="0" t="0" r="0" b="15875"/>
          <wp:docPr id="1847314468" name="图片 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14468" name="图片 64"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 w:val="21"/>
        <w:szCs w:val="21"/>
      </w:rPr>
      <w:t>辽宁诺诚安全科技有限公司</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2AF9D">
    <w:pPr>
      <w:pBdr>
        <w:top w:val="single" w:color="auto" w:sz="4" w:space="0"/>
        <w:between w:val="single" w:color="auto" w:sz="4" w:space="0"/>
      </w:pBdr>
      <w:tabs>
        <w:tab w:val="center" w:pos="4153"/>
      </w:tabs>
      <w:ind w:firstLine="0" w:firstLineChars="0"/>
    </w:pPr>
    <w:r>
      <w:rPr>
        <w:rFonts w:hint="eastAsia"/>
      </w:rPr>
      <w:drawing>
        <wp:inline distT="0" distB="0" distL="114300" distR="114300">
          <wp:extent cx="360045" cy="135890"/>
          <wp:effectExtent l="0" t="0" r="0" b="16510"/>
          <wp:docPr id="14" name="图片 1" descr="2"/>
          <wp:cNvGraphicFramePr/>
          <a:graphic xmlns:a="http://schemas.openxmlformats.org/drawingml/2006/main">
            <a:graphicData uri="http://schemas.openxmlformats.org/drawingml/2006/picture">
              <pic:pic xmlns:pic="http://schemas.openxmlformats.org/drawingml/2006/picture">
                <pic:nvPicPr>
                  <pic:cNvPr id="14" name="图片 1" descr="2"/>
                  <pic:cNvPicPr/>
                </pic:nvPicPr>
                <pic:blipFill>
                  <a:blip r:embed="rId1"/>
                  <a:srcRect t="9578" b="16475"/>
                  <a:stretch>
                    <a:fillRect/>
                  </a:stretch>
                </pic:blipFill>
                <pic:spPr>
                  <a:xfrm>
                    <a:off x="0" y="0"/>
                    <a:ext cx="360045" cy="135890"/>
                  </a:xfrm>
                  <a:prstGeom prst="rect">
                    <a:avLst/>
                  </a:prstGeom>
                  <a:noFill/>
                  <a:ln>
                    <a:noFill/>
                  </a:ln>
                </pic:spPr>
              </pic:pic>
            </a:graphicData>
          </a:graphic>
        </wp:inline>
      </w:drawing>
    </w:r>
    <w:r>
      <w:rPr>
        <w:rFonts w:hint="eastAsia" w:ascii="楷体" w:hAnsi="楷体" w:eastAsia="楷体" w:cs="楷体"/>
        <w:sz w:val="21"/>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638DC3">
                          <w:pPr>
                            <w:pStyle w:val="19"/>
                            <w:ind w:firstLine="360"/>
                          </w:pPr>
                          <w:r>
                            <w:fldChar w:fldCharType="begin"/>
                          </w:r>
                          <w:r>
                            <w:instrText xml:space="preserve"> PAGE  \* MERGEFORMAT </w:instrText>
                          </w:r>
                          <w:r>
                            <w:fldChar w:fldCharType="separate"/>
                          </w:r>
                          <w:r>
                            <w:t>I</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4CWacEBAACO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VhS4rjFiV++f7v8+HX5+ZW8&#10;zvr0AWpMewiYmIY7P2Du7Ad0ZtqDijZ/kRDBOKp7vqorh0REfrRerdcVhgTG5gvis8fnIUJ6K70l&#10;2WhoxPEVVfnpPaQxdU7J1Zy/18aUERr3lwMxs4fl3sces5WG/TAR2vv2jHx6nHxDHS46JeadQ2Hz&#10;ksxGnI39ZOQaEG6PCQuXfjLqCDUVwzEVRtNK5T34816yHn+j7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o4CWacEBAACOAwAADgAAAAAAAAABACAAAAAeAQAAZHJzL2Uyb0RvYy54bWxQSwUG&#10;AAAAAAYABgBZAQAAUQUAAAAA&#10;">
              <v:fill on="f" focussize="0,0"/>
              <v:stroke on="f"/>
              <v:imagedata o:title=""/>
              <o:lock v:ext="edit" aspectratio="f"/>
              <v:textbox inset="0mm,0mm,0mm,0mm" style="mso-fit-shape-to-text:t;">
                <w:txbxContent>
                  <w:p w14:paraId="54638DC3">
                    <w:pPr>
                      <w:pStyle w:val="19"/>
                      <w:ind w:firstLine="360"/>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ascii="楷体" w:hAnsi="楷体" w:eastAsia="楷体" w:cs="楷体"/>
        <w:sz w:val="21"/>
        <w:szCs w:val="21"/>
      </w:rPr>
      <w:t>辽宁诺诚安全科技有限公司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5CD2C">
    <w:pPr>
      <w:pStyle w:val="20"/>
      <w:jc w:val="center"/>
      <w:rPr>
        <w:rFonts w:hint="eastAsia" w:ascii="楷体" w:hAnsi="楷体" w:eastAsia="楷体" w:cs="楷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18AFE">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8C64E">
    <w:pPr>
      <w:pStyle w:val="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D40E8">
    <w:pPr>
      <w:pStyle w:val="20"/>
      <w:jc w:val="center"/>
      <w:rPr>
        <w:rFonts w:hint="eastAsia" w:ascii="楷体" w:hAnsi="楷体" w:eastAsia="楷体" w:cs="楷体"/>
        <w:sz w:val="21"/>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FCB8A">
    <w:pPr>
      <w:pStyle w:val="20"/>
      <w:pBdr>
        <w:bottom w:val="single" w:color="auto" w:sz="4" w:space="1"/>
      </w:pBdr>
      <w:jc w:val="center"/>
      <w:rPr>
        <w:rFonts w:hint="eastAsia" w:ascii="楷体" w:hAnsi="楷体" w:eastAsia="楷体" w:cs="楷体"/>
        <w:sz w:val="21"/>
        <w:szCs w:val="21"/>
      </w:rPr>
    </w:pPr>
    <w:r>
      <w:rPr>
        <w:rFonts w:hint="eastAsia" w:ascii="楷体" w:hAnsi="楷体" w:eastAsia="楷体" w:cs="楷体"/>
        <w:sz w:val="21"/>
        <w:szCs w:val="21"/>
      </w:rPr>
      <w:t>西双版纳煜坤能源有限公司易武加油站安全现状评价报告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BEB2B"/>
    <w:multiLevelType w:val="multilevel"/>
    <w:tmpl w:val="8C6BEB2B"/>
    <w:lvl w:ilvl="0" w:tentative="0">
      <w:start w:val="1"/>
      <w:numFmt w:val="decimal"/>
      <w:suff w:val="nothing"/>
      <w:lvlText w:val="（%1）"/>
      <w:lvlJc w:val="left"/>
      <w:pPr>
        <w:ind w:left="0" w:firstLine="0"/>
      </w:pPr>
      <w:rPr>
        <w:sz w:val="28"/>
        <w:szCs w:val="28"/>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AB08537C"/>
    <w:multiLevelType w:val="singleLevel"/>
    <w:tmpl w:val="AB08537C"/>
    <w:lvl w:ilvl="0" w:tentative="0">
      <w:start w:val="1"/>
      <w:numFmt w:val="decimal"/>
      <w:suff w:val="nothing"/>
      <w:lvlText w:val="%1."/>
      <w:lvlJc w:val="left"/>
      <w:pPr>
        <w:ind w:left="425" w:hanging="425"/>
      </w:pPr>
      <w:rPr>
        <w:rFonts w:hint="default"/>
      </w:rPr>
    </w:lvl>
  </w:abstractNum>
  <w:abstractNum w:abstractNumId="2">
    <w:nsid w:val="B39FDEA6"/>
    <w:multiLevelType w:val="multilevel"/>
    <w:tmpl w:val="B39FDEA6"/>
    <w:lvl w:ilvl="0" w:tentative="0">
      <w:start w:val="1"/>
      <w:numFmt w:val="decimal"/>
      <w:suff w:val="nothing"/>
      <w:lvlText w:val="（%1）"/>
      <w:lvlJc w:val="left"/>
      <w:pPr>
        <w:ind w:left="1015" w:hanging="420"/>
      </w:pPr>
      <w:rPr>
        <w:sz w:val="28"/>
        <w:szCs w:val="28"/>
      </w:rPr>
    </w:lvl>
    <w:lvl w:ilvl="1" w:tentative="0">
      <w:start w:val="1"/>
      <w:numFmt w:val="lowerLetter"/>
      <w:lvlText w:val="%2)"/>
      <w:lvlJc w:val="left"/>
      <w:pPr>
        <w:ind w:left="1330" w:hanging="420"/>
      </w:pPr>
    </w:lvl>
    <w:lvl w:ilvl="2" w:tentative="0">
      <w:start w:val="1"/>
      <w:numFmt w:val="lowerRoman"/>
      <w:lvlText w:val="%3."/>
      <w:lvlJc w:val="right"/>
      <w:pPr>
        <w:ind w:left="1750" w:hanging="420"/>
      </w:pPr>
    </w:lvl>
    <w:lvl w:ilvl="3" w:tentative="0">
      <w:start w:val="1"/>
      <w:numFmt w:val="decimal"/>
      <w:lvlText w:val="%4."/>
      <w:lvlJc w:val="left"/>
      <w:pPr>
        <w:ind w:left="2170" w:hanging="420"/>
      </w:pPr>
    </w:lvl>
    <w:lvl w:ilvl="4" w:tentative="0">
      <w:start w:val="1"/>
      <w:numFmt w:val="lowerLetter"/>
      <w:lvlText w:val="%5)"/>
      <w:lvlJc w:val="left"/>
      <w:pPr>
        <w:ind w:left="2590" w:hanging="420"/>
      </w:pPr>
    </w:lvl>
    <w:lvl w:ilvl="5" w:tentative="0">
      <w:start w:val="1"/>
      <w:numFmt w:val="lowerRoman"/>
      <w:lvlText w:val="%6."/>
      <w:lvlJc w:val="right"/>
      <w:pPr>
        <w:ind w:left="3010" w:hanging="420"/>
      </w:pPr>
    </w:lvl>
    <w:lvl w:ilvl="6" w:tentative="0">
      <w:start w:val="1"/>
      <w:numFmt w:val="decimal"/>
      <w:lvlText w:val="%7."/>
      <w:lvlJc w:val="left"/>
      <w:pPr>
        <w:ind w:left="3430" w:hanging="420"/>
      </w:pPr>
    </w:lvl>
    <w:lvl w:ilvl="7" w:tentative="0">
      <w:start w:val="1"/>
      <w:numFmt w:val="lowerLetter"/>
      <w:lvlText w:val="%8)"/>
      <w:lvlJc w:val="left"/>
      <w:pPr>
        <w:ind w:left="3850" w:hanging="420"/>
      </w:pPr>
    </w:lvl>
    <w:lvl w:ilvl="8" w:tentative="0">
      <w:start w:val="1"/>
      <w:numFmt w:val="lowerRoman"/>
      <w:lvlText w:val="%9."/>
      <w:lvlJc w:val="right"/>
      <w:pPr>
        <w:ind w:left="4270" w:hanging="420"/>
      </w:pPr>
    </w:lvl>
  </w:abstractNum>
  <w:abstractNum w:abstractNumId="3">
    <w:nsid w:val="E9C60820"/>
    <w:multiLevelType w:val="singleLevel"/>
    <w:tmpl w:val="E9C60820"/>
    <w:lvl w:ilvl="0" w:tentative="0">
      <w:start w:val="3"/>
      <w:numFmt w:val="decimal"/>
      <w:lvlText w:val="%1."/>
      <w:lvlJc w:val="left"/>
      <w:pPr>
        <w:tabs>
          <w:tab w:val="left" w:pos="312"/>
        </w:tabs>
      </w:pPr>
    </w:lvl>
  </w:abstractNum>
  <w:abstractNum w:abstractNumId="4">
    <w:nsid w:val="0B1450B0"/>
    <w:multiLevelType w:val="singleLevel"/>
    <w:tmpl w:val="0B1450B0"/>
    <w:lvl w:ilvl="0" w:tentative="0">
      <w:start w:val="1"/>
      <w:numFmt w:val="decimal"/>
      <w:suff w:val="nothing"/>
      <w:lvlText w:val="（%1）"/>
      <w:lvlJc w:val="left"/>
    </w:lvl>
  </w:abstractNum>
  <w:abstractNum w:abstractNumId="5">
    <w:nsid w:val="1FC9B8B6"/>
    <w:multiLevelType w:val="multilevel"/>
    <w:tmpl w:val="1FC9B8B6"/>
    <w:lvl w:ilvl="0" w:tentative="0">
      <w:start w:val="1"/>
      <w:numFmt w:val="decimal"/>
      <w:suff w:val="nothing"/>
      <w:lvlText w:val="（%1）"/>
      <w:lvlJc w:val="left"/>
      <w:pPr>
        <w:ind w:left="0" w:firstLine="0"/>
      </w:pPr>
      <w:rPr>
        <w:rFonts w:hint="default" w:ascii="Times New Roman" w:hAnsi="Times New Roman" w:cs="Times New Roman"/>
        <w:sz w:val="28"/>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14188FD"/>
    <w:multiLevelType w:val="multilevel"/>
    <w:tmpl w:val="214188FD"/>
    <w:lvl w:ilvl="0" w:tentative="0">
      <w:start w:val="1"/>
      <w:numFmt w:val="decimal"/>
      <w:suff w:val="nothing"/>
      <w:lvlText w:val="（%1）"/>
      <w:lvlJc w:val="left"/>
      <w:pPr>
        <w:ind w:left="1015" w:hanging="420"/>
      </w:pPr>
      <w:rPr>
        <w:sz w:val="28"/>
        <w:szCs w:val="28"/>
      </w:rPr>
    </w:lvl>
    <w:lvl w:ilvl="1" w:tentative="0">
      <w:start w:val="1"/>
      <w:numFmt w:val="lowerLetter"/>
      <w:lvlText w:val="%2)"/>
      <w:lvlJc w:val="left"/>
      <w:pPr>
        <w:ind w:left="1330" w:hanging="420"/>
      </w:pPr>
    </w:lvl>
    <w:lvl w:ilvl="2" w:tentative="0">
      <w:start w:val="1"/>
      <w:numFmt w:val="lowerRoman"/>
      <w:lvlText w:val="%3."/>
      <w:lvlJc w:val="right"/>
      <w:pPr>
        <w:ind w:left="1750" w:hanging="420"/>
      </w:pPr>
    </w:lvl>
    <w:lvl w:ilvl="3" w:tentative="0">
      <w:start w:val="1"/>
      <w:numFmt w:val="decimal"/>
      <w:lvlText w:val="%4."/>
      <w:lvlJc w:val="left"/>
      <w:pPr>
        <w:ind w:left="2170" w:hanging="420"/>
      </w:pPr>
    </w:lvl>
    <w:lvl w:ilvl="4" w:tentative="0">
      <w:start w:val="1"/>
      <w:numFmt w:val="lowerLetter"/>
      <w:lvlText w:val="%5)"/>
      <w:lvlJc w:val="left"/>
      <w:pPr>
        <w:ind w:left="2590" w:hanging="420"/>
      </w:pPr>
    </w:lvl>
    <w:lvl w:ilvl="5" w:tentative="0">
      <w:start w:val="1"/>
      <w:numFmt w:val="lowerRoman"/>
      <w:lvlText w:val="%6."/>
      <w:lvlJc w:val="right"/>
      <w:pPr>
        <w:ind w:left="3010" w:hanging="420"/>
      </w:pPr>
    </w:lvl>
    <w:lvl w:ilvl="6" w:tentative="0">
      <w:start w:val="1"/>
      <w:numFmt w:val="decimal"/>
      <w:lvlText w:val="%7."/>
      <w:lvlJc w:val="left"/>
      <w:pPr>
        <w:ind w:left="3430" w:hanging="420"/>
      </w:pPr>
    </w:lvl>
    <w:lvl w:ilvl="7" w:tentative="0">
      <w:start w:val="1"/>
      <w:numFmt w:val="lowerLetter"/>
      <w:lvlText w:val="%8)"/>
      <w:lvlJc w:val="left"/>
      <w:pPr>
        <w:ind w:left="3850" w:hanging="420"/>
      </w:pPr>
    </w:lvl>
    <w:lvl w:ilvl="8" w:tentative="0">
      <w:start w:val="1"/>
      <w:numFmt w:val="lowerRoman"/>
      <w:lvlText w:val="%9."/>
      <w:lvlJc w:val="right"/>
      <w:pPr>
        <w:ind w:left="4270" w:hanging="420"/>
      </w:pPr>
    </w:lvl>
  </w:abstractNum>
  <w:abstractNum w:abstractNumId="7">
    <w:nsid w:val="29CDFAF3"/>
    <w:multiLevelType w:val="singleLevel"/>
    <w:tmpl w:val="29CDFAF3"/>
    <w:lvl w:ilvl="0" w:tentative="0">
      <w:start w:val="1"/>
      <w:numFmt w:val="decimal"/>
      <w:suff w:val="nothing"/>
      <w:lvlText w:val="%1."/>
      <w:lvlJc w:val="left"/>
      <w:pPr>
        <w:ind w:left="425" w:hanging="425"/>
      </w:pPr>
      <w:rPr>
        <w:rFonts w:hint="default"/>
      </w:rPr>
    </w:lvl>
  </w:abstractNum>
  <w:abstractNum w:abstractNumId="8">
    <w:nsid w:val="33CDC576"/>
    <w:multiLevelType w:val="multilevel"/>
    <w:tmpl w:val="33CDC576"/>
    <w:lvl w:ilvl="0" w:tentative="0">
      <w:start w:val="1"/>
      <w:numFmt w:val="decimal"/>
      <w:suff w:val="nothing"/>
      <w:lvlText w:val="（%1）"/>
      <w:lvlJc w:val="left"/>
      <w:pPr>
        <w:ind w:left="980" w:hanging="420"/>
      </w:pPr>
      <w:rPr>
        <w:sz w:val="28"/>
        <w:szCs w:val="28"/>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9">
    <w:nsid w:val="474E9357"/>
    <w:multiLevelType w:val="multilevel"/>
    <w:tmpl w:val="474E9357"/>
    <w:lvl w:ilvl="0" w:tentative="0">
      <w:start w:val="1"/>
      <w:numFmt w:val="decimal"/>
      <w:suff w:val="nothing"/>
      <w:lvlText w:val="（%1）"/>
      <w:lvlJc w:val="left"/>
      <w:pPr>
        <w:ind w:left="0" w:firstLine="0"/>
      </w:pPr>
      <w:rPr>
        <w:sz w:val="28"/>
        <w:szCs w:val="28"/>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E150213"/>
    <w:multiLevelType w:val="singleLevel"/>
    <w:tmpl w:val="5E150213"/>
    <w:lvl w:ilvl="0" w:tentative="0">
      <w:start w:val="1"/>
      <w:numFmt w:val="decimal"/>
      <w:suff w:val="nothing"/>
      <w:lvlText w:val="%1."/>
      <w:lvlJc w:val="left"/>
      <w:pPr>
        <w:ind w:left="425" w:hanging="425"/>
      </w:pPr>
      <w:rPr>
        <w:rFonts w:hint="default"/>
      </w:rPr>
    </w:lvl>
  </w:abstractNum>
  <w:abstractNum w:abstractNumId="11">
    <w:nsid w:val="6797CAF6"/>
    <w:multiLevelType w:val="singleLevel"/>
    <w:tmpl w:val="6797CAF6"/>
    <w:lvl w:ilvl="0" w:tentative="0">
      <w:start w:val="1"/>
      <w:numFmt w:val="decimal"/>
      <w:suff w:val="nothing"/>
      <w:lvlText w:val="%1．"/>
      <w:lvlJc w:val="left"/>
      <w:pPr>
        <w:ind w:left="144" w:firstLine="400"/>
      </w:pPr>
      <w:rPr>
        <w:rFonts w:hint="default"/>
      </w:rPr>
    </w:lvl>
  </w:abstractNum>
  <w:num w:numId="1">
    <w:abstractNumId w:val="5"/>
  </w:num>
  <w:num w:numId="2">
    <w:abstractNumId w:val="8"/>
  </w:num>
  <w:num w:numId="3">
    <w:abstractNumId w:val="0"/>
  </w:num>
  <w:num w:numId="4">
    <w:abstractNumId w:val="9"/>
  </w:num>
  <w:num w:numId="5">
    <w:abstractNumId w:val="2"/>
  </w:num>
  <w:num w:numId="6">
    <w:abstractNumId w:val="6"/>
  </w:num>
  <w:num w:numId="7">
    <w:abstractNumId w:val="3"/>
  </w:num>
  <w:num w:numId="8">
    <w:abstractNumId w:val="1"/>
  </w:num>
  <w:num w:numId="9">
    <w:abstractNumId w:val="7"/>
  </w:num>
  <w:num w:numId="10">
    <w:abstractNumId w:val="10"/>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420"/>
  <w:drawingGridVerticalSpacing w:val="19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4MzYzZjI1YTVkNmJiYzI4ZGE4YmViODI2N2U3NGUifQ=="/>
    <w:docVar w:name="KSO_WPS_MARK_KEY" w:val="8b9f19f9-197c-404d-b60d-185f405bfbc3"/>
  </w:docVars>
  <w:rsids>
    <w:rsidRoot w:val="1A1D618F"/>
    <w:rsid w:val="00056244"/>
    <w:rsid w:val="00071743"/>
    <w:rsid w:val="0007294B"/>
    <w:rsid w:val="000840D2"/>
    <w:rsid w:val="0009685B"/>
    <w:rsid w:val="000A7427"/>
    <w:rsid w:val="000F7455"/>
    <w:rsid w:val="001036D7"/>
    <w:rsid w:val="00121856"/>
    <w:rsid w:val="001A14AB"/>
    <w:rsid w:val="002413AB"/>
    <w:rsid w:val="00305426"/>
    <w:rsid w:val="00341E27"/>
    <w:rsid w:val="00346B67"/>
    <w:rsid w:val="00351176"/>
    <w:rsid w:val="00362DCD"/>
    <w:rsid w:val="003C2295"/>
    <w:rsid w:val="003E04A9"/>
    <w:rsid w:val="00417869"/>
    <w:rsid w:val="00433C88"/>
    <w:rsid w:val="004633EE"/>
    <w:rsid w:val="004677EB"/>
    <w:rsid w:val="00494646"/>
    <w:rsid w:val="004B4E01"/>
    <w:rsid w:val="004C2802"/>
    <w:rsid w:val="004C7D0D"/>
    <w:rsid w:val="00506005"/>
    <w:rsid w:val="00580C93"/>
    <w:rsid w:val="00594D8C"/>
    <w:rsid w:val="005E1BB9"/>
    <w:rsid w:val="0062471F"/>
    <w:rsid w:val="00690252"/>
    <w:rsid w:val="00697897"/>
    <w:rsid w:val="006F2D81"/>
    <w:rsid w:val="007136F1"/>
    <w:rsid w:val="00735574"/>
    <w:rsid w:val="007D5EB4"/>
    <w:rsid w:val="007F40D1"/>
    <w:rsid w:val="008674D6"/>
    <w:rsid w:val="008F0A79"/>
    <w:rsid w:val="00956C28"/>
    <w:rsid w:val="00982396"/>
    <w:rsid w:val="00A03414"/>
    <w:rsid w:val="00A20250"/>
    <w:rsid w:val="00A33908"/>
    <w:rsid w:val="00A61EE9"/>
    <w:rsid w:val="00B26904"/>
    <w:rsid w:val="00B371F3"/>
    <w:rsid w:val="00B43D78"/>
    <w:rsid w:val="00B95A53"/>
    <w:rsid w:val="00B97167"/>
    <w:rsid w:val="00BF7485"/>
    <w:rsid w:val="00C50C26"/>
    <w:rsid w:val="00C72346"/>
    <w:rsid w:val="00C725DE"/>
    <w:rsid w:val="00CB28E8"/>
    <w:rsid w:val="00D3104D"/>
    <w:rsid w:val="00D40090"/>
    <w:rsid w:val="00D601A1"/>
    <w:rsid w:val="00E13341"/>
    <w:rsid w:val="00E416B5"/>
    <w:rsid w:val="00EB079A"/>
    <w:rsid w:val="00ED30B7"/>
    <w:rsid w:val="00ED3621"/>
    <w:rsid w:val="00F4615C"/>
    <w:rsid w:val="02497143"/>
    <w:rsid w:val="02A604E3"/>
    <w:rsid w:val="031E771D"/>
    <w:rsid w:val="032F6F45"/>
    <w:rsid w:val="04393532"/>
    <w:rsid w:val="04461F7D"/>
    <w:rsid w:val="058938A1"/>
    <w:rsid w:val="06DF1AD5"/>
    <w:rsid w:val="07776423"/>
    <w:rsid w:val="07D20A79"/>
    <w:rsid w:val="0957357C"/>
    <w:rsid w:val="09BD79C0"/>
    <w:rsid w:val="0AA16A0F"/>
    <w:rsid w:val="0ADF2296"/>
    <w:rsid w:val="0C8A6F97"/>
    <w:rsid w:val="0CDA0A48"/>
    <w:rsid w:val="0CED7FB9"/>
    <w:rsid w:val="0E0C214A"/>
    <w:rsid w:val="0E7347D2"/>
    <w:rsid w:val="0F52431B"/>
    <w:rsid w:val="0FCC259C"/>
    <w:rsid w:val="10325577"/>
    <w:rsid w:val="10371004"/>
    <w:rsid w:val="10812B9F"/>
    <w:rsid w:val="11EC0B5B"/>
    <w:rsid w:val="11EF290B"/>
    <w:rsid w:val="13266A3C"/>
    <w:rsid w:val="148B76CC"/>
    <w:rsid w:val="14E2747F"/>
    <w:rsid w:val="15202C33"/>
    <w:rsid w:val="152644F4"/>
    <w:rsid w:val="167F76E2"/>
    <w:rsid w:val="16946BC5"/>
    <w:rsid w:val="16B20DAC"/>
    <w:rsid w:val="182C3A84"/>
    <w:rsid w:val="18920F61"/>
    <w:rsid w:val="192A0F47"/>
    <w:rsid w:val="19DA2C7C"/>
    <w:rsid w:val="1A1D618F"/>
    <w:rsid w:val="1A8732B3"/>
    <w:rsid w:val="1AA72DDE"/>
    <w:rsid w:val="1CE43106"/>
    <w:rsid w:val="1D3C50AE"/>
    <w:rsid w:val="1E1637A3"/>
    <w:rsid w:val="1E6A07FF"/>
    <w:rsid w:val="1EB92B8B"/>
    <w:rsid w:val="1EFC3F8D"/>
    <w:rsid w:val="1EFF79C9"/>
    <w:rsid w:val="1FDC7BDF"/>
    <w:rsid w:val="206D07CF"/>
    <w:rsid w:val="20CC2531"/>
    <w:rsid w:val="20F868ED"/>
    <w:rsid w:val="21994A14"/>
    <w:rsid w:val="22253F32"/>
    <w:rsid w:val="22ED32DA"/>
    <w:rsid w:val="241F4E61"/>
    <w:rsid w:val="25762360"/>
    <w:rsid w:val="25C35001"/>
    <w:rsid w:val="2637753E"/>
    <w:rsid w:val="26910426"/>
    <w:rsid w:val="26993D60"/>
    <w:rsid w:val="26FD6232"/>
    <w:rsid w:val="281F281F"/>
    <w:rsid w:val="283A348C"/>
    <w:rsid w:val="2864476D"/>
    <w:rsid w:val="2A957587"/>
    <w:rsid w:val="2AF327AB"/>
    <w:rsid w:val="2B0001FE"/>
    <w:rsid w:val="2B34402E"/>
    <w:rsid w:val="2C536736"/>
    <w:rsid w:val="2CDE6BF0"/>
    <w:rsid w:val="2ECB7796"/>
    <w:rsid w:val="2F3712AD"/>
    <w:rsid w:val="2F4A2139"/>
    <w:rsid w:val="2F620535"/>
    <w:rsid w:val="2F8A06C1"/>
    <w:rsid w:val="307D0225"/>
    <w:rsid w:val="317820AE"/>
    <w:rsid w:val="31ED5366"/>
    <w:rsid w:val="327A0EC0"/>
    <w:rsid w:val="333C7735"/>
    <w:rsid w:val="334C1B38"/>
    <w:rsid w:val="33590AD6"/>
    <w:rsid w:val="3359538D"/>
    <w:rsid w:val="34914DCA"/>
    <w:rsid w:val="35345733"/>
    <w:rsid w:val="354353CA"/>
    <w:rsid w:val="35525435"/>
    <w:rsid w:val="369736C3"/>
    <w:rsid w:val="36C90D91"/>
    <w:rsid w:val="375A4762"/>
    <w:rsid w:val="37733B20"/>
    <w:rsid w:val="38895CD0"/>
    <w:rsid w:val="38B3051E"/>
    <w:rsid w:val="39351CDD"/>
    <w:rsid w:val="398F357B"/>
    <w:rsid w:val="3A714798"/>
    <w:rsid w:val="3B50078E"/>
    <w:rsid w:val="3BD05573"/>
    <w:rsid w:val="3CAC08DF"/>
    <w:rsid w:val="3D4B558A"/>
    <w:rsid w:val="3DA556B2"/>
    <w:rsid w:val="3E0E5104"/>
    <w:rsid w:val="3E637A74"/>
    <w:rsid w:val="3E6D50FB"/>
    <w:rsid w:val="3E8734F3"/>
    <w:rsid w:val="3EC61274"/>
    <w:rsid w:val="3F093C8B"/>
    <w:rsid w:val="3F2F69B5"/>
    <w:rsid w:val="3F333BBF"/>
    <w:rsid w:val="40C35E1B"/>
    <w:rsid w:val="413E4F19"/>
    <w:rsid w:val="42160772"/>
    <w:rsid w:val="4330182B"/>
    <w:rsid w:val="44A96D12"/>
    <w:rsid w:val="44ED5522"/>
    <w:rsid w:val="46767799"/>
    <w:rsid w:val="4709452D"/>
    <w:rsid w:val="47F3119A"/>
    <w:rsid w:val="48185BFF"/>
    <w:rsid w:val="489F7317"/>
    <w:rsid w:val="48B97FEC"/>
    <w:rsid w:val="4924528A"/>
    <w:rsid w:val="49443E11"/>
    <w:rsid w:val="49635DB3"/>
    <w:rsid w:val="497D7EF7"/>
    <w:rsid w:val="49921B40"/>
    <w:rsid w:val="4ACE1540"/>
    <w:rsid w:val="4AE05B51"/>
    <w:rsid w:val="4B960D4E"/>
    <w:rsid w:val="4BA41552"/>
    <w:rsid w:val="4BC81760"/>
    <w:rsid w:val="4C6970FB"/>
    <w:rsid w:val="4CF802CE"/>
    <w:rsid w:val="4D60700D"/>
    <w:rsid w:val="4DC55BB1"/>
    <w:rsid w:val="4DEB7983"/>
    <w:rsid w:val="4E22480E"/>
    <w:rsid w:val="4F184052"/>
    <w:rsid w:val="4F5328C0"/>
    <w:rsid w:val="4F9737E1"/>
    <w:rsid w:val="500F3E08"/>
    <w:rsid w:val="513F04C2"/>
    <w:rsid w:val="517C0C8E"/>
    <w:rsid w:val="517E18CC"/>
    <w:rsid w:val="51D058C8"/>
    <w:rsid w:val="520D608C"/>
    <w:rsid w:val="532103EE"/>
    <w:rsid w:val="53F70AD0"/>
    <w:rsid w:val="54027570"/>
    <w:rsid w:val="54055785"/>
    <w:rsid w:val="54315F1A"/>
    <w:rsid w:val="55481377"/>
    <w:rsid w:val="558E19A2"/>
    <w:rsid w:val="561C2EC0"/>
    <w:rsid w:val="565A24B9"/>
    <w:rsid w:val="56B31C4E"/>
    <w:rsid w:val="573360F0"/>
    <w:rsid w:val="575D0502"/>
    <w:rsid w:val="5796443F"/>
    <w:rsid w:val="580A1184"/>
    <w:rsid w:val="58DC75B3"/>
    <w:rsid w:val="58DD2C68"/>
    <w:rsid w:val="59025783"/>
    <w:rsid w:val="5A111F61"/>
    <w:rsid w:val="5B1B710F"/>
    <w:rsid w:val="5C046DB5"/>
    <w:rsid w:val="5C2D39B8"/>
    <w:rsid w:val="5CE06B7D"/>
    <w:rsid w:val="5D1032C9"/>
    <w:rsid w:val="5DAC18F9"/>
    <w:rsid w:val="5E5E289A"/>
    <w:rsid w:val="5F5A1E7D"/>
    <w:rsid w:val="5F832342"/>
    <w:rsid w:val="601236F8"/>
    <w:rsid w:val="607246D5"/>
    <w:rsid w:val="608B2FED"/>
    <w:rsid w:val="609241FB"/>
    <w:rsid w:val="60E90F39"/>
    <w:rsid w:val="60EC1A07"/>
    <w:rsid w:val="610905C4"/>
    <w:rsid w:val="611B4D6D"/>
    <w:rsid w:val="61822690"/>
    <w:rsid w:val="61A93CD9"/>
    <w:rsid w:val="62022D5A"/>
    <w:rsid w:val="647B2759"/>
    <w:rsid w:val="647F1098"/>
    <w:rsid w:val="651E4E2C"/>
    <w:rsid w:val="654F5284"/>
    <w:rsid w:val="65C71548"/>
    <w:rsid w:val="66C35995"/>
    <w:rsid w:val="67753E78"/>
    <w:rsid w:val="68E73635"/>
    <w:rsid w:val="69787696"/>
    <w:rsid w:val="69A732EF"/>
    <w:rsid w:val="6A862E2E"/>
    <w:rsid w:val="6B002B8F"/>
    <w:rsid w:val="6B5862AA"/>
    <w:rsid w:val="6B88320E"/>
    <w:rsid w:val="6BA936A1"/>
    <w:rsid w:val="6F500ED6"/>
    <w:rsid w:val="703E1CBF"/>
    <w:rsid w:val="707A0BE2"/>
    <w:rsid w:val="70F664BA"/>
    <w:rsid w:val="71104F15"/>
    <w:rsid w:val="711F61B4"/>
    <w:rsid w:val="72600369"/>
    <w:rsid w:val="74624D35"/>
    <w:rsid w:val="74D3668B"/>
    <w:rsid w:val="758D4498"/>
    <w:rsid w:val="76AC323A"/>
    <w:rsid w:val="76D01312"/>
    <w:rsid w:val="76DE1497"/>
    <w:rsid w:val="7758770D"/>
    <w:rsid w:val="78590439"/>
    <w:rsid w:val="79C04739"/>
    <w:rsid w:val="79DF2BB7"/>
    <w:rsid w:val="7A2250EE"/>
    <w:rsid w:val="7AA94362"/>
    <w:rsid w:val="7B521C37"/>
    <w:rsid w:val="7BBE77AF"/>
    <w:rsid w:val="7C3847D9"/>
    <w:rsid w:val="7C8A0CCC"/>
    <w:rsid w:val="7D7B6E68"/>
    <w:rsid w:val="7DB04D75"/>
    <w:rsid w:val="7EA2505A"/>
    <w:rsid w:val="7ECB0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5"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560" w:firstLineChars="200"/>
      <w:jc w:val="both"/>
    </w:pPr>
    <w:rPr>
      <w:rFonts w:ascii="Times New Roman" w:hAnsi="Times New Roman" w:eastAsia="宋体" w:cs="Times New Roman"/>
      <w:kern w:val="2"/>
      <w:sz w:val="28"/>
      <w:szCs w:val="28"/>
      <w:lang w:val="en-US" w:eastAsia="zh-CN" w:bidi="ar-SA"/>
    </w:rPr>
  </w:style>
  <w:style w:type="paragraph" w:styleId="2">
    <w:name w:val="heading 1"/>
    <w:basedOn w:val="1"/>
    <w:next w:val="1"/>
    <w:link w:val="36"/>
    <w:qFormat/>
    <w:uiPriority w:val="0"/>
    <w:pPr>
      <w:keepNext/>
      <w:keepLines/>
      <w:spacing w:before="240" w:after="240"/>
      <w:ind w:firstLine="0" w:firstLineChars="0"/>
      <w:jc w:val="center"/>
      <w:outlineLvl w:val="0"/>
    </w:pPr>
    <w:rPr>
      <w:rFonts w:eastAsia="黑体"/>
      <w:b/>
      <w:kern w:val="44"/>
      <w:sz w:val="32"/>
      <w:szCs w:val="32"/>
    </w:rPr>
  </w:style>
  <w:style w:type="paragraph" w:styleId="3">
    <w:name w:val="heading 2"/>
    <w:basedOn w:val="1"/>
    <w:next w:val="1"/>
    <w:qFormat/>
    <w:uiPriority w:val="0"/>
    <w:pPr>
      <w:keepNext/>
      <w:keepLines/>
      <w:spacing w:before="120" w:after="120"/>
      <w:ind w:firstLine="0" w:firstLineChars="0"/>
      <w:jc w:val="center"/>
      <w:outlineLvl w:val="1"/>
    </w:pPr>
    <w:rPr>
      <w:rFonts w:eastAsia="黑体"/>
      <w:b/>
      <w:sz w:val="30"/>
    </w:rPr>
  </w:style>
  <w:style w:type="paragraph" w:styleId="4">
    <w:name w:val="heading 3"/>
    <w:basedOn w:val="1"/>
    <w:next w:val="1"/>
    <w:qFormat/>
    <w:uiPriority w:val="0"/>
    <w:pPr>
      <w:keepNext/>
      <w:keepLines/>
      <w:spacing w:before="60" w:after="60" w:line="240" w:lineRule="auto"/>
      <w:ind w:firstLine="0" w:firstLineChars="0"/>
      <w:jc w:val="left"/>
      <w:outlineLvl w:val="2"/>
    </w:pPr>
    <w:rPr>
      <w:b/>
    </w:rPr>
  </w:style>
  <w:style w:type="paragraph" w:styleId="5">
    <w:name w:val="heading 4"/>
    <w:basedOn w:val="1"/>
    <w:next w:val="1"/>
    <w:link w:val="37"/>
    <w:qFormat/>
    <w:uiPriority w:val="1"/>
    <w:pPr>
      <w:outlineLvl w:val="3"/>
    </w:pPr>
    <w:rPr>
      <w:b/>
      <w:szCs w:val="32"/>
    </w:rPr>
  </w:style>
  <w:style w:type="paragraph" w:styleId="6">
    <w:name w:val="heading 5"/>
    <w:basedOn w:val="1"/>
    <w:next w:val="1"/>
    <w:qFormat/>
    <w:uiPriority w:val="5"/>
    <w:pPr>
      <w:keepNext/>
      <w:keepLines/>
      <w:tabs>
        <w:tab w:val="left" w:pos="3080"/>
      </w:tabs>
      <w:ind w:firstLine="200"/>
      <w:outlineLvl w:val="4"/>
    </w:pPr>
    <w:rPr>
      <w:b/>
      <w:szCs w:val="20"/>
    </w:rPr>
  </w:style>
  <w:style w:type="paragraph" w:styleId="7">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8">
    <w:name w:val="table of authorities"/>
    <w:basedOn w:val="1"/>
    <w:next w:val="1"/>
    <w:unhideWhenUsed/>
    <w:qFormat/>
    <w:uiPriority w:val="99"/>
    <w:pPr>
      <w:widowControl/>
      <w:adjustRightInd w:val="0"/>
      <w:ind w:left="420" w:leftChars="200"/>
      <w:textAlignment w:val="baseline"/>
    </w:pPr>
    <w:rPr>
      <w:rFonts w:eastAsia="Times New Roman"/>
      <w:sz w:val="24"/>
    </w:rPr>
  </w:style>
  <w:style w:type="paragraph" w:styleId="9">
    <w:name w:val="Normal Indent"/>
    <w:basedOn w:val="1"/>
    <w:next w:val="1"/>
    <w:qFormat/>
    <w:uiPriority w:val="0"/>
    <w:pPr>
      <w:widowControl/>
      <w:ind w:firstLine="420"/>
      <w:jc w:val="left"/>
    </w:pPr>
    <w:rPr>
      <w:sz w:val="20"/>
      <w:szCs w:val="20"/>
    </w:rPr>
  </w:style>
  <w:style w:type="paragraph" w:styleId="10">
    <w:name w:val="Document Map"/>
    <w:basedOn w:val="1"/>
    <w:semiHidden/>
    <w:qFormat/>
    <w:uiPriority w:val="0"/>
    <w:pPr>
      <w:shd w:val="clear" w:color="auto" w:fill="000080"/>
    </w:pPr>
  </w:style>
  <w:style w:type="paragraph" w:styleId="11">
    <w:name w:val="toa heading"/>
    <w:basedOn w:val="1"/>
    <w:next w:val="1"/>
    <w:qFormat/>
    <w:uiPriority w:val="0"/>
    <w:pPr>
      <w:snapToGrid w:val="0"/>
      <w:spacing w:before="120"/>
      <w:jc w:val="left"/>
    </w:pPr>
    <w:rPr>
      <w:rFonts w:ascii="Arial" w:hAnsi="Arial" w:cs="Arial"/>
      <w:kern w:val="0"/>
      <w:sz w:val="24"/>
      <w:szCs w:val="30"/>
    </w:rPr>
  </w:style>
  <w:style w:type="paragraph" w:styleId="12">
    <w:name w:val="annotation text"/>
    <w:basedOn w:val="1"/>
    <w:link w:val="38"/>
    <w:qFormat/>
    <w:uiPriority w:val="0"/>
    <w:pPr>
      <w:jc w:val="left"/>
    </w:pPr>
    <w:rPr>
      <w:sz w:val="24"/>
      <w:szCs w:val="24"/>
    </w:rPr>
  </w:style>
  <w:style w:type="paragraph" w:styleId="13">
    <w:name w:val="Body Text"/>
    <w:basedOn w:val="1"/>
    <w:qFormat/>
    <w:uiPriority w:val="0"/>
    <w:pPr>
      <w:spacing w:after="120"/>
    </w:pPr>
  </w:style>
  <w:style w:type="paragraph" w:styleId="14">
    <w:name w:val="Body Text Indent"/>
    <w:basedOn w:val="1"/>
    <w:qFormat/>
    <w:uiPriority w:val="0"/>
    <w:pPr>
      <w:spacing w:after="120"/>
      <w:ind w:left="420" w:leftChars="200"/>
    </w:pPr>
  </w:style>
  <w:style w:type="paragraph" w:styleId="15">
    <w:name w:val="toc 3"/>
    <w:basedOn w:val="1"/>
    <w:next w:val="1"/>
    <w:qFormat/>
    <w:uiPriority w:val="0"/>
    <w:pPr>
      <w:ind w:left="840" w:leftChars="400"/>
    </w:pPr>
  </w:style>
  <w:style w:type="paragraph" w:styleId="16">
    <w:name w:val="Plain Text"/>
    <w:basedOn w:val="1"/>
    <w:next w:val="1"/>
    <w:qFormat/>
    <w:uiPriority w:val="0"/>
    <w:rPr>
      <w:rFonts w:ascii="宋体" w:hAnsi="Courier New"/>
      <w:kern w:val="0"/>
      <w:sz w:val="20"/>
      <w:szCs w:val="21"/>
    </w:rPr>
  </w:style>
  <w:style w:type="paragraph" w:styleId="17">
    <w:name w:val="Body Text Indent 2"/>
    <w:basedOn w:val="1"/>
    <w:unhideWhenUsed/>
    <w:qFormat/>
    <w:uiPriority w:val="0"/>
    <w:pPr>
      <w:spacing w:after="120" w:line="480" w:lineRule="auto"/>
      <w:ind w:left="420" w:leftChars="200"/>
    </w:pPr>
    <w:rPr>
      <w:szCs w:val="22"/>
    </w:rPr>
  </w:style>
  <w:style w:type="paragraph" w:styleId="18">
    <w:name w:val="Balloon Text"/>
    <w:basedOn w:val="1"/>
    <w:link w:val="39"/>
    <w:qFormat/>
    <w:uiPriority w:val="0"/>
    <w:pPr>
      <w:spacing w:line="240" w:lineRule="auto"/>
    </w:pPr>
    <w:rPr>
      <w:sz w:val="18"/>
      <w:szCs w:val="18"/>
    </w:rPr>
  </w:style>
  <w:style w:type="paragraph" w:styleId="19">
    <w:name w:val="footer"/>
    <w:basedOn w:val="1"/>
    <w:next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pPr>
    <w:rPr>
      <w:sz w:val="18"/>
    </w:rPr>
  </w:style>
  <w:style w:type="paragraph" w:styleId="21">
    <w:name w:val="toc 1"/>
    <w:basedOn w:val="1"/>
    <w:next w:val="1"/>
    <w:qFormat/>
    <w:uiPriority w:val="0"/>
  </w:style>
  <w:style w:type="paragraph" w:styleId="22">
    <w:name w:val="toc 2"/>
    <w:basedOn w:val="1"/>
    <w:next w:val="1"/>
    <w:qFormat/>
    <w:uiPriority w:val="0"/>
    <w:pPr>
      <w:ind w:left="420" w:leftChars="200"/>
    </w:pPr>
  </w:style>
  <w:style w:type="paragraph" w:styleId="23">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4">
    <w:name w:val="annotation subject"/>
    <w:basedOn w:val="12"/>
    <w:next w:val="12"/>
    <w:link w:val="40"/>
    <w:qFormat/>
    <w:uiPriority w:val="0"/>
    <w:rPr>
      <w:b/>
      <w:bCs/>
      <w:sz w:val="28"/>
      <w:szCs w:val="28"/>
    </w:rPr>
  </w:style>
  <w:style w:type="paragraph" w:styleId="25">
    <w:name w:val="Body Text First Indent"/>
    <w:basedOn w:val="13"/>
    <w:next w:val="1"/>
    <w:qFormat/>
    <w:uiPriority w:val="0"/>
    <w:pPr>
      <w:ind w:firstLine="420" w:firstLineChars="100"/>
    </w:pPr>
    <w:rPr>
      <w:szCs w:val="24"/>
    </w:rPr>
  </w:style>
  <w:style w:type="paragraph" w:styleId="26">
    <w:name w:val="Body Text First Indent 2"/>
    <w:basedOn w:val="14"/>
    <w:next w:val="1"/>
    <w:qFormat/>
    <w:uiPriority w:val="0"/>
    <w:pPr>
      <w:ind w:firstLine="420"/>
    </w:pPr>
    <w:rPr>
      <w:sz w:val="21"/>
      <w:szCs w:val="20"/>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rPr>
  </w:style>
  <w:style w:type="character" w:styleId="31">
    <w:name w:val="Emphasis"/>
    <w:basedOn w:val="29"/>
    <w:qFormat/>
    <w:uiPriority w:val="0"/>
    <w:rPr>
      <w:i/>
    </w:rPr>
  </w:style>
  <w:style w:type="character" w:styleId="32">
    <w:name w:val="Hyperlink"/>
    <w:qFormat/>
    <w:uiPriority w:val="0"/>
    <w:rPr>
      <w:color w:val="0000FF"/>
      <w:u w:val="single"/>
    </w:rPr>
  </w:style>
  <w:style w:type="character" w:styleId="33">
    <w:name w:val="annotation reference"/>
    <w:qFormat/>
    <w:uiPriority w:val="0"/>
    <w:rPr>
      <w:sz w:val="21"/>
      <w:szCs w:val="21"/>
    </w:rPr>
  </w:style>
  <w:style w:type="paragraph" w:customStyle="1" w:styleId="34">
    <w:name w:val="Default"/>
    <w:basedOn w:val="35"/>
    <w:unhideWhenUsed/>
    <w:qFormat/>
    <w:uiPriority w:val="99"/>
    <w:pPr>
      <w:adjustRightInd w:val="0"/>
    </w:pPr>
    <w:rPr>
      <w:rFonts w:hint="eastAsia" w:ascii="..ì." w:hAnsi="..ì." w:eastAsia="..ì."/>
      <w:color w:val="000000"/>
      <w:sz w:val="24"/>
      <w:szCs w:val="22"/>
      <w:lang w:val="en-US"/>
    </w:rPr>
  </w:style>
  <w:style w:type="paragraph" w:customStyle="1" w:styleId="35">
    <w:name w:val="文本"/>
    <w:basedOn w:val="1"/>
    <w:next w:val="1"/>
    <w:qFormat/>
    <w:uiPriority w:val="0"/>
    <w:pPr>
      <w:autoSpaceDE w:val="0"/>
      <w:autoSpaceDN w:val="0"/>
      <w:ind w:firstLine="480"/>
    </w:pPr>
    <w:rPr>
      <w:szCs w:val="24"/>
      <w:lang w:val="zh-CN"/>
    </w:rPr>
  </w:style>
  <w:style w:type="character" w:customStyle="1" w:styleId="36">
    <w:name w:val="标题 1 字符"/>
    <w:link w:val="2"/>
    <w:qFormat/>
    <w:uiPriority w:val="0"/>
    <w:rPr>
      <w:rFonts w:ascii="Times New Roman" w:hAnsi="Times New Roman" w:eastAsia="黑体"/>
      <w:b/>
      <w:kern w:val="44"/>
      <w:sz w:val="32"/>
      <w:szCs w:val="32"/>
    </w:rPr>
  </w:style>
  <w:style w:type="character" w:customStyle="1" w:styleId="37">
    <w:name w:val="标题 4 字符"/>
    <w:link w:val="5"/>
    <w:qFormat/>
    <w:uiPriority w:val="1"/>
    <w:rPr>
      <w:rFonts w:ascii="Times New Roman" w:hAnsi="Times New Roman" w:eastAsia="宋体" w:cs="Times New Roman"/>
      <w:b/>
      <w:sz w:val="28"/>
      <w:szCs w:val="32"/>
    </w:rPr>
  </w:style>
  <w:style w:type="character" w:customStyle="1" w:styleId="38">
    <w:name w:val="批注文字 字符"/>
    <w:link w:val="12"/>
    <w:qFormat/>
    <w:uiPriority w:val="0"/>
    <w:rPr>
      <w:kern w:val="2"/>
      <w:sz w:val="24"/>
      <w:szCs w:val="24"/>
    </w:rPr>
  </w:style>
  <w:style w:type="character" w:customStyle="1" w:styleId="39">
    <w:name w:val="批注框文本 字符"/>
    <w:link w:val="18"/>
    <w:qFormat/>
    <w:uiPriority w:val="0"/>
    <w:rPr>
      <w:kern w:val="2"/>
      <w:sz w:val="18"/>
      <w:szCs w:val="18"/>
    </w:rPr>
  </w:style>
  <w:style w:type="character" w:customStyle="1" w:styleId="40">
    <w:name w:val="批注主题 字符"/>
    <w:link w:val="24"/>
    <w:qFormat/>
    <w:uiPriority w:val="0"/>
    <w:rPr>
      <w:b/>
      <w:bCs/>
      <w:kern w:val="2"/>
      <w:sz w:val="28"/>
      <w:szCs w:val="28"/>
    </w:rPr>
  </w:style>
  <w:style w:type="paragraph" w:customStyle="1" w:styleId="41">
    <w:name w:val="表格里的内容"/>
    <w:basedOn w:val="1"/>
    <w:qFormat/>
    <w:uiPriority w:val="0"/>
    <w:pPr>
      <w:snapToGrid w:val="0"/>
      <w:spacing w:before="60" w:after="60" w:line="240" w:lineRule="auto"/>
      <w:ind w:firstLine="0" w:firstLineChars="0"/>
      <w:jc w:val="center"/>
    </w:pPr>
    <w:rPr>
      <w:sz w:val="21"/>
    </w:rPr>
  </w:style>
  <w:style w:type="paragraph" w:customStyle="1" w:styleId="42">
    <w:name w:val="图、表名称"/>
    <w:basedOn w:val="1"/>
    <w:qFormat/>
    <w:uiPriority w:val="0"/>
    <w:pPr>
      <w:spacing w:before="60" w:after="60" w:line="240" w:lineRule="auto"/>
      <w:ind w:firstLine="0" w:firstLineChars="0"/>
      <w:jc w:val="center"/>
    </w:pPr>
    <w:rPr>
      <w:sz w:val="24"/>
    </w:rPr>
  </w:style>
  <w:style w:type="paragraph" w:styleId="43">
    <w:name w:val="List Paragraph"/>
    <w:basedOn w:val="1"/>
    <w:qFormat/>
    <w:uiPriority w:val="0"/>
    <w:pPr>
      <w:ind w:firstLine="420"/>
    </w:pPr>
    <w:rPr>
      <w:szCs w:val="22"/>
    </w:rPr>
  </w:style>
  <w:style w:type="paragraph" w:customStyle="1" w:styleId="44">
    <w:name w:val="表文字"/>
    <w:qFormat/>
    <w:uiPriority w:val="6"/>
    <w:rPr>
      <w:rFonts w:ascii="Times New Roman" w:hAnsi="Times New Roman" w:eastAsia="宋体" w:cs="Times New Roman"/>
      <w:kern w:val="2"/>
      <w:sz w:val="24"/>
      <w:szCs w:val="21"/>
      <w:lang w:val="en-US" w:eastAsia="zh-CN" w:bidi="ar-SA"/>
    </w:rPr>
  </w:style>
  <w:style w:type="paragraph" w:customStyle="1" w:styleId="45">
    <w:name w:val="正文22"/>
    <w:qFormat/>
    <w:uiPriority w:val="0"/>
    <w:pPr>
      <w:widowControl w:val="0"/>
      <w:adjustRightInd w:val="0"/>
      <w:snapToGrid w:val="0"/>
      <w:spacing w:line="360" w:lineRule="auto"/>
      <w:ind w:firstLine="560" w:firstLineChars="200"/>
    </w:pPr>
    <w:rPr>
      <w:rFonts w:ascii="Times New Roman" w:hAnsi="宋体" w:eastAsia="宋体" w:cs="Times New Roman"/>
      <w:kern w:val="28"/>
      <w:sz w:val="28"/>
      <w:szCs w:val="28"/>
      <w:lang w:val="en-US" w:eastAsia="zh-CN" w:bidi="ar-SA"/>
    </w:rPr>
  </w:style>
  <w:style w:type="paragraph" w:customStyle="1" w:styleId="46">
    <w:name w:val="xl34"/>
    <w:basedOn w:val="1"/>
    <w:qFormat/>
    <w:uiPriority w:val="0"/>
    <w:pPr>
      <w:widowControl/>
      <w:pBdr>
        <w:bottom w:val="single" w:color="auto" w:sz="8" w:space="0"/>
        <w:right w:val="single" w:color="000000" w:sz="8" w:space="0"/>
      </w:pBdr>
      <w:spacing w:before="100" w:beforeAutospacing="1" w:after="100" w:afterAutospacing="1" w:line="240" w:lineRule="auto"/>
      <w:jc w:val="center"/>
      <w:textAlignment w:val="top"/>
    </w:pPr>
    <w:rPr>
      <w:rFonts w:ascii="Arial Unicode MS" w:hAnsi="Arial Unicode MS" w:eastAsia="Arial Unicode MS"/>
      <w:kern w:val="0"/>
      <w:szCs w:val="21"/>
    </w:rPr>
  </w:style>
  <w:style w:type="paragraph" w:customStyle="1" w:styleId="47">
    <w:name w:val="Table Text"/>
    <w:basedOn w:val="1"/>
    <w:semiHidden/>
    <w:qFormat/>
    <w:uiPriority w:val="0"/>
    <w:rPr>
      <w:rFonts w:ascii="宋体" w:hAnsi="宋体" w:cs="宋体"/>
      <w:sz w:val="20"/>
      <w:szCs w:val="20"/>
      <w:lang w:eastAsia="en-US"/>
    </w:rPr>
  </w:style>
  <w:style w:type="table" w:customStyle="1" w:styleId="48">
    <w:name w:val="Table Normal"/>
    <w:semiHidden/>
    <w:unhideWhenUsed/>
    <w:qFormat/>
    <w:uiPriority w:val="0"/>
    <w:tblPr>
      <w:tblCellMar>
        <w:top w:w="0" w:type="dxa"/>
        <w:left w:w="0" w:type="dxa"/>
        <w:bottom w:w="0" w:type="dxa"/>
        <w:right w:w="0" w:type="dxa"/>
      </w:tblCellMar>
    </w:tblPr>
  </w:style>
  <w:style w:type="paragraph" w:customStyle="1" w:styleId="49">
    <w:name w:val="首行缩进"/>
    <w:basedOn w:val="1"/>
    <w:qFormat/>
    <w:uiPriority w:val="0"/>
    <w:pPr>
      <w:ind w:firstLine="561"/>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6244233d-0a37-489d-bf85-8f9c71cac8f2</errorID>
      <errorWord>(</errorWord>
      <group>L1_Format</group>
      <groupName>格式问题</groupName>
      <ability>L2_HalfPunc_CN</ability>
      <abilityName>全半角问题</abilityName>
      <candidateList>
        <item>（</item>
      </candidateList>
      <explain>文本全半角错误。</explain>
      <paraID>5FE669EC</paraID>
      <start>11</start>
      <end>12</end>
      <status>ignored</status>
      <modifiedWord/>
      <trackRevisions>false</trackRevisions>
    </reviewItem>
    <reviewItem>
      <errorID>2e9f7fd0-f742-4381-b85c-35c6371c8e88</errorID>
      <errorWord>下</errorWord>
      <group>L1_Word</group>
      <groupName>字词问题</groupName>
      <ability>L2_Typo</ability>
      <abilityName>字词错误</abilityName>
      <candidateList>
        <item>下简</item>
      </candidateList>
      <explain/>
      <paraID>291BF91F</paraID>
      <start>19</start>
      <end>20</end>
      <status>unmodified</status>
      <modifiedWord/>
      <trackRevisions>false</trackRevisions>
    </reviewItem>
    <reviewItem>
      <errorID>b2dc05f9-da47-48bf-827f-ee657adae738</errorID>
      <errorWord>2023年09月04日</errorWord>
      <group>L1_Knowledge</group>
      <groupName>知识性问题</groupName>
      <ability>L2_Time</ability>
      <abilityName>日期时间</abilityName>
      <candidateList>
        <item>2023年9月4日</item>
      </candidateList>
      <explain>根据日常书写习惯，月份和日期一般会省略前导零。</explain>
      <paraID>32314B92</paraID>
      <start>0</start>
      <end>11</end>
      <status>ignored</status>
      <modifiedWord/>
      <trackRevisions>false</trackRevisions>
    </reviewItem>
    <reviewItem>
      <errorID>ebdb5199-8710-4e8b-88d0-1c83bf24bcb1</errorID>
      <errorWord>2023年09月04日</errorWord>
      <group>L1_Knowledge</group>
      <groupName>知识性问题</groupName>
      <ability>L2_Time</ability>
      <abilityName>日期时间</abilityName>
      <candidateList>
        <item>2023年9月4日</item>
      </candidateList>
      <explain>根据日常书写习惯，月份和日期一般会省略前导零。</explain>
      <paraID>32314B92</paraID>
      <start>43</start>
      <end>54</end>
      <status>ignored</status>
      <modifiedWord/>
      <trackRevisions>false</trackRevisions>
    </reviewItem>
    <reviewItem>
      <errorID>7730c05b-6ea1-4404-af80-ca9c3203302e</errorID>
      <errorWord>2026年09月03日</errorWord>
      <group>L1_Knowledge</group>
      <groupName>知识性问题</groupName>
      <ability>L2_Time</ability>
      <abilityName>日期时间</abilityName>
      <candidateList>
        <item>2026年9月3日</item>
      </candidateList>
      <explain>根据日常书写习惯，月份和日期一般会省略前导零。</explain>
      <paraID>32314B92</paraID>
      <start>55</start>
      <end>66</end>
      <status>ignored</status>
      <modifiedWord/>
      <trackRevisions>false</trackRevisions>
    </reviewItem>
    <reviewItem>
      <errorID>cb41e8a7-fffc-4f1f-aa02-1fdb9cc70e10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35B9C836</paraID>
      <start>15</start>
      <end>18</end>
      <status>ignored</status>
      <modifiedWord/>
      <trackRevisions>false</trackRevisions>
    </reviewItem>
    <reviewItem>
      <errorID>e5251bdb-78e7-433c-a9c0-44c7b662827c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35B9C836</paraID>
      <start>29</start>
      <end>32</end>
      <status>ignored</status>
      <modifiedWord/>
      <trackRevisions>false</trackRevisions>
    </reviewItem>
    <reviewItem>
      <errorID>1922c328-4b1c-4a02-aaef-c833a8ef8058</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35B9C836</paraID>
      <start>32</start>
      <end>46</end>
      <status>unmodified</status>
      <modifiedWord/>
      <trackRevisions>false</trackRevisions>
    </reviewItem>
    <reviewItem>
      <errorID>0f33ed21-ba2c-4c46-940c-d957d44e527f</errorID>
      <errorWord>法律、法规</errorWord>
      <group>L1_Word</group>
      <groupName>字词问题</groupName>
      <ability>L2_Typo</ability>
      <abilityName>字词错误</abilityName>
      <candidateList>
        <item>法律法规</item>
      </candidateList>
      <explain/>
      <paraID>443917A5</paraID>
      <start>164</start>
      <end>169</end>
      <status>ignored</status>
      <modifiedWord/>
      <trackRevisions>false</trackRevisions>
    </reviewItem>
    <reviewItem>
      <errorID>24a7081e-68a9-4494-b115-dac673ae5aa8</errorID>
      <errorWord>及其</errorWord>
      <group>L1_Word</group>
      <groupName>字词问题</groupName>
      <ability>L2_Typo</ability>
      <abilityName>字词错误</abilityName>
      <candidateList>
        <item>极其</item>
      </candidateList>
      <explain/>
      <paraID>443917A5</paraID>
      <start>199</start>
      <end>201</end>
      <status>ignored</status>
      <modifiedWord/>
      <trackRevisions>false</trackRevisions>
    </reviewItem>
    <reviewItem>
      <errorID>0a7e7ce5-2915-48ab-844c-54366cc4e1eb</errorID>
      <errorWord>泄露</errorWord>
      <group>L1_Word</group>
      <groupName>字词问题</groupName>
      <ability>L2_Typo</ability>
      <abilityName>字词错误</abilityName>
      <candidateList>
        <item>泄漏</item>
      </candidateList>
      <explain/>
      <paraID>73DFADE1</paraID>
      <start>5</start>
      <end>7</end>
      <status>unmodified</status>
      <modifiedWord/>
      <trackRevisions>false</trackRevisions>
    </reviewItem>
    <reviewItem>
      <errorID>694d0812-2022-4ae1-8cc9-3e45b8e4222c</errorID>
      <errorWord>泄露</errorWord>
      <group>L1_Word</group>
      <groupName>字词问题</groupName>
      <ability>L2_Typo</ability>
      <abilityName>字词错误</abilityName>
      <candidateList>
        <item>泄漏</item>
      </candidateList>
      <explain/>
      <paraID>1277074F</paraID>
      <start>5</start>
      <end>7</end>
      <status>unmodified</status>
      <modifiedWord/>
      <trackRevisions>false</trackRevisions>
    </reviewItem>
    <reviewItem>
      <errorID>fe361a9b-4137-4c34-b98f-cd76f7d42e9a</errorID>
      <errorWord>及其</errorWord>
      <group>L1_Word</group>
      <groupName>字词问题</groupName>
      <ability>L2_Typo</ability>
      <abilityName>字词错误</abilityName>
      <candidateList>
        <item>极其</item>
      </candidateList>
      <explain/>
      <paraID>7D9A1004</paraID>
      <start>88</start>
      <end>90</end>
      <status>ignored</status>
      <modifiedWord/>
      <trackRevisions>false</trackRevisions>
    </reviewItem>
    <reviewItem>
      <errorID>8aec9796-0681-448b-ae0f-d43ed2128d06</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177B6C4D</paraID>
      <start>4</start>
      <end>18</end>
      <status>unmodified</status>
      <modifiedWord/>
      <trackRevisions>false</trackRevisions>
    </reviewItem>
    <reviewItem>
      <errorID>d4c01dd8-0593-4d51-8825-eefd7da08bf0</errorID>
      <errorWord>2021年09月01日</errorWord>
      <group>L1_Knowledge</group>
      <groupName>知识性问题</groupName>
      <ability>L2_Time</ability>
      <abilityName>日期时间</abilityName>
      <candidateList>
        <item>2021年9月1日</item>
      </candidateList>
      <explain>根据日常书写习惯，月份和日期一般会省略前导零。</explain>
      <paraID>5C59A469</paraID>
      <start>37</start>
      <end>48</end>
      <status>unmodified</status>
      <modifiedWord/>
      <trackRevisions>false</trackRevisions>
    </reviewItem>
    <reviewItem>
      <errorID>ebdec2cf-713a-40a9-8ffb-bb7647aed078</errorID>
      <errorWord>2021年04月29日</errorWord>
      <group>L1_Knowledge</group>
      <groupName>知识性问题</groupName>
      <ability>L2_Time</ability>
      <abilityName>日期时间</abilityName>
      <candidateList>
        <item>2021年4月29日</item>
      </candidateList>
      <explain>根据日常书写习惯，月份一般会省略前导零。</explain>
      <paraID>6807925A</paraID>
      <start>35</start>
      <end>46</end>
      <status>unmodified</status>
      <modifiedWord/>
      <trackRevisions>false</trackRevisions>
    </reviewItem>
    <reviewItem>
      <errorID>4f0ca048-1578-4d37-b5e1-dbd6ee42f78f</errorID>
      <errorWord>2016年11月07日</errorWord>
      <group>L1_Knowledge</group>
      <groupName>知识性问题</groupName>
      <ability>L2_Time</ability>
      <abilityName>日期时间</abilityName>
      <candidateList>
        <item>2016年11月7日</item>
      </candidateList>
      <explain>根据日常书写习惯，日期一般会省略前导零。</explain>
      <paraID>4BA96CD9</paraID>
      <start>35</start>
      <end>46</end>
      <status>unmodified</status>
      <modifiedWord/>
      <trackRevisions>false</trackRevisions>
    </reviewItem>
    <reviewItem>
      <errorID>ee28388b-64b8-4df9-b89b-c5626733578f</errorID>
      <errorWord>2024年11月01日</errorWord>
      <group>L1_Knowledge</group>
      <groupName>知识性问题</groupName>
      <ability>L2_Time</ability>
      <abilityName>日期时间</abilityName>
      <candidateList>
        <item>2024年11月1日</item>
      </candidateList>
      <explain>根据日常书写习惯，日期一般会省略前导零。</explain>
      <paraID>3AF868F7</paraID>
      <start>39</start>
      <end>50</end>
      <status>unmodified</status>
      <modifiedWord/>
      <trackRevisions>false</trackRevisions>
    </reviewItem>
    <reviewItem>
      <errorID>541f95c5-c1e6-4be4-931f-fc1e2b0be660</errorID>
      <errorWord>2019年04月23日</errorWord>
      <group>L1_Knowledge</group>
      <groupName>知识性问题</groupName>
      <ability>L2_Time</ability>
      <abilityName>日期时间</abilityName>
      <candidateList>
        <item>2019年4月23日</item>
      </candidateList>
      <explain>根据日常书写习惯，月份一般会省略前导零。</explain>
      <paraID>4102BC9A</paraID>
      <start>35</start>
      <end>46</end>
      <status>unmodified</status>
      <modifiedWord/>
      <trackRevisions>false</trackRevisions>
    </reviewItem>
    <reviewItem>
      <errorID>3efe5ef4-8de9-4135-9620-bdcdbe545308</errorID>
      <errorWord>2014年01月01日</errorWord>
      <group>L1_Knowledge</group>
      <groupName>知识性问题</groupName>
      <ability>L2_Time</ability>
      <abilityName>日期时间</abilityName>
      <candidateList>
        <item>2014年1月1日</item>
      </candidateList>
      <explain>根据日常书写习惯，月份和日期一般会省略前导零。</explain>
      <paraID> 6A17F10</paraID>
      <start>37</start>
      <end>48</end>
      <status>unmodified</status>
      <modifiedWord/>
      <trackRevisions>false</trackRevisions>
    </reviewItem>
    <reviewItem>
      <errorID>f9529aea-6153-4215-8454-e2d76814289c</errorID>
      <errorWord>2013年12月07日</errorWord>
      <group>L1_Knowledge</group>
      <groupName>知识性问题</groupName>
      <ability>L2_Time</ability>
      <abilityName>日期时间</abilityName>
      <candidateList>
        <item>2013年12月7日</item>
      </candidateList>
      <explain>根据日常书写习惯，日期一般会省略前导零。</explain>
      <paraID>4246849C</paraID>
      <start>36</start>
      <end>47</end>
      <status>unmodified</status>
      <modifiedWord/>
      <trackRevisions>false</trackRevisions>
    </reviewItem>
    <reviewItem>
      <errorID>9ed3b67e-01c7-4f11-895a-792df7704ed1</errorID>
      <errorWord>2011年01月01日</errorWord>
      <group>L1_Knowledge</group>
      <groupName>知识性问题</groupName>
      <ability>L2_Time</ability>
      <abilityName>日期时间</abilityName>
      <candidateList>
        <item>2011年1月1日</item>
      </candidateList>
      <explain>根据日常书写习惯，月份和日期一般会省略前导零。</explain>
      <paraID>47CB2BDD</paraID>
      <start>19</start>
      <end>30</end>
      <status>unmodified</status>
      <modifiedWord/>
      <trackRevisions>false</trackRevisions>
    </reviewItem>
    <reviewItem>
      <errorID>2f198fc1-16cd-4dd6-9481-8ec4458bfc49</errorID>
      <errorWord>2017年10月07日</errorWord>
      <group>L1_Knowledge</group>
      <groupName>知识性问题</groupName>
      <ability>L2_Time</ability>
      <abilityName>日期时间</abilityName>
      <candidateList>
        <item>2017年10月7日</item>
      </candidateList>
      <explain>根据日常书写习惯，日期一般会省略前导零。</explain>
      <paraID>1BFE9FD9</paraID>
      <start>21</start>
      <end>32</end>
      <status>unmodified</status>
      <modifiedWord/>
      <trackRevisions>false</trackRevisions>
    </reviewItem>
    <reviewItem>
      <errorID>bead5651-a4c6-4df6-a4e2-a73e08c51609</errorID>
      <errorWord>2019年04月01日</errorWord>
      <group>L1_Knowledge</group>
      <groupName>知识性问题</groupName>
      <ability>L2_Time</ability>
      <abilityName>日期时间</abilityName>
      <candidateList>
        <item>2019年4月1日</item>
      </candidateList>
      <explain>根据日常书写习惯，月份和日期一般会省略前导零。</explain>
      <paraID>593BA7DD</paraID>
      <start>23</start>
      <end>34</end>
      <status>unmodified</status>
      <modifiedWord/>
      <trackRevisions>false</trackRevisions>
    </reviewItem>
    <reviewItem>
      <errorID>32c1b31a-e721-47b8-b789-67ca83703125</errorID>
      <errorWord>2007年06月01日</errorWord>
      <group>L1_Knowledge</group>
      <groupName>知识性问题</groupName>
      <ability>L2_Time</ability>
      <abilityName>日期时间</abilityName>
      <candidateList>
        <item>2007年6月1日</item>
      </candidateList>
      <explain>根据日常书写习惯，月份和日期一般会省略前导零。</explain>
      <paraID>65816DDE</paraID>
      <start>28</start>
      <end>39</end>
      <status>unmodified</status>
      <modifiedWord/>
      <trackRevisions>false</trackRevisions>
    </reviewItem>
    <reviewItem>
      <errorID>f525de90-02a7-4fda-9787-54c583ab5bfb</errorID>
      <errorWord>2015年07月01日</errorWord>
      <group>L1_Knowledge</group>
      <groupName>知识性问题</groupName>
      <ability>L2_Time</ability>
      <abilityName>日期时间</abilityName>
      <candidateList>
        <item>2015年7月1日</item>
      </candidateList>
      <explain>根据日常书写习惯，月份和日期一般会省略前导零。</explain>
      <paraID>685F0983</paraID>
      <start>54</start>
      <end>65</end>
      <status>unmodified</status>
      <modifiedWord/>
      <trackRevisions>false</trackRevisions>
    </reviewItem>
    <reviewItem>
      <errorID>6cc9cf15-f41e-4dfc-8605-98ac9ae73276</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5A98C178</paraID>
      <start>1</start>
      <end>15</end>
      <status>unmodified</status>
      <modifiedWord/>
      <trackRevisions>false</trackRevisions>
    </reviewItem>
    <reviewItem>
      <errorID>1ca951b7-7951-484b-bbbe-967d23f1e7fc</errorID>
      <errorWord>2015年07月01日</errorWord>
      <group>L1_Knowledge</group>
      <groupName>知识性问题</groupName>
      <ability>L2_Time</ability>
      <abilityName>日期时间</abilityName>
      <candidateList>
        <item>2015年7月1日</item>
      </candidateList>
      <explain>根据日常书写习惯，月份和日期一般会省略前导零。</explain>
      <paraID>5A98C178</paraID>
      <start>56</start>
      <end>67</end>
      <status>unmodified</status>
      <modifiedWord/>
      <trackRevisions>false</trackRevisions>
    </reviewItem>
    <reviewItem>
      <errorID>8d1e6c53-1e89-4028-9823-9498b375649d</errorID>
      <errorWord>2015年07月01日</errorWord>
      <group>L1_Knowledge</group>
      <groupName>知识性问题</groupName>
      <ability>L2_Time</ability>
      <abilityName>日期时间</abilityName>
      <candidateList>
        <item>2015年7月1日</item>
      </candidateList>
      <explain>根据日常书写习惯，月份和日期一般会省略前导零。</explain>
      <paraID>425E04DF</paraID>
      <start>57</start>
      <end>68</end>
      <status>unmodified</status>
      <modifiedWord/>
      <trackRevisions>false</trackRevisions>
    </reviewItem>
    <reviewItem>
      <errorID>d1b6bd1d-612e-49c3-b787-8f91ca5a84d3</errorID>
      <errorWord>2019年09月01日</errorWord>
      <group>L1_Knowledge</group>
      <groupName>知识性问题</groupName>
      <ability>L2_Time</ability>
      <abilityName>日期时间</abilityName>
      <candidateList>
        <item>2019年9月1日</item>
      </candidateList>
      <explain>根据日常书写习惯，月份和日期一般会省略前导零。</explain>
      <paraID>325B31A6</paraID>
      <start>29</start>
      <end>40</end>
      <status>unmodified</status>
      <modifiedWord/>
      <trackRevisions>false</trackRevisions>
    </reviewItem>
    <reviewItem>
      <errorID>0f11ea0d-5e1c-4792-9b98-ba9863b0b3ea</errorID>
      <errorWord>2024年02月01日</errorWord>
      <group>L1_Knowledge</group>
      <groupName>知识性问题</groupName>
      <ability>L2_Time</ability>
      <abilityName>日期时间</abilityName>
      <candidateList>
        <item>2024年2月1日</item>
      </candidateList>
      <explain>根据日常书写习惯，月份和日期一般会省略前导零。</explain>
      <paraID>6048AF21</paraID>
      <start>36</start>
      <end>47</end>
      <status>unmodified</status>
      <modifiedWord/>
      <trackRevisions>false</trackRevisions>
    </reviewItem>
    <reviewItem>
      <errorID>cc6d5e71-c9ac-41b8-9f2b-d3b160a740d6</errorID>
      <errorWord>月1日实施</errorWord>
      <group>L1_Word</group>
      <groupName>字词问题</groupName>
      <ability>L2_Typo</ability>
      <abilityName>字词错误</abilityName>
      <candidateList>
        <item>月1日起实施</item>
      </candidateList>
      <explain/>
      <paraID>476C4C01</paraID>
      <start>33</start>
      <end>38</end>
      <status>unmodified</status>
      <modifiedWord/>
      <trackRevisions>false</trackRevisions>
    </reviewItem>
    <reviewItem>
      <errorID>d7612469-04ae-4dda-9f58-198fe7962987</errorID>
      <errorWord>2003年04月01日</errorWord>
      <group>L1_Knowledge</group>
      <groupName>知识性问题</groupName>
      <ability>L2_Time</ability>
      <abilityName>日期时间</abilityName>
      <candidateList>
        <item>2003年4月1日</item>
      </candidateList>
      <explain>根据日常书写习惯，月份和日期一般会省略前导零。</explain>
      <paraID>6ACADBFA</paraID>
      <start>51</start>
      <end>62</end>
      <status>unmodified</status>
      <modifiedWord/>
      <trackRevisions>false</trackRevisions>
    </reviewItem>
    <reviewItem>
      <errorID>3bd8fd7c-86be-4675-82ba-bb2f9c64ce51</errorID>
      <errorWord>理</errorWord>
      <group>L1_Word</group>
      <groupName>字词问题</groupName>
      <ability>L2_Typo</ability>
      <abilityName>字词错误</abilityName>
      <candidateList>
        <item>理总</item>
      </candidateList>
      <explain/>
      <paraID>555B9EFB</paraID>
      <start>10</start>
      <end>11</end>
      <status>unmodified</status>
      <modifiedWord/>
      <trackRevisions>false</trackRevisions>
    </reviewItem>
    <reviewItem>
      <errorID>9a6f0a60-532d-4958-8961-c04062d3d26d</errorID>
      <errorWord>&lt;</errorWord>
      <group>L1_Format</group>
      <groupName>格式问题</groupName>
      <ability>L2_HalfPunc_CN</ability>
      <abilityName>全半角问题</abilityName>
      <candidateList>
        <item>〈</item>
      </candidateList>
      <explain>文本全半角错误。</explain>
      <paraID>555B9EFB</paraID>
      <start>16</start>
      <end>17</end>
      <status>unmodified</status>
      <modifiedWord/>
      <trackRevisions>false</trackRevisions>
    </reviewItem>
    <reviewItem>
      <errorID>31d24ad9-7340-4032-b86d-fe087c1763a0</errorID>
      <errorWord>(</errorWord>
      <group>L1_Format</group>
      <groupName>格式问题</groupName>
      <ability>L2_HalfPunc_CN</ability>
      <abilityName>全半角问题</abilityName>
      <candidateList>
        <item>（</item>
      </candidateList>
      <explain>文本全半角错误。</explain>
      <paraID>555B9EFB</paraID>
      <start>32</start>
      <end>33</end>
      <status>ignored</status>
      <modifiedWord/>
      <trackRevisions>false</trackRevisions>
    </reviewItem>
    <reviewItem>
      <errorID>aaae7214-ee1b-451d-acf1-3357ece78367</errorID>
      <errorWord>)</errorWord>
      <group>L1_Format</group>
      <groupName>格式问题</groupName>
      <ability>L2_HalfPunc_CN</ability>
      <abilityName>全半角问题</abilityName>
      <candidateList>
        <item>）</item>
      </candidateList>
      <explain>文本全半角错误。</explain>
      <paraID>555B9EFB</paraID>
      <start>35</start>
      <end>36</end>
      <status>unmodified</status>
      <modifiedWord/>
      <trackRevisions>false</trackRevisions>
    </reviewItem>
    <reviewItem>
      <errorID>f05f8e15-eea5-4375-b583-2b4befe03d2c</errorID>
      <errorWord>&gt;</errorWord>
      <group>L1_Format</group>
      <groupName>格式问题</groupName>
      <ability>L2_HalfPunc_CN</ability>
      <abilityName>全半角问题</abilityName>
      <candidateList>
        <item>〉</item>
      </candidateList>
      <explain>文本全半角错误。</explain>
      <paraID>555B9EFB</paraID>
      <start>36</start>
      <end>37</end>
      <status>unmodified</status>
      <modifiedWord/>
      <trackRevisions>false</trackRevisions>
    </reviewItem>
    <reviewItem>
      <errorID>9a3bb73d-c198-4708-8f58-7fb313f707dd</errorID>
      <errorWord>〔2015〕第5号</errorWord>
      <group>L1_Knowledge</group>
      <groupName>知识性问题</groupName>
      <ability>L2_Knowledge</ability>
      <abilityName>其他知识</abilityName>
      <candidateList>
        <item>〔2015〕5号</item>
      </candidateList>
      <explain>发文字号格式错误。</explain>
      <paraID> A222C58</paraID>
      <start>36</start>
      <end>45</end>
      <status>unmodified</status>
      <modifiedWord/>
      <trackRevisions>false</trackRevisions>
    </reviewItem>
    <reviewItem>
      <errorID>134c48fd-c0dc-41f9-b88e-554004c09002</errorID>
      <errorWord>〔2022〕第8号</errorWord>
      <group>L1_Knowledge</group>
      <groupName>知识性问题</groupName>
      <ability>L2_Knowledge</ability>
      <abilityName>其他知识</abilityName>
      <candidateList>
        <item>〔2022〕8号</item>
      </candidateList>
      <explain>发文字号格式错误。</explain>
      <paraID> A222C58</paraID>
      <start>57</start>
      <end>66</end>
      <status>unmodified</status>
      <modifiedWord/>
      <trackRevisions>false</trackRevisions>
    </reviewItem>
    <reviewItem>
      <errorID>58ab346f-c13e-4c85-8824-211044f2ca1a</errorID>
      <errorWord>月1日实施</errorWord>
      <group>L1_Word</group>
      <groupName>字词问题</groupName>
      <ability>L2_Typo</ability>
      <abilityName>字词错误</abilityName>
      <candidateList>
        <item>月1日起实施</item>
      </candidateList>
      <explain/>
      <paraID> A222C58</paraID>
      <start>75</start>
      <end>80</end>
      <status>unmodified</status>
      <modifiedWord/>
      <trackRevisions>false</trackRevisions>
    </reviewItem>
    <reviewItem>
      <errorID>fa90a923-ada0-4b0a-a7cf-755b90763de3</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287CF522</paraID>
      <start>44</start>
      <end>55</end>
      <status>unmodified</status>
      <modifiedWord/>
      <trackRevisions>false</trackRevisions>
    </reviewItem>
    <reviewItem>
      <errorID>ff1c6f5b-ff8a-43f5-be29-6b2410bd370d</errorID>
      <errorWord>月1日实施</errorWord>
      <group>L1_Word</group>
      <groupName>字词问题</groupName>
      <ability>L2_Typo</ability>
      <abilityName>字词错误</abilityName>
      <candidateList>
        <item>月1日起实施</item>
      </candidateList>
      <explain/>
      <paraID>161CE650</paraID>
      <start>70</start>
      <end>75</end>
      <status>unmodified</status>
      <modifiedWord/>
      <trackRevisions>false</trackRevisions>
    </reviewItem>
    <reviewItem>
      <errorID>34470776-784c-4578-aecb-2446b4020bf1</errorID>
      <errorWord>2011年06月21日</errorWord>
      <group>L1_Knowledge</group>
      <groupName>知识性问题</groupName>
      <ability>L2_Time</ability>
      <abilityName>日期时间</abilityName>
      <candidateList>
        <item>2011年6月21日</item>
      </candidateList>
      <explain>根据日常书写习惯，月份一般会省略前导零。</explain>
      <paraID>5D072A2A</paraID>
      <start>47</start>
      <end>58</end>
      <status>unmodified</status>
      <modifiedWord/>
      <trackRevisions>false</trackRevisions>
    </reviewItem>
    <reviewItem>
      <errorID>1a1a6b75-f3a1-4468-8f20-b4f439a66fe6</errorID>
      <errorWord>2013年02月05日</errorWord>
      <group>L1_Knowledge</group>
      <groupName>知识性问题</groupName>
      <ability>L2_Time</ability>
      <abilityName>日期时间</abilityName>
      <candidateList>
        <item>2013年2月5日</item>
      </candidateList>
      <explain>根据日常书写习惯，月份和日期一般会省略前导零。</explain>
      <paraID>7F7B0E31</paraID>
      <start>47</start>
      <end>58</end>
      <status>unmodified</status>
      <modifiedWord/>
      <trackRevisions>false</trackRevisions>
    </reviewItem>
    <reviewItem>
      <errorID>271e7234-ff6b-4215-a674-f8961df4b940</errorID>
      <errorWord>月1日实施</errorWord>
      <group>L1_Word</group>
      <groupName>字词问题</groupName>
      <ability>L2_Typo</ability>
      <abilityName>字词错误</abilityName>
      <candidateList>
        <item>月1日起实施</item>
      </candidateList>
      <explain/>
      <paraID>624B5547</paraID>
      <start>67</start>
      <end>72</end>
      <status>unmodified</status>
      <modifiedWord/>
      <trackRevisions>false</trackRevisions>
    </reviewItem>
    <reviewItem>
      <errorID>3b3fab0c-e81e-4e4a-9d5a-bbb1350a1a00</errorID>
      <errorWord>2023年09月21日</errorWord>
      <group>L1_Knowledge</group>
      <groupName>知识性问题</groupName>
      <ability>L2_Time</ability>
      <abilityName>日期时间</abilityName>
      <candidateList>
        <item>2023年9月21日</item>
      </candidateList>
      <explain>根据日常书写习惯，月份一般会省略前导零。</explain>
      <paraID> E5DACCA</paraID>
      <start>45</start>
      <end>56</end>
      <status>unmodified</status>
      <modifiedWord/>
      <trackRevisions>false</trackRevisions>
    </reviewItem>
    <reviewItem>
      <errorID>577adb6e-0800-4143-8431-4108e80999ed</errorID>
      <errorWord>云南省安全生产条例</errorWord>
      <group>L1_Knowledge</group>
      <groupName>知识性问题</groupName>
      <ability>L2_Knowledge</ability>
      <abilityName>其他知识</abilityName>
      <candidateList/>
      <explain>该法规已废止，请注意检查引用是否正确。</explain>
      <paraID>3118DF2E</paraID>
      <start>1</start>
      <end>10</end>
      <status>unmodified</status>
      <modifiedWord/>
      <trackRevisions>false</trackRevisions>
    </reviewItem>
    <reviewItem>
      <errorID>d07c8caf-cc0c-4467-ae8a-e581ddbc5f94</errorID>
      <errorWord>月1日实施</errorWord>
      <group>L1_Word</group>
      <groupName>字词问题</groupName>
      <ability>L2_Typo</ability>
      <abilityName>字词错误</abilityName>
      <candidateList>
        <item>月1日起实施</item>
      </candidateList>
      <explain/>
      <paraID>75BA6104</paraID>
      <start>86</start>
      <end>91</end>
      <status>unmodified</status>
      <modifiedWord/>
      <trackRevisions>false</trackRevisions>
    </reviewItem>
    <reviewItem>
      <errorID>a09c5ee8-45b2-4cf8-a992-f283636f0e5f</errorID>
      <errorWord>月1日实施</errorWord>
      <group>L1_Word</group>
      <groupName>字词问题</groupName>
      <ability>L2_Typo</ability>
      <abilityName>字词错误</abilityName>
      <candidateList>
        <item>月1日起实施</item>
      </candidateList>
      <explain/>
      <paraID>6578D0DB</paraID>
      <start>37</start>
      <end>42</end>
      <status>unmodified</status>
      <modifiedWord/>
      <trackRevisions>false</trackRevisions>
    </reviewItem>
    <reviewItem>
      <errorID>9b48fe22-b8a2-42cd-af6e-c85641808cb0</errorID>
      <errorWord>月1日实施</errorWord>
      <group>L1_Word</group>
      <groupName>字词问题</groupName>
      <ability>L2_Typo</ability>
      <abilityName>字词错误</abilityName>
      <candidateList>
        <item>月1日起实施</item>
      </candidateList>
      <explain/>
      <paraID>360FFE62</paraID>
      <start>55</start>
      <end>60</end>
      <status>unmodified</status>
      <modifiedWord/>
      <trackRevisions>false</trackRevisions>
    </reviewItem>
    <reviewItem>
      <errorID>bd319836-d3c3-46f8-ad1d-db156124a018</errorID>
      <errorWord>月1日施行）</errorWord>
      <group>L1_Word</group>
      <groupName>字词问题</groupName>
      <ability>L2_Typo</ability>
      <abilityName>字词错误</abilityName>
      <candidateList>
        <item>月1日起施行）</item>
      </candidateList>
      <explain/>
      <paraID>48CCA097</paraID>
      <start>34</start>
      <end>40</end>
      <status>unmodified</status>
      <modifiedWord/>
      <trackRevisions>false</trackRevisions>
    </reviewItem>
    <reviewItem>
      <errorID>c08963ae-21a5-4654-afb5-735d7af2913c</errorID>
      <errorWord>月1日实施</errorWord>
      <group>L1_Word</group>
      <groupName>字词问题</groupName>
      <ability>L2_Typo</ability>
      <abilityName>字词错误</abilityName>
      <candidateList>
        <item>月1日起实施</item>
      </candidateList>
      <explain/>
      <paraID>1AFA9238</paraID>
      <start>56</start>
      <end>61</end>
      <status>unmodified</status>
      <modifiedWord/>
      <trackRevisions>false</trackRevisions>
    </reviewItem>
    <reviewItem>
      <errorID>6309c52e-400a-4397-b140-e5e22cb680de</errorID>
      <errorWord>2026年01月01日</errorWord>
      <group>L1_Knowledge</group>
      <groupName>知识性问题</groupName>
      <ability>L2_Time</ability>
      <abilityName>日期时间</abilityName>
      <candidateList>
        <item>2026年1月1日</item>
      </candidateList>
      <explain>根据日常书写习惯，月份和日期一般会省略前导零。</explain>
      <paraID> D5C1424</paraID>
      <start>26</start>
      <end>37</end>
      <status>unmodified</status>
      <modifiedWord/>
      <trackRevisions>false</trackRevisions>
    </reviewItem>
    <reviewItem>
      <errorID>5ff7a6c9-86fe-4e3e-9481-f3b145258f37</errorID>
      <errorWord>月1日实施</errorWord>
      <group>L1_Word</group>
      <groupName>字词问题</groupName>
      <ability>L2_Typo</ability>
      <abilityName>字词错误</abilityName>
      <candidateList>
        <item>月1日起实施</item>
      </candidateList>
      <explain/>
      <paraID>3C2A7D39</paraID>
      <start>42</start>
      <end>47</end>
      <status>unmodified</status>
      <modifiedWord/>
      <trackRevisions>false</trackRevisions>
    </reviewItem>
    <reviewItem>
      <errorID>2d59455a-d313-4a6a-b0db-8f09b22b37dc</errorID>
      <errorWord>法律、法规</errorWord>
      <group>L1_Word</group>
      <groupName>字词问题</groupName>
      <ability>L2_Typo</ability>
      <abilityName>字词错误</abilityName>
      <candidateList>
        <item>法律法规</item>
      </candidateList>
      <explain/>
      <paraID>65E40EA4</paraID>
      <start>70</start>
      <end>75</end>
      <status>ignored</status>
      <modifiedWord/>
      <trackRevisions>false</trackRevisions>
    </reviewItem>
    <reviewItem>
      <errorID>96976560-0778-4df2-b063-8298bfb64266</errorID>
      <errorWord>法律、法规</errorWord>
      <group>L1_Word</group>
      <groupName>字词问题</groupName>
      <ability>L2_Typo</ability>
      <abilityName>字词错误</abilityName>
      <candidateList>
        <item>法律法规</item>
      </candidateList>
      <explain/>
      <paraID>55991D38</paraID>
      <start>12</start>
      <end>17</end>
      <status>ignored</status>
      <modifiedWord/>
      <trackRevisions>false</trackRevisions>
    </reviewItem>
    <reviewItem>
      <errorID>f4c9fa6d-7d85-4424-9a83-d82055a83806</errorID>
      <errorWord>具备的安全生产</errorWord>
      <group>L1_Word</group>
      <groupName>字词问题</groupName>
      <ability>L2_Typo</ability>
      <abilityName>字词错误</abilityName>
      <candidateList>
        <item>具备安全生产</item>
      </candidateList>
      <explain/>
      <paraID>55991D38</paraID>
      <start>47</start>
      <end>54</end>
      <status>unmodified</status>
      <modifiedWord/>
      <trackRevisions>false</trackRevisions>
    </reviewItem>
    <reviewItem>
      <errorID>bc361613-c58b-42f4-8792-c3f7a3f39919</errorID>
      <errorWord>2026年08月27日</errorWord>
      <group>L1_Knowledge</group>
      <groupName>知识性问题</groupName>
      <ability>L2_Time</ability>
      <abilityName>日期时间</abilityName>
      <candidateList>
        <item>2026年8月27日</item>
      </candidateList>
      <explain>根据日常书写习惯，月份一般会省略前导零。</explain>
      <paraID>717D179A</paraID>
      <start>4</start>
      <end>15</end>
      <status>unmodified</status>
      <modifiedWord/>
      <trackRevisions>false</trackRevisions>
    </reviewItem>
    <reviewItem>
      <errorID>25f4eadb-70ad-4184-926c-acfbd79b3263</errorID>
      <errorWord>设有设</errorWord>
      <group>L1_Word</group>
      <groupName>字词问题</groupName>
      <ability>L2_Typo</ability>
      <abilityName>字词错误</abilityName>
      <candidateList>
        <item>设有</item>
      </candidateList>
      <explain/>
      <paraID>151A8B8A</paraID>
      <start>9</start>
      <end>12</end>
      <status>unmodified</status>
      <modifiedWord/>
      <trackRevisions>false</trackRevisions>
    </reviewItem>
    <reviewItem>
      <errorID>2716e0de-95a1-4ccd-8572-7b643d7f5c92</errorID>
      <errorWord>2026年06月17日</errorWord>
      <group>L1_Knowledge</group>
      <groupName>知识性问题</groupName>
      <ability>L2_Time</ability>
      <abilityName>日期时间</abilityName>
      <candidateList>
        <item>2026年6月17日</item>
      </candidateList>
      <explain>根据日常书写习惯，月份一般会省略前导零。</explain>
      <paraID> 3B6FA14</paraID>
      <start>5</start>
      <end>16</end>
      <status>unmodified</status>
      <modifiedWord/>
      <trackRevisions>false</trackRevisions>
    </reviewItem>
    <reviewItem>
      <errorID>b56ef1e7-8864-431e-9a3d-47b95c8af8c1</errorID>
      <errorWord>2023年09月04日</errorWord>
      <group>L1_Knowledge</group>
      <groupName>知识性问题</groupName>
      <ability>L2_Time</ability>
      <abilityName>日期时间</abilityName>
      <candidateList>
        <item>2023年9月4日</item>
      </candidateList>
      <explain>根据日常书写习惯，月份和日期一般会省略前导零。</explain>
      <paraID>79B131B7</paraID>
      <start>5</start>
      <end>16</end>
      <status>ignored</status>
      <modifiedWord/>
      <trackRevisions>false</trackRevisions>
    </reviewItem>
    <reviewItem>
      <errorID>50d13323-647e-4f5b-a273-0882ca4548de</errorID>
      <errorWord>2026年09月03日</errorWord>
      <group>L1_Knowledge</group>
      <groupName>知识性问题</groupName>
      <ability>L2_Time</ability>
      <abilityName>日期时间</abilityName>
      <candidateList>
        <item>2026年9月3日</item>
      </candidateList>
      <explain>根据日常书写习惯，月份和日期一般会省略前导零。</explain>
      <paraID>79B131B7</paraID>
      <start>17</start>
      <end>28</end>
      <status>ignored</status>
      <modifiedWord/>
      <trackRevisions>false</trackRevisions>
    </reviewItem>
    <reviewItem>
      <errorID>5d87f7b9-8d8e-4297-a24f-90c01d479b98</errorID>
      <errorWord>2023年09月27日</errorWord>
      <group>L1_Knowledge</group>
      <groupName>知识性问题</groupName>
      <ability>L2_Time</ability>
      <abilityName>日期时间</abilityName>
      <candidateList>
        <item>2023年9月27日</item>
      </candidateList>
      <explain>根据日常书写习惯，月份一般会省略前导零。</explain>
      <paraID>6535DD9E</paraID>
      <start>6</start>
      <end>17</end>
      <status>unmodified</status>
      <modifiedWord/>
      <trackRevisions>false</trackRevisions>
    </reviewItem>
    <reviewItem>
      <errorID>99dacd0e-9846-4d15-b301-a8ac5e68f819</errorID>
      <errorWord>土地权力</errorWord>
      <group>L1_Knowledge</group>
      <groupName>知识性问题</groupName>
      <ability>L2_Term</ability>
      <abilityName>专业术语</abilityName>
      <candidateList>
        <item>土地权属</item>
      </candidateList>
      <explain/>
      <paraID>6535DD9E</paraID>
      <start>78</start>
      <end>82</end>
      <status>unmodified</status>
      <modifiedWord/>
      <trackRevisions>false</trackRevisions>
    </reviewItem>
    <reviewItem>
      <errorID>1955af83-833e-45ac-ad2c-93517ecf5a9c</errorID>
      <errorWord>、等</errorWord>
      <group>L1_Punc</group>
      <groupName>标点问题</groupName>
      <ability>L2_Punc_CN</ability>
      <abilityName>标点符号问题</abilityName>
      <candidateList>
        <item>等</item>
      </candidateList>
      <explain>“及”“和”“等”连词前不宜使用顿号，建议删除（或使用逗号）。</explain>
      <paraID> 39E944E</paraID>
      <start>54</start>
      <end>56</end>
      <status>unmodified</status>
      <modifiedWord/>
      <trackRevisions>false</trackRevisions>
    </reviewItem>
    <reviewItem>
      <errorID>b7b6fce7-24a5-436a-85de-02fbc8415103</errorID>
      <errorWord>日至2026年</errorWord>
      <group>L1_Word</group>
      <groupName>字词问题</groupName>
      <ability>L2_Typo</ability>
      <abilityName>字词错误</abilityName>
      <candidateList>
        <item>日起至2026年</item>
      </candidateList>
      <explain/>
      <paraID>4C76FA6B</paraID>
      <start>14</start>
      <end>21</end>
      <status>unmodified</status>
      <modifiedWord/>
      <trackRevisions>false</trackRevisions>
    </reviewItem>
    <reviewItem>
      <errorID>b37395c6-d0ec-4430-9077-a8b63cce3128</errorID>
      <errorWord>江城县</errorWord>
      <group>L1_Knowledge</group>
      <groupName>知识性问题</groupName>
      <ability>L2_Location</ability>
      <abilityName>地名检查</abilityName>
      <candidateList>
        <item>江城哈尼族彝族自治县</item>
      </candidateList>
      <explain>自治区州县缩写不规范。《地名管理条例》第十八条规定，标识牌、公共平台发布的信息、各类公文证件、学习类公开出版物、地图、法律法规规定等场景范围内必须使用标准地名。</explain>
      <paraID>7B4776BD</paraID>
      <start>129</start>
      <end>132</end>
      <status>unmodified</status>
      <modifiedWord/>
      <trackRevisions>false</trackRevisions>
    </reviewItem>
    <reviewItem>
      <errorID>5e231ec1-69e4-41ca-bf6c-26ecadb973eb</errorID>
      <errorWord>年平均最低气温</errorWord>
      <group>L1_Knowledge</group>
      <groupName>知识性问题</groupName>
      <ability>L2_Term</ability>
      <abilityName>专业术语</abilityName>
      <candidateList>
        <item>月平均最低气温</item>
      </candidateList>
      <explain/>
      <paraID>3F45B20A</paraID>
      <start>79</start>
      <end>86</end>
      <status>unmodified</status>
      <modifiedWord/>
      <trackRevisions>false</trackRevisions>
    </reviewItem>
    <reviewItem>
      <errorID>661d2d0d-8537-40af-9740-15566b43608f</errorID>
      <errorWord>细沙</errorWord>
      <group>L1_Word</group>
      <groupName>字词问题</groupName>
      <ability>L2_Typo</ability>
      <abilityName>字词错误</abilityName>
      <candidateList>
        <item>细砂</item>
      </candidateList>
      <explain>存在发音相同字词的误用。</explain>
      <paraID>5C46E68B</paraID>
      <start>88</start>
      <end>90</end>
      <status>unmodified</status>
      <modifiedWord/>
      <trackRevisions>false</trackRevisions>
    </reviewItem>
    <reviewItem>
      <errorID>e20cdad2-6389-4429-bdf8-c904beefb606</errorID>
      <errorWord>设置设置</errorWord>
      <group>L1_Word</group>
      <groupName>字词问题</groupName>
      <ability>L2_Typo</ability>
      <abilityName>字词错误</abilityName>
      <candidateList>
        <item>设置</item>
      </candidateList>
      <explain/>
      <paraID>5C46E68B</paraID>
      <start>276</start>
      <end>280</end>
      <status>unmodified</status>
      <modifiedWord/>
      <trackRevisions>false</trackRevisions>
    </reviewItem>
    <reviewItem>
      <errorID>226e39a6-809a-4945-84e2-712b3781b2b2</errorID>
      <errorWord>泄露检测</errorWord>
      <group>L1_Knowledge</group>
      <groupName>知识性问题</groupName>
      <ability>L2_Term</ability>
      <abilityName>专业术语</abilityName>
      <candidateList>
        <item>泄漏检测</item>
      </candidateList>
      <explain/>
      <paraID>5C46E68B</paraID>
      <start>344</start>
      <end>348</end>
      <status>unmodified</status>
      <modifiedWord/>
      <trackRevisions>false</trackRevisions>
    </reviewItem>
    <reviewItem>
      <errorID>5370bed8-ddee-40dd-a663-90303236d4ac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13FB789B</paraID>
      <start>464</start>
      <end>467</end>
      <status>unmodified</status>
      <modifiedWord/>
      <trackRevisions>false</trackRevisions>
    </reviewItem>
    <reviewItem>
      <errorID>68b6559b-ae2a-4f93-a81f-d6b67fcec2fd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13FB789B</paraID>
      <start>471</start>
      <end>474</end>
      <status>unmodified</status>
      <modifiedWord/>
      <trackRevisions>false</trackRevisions>
    </reviewItem>
    <reviewItem>
      <errorID>0bb44999-bf60-4196-ae7a-ebcb35e0ce71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13FB789B</paraID>
      <start>478</start>
      <end>481</end>
      <status>unmodified</status>
      <modifiedWord/>
      <trackRevisions>false</trackRevisions>
    </reviewItem>
    <reviewItem>
      <errorID>bacc635f-5e94-4b9c-8fba-ad9ec7c27596</errorID>
      <errorWord>用用</errorWord>
      <group>L1_Word</group>
      <groupName>字词问题</groupName>
      <ability>L2_Typo</ability>
      <abilityName>字词错误</abilityName>
      <candidateList>
        <item>用</item>
      </candidateList>
      <explain/>
      <paraID>623225DC</paraID>
      <start>79</start>
      <end>81</end>
      <status>unmodified</status>
      <modifiedWord/>
      <trackRevisions>false</trackRevisions>
    </reviewItem>
    <reviewItem>
      <errorID>f9a3abcf-516f-49e0-a2bc-1932ccdcf1e9</errorID>
      <errorWord>溢散</errorWord>
      <group>L1_Word</group>
      <groupName>字词问题</groupName>
      <ability>L2_Typo</ability>
      <abilityName>字词错误</abilityName>
      <candidateList>
        <item>逸散</item>
      </candidateList>
      <explain/>
      <paraID>22DDFED6</paraID>
      <start>44</start>
      <end>46</end>
      <status>unmodified</status>
      <modifiedWord/>
      <trackRevisions>false</trackRevisions>
    </reviewItem>
    <reviewItem>
      <errorID>f8980454-f4ed-430a-8b0a-b94160d04454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4BBD2967</paraID>
      <start>1</start>
      <end>2</end>
      <status>unmodified</status>
      <modifiedWord/>
      <trackRevisions>false</trackRevisions>
    </reviewItem>
    <reviewItem>
      <errorID>4d7e3bdd-1fa2-4d80-b8c2-fc0fac20cbdd</errorID>
      <errorWord>设应急照明</errorWord>
      <group>L1_Word</group>
      <groupName>字词问题</groupName>
      <ability>L2_Typo</ability>
      <abilityName>字词错误</abilityName>
      <candidateList>
        <item>设置应急照明</item>
      </candidateList>
      <explain/>
      <paraID>5350A24E</paraID>
      <start>24</start>
      <end>29</end>
      <status>unmodified</status>
      <modifiedWord/>
      <trackRevisions>false</trackRevisions>
    </reviewItem>
    <reviewItem>
      <errorID>044f82c3-777a-4488-9c9e-7382ebc42ef9</errorID>
      <errorWord>作</errorWord>
      <group>L1_Word</group>
      <groupName>字词问题</groupName>
      <ability>L2_Typo</ability>
      <abilityName>字词错误</abilityName>
      <candidateList>
        <item>做</item>
      </candidateList>
      <explain>存在发音相同字词的误用。</explain>
      <paraID>13F6811A</paraID>
      <start>32</start>
      <end>33</end>
      <status>unmodified</status>
      <modifiedWord/>
      <trackRevisions>false</trackRevisions>
    </reviewItem>
    <reviewItem>
      <errorID>a1f6b88d-4d01-4f69-b677-32aa8e5fb92e</errorID>
      <errorWord>泄露检测</errorWord>
      <group>L1_Knowledge</group>
      <groupName>知识性问题</groupName>
      <ability>L2_Term</ability>
      <abilityName>专业术语</abilityName>
      <candidateList>
        <item>泄漏检测</item>
      </candidateList>
      <explain/>
      <paraID>539F2904</paraID>
      <start>17</start>
      <end>21</end>
      <status>unmodified</status>
      <modifiedWord/>
      <trackRevisions>false</trackRevisions>
    </reviewItem>
    <reviewItem>
      <errorID>47c42612-4b07-437c-bd7b-d1c70c0f7e9f</errorID>
      <errorWord>泄露检测</errorWord>
      <group>L1_Knowledge</group>
      <groupName>知识性问题</groupName>
      <ability>L2_Term</ability>
      <abilityName>专业术语</abilityName>
      <candidateList>
        <item>泄漏检测</item>
      </candidateList>
      <explain/>
      <paraID>539F2904</paraID>
      <start>34</start>
      <end>38</end>
      <status>unmodified</status>
      <modifiedWord/>
      <trackRevisions>false</trackRevisions>
    </reviewItem>
    <reviewItem>
      <errorID>eb625fdb-32eb-455c-8dcb-0626b2f4f7cc</errorID>
      <errorWord>人</errorWord>
      <group>L1_Word</group>
      <groupName>字词问题</groupName>
      <ability>L2_Typo</ability>
      <abilityName>字词错误</abilityName>
      <candidateList>
        <item>入</item>
      </candidateList>
      <explain>存在字形相近字词的误用。</explain>
      <paraID>6FED9FB1</paraID>
      <start>3</start>
      <end>4</end>
      <status>unmodified</status>
      <modifiedWord/>
      <trackRevisions>false</trackRevisions>
    </reviewItem>
    <reviewItem>
      <errorID>88c3a550-52ff-4918-9f9b-ee9dc03ac5b5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469F2F9A</paraID>
      <start>97</start>
      <end>98</end>
      <status>unmodified</status>
      <modifiedWord/>
      <trackRevisions>false</trackRevisions>
    </reviewItem>
    <reviewItem>
      <errorID>6cc127c3-163f-4ab5-bd23-db72d6ec08d8</errorID>
      <errorWord>应急物资配备</errorWord>
      <group>L1_Political</group>
      <groupName>政治性问题</groupName>
      <ability>L2_Keyword</ability>
      <abilityName>固定表述</abilityName>
      <candidateList>
        <item>应急物资储备</item>
      </candidateList>
      <explain>词汇“应急物资储备”在特定场景下为固定表述形式，请确认此处的“应急物资配备”是否存在不当。</explain>
      <paraID>469F2F9A</paraID>
      <start>119</start>
      <end>125</end>
      <status>unmodified</status>
      <modifiedWord/>
      <trackRevisions>false</trackRevisions>
    </reviewItem>
    <reviewItem>
      <errorID>ba2f666f-5abc-4e17-a493-e131b190b7e7</errorID>
      <errorWord>法律、法规</errorWord>
      <group>L1_Word</group>
      <groupName>字词问题</groupName>
      <ability>L2_Typo</ability>
      <abilityName>字词错误</abilityName>
      <candidateList>
        <item>法律法规</item>
      </candidateList>
      <explain/>
      <paraID>7B486C7F</paraID>
      <start>7</start>
      <end>12</end>
      <status>ignored</status>
      <modifiedWord/>
      <trackRevisions>false</trackRevisions>
    </reviewItem>
    <reviewItem>
      <errorID>17c83eb2-9c41-43e3-b06f-25e858b17112</errorID>
      <errorWord>针对</errorWord>
      <group>L1_Word</group>
      <groupName>字词问题</groupName>
      <ability>L2_Typo</ability>
      <abilityName>字词错误</abilityName>
      <candidateList>
        <item>对</item>
      </candidateList>
      <explain/>
      <paraID> 4294D84</paraID>
      <start>20</start>
      <end>22</end>
      <status>unmodified</status>
      <modifiedWord/>
      <trackRevisions>false</trackRevisions>
    </reviewItem>
    <reviewItem>
      <errorID>2da08176-c3c1-4dee-a285-587181eaf699</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5314595F</paraID>
      <start>1</start>
      <end>5</end>
      <status>unmodified</status>
      <modifiedWord/>
      <trackRevisions>false</trackRevisions>
    </reviewItem>
    <reviewItem>
      <errorID>f03e4c4a-019c-49bd-9b25-311817322ca2</errorID>
      <errorWord>具</errorWord>
      <group>L1_Word</group>
      <groupName>字词问题</groupName>
      <ability>L2_Typo</ability>
      <abilityName>字词错误</abilityName>
      <candidateList>
        <item>具有</item>
      </candidateList>
      <explain/>
      <paraID>55A468D9</paraID>
      <start>5</start>
      <end>6</end>
      <status>unmodified</status>
      <modifiedWord/>
      <trackRevisions>false</trackRevisions>
    </reviewItem>
    <reviewItem>
      <errorID>9e83b361-22d7-44ad-bc30-94a923accfa4</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5AE6FF8E</paraID>
      <start>77</start>
      <end>80</end>
      <status>unmodified</status>
      <modifiedWord/>
      <trackRevisions>false</trackRevisions>
    </reviewItem>
    <reviewItem>
      <errorID>acd0b406-451c-4789-a94a-5bc672cc63fa</errorID>
      <errorWord>～</errorWord>
      <group>L1_Format</group>
      <groupName>格式问题</groupName>
      <ability>L2_HalfPunc_CN</ability>
      <abilityName>全半角问题</abilityName>
      <candidateList>
        <item>~</item>
      </candidateList>
      <explain>文本全半角错误。</explain>
      <paraID>6A3D257A</paraID>
      <start>4</start>
      <end>5</end>
      <status>unmodified</status>
      <modifiedWord/>
      <trackRevisions>false</trackRevisions>
    </reviewItem>
    <reviewItem>
      <errorID>fdcf0e1e-9f81-48bf-a67a-c544a5082b26</errorID>
      <errorWord>～</errorWord>
      <group>L1_Format</group>
      <groupName>格式问题</groupName>
      <ability>L2_HalfPunc_CN</ability>
      <abilityName>全半角问题</abilityName>
      <candidateList>
        <item>~</item>
      </candidateList>
      <explain>文本全半角错误。</explain>
      <paraID>4EB0BC83</paraID>
      <start>4</start>
      <end>5</end>
      <status>unmodified</status>
      <modifiedWord/>
      <trackRevisions>false</trackRevisions>
    </reviewItem>
    <reviewItem>
      <errorID>fc84aad3-e3fa-49ac-b3d8-a6e6adfb43e6</errorID>
      <errorWord>，</errorWord>
      <group>L1_Word</group>
      <groupName>字词问题</groupName>
      <ability>L2_Typo</ability>
      <abilityName>字词错误</abilityName>
      <candidateList>
        <item>，立</item>
      </candidateList>
      <explain/>
      <paraID>34769B8D</paraID>
      <start>159</start>
      <end>160</end>
      <status>unmodified</status>
      <modifiedWord/>
      <trackRevisions>false</trackRevisions>
    </reviewItem>
    <reviewItem>
      <errorID>67c41d0e-42d3-4549-ba2b-9ddc258bc189</errorID>
      <errorWord>外逸</errorWord>
      <group>L1_Word</group>
      <groupName>字词问题</groupName>
      <ability>L2_Typo</ability>
      <abilityName>字词错误</abilityName>
      <candidateList>
        <item>外溢</item>
      </candidateList>
      <explain/>
      <paraID>5BE00F51</paraID>
      <start>100</start>
      <end>102</end>
      <status>unmodified</status>
      <modifiedWord/>
      <trackRevisions>false</trackRevisions>
    </reviewItem>
    <reviewItem>
      <errorID>c941caf6-f743-4e65-b14e-42c3aa4277e3</errorID>
      <errorWord>外逸</errorWord>
      <group>L1_Word</group>
      <groupName>字词问题</groupName>
      <ability>L2_Typo</ability>
      <abilityName>字词错误</abilityName>
      <candidateList>
        <item>外溢</item>
      </candidateList>
      <explain/>
      <paraID>256D2A34</paraID>
      <start>17</start>
      <end>19</end>
      <status>unmodified</status>
      <modifiedWord/>
      <trackRevisions>false</trackRevisions>
    </reviewItem>
    <reviewItem>
      <errorID>cdd4da5d-1b44-4710-b9f1-236246f991e9</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70FF21F4</paraID>
      <start>73</start>
      <end>76</end>
      <status>unmodified</status>
      <modifiedWord/>
      <trackRevisions>false</trackRevisions>
    </reviewItem>
    <reviewItem>
      <errorID>500f4fbb-220e-406f-913a-f433e8045076</errorID>
      <errorWord>项目中</errorWord>
      <group>L1_Word</group>
      <groupName>字词问题</groupName>
      <ability>L2_Typo</ability>
      <abilityName>字词错误</abilityName>
      <candidateList>
        <item>项目</item>
      </candidateList>
      <explain/>
      <paraID>5D94F7A2</paraID>
      <start>1</start>
      <end>4</end>
      <status>unmodified</status>
      <modifiedWord/>
      <trackRevisions>false</trackRevisions>
    </reviewItem>
    <reviewItem>
      <errorID>23c7edd1-d88b-4dd2-adf9-362b13b7d7bc</errorID>
      <errorWord>塌</errorWord>
      <group>L1_Word</group>
      <groupName>字词问题</groupName>
      <ability>L2_Typo</ability>
      <abilityName>字词错误</abilityName>
      <candidateList>
        <item>坍</item>
      </candidateList>
      <explain>存在发音相近字词的误用。</explain>
      <paraID>331F89B2</paraID>
      <start>32</start>
      <end>33</end>
      <status>unmodified</status>
      <modifiedWord/>
      <trackRevisions>false</trackRevisions>
    </reviewItem>
    <reviewItem>
      <errorID>db60f768-77ac-4c08-91c7-f649a9e6e9f2</errorID>
      <errorWord>，…，</errorWord>
      <group>L1_Punc</group>
      <groupName>标点问题</groupName>
      <ability>L2_Punc_CN</ability>
      <abilityName>标点符号问题</abilityName>
      <candidateList>
        <item>，</item>
      </candidateList>
      <explain/>
      <paraID>2F126A58</paraID>
      <start>5</start>
      <end>8</end>
      <status>unmodified</status>
      <modifiedWord/>
      <trackRevisions>false</trackRevisions>
    </reviewItem>
    <reviewItem>
      <errorID>79fe7011-7eb6-4e05-b730-03c6bac7b957</errorID>
      <errorWord>，…，</errorWord>
      <group>L1_Punc</group>
      <groupName>标点问题</groupName>
      <ability>L2_Punc_CN</ability>
      <abilityName>标点符号问题</abilityName>
      <candidateList>
        <item>，</item>
      </candidateList>
      <explain/>
      <paraID>40ADA332</paraID>
      <start>5</start>
      <end>8</end>
      <status>unmodified</status>
      <modifiedWord/>
      <trackRevisions>false</trackRevisions>
    </reviewItem>
    <reviewItem>
      <errorID>ff751d8f-7915-4c0a-a9ae-97cfcf1dd03f</errorID>
      <errorWord>&lt;</errorWord>
      <group>L1_Format</group>
      <groupName>格式问题</groupName>
      <ability>L2_HalfPunc_CN</ability>
      <abilityName>全半角问题</abilityName>
      <candidateList>
        <item>〈</item>
      </candidateList>
      <explain>文本全半角错误。</explain>
      <paraID>27D1EEC3</paraID>
      <start>52</start>
      <end>53</end>
      <status>unmodified</status>
      <modifiedWord/>
      <trackRevisions>false</trackRevisions>
    </reviewItem>
    <reviewItem>
      <errorID>d59752ce-7edb-402c-8478-c73865991369</errorID>
      <errorWord>&gt;</errorWord>
      <group>L1_Format</group>
      <groupName>格式问题</groupName>
      <ability>L2_HalfPunc_CN</ability>
      <abilityName>全半角问题</abilityName>
      <candidateList>
        <item>〉</item>
      </candidateList>
      <explain>文本全半角错误。</explain>
      <paraID>27D1EEC3</paraID>
      <start>67</start>
      <end>68</end>
      <status>unmodified</status>
      <modifiedWord/>
      <trackRevisions>false</trackRevisions>
    </reviewItem>
    <reviewItem>
      <errorID>662db636-2851-4617-9a88-193e02699073</errorID>
      <errorWord>年1月1日施行）</errorWord>
      <group>L1_Word</group>
      <groupName>字词问题</groupName>
      <ability>L2_Typo</ability>
      <abilityName>字词错误</abilityName>
      <candidateList>
        <item>年1月1日起施行）</item>
      </candidateList>
      <explain/>
      <paraID>27D1EEC3</paraID>
      <start>98</start>
      <end>106</end>
      <status>unmodified</status>
      <modifiedWord/>
      <trackRevisions>false</trackRevisions>
    </reviewItem>
    <reviewItem>
      <errorID>9aaaab66-a1a7-4680-a6ed-7962e998f0fc</errorID>
      <errorWord>辨识辨识</errorWord>
      <group>L1_Word</group>
      <groupName>字词问题</groupName>
      <ability>L2_Typo</ability>
      <abilityName>字词错误</abilityName>
      <candidateList>
        <item>辨识</item>
      </candidateList>
      <explain/>
      <paraID>406F42D9</paraID>
      <start>14</start>
      <end>18</end>
      <status>unmodified</status>
      <modifiedWord/>
      <trackRevisions>false</trackRevisions>
    </reviewItem>
    <reviewItem>
      <errorID>607e81e5-9c9b-4f1a-a14f-47fb77e8348e</errorID>
      <errorWord>（2011）95号</errorWord>
      <group>L1_Knowledge</group>
      <groupName>知识性问题</groupName>
      <ability>L2_Knowledge</ability>
      <abilityName>其他知识</abilityName>
      <candidateList>
        <item>〔2011〕95号</item>
      </candidateList>
      <explain>发文字号格式错误。</explain>
      <paraID> E90CC50</paraID>
      <start>24</start>
      <end>33</end>
      <status>unmodified</status>
      <modifiedWord/>
      <trackRevisions>false</trackRevisions>
    </reviewItem>
    <reviewItem>
      <errorID>ae6fd11e-bfe2-4170-b497-2f1043181aaf</errorID>
      <errorWord>，</errorWord>
      <group>L1_Word</group>
      <groupName>字词问题</groupName>
      <ability>L2_Typo</ability>
      <abilityName>字词错误</abilityName>
      <candidateList>
        <item>，以</item>
      </candidateList>
      <explain/>
      <paraID>40DB4E8A</paraID>
      <start>9</start>
      <end>10</end>
      <status>unmodified</status>
      <modifiedWord/>
      <trackRevisions>false</trackRevisions>
    </reviewItem>
    <reviewItem>
      <errorID>f6cf1863-b507-44cb-bb70-99137c32acae</errorID>
      <errorWord>接</errorWord>
      <group>L1_Word</group>
      <groupName>字词问题</groupName>
      <ability>L2_Typo</ability>
      <abilityName>字词错误</abilityName>
      <candidateList>
        <item>接到</item>
      </candidateList>
      <explain/>
      <paraID>4F0AED4A</paraID>
      <start>56</start>
      <end>57</end>
      <status>unmodified</status>
      <modifiedWord/>
      <trackRevisions>false</trackRevisions>
    </reviewItem>
    <reviewItem>
      <errorID>4960c7a6-c226-467f-aa34-5f0a0a88dfd0</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11A0EE22</paraID>
      <start>18</start>
      <end>32</end>
      <status>unmodified</status>
      <modifiedWord/>
      <trackRevisions>false</trackRevisions>
    </reviewItem>
    <reviewItem>
      <errorID>e1fdf71e-e471-4ac2-8507-caca016a888a</errorID>
      <errorWord>云南省安全生产条例</errorWord>
      <group>L1_Knowledge</group>
      <groupName>知识性问题</groupName>
      <ability>L2_Knowledge</ability>
      <abilityName>其他知识</abilityName>
      <candidateList/>
      <explain>该法规已废止，请注意检查引用是否正确。</explain>
      <paraID> A7CA6AD</paraID>
      <start>1</start>
      <end>10</end>
      <status>unmodified</status>
      <modifiedWord/>
      <trackRevisions>false</trackRevisions>
    </reviewItem>
    <reviewItem>
      <errorID>82bcdfcc-6d4c-4802-ba36-c20bddc4e3a1</errorID>
      <errorWord>云南省安全生产条例</errorWord>
      <group>L1_Knowledge</group>
      <groupName>知识性问题</groupName>
      <ability>L2_Knowledge</ability>
      <abilityName>其他知识</abilityName>
      <candidateList/>
      <explain>该法规已废止，请注意检查引用是否正确。</explain>
      <paraID>2F12F685</paraID>
      <start>1</start>
      <end>10</end>
      <status>unmodified</status>
      <modifiedWord/>
      <trackRevisions>false</trackRevisions>
    </reviewItem>
    <reviewItem>
      <errorID>cb5d1bf7-bc1c-4568-bf42-be359638e22f</errorID>
      <errorWord>云南省安全生产条例</errorWord>
      <group>L1_Knowledge</group>
      <groupName>知识性问题</groupName>
      <ability>L2_Knowledge</ability>
      <abilityName>其他知识</abilityName>
      <candidateList/>
      <explain>该法规已废止，请注意检查引用是否正确。</explain>
      <paraID>1B42EAF4</paraID>
      <start>1</start>
      <end>10</end>
      <status>unmodified</status>
      <modifiedWord/>
      <trackRevisions>false</trackRevisions>
    </reviewItem>
    <reviewItem>
      <errorID>6ebbf550-9101-4e4e-922a-8c723dc5836c</errorID>
      <errorWord>有关的安全生产</errorWord>
      <group>L1_Word</group>
      <groupName>字词问题</groupName>
      <ability>L2_Typo</ability>
      <abilityName>字词错误</abilityName>
      <candidateList>
        <item>有关安全生产</item>
      </candidateList>
      <explain/>
      <paraID>5B7E83C4</paraID>
      <start>45</start>
      <end>52</end>
      <status>unmodified</status>
      <modifiedWord/>
      <trackRevisions>false</trackRevisions>
    </reviewItem>
    <reviewItem>
      <errorID>18927b20-b601-4df7-b204-a89640fa66f3</errorID>
      <errorWord>云南省安全生产条例</errorWord>
      <group>L1_Knowledge</group>
      <groupName>知识性问题</groupName>
      <ability>L2_Knowledge</ability>
      <abilityName>其他知识</abilityName>
      <candidateList/>
      <explain>该法规已废止，请注意检查引用是否正确。</explain>
      <paraID>3EC44646</paraID>
      <start>1</start>
      <end>10</end>
      <status>unmodified</status>
      <modifiedWord/>
      <trackRevisions>false</trackRevisions>
    </reviewItem>
    <reviewItem>
      <errorID>c6bd35cb-e607-4c5e-b896-4abddd63393a</errorID>
      <errorWord>云南省安全生产条例</errorWord>
      <group>L1_Knowledge</group>
      <groupName>知识性问题</groupName>
      <ability>L2_Knowledge</ability>
      <abilityName>其他知识</abilityName>
      <candidateList/>
      <explain>该法规已废止，请注意检查引用是否正确。</explain>
      <paraID>7B40DA26</paraID>
      <start>1</start>
      <end>10</end>
      <status>unmodified</status>
      <modifiedWord/>
      <trackRevisions>false</trackRevisions>
    </reviewItem>
    <reviewItem>
      <errorID>1b52c371-1f3e-4b4e-b465-e202f115b54a</errorID>
      <errorWord>云南省安全生产条例</errorWord>
      <group>L1_Knowledge</group>
      <groupName>知识性问题</groupName>
      <ability>L2_Knowledge</ability>
      <abilityName>其他知识</abilityName>
      <candidateList/>
      <explain>该法规已废止，请注意检查引用是否正确。</explain>
      <paraID>7ED4FBB9</paraID>
      <start>1</start>
      <end>10</end>
      <status>unmodified</status>
      <modifiedWord/>
      <trackRevisions>false</trackRevisions>
    </reviewItem>
    <reviewItem>
      <errorID>429f5afe-3c80-464b-a397-1663ee8e0845</errorID>
      <errorWord>云南省安全生产条例</errorWord>
      <group>L1_Knowledge</group>
      <groupName>知识性问题</groupName>
      <ability>L2_Knowledge</ability>
      <abilityName>其他知识</abilityName>
      <candidateList/>
      <explain>该法规已废止，请注意检查引用是否正确。</explain>
      <paraID>1478DB72</paraID>
      <start>1</start>
      <end>10</end>
      <status>unmodified</status>
      <modifiedWord/>
      <trackRevisions>false</trackRevisions>
    </reviewItem>
    <reviewItem>
      <errorID>a5e90049-c0f2-4139-81a3-7b3c1ba972ed</errorID>
      <errorWord>云南省安全生产条例</errorWord>
      <group>L1_Knowledge</group>
      <groupName>知识性问题</groupName>
      <ability>L2_Knowledge</ability>
      <abilityName>其他知识</abilityName>
      <candidateList/>
      <explain>该法规已废止，请注意检查引用是否正确。</explain>
      <paraID>1A8272EE</paraID>
      <start>1</start>
      <end>10</end>
      <status>unmodified</status>
      <modifiedWord/>
      <trackRevisions>false</trackRevisions>
    </reviewItem>
    <reviewItem>
      <errorID>3e9633d3-a8c1-4110-98eb-45995f00966b</errorID>
      <errorWord>；</errorWord>
      <group>L1_Word</group>
      <groupName>字词问题</groupName>
      <ability>L2_Typo</ability>
      <abilityName>字词错误</abilityName>
      <candidateList>
        <item>；具</item>
      </candidateList>
      <explain/>
      <paraID>7EB80FF2</paraID>
      <start>24</start>
      <end>25</end>
      <status>unmodified</status>
      <modifiedWord/>
      <trackRevisions>false</trackRevisions>
    </reviewItem>
    <reviewItem>
      <errorID>b8b7991e-4886-4202-9a68-ed1b251dafab</errorID>
      <errorWord>（</errorWord>
      <group>L1_Format</group>
      <groupName>格式问题</groupName>
      <ability>L2_HalfPunc_CN</ability>
      <abilityName>全半角问题</abilityName>
      <candidateList>
        <item>(</item>
      </candidateList>
      <explain>文本全半角错误。</explain>
      <paraID>3BB42507</paraID>
      <start>0</start>
      <end>1</end>
      <status>unmodified</status>
      <modifiedWord/>
      <trackRevisions>false</trackRevisions>
    </reviewItem>
    <reviewItem>
      <errorID>617e6f85-d2d9-47bd-bb22-66303ab797f6</errorID>
      <errorWord>）</errorWord>
      <group>L1_Format</group>
      <groupName>格式问题</groupName>
      <ability>L2_HalfPunc_CN</ability>
      <abilityName>全半角问题</abilityName>
      <candidateList>
        <item>)</item>
      </candidateList>
      <explain>文本全半角错误。</explain>
      <paraID>3BB42507</paraID>
      <start>14</start>
      <end>15</end>
      <status>unmodified</status>
      <modifiedWord/>
      <trackRevisions>false</trackRevisions>
    </reviewItem>
    <reviewItem>
      <errorID>18bcf133-f6ed-4d26-9c3b-8833d208e598</errorID>
      <errorWord>并有相关责任人</errorWord>
      <group>L1_Word</group>
      <groupName>字词问题</groupName>
      <ability>L2_Typo</ability>
      <abilityName>字词错误</abilityName>
      <candidateList>
        <item>并由相关责任人</item>
      </candidateList>
      <explain/>
      <paraID> E38AB19</paraID>
      <start>18</start>
      <end>25</end>
      <status>unmodified</status>
      <modifiedWord/>
      <trackRevisions>false</trackRevisions>
    </reviewItem>
    <reviewItem>
      <errorID>fa01cc76-9c7d-40a4-9fd7-c56964be2a0b</errorID>
      <errorWord>设设</errorWord>
      <group>L1_Word</group>
      <groupName>字词问题</groupName>
      <ability>L2_Typo</ability>
      <abilityName>字词错误</abilityName>
      <candidateList>
        <item>设</item>
      </candidateList>
      <explain/>
      <paraID>2467B5D4</paraID>
      <start>2</start>
      <end>4</end>
      <status>unmodified</status>
      <modifiedWord/>
      <trackRevisions>false</trackRevisions>
    </reviewItem>
    <reviewItem>
      <errorID>32febc70-7b9a-4887-a47a-52a7ccb6dfc6</errorID>
      <errorWord>.</errorWord>
      <group>L1_Format</group>
      <groupName>格式问题</groupName>
      <ability>L2_HalfPunc_CN</ability>
      <abilityName>全半角问题</abilityName>
      <candidateList>
        <item>。</item>
      </candidateList>
      <explain>文本全半角错误。</explain>
      <paraID> AC9CE6B</paraID>
      <start>25</start>
      <end>26</end>
      <status>unmodified</status>
      <modifiedWord/>
      <trackRevisions>false</trackRevisions>
    </reviewItem>
    <reviewItem>
      <errorID>281e1075-377c-4565-ada2-f279fc7cec77</errorID>
      <errorWord>橇</errorWord>
      <group>L1_Word</group>
      <groupName>字词问题</groupName>
      <ability>L2_Typo</ability>
      <abilityName>字词错误</abilityName>
      <candidateList>
        <item>撬</item>
      </candidateList>
      <explain>存在发音相同字词的误用。</explain>
      <paraID>48B13C1C</paraID>
      <start>3</start>
      <end>4</end>
      <status>unmodified</status>
      <modifiedWord/>
      <trackRevisions>false</trackRevisions>
    </reviewItem>
    <reviewItem>
      <errorID>4b7fad19-4fc3-4f02-8cd6-16ac34da8f95</errorID>
      <errorWord>）</errorWord>
      <group>L1_Punc</group>
      <groupName>标点问题</groupName>
      <ability>L2_Punc_CN</ability>
      <abilityName>标点符号问题</abilityName>
      <candidateList/>
      <explain/>
      <paraID>1EF63286</paraID>
      <start>0</start>
      <end>1</end>
      <status>unmodified</status>
      <modifiedWord/>
      <trackRevisions>false</trackRevisions>
    </reviewItem>
    <reviewItem>
      <errorID>37ad1391-9dfc-425e-8044-f93709f91793</errorID>
      <errorWord>）</errorWord>
      <group>L1_Punc</group>
      <groupName>标点问题</groupName>
      <ability>L2_Punc_CN</ability>
      <abilityName>标点符号问题</abilityName>
      <candidateList/>
      <explain/>
      <paraID>1A6FFDC1</paraID>
      <start>0</start>
      <end>1</end>
      <status>unmodified</status>
      <modifiedWord/>
      <trackRevisions>false</trackRevisions>
    </reviewItem>
    <reviewItem>
      <errorID>72ff5c57-7c08-494c-bdb6-f89592c96bdb</errorID>
      <errorWord>的连结</errorWord>
      <group>L1_Word</group>
      <groupName>字词问题</groupName>
      <ability>L2_Alias</ability>
      <abilityName>也作/曾用词</abilityName>
      <candidateList>
        <item>的联结</item>
      </candidateList>
      <explain>词汇[的连结]为不规范表述或旧称，其规范书面表述为[的联结]。</explain>
      <paraID>38B1FE5A</paraID>
      <start>74</start>
      <end>77</end>
      <status>unmodified</status>
      <modifiedWord/>
      <trackRevisions>false</trackRevisions>
    </reviewItem>
    <reviewItem>
      <errorID>588ce5d4-ebe9-4f11-9d56-74bc7bfea7a8</errorID>
      <errorWord>防直</errorWord>
      <group>L1_Word</group>
      <groupName>字词问题</groupName>
      <ability>L2_Typo</ability>
      <abilityName>字词错误</abilityName>
      <candidateList>
        <item>防止</item>
      </candidateList>
      <explain/>
      <paraID>58C9FF1B</paraID>
      <start>23</start>
      <end>25</end>
      <status>unmodified</status>
      <modifiedWord/>
      <trackRevisions>false</trackRevisions>
    </reviewItem>
    <reviewItem>
      <errorID>35c973e7-9635-42f6-bbf1-dfeea17ca03a</errorID>
      <errorWord>适</errorWord>
      <group>L1_Word</group>
      <groupName>字词问题</groupName>
      <ability>L2_Typo</ability>
      <abilityName>字词错误</abilityName>
      <candidateList>
        <item>适应</item>
      </candidateList>
      <explain/>
      <paraID>6EE8B558</paraID>
      <start>12</start>
      <end>13</end>
      <status>unmodified</status>
      <modifiedWord/>
      <trackRevisions>false</trackRevisions>
    </reviewItem>
    <reviewItem>
      <errorID>df2d16e3-4809-479b-a594-edd9bdd1fd15</errorID>
      <errorWord>外逸</errorWord>
      <group>L1_Word</group>
      <groupName>字词问题</groupName>
      <ability>L2_Typo</ability>
      <abilityName>字词错误</abilityName>
      <candidateList>
        <item>外溢</item>
      </candidateList>
      <explain/>
      <paraID>541B6C2F</paraID>
      <start>53</start>
      <end>55</end>
      <status>unmodified</status>
      <modifiedWord/>
      <trackRevisions>false</trackRevisions>
    </reviewItem>
    <reviewItem>
      <errorID>c0951a44-4b21-476f-9f41-3c80aa27fa40</errorID>
      <errorWord>报警器连锁</errorWord>
      <group>L1_Word</group>
      <groupName>字词问题</groupName>
      <ability>L2_Typo</ability>
      <abilityName>字词错误</abilityName>
      <candidateList>
        <item>报警器联锁</item>
      </candidateList>
      <explain/>
      <paraID>4BC4C6B0</paraID>
      <start>79</start>
      <end>84</end>
      <status>unmodified</status>
      <modifiedWord/>
      <trackRevisions>false</trackRevisions>
    </reviewItem>
    <reviewItem>
      <errorID>0e756449-7797-4474-abc5-c6cc580990c7</errorID>
      <errorWord>(</errorWord>
      <group>L1_Format</group>
      <groupName>格式问题</groupName>
      <ability>L2_HalfPunc_CN</ability>
      <abilityName>全半角问题</abilityName>
      <candidateList>
        <item>（</item>
      </candidateList>
      <explain>文本全半角错误。</explain>
      <paraID> 8E95AE2</paraID>
      <start>24</start>
      <end>25</end>
      <status>ignored</status>
      <modifiedWord/>
      <trackRevisions>false</trackRevisions>
    </reviewItem>
    <reviewItem>
      <errorID>03a2ce0e-01b1-48ab-9ee7-1c7207e3e17c</errorID>
      <errorWord>)</errorWord>
      <group>L1_Format</group>
      <groupName>格式问题</groupName>
      <ability>L2_HalfPunc_CN</ability>
      <abilityName>全半角问题</abilityName>
      <candidateList>
        <item>）</item>
      </candidateList>
      <explain>文本全半角错误。</explain>
      <paraID> 8E95AE2</paraID>
      <start>30</start>
      <end>31</end>
      <status>unmodified</status>
      <modifiedWord/>
      <trackRevisions>false</trackRevisions>
    </reviewItem>
    <reviewItem>
      <errorID>ed6edda0-e874-4c11-896c-88b9843fcd65</errorID>
      <errorWord>(</errorWord>
      <group>L1_Format</group>
      <groupName>格式问题</groupName>
      <ability>L2_HalfPunc_CN</ability>
      <abilityName>全半角问题</abilityName>
      <candidateList>
        <item>（</item>
      </candidateList>
      <explain>文本全半角错误。</explain>
      <paraID>1EFEA063</paraID>
      <start>15</start>
      <end>16</end>
      <status>ignored</status>
      <modifiedWord/>
      <trackRevisions>false</trackRevisions>
    </reviewItem>
    <reviewItem>
      <errorID>3c113025-4a94-4cae-b2b0-a482a1fb8ca8</errorID>
      <errorWord>)</errorWord>
      <group>L1_Format</group>
      <groupName>格式问题</groupName>
      <ability>L2_HalfPunc_CN</ability>
      <abilityName>全半角问题</abilityName>
      <candidateList>
        <item>）</item>
      </candidateList>
      <explain>文本全半角错误。</explain>
      <paraID>1EFEA063</paraID>
      <start>27</start>
      <end>28</end>
      <status>unmodified</status>
      <modifiedWord/>
      <trackRevisions>false</trackRevisions>
    </reviewItem>
    <reviewItem>
      <errorID>a366ca7f-0754-4b4d-912a-4ef9916de501</errorID>
      <errorWord>未</errorWord>
      <group>L1_Word</group>
      <groupName>字词问题</groupName>
      <ability>L2_Typo</ability>
      <abilityName>字词错误</abilityName>
      <candidateList>
        <item>为</item>
      </candidateList>
      <explain/>
      <paraID>3E540F82</paraID>
      <start>9</start>
      <end>10</end>
      <status>unmodified</status>
      <modifiedWord/>
      <trackRevisions>false</trackRevisions>
    </reviewItem>
    <reviewItem>
      <errorID>08231629-769c-4184-9a2c-79259383381f</errorID>
      <errorWord>(</errorWord>
      <group>L1_Format</group>
      <groupName>格式问题</groupName>
      <ability>L2_HalfPunc_CN</ability>
      <abilityName>全半角问题</abilityName>
      <candidateList>
        <item>（</item>
      </candidateList>
      <explain>文本全半角错误。</explain>
      <paraID>4C37C43F</paraID>
      <start>18</start>
      <end>19</end>
      <status>ignored</status>
      <modifiedWord/>
      <trackRevisions>false</trackRevisions>
    </reviewItem>
    <reviewItem>
      <errorID>d44c874c-08c9-4237-b58e-aab9efa30a86</errorID>
      <errorWord>)</errorWord>
      <group>L1_Format</group>
      <groupName>格式问题</groupName>
      <ability>L2_HalfPunc_CN</ability>
      <abilityName>全半角问题</abilityName>
      <candidateList>
        <item>）</item>
      </candidateList>
      <explain>文本全半角错误。</explain>
      <paraID>4C37C43F</paraID>
      <start>26</start>
      <end>27</end>
      <status>unmodified</status>
      <modifiedWord/>
      <trackRevisions>false</trackRevisions>
    </reviewItem>
    <reviewItem>
      <errorID>64d9c0d0-97c8-4b4a-b01a-47ec68cf4684</errorID>
      <errorWord>(</errorWord>
      <group>L1_Format</group>
      <groupName>格式问题</groupName>
      <ability>L2_HalfPunc_CN</ability>
      <abilityName>全半角问题</abilityName>
      <candidateList>
        <item>（</item>
      </candidateList>
      <explain>文本全半角错误。</explain>
      <paraID>4C37C43F</paraID>
      <start>42</start>
      <end>43</end>
      <status>ignored</status>
      <modifiedWord/>
      <trackRevisions>false</trackRevisions>
    </reviewItem>
    <reviewItem>
      <errorID>a1264242-d3a1-49fd-9104-c7b35f1efbc8</errorID>
      <errorWord>)</errorWord>
      <group>L1_Format</group>
      <groupName>格式问题</groupName>
      <ability>L2_HalfPunc_CN</ability>
      <abilityName>全半角问题</abilityName>
      <candidateList>
        <item>）</item>
      </candidateList>
      <explain>文本全半角错误。</explain>
      <paraID>4C37C43F</paraID>
      <start>44</start>
      <end>45</end>
      <status>unmodified</status>
      <modifiedWord/>
      <trackRevisions>false</trackRevisions>
    </reviewItem>
    <reviewItem>
      <errorID>3e22bab7-5c4d-4574-98fb-9e1dd286f8f9</errorID>
      <errorWord>(</errorWord>
      <group>L1_Format</group>
      <groupName>格式问题</groupName>
      <ability>L2_HalfPunc_CN</ability>
      <abilityName>全半角问题</abilityName>
      <candidateList>
        <item>（</item>
      </candidateList>
      <explain>文本全半角错误。</explain>
      <paraID>2C0EAD84</paraID>
      <start>22</start>
      <end>23</end>
      <status>ignored</status>
      <modifiedWord/>
      <trackRevisions>false</trackRevisions>
    </reviewItem>
    <reviewItem>
      <errorID>2a0182ed-8ccd-46f0-996a-eee9852b8a22</errorID>
      <errorWord>)</errorWord>
      <group>L1_Format</group>
      <groupName>格式问题</groupName>
      <ability>L2_HalfPunc_CN</ability>
      <abilityName>全半角问题</abilityName>
      <candidateList>
        <item>）</item>
      </candidateList>
      <explain>文本全半角错误。</explain>
      <paraID>2C0EAD84</paraID>
      <start>30</start>
      <end>31</end>
      <status>unmodified</status>
      <modifiedWord/>
      <trackRevisions>false</trackRevisions>
    </reviewItem>
    <reviewItem>
      <errorID>66ca87d3-bec8-4aed-9c75-468c1215ecab</errorID>
      <errorWord>(</errorWord>
      <group>L1_Format</group>
      <groupName>格式问题</groupName>
      <ability>L2_HalfPunc_CN</ability>
      <abilityName>全半角问题</abilityName>
      <candidateList>
        <item>（</item>
      </candidateList>
      <explain>文本全半角错误。</explain>
      <paraID>2C0EAD84</paraID>
      <start>46</start>
      <end>47</end>
      <status>ignored</status>
      <modifiedWord/>
      <trackRevisions>false</trackRevisions>
    </reviewItem>
    <reviewItem>
      <errorID>4764f94d-daf9-4698-a0a7-48cd546ab5cd</errorID>
      <errorWord>)</errorWord>
      <group>L1_Format</group>
      <groupName>格式问题</groupName>
      <ability>L2_HalfPunc_CN</ability>
      <abilityName>全半角问题</abilityName>
      <candidateList>
        <item>）</item>
      </candidateList>
      <explain>文本全半角错误。</explain>
      <paraID>2C0EAD84</paraID>
      <start>48</start>
      <end>49</end>
      <status>unmodified</status>
      <modifiedWord/>
      <trackRevisions>false</trackRevisions>
    </reviewItem>
    <reviewItem>
      <errorID>ebe9fecc-71bb-4fb8-80cd-abc14bcfd3c6</errorID>
      <errorWord>(</errorWord>
      <group>L1_Format</group>
      <groupName>格式问题</groupName>
      <ability>L2_HalfPunc_CN</ability>
      <abilityName>全半角问题</abilityName>
      <candidateList>
        <item>（</item>
      </candidateList>
      <explain>文本全半角错误。</explain>
      <paraID>588C1ED4</paraID>
      <start>16</start>
      <end>17</end>
      <status>ignored</status>
      <modifiedWord/>
      <trackRevisions>false</trackRevisions>
    </reviewItem>
    <reviewItem>
      <errorID>f0d1d92f-e50b-40e2-9076-7d503139028c</errorID>
      <errorWord>)</errorWord>
      <group>L1_Format</group>
      <groupName>格式问题</groupName>
      <ability>L2_HalfPunc_CN</ability>
      <abilityName>全半角问题</abilityName>
      <candidateList>
        <item>）</item>
      </candidateList>
      <explain>文本全半角错误。</explain>
      <paraID>588C1ED4</paraID>
      <start>18</start>
      <end>19</end>
      <status>unmodified</status>
      <modifiedWord/>
      <trackRevisions>false</trackRevisions>
    </reviewItem>
    <reviewItem>
      <errorID>e53a9cb0-eb82-4a86-88a9-8feb53619c0c</errorID>
      <errorWord>(</errorWord>
      <group>L1_Format</group>
      <groupName>格式问题</groupName>
      <ability>L2_HalfPunc_CN</ability>
      <abilityName>全半角问题</abilityName>
      <candidateList>
        <item>（</item>
      </candidateList>
      <explain>文本全半角错误。</explain>
      <paraID>588C1ED4</paraID>
      <start>22</start>
      <end>23</end>
      <status>ignored</status>
      <modifiedWord/>
      <trackRevisions>false</trackRevisions>
    </reviewItem>
    <reviewItem>
      <errorID>a68cbd73-cdd1-4ae1-b010-ee648247b491</errorID>
      <errorWord>)</errorWord>
      <group>L1_Format</group>
      <groupName>格式问题</groupName>
      <ability>L2_HalfPunc_CN</ability>
      <abilityName>全半角问题</abilityName>
      <candidateList>
        <item>）</item>
      </candidateList>
      <explain>文本全半角错误。</explain>
      <paraID>588C1ED4</paraID>
      <start>34</start>
      <end>35</end>
      <status>unmodified</status>
      <modifiedWord/>
      <trackRevisions>false</trackRevisions>
    </reviewItem>
    <reviewItem>
      <errorID>0b6c6a6f-deef-4836-93a0-ff2c1dcca1b7</errorID>
      <errorWord>(</errorWord>
      <group>L1_Format</group>
      <groupName>格式问题</groupName>
      <ability>L2_HalfPunc_CN</ability>
      <abilityName>全半角问题</abilityName>
      <candidateList>
        <item>（</item>
      </candidateList>
      <explain>文本全半角错误。</explain>
      <paraID>5152901D</paraID>
      <start>33</start>
      <end>34</end>
      <status>ignored</status>
      <modifiedWord/>
      <trackRevisions>false</trackRevisions>
    </reviewItem>
    <reviewItem>
      <errorID>5c08a61d-046c-4c50-9bf6-36e8b4ea2637</errorID>
      <errorWord>)</errorWord>
      <group>L1_Format</group>
      <groupName>格式问题</groupName>
      <ability>L2_HalfPunc_CN</ability>
      <abilityName>全半角问题</abilityName>
      <candidateList>
        <item>）</item>
      </candidateList>
      <explain>文本全半角错误。</explain>
      <paraID>5152901D</paraID>
      <start>36</start>
      <end>37</end>
      <status>unmodified</status>
      <modifiedWord/>
      <trackRevisions>false</trackRevisions>
    </reviewItem>
    <reviewItem>
      <errorID>98544e7a-0485-40af-a975-9e6f326c0514</errorID>
      <errorWord>(</errorWord>
      <group>L1_Format</group>
      <groupName>格式问题</groupName>
      <ability>L2_HalfPunc_CN</ability>
      <abilityName>全半角问题</abilityName>
      <candidateList>
        <item>（</item>
      </candidateList>
      <explain>文本全半角错误。</explain>
      <paraID>5152901D</paraID>
      <start>55</start>
      <end>56</end>
      <status>ignored</status>
      <modifiedWord/>
      <trackRevisions>false</trackRevisions>
    </reviewItem>
    <reviewItem>
      <errorID>15cbe0f9-9d40-4877-bbb6-70f8f9f76bb7</errorID>
      <errorWord>)</errorWord>
      <group>L1_Format</group>
      <groupName>格式问题</groupName>
      <ability>L2_HalfPunc_CN</ability>
      <abilityName>全半角问题</abilityName>
      <candidateList>
        <item>）</item>
      </candidateList>
      <explain>文本全半角错误。</explain>
      <paraID>5152901D</paraID>
      <start>58</start>
      <end>59</end>
      <status>unmodified</status>
      <modifiedWord/>
      <trackRevisions>false</trackRevisions>
    </reviewItem>
    <reviewItem>
      <errorID>0bfb1ff3-7038-43d4-900b-630ffa33fe7f</errorID>
      <errorWord>(</errorWord>
      <group>L1_Format</group>
      <groupName>格式问题</groupName>
      <ability>L2_HalfPunc_CN</ability>
      <abilityName>全半角问题</abilityName>
      <candidateList>
        <item>（</item>
      </candidateList>
      <explain>文本全半角错误。</explain>
      <paraID> EA6A758</paraID>
      <start>27</start>
      <end>28</end>
      <status>ignored</status>
      <modifiedWord/>
      <trackRevisions>false</trackRevisions>
    </reviewItem>
    <reviewItem>
      <errorID>dd25051e-7b47-4ce9-978f-abe192891bbe</errorID>
      <errorWord>)</errorWord>
      <group>L1_Format</group>
      <groupName>格式问题</groupName>
      <ability>L2_HalfPunc_CN</ability>
      <abilityName>全半角问题</abilityName>
      <candidateList>
        <item>）</item>
      </candidateList>
      <explain>文本全半角错误。</explain>
      <paraID> EA6A758</paraID>
      <start>35</start>
      <end>36</end>
      <status>unmodified</status>
      <modifiedWord/>
      <trackRevisions>false</trackRevisions>
    </reviewItem>
    <reviewItem>
      <errorID>344e524a-19f0-4958-bdd5-2db06d3468fa</errorID>
      <errorWord>(</errorWord>
      <group>L1_Format</group>
      <groupName>格式问题</groupName>
      <ability>L2_HalfPunc_CN</ability>
      <abilityName>全半角问题</abilityName>
      <candidateList>
        <item>（</item>
      </candidateList>
      <explain>文本全半角错误。</explain>
      <paraID> EA6A758</paraID>
      <start>52</start>
      <end>53</end>
      <status>ignored</status>
      <modifiedWord/>
      <trackRevisions>false</trackRevisions>
    </reviewItem>
    <reviewItem>
      <errorID>24e3a7b1-0e99-4834-8fed-cfb86846f24c</errorID>
      <errorWord>)</errorWord>
      <group>L1_Format</group>
      <groupName>格式问题</groupName>
      <ability>L2_HalfPunc_CN</ability>
      <abilityName>全半角问题</abilityName>
      <candidateList>
        <item>）</item>
      </candidateList>
      <explain>文本全半角错误。</explain>
      <paraID> EA6A758</paraID>
      <start>59</start>
      <end>60</end>
      <status>unmodified</status>
      <modifiedWord/>
      <trackRevisions>false</trackRevisions>
    </reviewItem>
    <reviewItem>
      <errorID>44648877-c578-4d17-ac09-70eca5dd2fc9</errorID>
      <errorWord>(</errorWord>
      <group>L1_Format</group>
      <groupName>格式问题</groupName>
      <ability>L2_HalfPunc_CN</ability>
      <abilityName>全半角问题</abilityName>
      <candidateList>
        <item>（</item>
      </candidateList>
      <explain>文本全半角错误。</explain>
      <paraID> EA6A758</paraID>
      <start>77</start>
      <end>78</end>
      <status>ignored</status>
      <modifiedWord/>
      <trackRevisions>false</trackRevisions>
    </reviewItem>
    <reviewItem>
      <errorID>4646f1fa-c795-4384-a0fa-741399ac1d8b</errorID>
      <errorWord>)</errorWord>
      <group>L1_Format</group>
      <groupName>格式问题</groupName>
      <ability>L2_HalfPunc_CN</ability>
      <abilityName>全半角问题</abilityName>
      <candidateList>
        <item>）</item>
      </candidateList>
      <explain>文本全半角错误。</explain>
      <paraID> EA6A758</paraID>
      <start>87</start>
      <end>88</end>
      <status>unmodified</status>
      <modifiedWord/>
      <trackRevisions>false</trackRevisions>
    </reviewItem>
    <reviewItem>
      <errorID>ddae1d46-dcf4-42ca-a911-b4f3b6748ff6</errorID>
      <errorWord>(</errorWord>
      <group>L1_Format</group>
      <groupName>格式问题</groupName>
      <ability>L2_HalfPunc_CN</ability>
      <abilityName>全半角问题</abilityName>
      <candidateList>
        <item>（</item>
      </candidateList>
      <explain>文本全半角错误。</explain>
      <paraID>7343F9AF</paraID>
      <start>48</start>
      <end>49</end>
      <status>ignored</status>
      <modifiedWord/>
      <trackRevisions>false</trackRevisions>
    </reviewItem>
    <reviewItem>
      <errorID>746dedb6-f699-4cc6-a5c6-81fb8b1f4784</errorID>
      <errorWord>);</errorWord>
      <group>L1_Format</group>
      <groupName>格式问题</groupName>
      <ability>L2_HalfPunc_CN</ability>
      <abilityName>全半角问题</abilityName>
      <candidateList>
        <item>）；</item>
      </candidateList>
      <explain>文本全半角错误。</explain>
      <paraID>7343F9AF</paraID>
      <start>62</start>
      <end>64</end>
      <status>unmodified</status>
      <modifiedWord/>
      <trackRevisions>false</trackRevisions>
    </reviewItem>
    <reviewItem>
      <errorID>35ff10b8-075c-41ab-bd37-49f04493411b</errorID>
      <errorWord>(</errorWord>
      <group>L1_Format</group>
      <groupName>格式问题</groupName>
      <ability>L2_HalfPunc_CN</ability>
      <abilityName>全半角问题</abilityName>
      <candidateList>
        <item>（</item>
      </candidateList>
      <explain>文本全半角错误。</explain>
      <paraID>7343F9AF</paraID>
      <start>86</start>
      <end>87</end>
      <status>ignored</status>
      <modifiedWord/>
      <trackRevisions>false</trackRevisions>
    </reviewItem>
    <reviewItem>
      <errorID>f8dfef62-a3ca-4430-b7fd-2cc0a2ea05ce</errorID>
      <errorWord>)</errorWord>
      <group>L1_Format</group>
      <groupName>格式问题</groupName>
      <ability>L2_HalfPunc_CN</ability>
      <abilityName>全半角问题</abilityName>
      <candidateList>
        <item>）</item>
      </candidateList>
      <explain>文本全半角错误。</explain>
      <paraID>7343F9AF</paraID>
      <start>89</start>
      <end>90</end>
      <status>unmodified</status>
      <modifiedWord/>
      <trackRevisions>false</trackRevisions>
    </reviewItem>
    <reviewItem>
      <errorID>c4a711e0-29fb-4476-8a3a-3f6eec83f571</errorID>
      <errorWord>(</errorWord>
      <group>L1_Format</group>
      <groupName>格式问题</groupName>
      <ability>L2_HalfPunc_CN</ability>
      <abilityName>全半角问题</abilityName>
      <candidateList>
        <item>（</item>
      </candidateList>
      <explain>文本全半角错误。</explain>
      <paraID>7343F9AF</paraID>
      <start>94</start>
      <end>95</end>
      <status>ignored</status>
      <modifiedWord/>
      <trackRevisions>false</trackRevisions>
    </reviewItem>
    <reviewItem>
      <errorID>e2d0d660-a3e8-4976-bdbf-713aa58126c9</errorID>
      <errorWord>)</errorWord>
      <group>L1_Format</group>
      <groupName>格式问题</groupName>
      <ability>L2_HalfPunc_CN</ability>
      <abilityName>全半角问题</abilityName>
      <candidateList>
        <item>）</item>
      </candidateList>
      <explain>文本全半角错误。</explain>
      <paraID>7343F9AF</paraID>
      <start>97</start>
      <end>98</end>
      <status>unmodified</status>
      <modifiedWord/>
      <trackRevisions>false</trackRevisions>
    </reviewItem>
    <reviewItem>
      <errorID>4b109384-3aa3-4b20-83e4-e93f9d377634</errorID>
      <errorWord>使用使用</errorWord>
      <group>L1_Word</group>
      <groupName>字词问题</groupName>
      <ability>L2_Typo</ability>
      <abilityName>字词错误</abilityName>
      <candidateList>
        <item>使用</item>
      </candidateList>
      <explain/>
      <paraID>65FA34A1</paraID>
      <start>4</start>
      <end>8</end>
      <status>unmodified</status>
      <modifiedWord/>
      <trackRevisions>false</trackRevisions>
    </reviewItem>
    <reviewItem>
      <errorID>119f0341-468e-4989-8603-f0ce5a5512bf</errorID>
      <errorWord>、；</errorWord>
      <group>L1_Punc</group>
      <groupName>标点问题</groupName>
      <ability>L2_Punc_CN</ability>
      <abilityName>标点符号问题</abilityName>
      <candidateList>
        <item>、</item>
      </candidateList>
      <explain/>
      <paraID>24596D5B</paraID>
      <start>14</start>
      <end>16</end>
      <status>unmodified</status>
      <modifiedWord/>
      <trackRevisions>false</trackRevisions>
    </reviewItem>
    <reviewItem>
      <errorID>ed2128ab-e104-437b-96c8-ffa602252377</errorID>
      <errorWord>程</errorWord>
      <group>L1_Word</group>
      <groupName>字词问题</groupName>
      <ability>L2_Typo</ability>
      <abilityName>字词错误</abilityName>
      <candidateList>
        <item>程中</item>
      </candidateList>
      <explain/>
      <paraID>  6661FF</paraID>
      <start>10</start>
      <end>11</end>
      <status>unmodified</status>
      <modifiedWord/>
      <trackRevisions>false</trackRevisions>
    </reviewItem>
    <reviewItem>
      <errorID>d2990133-8de2-40db-bf35-93b4354fbfa9</errorID>
      <errorWord>(</errorWord>
      <group>L1_Format</group>
      <groupName>格式问题</groupName>
      <ability>L2_HalfPunc_CN</ability>
      <abilityName>全半角问题</abilityName>
      <candidateList>
        <item>（</item>
      </candidateList>
      <explain>文本全半角错误。</explain>
      <paraID>3B86C7AB</paraID>
      <start>86</start>
      <end>87</end>
      <status>ignored</status>
      <modifiedWord/>
      <trackRevisions>false</trackRevisions>
    </reviewItem>
    <reviewItem>
      <errorID>71d0f93b-7628-42d6-8096-063c96a0ac1b</errorID>
      <errorWord>)</errorWord>
      <group>L1_Format</group>
      <groupName>格式问题</groupName>
      <ability>L2_HalfPunc_CN</ability>
      <abilityName>全半角问题</abilityName>
      <candidateList>
        <item>）</item>
      </candidateList>
      <explain>文本全半角错误。</explain>
      <paraID>3B86C7AB</paraID>
      <start>89</start>
      <end>90</end>
      <status>unmodified</status>
      <modifiedWord/>
      <trackRevisions>false</trackRevisions>
    </reviewItem>
    <reviewItem>
      <errorID>8ac96272-1220-4557-9af9-686f5db0e0e1</errorID>
      <errorWord>;</errorWord>
      <group>L1_Format</group>
      <groupName>格式问题</groupName>
      <ability>L2_HalfPunc_CN</ability>
      <abilityName>全半角问题</abilityName>
      <candidateList>
        <item>；</item>
      </candidateList>
      <explain>文本全半角错误。</explain>
      <paraID>6839F57C</paraID>
      <start>20</start>
      <end>21</end>
      <status>unmodified</status>
      <modifiedWord/>
      <trackRevisions>false</trackRevisions>
    </reviewItem>
    <reviewItem>
      <errorID>ae9887e1-9a99-4b28-976c-c4c0fe65aa45</errorID>
      <errorWord>即时</errorWord>
      <group>L1_Word</group>
      <groupName>字词问题</groupName>
      <ability>L2_Typo</ability>
      <abilityName>字词错误</abilityName>
      <candidateList>
        <item>及时</item>
      </candidateList>
      <explain/>
      <paraID>51286DDA</paraID>
      <start>25</start>
      <end>27</end>
      <status>unmodified</status>
      <modifiedWord/>
      <trackRevisions>false</trackRevisions>
    </reviewItem>
    <reviewItem>
      <errorID>2d766509-5ed8-4b97-999a-ea2901dbf347</errorID>
      <errorWord>(</errorWord>
      <group>L1_Format</group>
      <groupName>格式问题</groupName>
      <ability>L2_HalfPunc_CN</ability>
      <abilityName>全半角问题</abilityName>
      <candidateList>
        <item>（</item>
      </candidateList>
      <explain>文本全半角错误。</explain>
      <paraID>6AFBEA62</paraID>
      <start>22</start>
      <end>23</end>
      <status>ignored</status>
      <modifiedWord/>
      <trackRevisions>false</trackRevisions>
    </reviewItem>
    <reviewItem>
      <errorID>71115cda-58aa-4579-9d05-2f1fb75267e0</errorID>
      <errorWord>)</errorWord>
      <group>L1_Format</group>
      <groupName>格式问题</groupName>
      <ability>L2_HalfPunc_CN</ability>
      <abilityName>全半角问题</abilityName>
      <candidateList>
        <item>）</item>
      </candidateList>
      <explain>文本全半角错误。</explain>
      <paraID>6AFBEA62</paraID>
      <start>32</start>
      <end>33</end>
      <status>unmodified</status>
      <modifiedWord/>
      <trackRevisions>false</trackRevisions>
    </reviewItem>
    <reviewItem>
      <errorID>81894529-6327-4674-8753-54b408428466</errorID>
      <errorWord>(</errorWord>
      <group>L1_Format</group>
      <groupName>格式问题</groupName>
      <ability>L2_HalfPunc_CN</ability>
      <abilityName>全半角问题</abilityName>
      <candidateList>
        <item>（</item>
      </candidateList>
      <explain>文本全半角错误。</explain>
      <paraID>15E3777D</paraID>
      <start>8</start>
      <end>9</end>
      <status>ignored</status>
      <modifiedWord/>
      <trackRevisions>false</trackRevisions>
    </reviewItem>
    <reviewItem>
      <errorID>e93145ab-7a0b-4a8f-af6f-3435a9fe501d</errorID>
      <errorWord>)</errorWord>
      <group>L1_Format</group>
      <groupName>格式问题</groupName>
      <ability>L2_HalfPunc_CN</ability>
      <abilityName>全半角问题</abilityName>
      <candidateList>
        <item>）</item>
      </candidateList>
      <explain>文本全半角错误。</explain>
      <paraID>15E3777D</paraID>
      <start>12</start>
      <end>13</end>
      <status>unmodified</status>
      <modifiedWord/>
      <trackRevisions>false</trackRevisions>
    </reviewItem>
    <reviewItem>
      <errorID>854bb9db-2409-48da-9c2d-b3c8ec18789b</errorID>
      <errorWord>(</errorWord>
      <group>L1_Format</group>
      <groupName>格式问题</groupName>
      <ability>L2_HalfPunc_CN</ability>
      <abilityName>全半角问题</abilityName>
      <candidateList>
        <item>（</item>
      </candidateList>
      <explain>文本全半角错误。</explain>
      <paraID>11A49EB1</paraID>
      <start>68</start>
      <end>69</end>
      <status>ignored</status>
      <modifiedWord/>
      <trackRevisions>false</trackRevisions>
    </reviewItem>
    <reviewItem>
      <errorID>d7aceca6-f241-4b05-a576-89e6cb2c5146</errorID>
      <errorWord>)</errorWord>
      <group>L1_Format</group>
      <groupName>格式问题</groupName>
      <ability>L2_HalfPunc_CN</ability>
      <abilityName>全半角问题</abilityName>
      <candidateList>
        <item>）</item>
      </candidateList>
      <explain>文本全半角错误。</explain>
      <paraID>11A49EB1</paraID>
      <start>72</start>
      <end>73</end>
      <status>unmodified</status>
      <modifiedWord/>
      <trackRevisions>false</trackRevisions>
    </reviewItem>
    <reviewItem>
      <errorID>a89ccde7-043b-42a5-b0d8-d3898a348a01</errorID>
      <errorWord>(</errorWord>
      <group>L1_Format</group>
      <groupName>格式问题</groupName>
      <ability>L2_HalfPunc_CN</ability>
      <abilityName>全半角问题</abilityName>
      <candidateList>
        <item>（</item>
      </candidateList>
      <explain>文本全半角错误。</explain>
      <paraID>5FE8B563</paraID>
      <start>4</start>
      <end>5</end>
      <status>ignored</status>
      <modifiedWord/>
      <trackRevisions>false</trackRevisions>
    </reviewItem>
    <reviewItem>
      <errorID>2f948bc1-dff3-4c7e-9928-8695a79018b6</errorID>
      <errorWord>)</errorWord>
      <group>L1_Format</group>
      <groupName>格式问题</groupName>
      <ability>L2_HalfPunc_CN</ability>
      <abilityName>全半角问题</abilityName>
      <candidateList>
        <item>）</item>
      </candidateList>
      <explain>文本全半角错误。</explain>
      <paraID>5FE8B563</paraID>
      <start>8</start>
      <end>9</end>
      <status>unmodified</status>
      <modifiedWord/>
      <trackRevisions>false</trackRevisions>
    </reviewItem>
    <reviewItem>
      <errorID>162153a1-3e72-4417-b712-7a212b0b65c5</errorID>
      <errorWord>老毛</errorWord>
      <group>L1_Sensitive</group>
      <groupName>敏感问题</groupName>
      <ability>L2_Sensitive</ability>
      <abilityName>敏感内容</abilityName>
      <candidateList/>
      <explain>【敏感内容】句中涉及敏感性内容的违规表述，请注意甄别。</explain>
      <paraID>63198B8D</paraID>
      <start>135</start>
      <end>137</end>
      <status>unmodified</status>
      <modifiedWord/>
      <trackRevisions>false</trackRevisions>
    </reviewItem>
    <reviewItem>
      <errorID>40eab57c-ec3f-4a15-8273-2b8a31aead17</errorID>
      <errorWord>（</errorWord>
      <group>L1_Format</group>
      <groupName>格式问题</groupName>
      <ability>L2_HalfPunc_CN</ability>
      <abilityName>全半角问题</abilityName>
      <candidateList>
        <item>(</item>
      </candidateList>
      <explain>文本全半角错误。</explain>
      <paraID>73BBC960</paraID>
      <start>1</start>
      <end>2</end>
      <status>unmodified</status>
      <modifiedWord/>
      <trackRevisions>false</trackRevisions>
    </reviewItem>
    <reviewItem>
      <errorID>9c3b8f69-1047-4f67-8640-deb7e630089a</errorID>
      <errorWord>）</errorWord>
      <group>L1_Format</group>
      <groupName>格式问题</groupName>
      <ability>L2_HalfPunc_CN</ability>
      <abilityName>全半角问题</abilityName>
      <candidateList>
        <item>)</item>
      </candidateList>
      <explain>文本全半角错误。</explain>
      <paraID>73BBC960</paraID>
      <start>3</start>
      <end>4</end>
      <status>unmodified</status>
      <modifiedWord/>
      <trackRevisions>false</trackRevisions>
    </reviewItem>
    <reviewItem>
      <errorID>9f0a8136-60d7-4237-a78d-c4639b23e8b9</errorID>
      <errorWord>（</errorWord>
      <group>L1_Format</group>
      <groupName>格式问题</groupName>
      <ability>L2_HalfPunc_CN</ability>
      <abilityName>全半角问题</abilityName>
      <candidateList>
        <item>(</item>
      </candidateList>
      <explain>文本全半角错误。</explain>
      <paraID>3E183566</paraID>
      <start>1</start>
      <end>2</end>
      <status>unmodified</status>
      <modifiedWord/>
      <trackRevisions>false</trackRevisions>
    </reviewItem>
    <reviewItem>
      <errorID>59a0d10e-71e3-4ac5-8776-1f84c59ac808</errorID>
      <errorWord>）</errorWord>
      <group>L1_Format</group>
      <groupName>格式问题</groupName>
      <ability>L2_HalfPunc_CN</ability>
      <abilityName>全半角问题</abilityName>
      <candidateList>
        <item>)</item>
      </candidateList>
      <explain>文本全半角错误。</explain>
      <paraID>3E183566</paraID>
      <start>3</start>
      <end>4</end>
      <status>unmodified</status>
      <modifiedWord/>
      <trackRevisions>false</trackRevisions>
    </reviewItem>
    <reviewItem>
      <errorID>8a3a4a78-3d8c-494f-83e0-d344cfa2da06</errorID>
      <errorWord>（</errorWord>
      <group>L1_Format</group>
      <groupName>格式问题</groupName>
      <ability>L2_HalfPunc_CN</ability>
      <abilityName>全半角问题</abilityName>
      <candidateList>
        <item>(</item>
      </candidateList>
      <explain>文本全半角错误。</explain>
      <paraID>535AA10A</paraID>
      <start>1</start>
      <end>2</end>
      <status>unmodified</status>
      <modifiedWord/>
      <trackRevisions>false</trackRevisions>
    </reviewItem>
    <reviewItem>
      <errorID>bd01456c-cd23-4c83-bd6c-72df74205cea</errorID>
      <errorWord>）</errorWord>
      <group>L1_Format</group>
      <groupName>格式问题</groupName>
      <ability>L2_HalfPunc_CN</ability>
      <abilityName>全半角问题</abilityName>
      <candidateList>
        <item>)</item>
      </candidateList>
      <explain>文本全半角错误。</explain>
      <paraID>535AA10A</paraID>
      <start>3</start>
      <end>4</end>
      <status>unmodified</status>
      <modifiedWord/>
      <trackRevisions>false</trackRevisions>
    </reviewItem>
    <reviewItem>
      <errorID>9274edf5-8465-4079-84cf-58743c4690d5</errorID>
      <errorWord>（</errorWord>
      <group>L1_Format</group>
      <groupName>格式问题</groupName>
      <ability>L2_HalfPunc_CN</ability>
      <abilityName>全半角问题</abilityName>
      <candidateList>
        <item>(</item>
      </candidateList>
      <explain>文本全半角错误。</explain>
      <paraID>122BB36B</paraID>
      <start>1</start>
      <end>2</end>
      <status>unmodified</status>
      <modifiedWord/>
      <trackRevisions>false</trackRevisions>
    </reviewItem>
    <reviewItem>
      <errorID>5b7a249e-b6d1-43ba-a876-0f9ec074d930</errorID>
      <errorWord>）</errorWord>
      <group>L1_Format</group>
      <groupName>格式问题</groupName>
      <ability>L2_HalfPunc_CN</ability>
      <abilityName>全半角问题</abilityName>
      <candidateList>
        <item>)</item>
      </candidateList>
      <explain>文本全半角错误。</explain>
      <paraID>122BB36B</paraID>
      <start>3</start>
      <end>4</end>
      <status>unmodified</status>
      <modifiedWord/>
      <trackRevisions>false</trackRevisions>
    </reviewItem>
    <reviewItem>
      <errorID>0a7feb99-1c6c-41e5-a538-73f847c549eb</errorID>
      <errorWord>（</errorWord>
      <group>L1_Format</group>
      <groupName>格式问题</groupName>
      <ability>L2_HalfPunc_CN</ability>
      <abilityName>全半角问题</abilityName>
      <candidateList>
        <item>(</item>
      </candidateList>
      <explain>文本全半角错误。</explain>
      <paraID>3459064E</paraID>
      <start>4</start>
      <end>5</end>
      <status>unmodified</status>
      <modifiedWord/>
      <trackRevisions>false</trackRevisions>
    </reviewItem>
    <reviewItem>
      <errorID>feab4277-0d9f-4650-b6ee-3010da8e1fd9</errorID>
      <errorWord>）</errorWord>
      <group>L1_Format</group>
      <groupName>格式问题</groupName>
      <ability>L2_HalfPunc_CN</ability>
      <abilityName>全半角问题</abilityName>
      <candidateList>
        <item>)</item>
      </candidateList>
      <explain>文本全半角错误。</explain>
      <paraID>3459064E</paraID>
      <start>6</start>
      <end>7</end>
      <status>unmodified</status>
      <modifiedWord/>
      <trackRevisions>false</trackRevisions>
    </reviewItem>
    <reviewItem>
      <errorID>6d7a4c35-8a49-44e6-b3ad-5c278cfef319</errorID>
      <errorWord>（</errorWord>
      <group>L1_Format</group>
      <groupName>格式问题</groupName>
      <ability>L2_HalfPunc_CN</ability>
      <abilityName>全半角问题</abilityName>
      <candidateList>
        <item>(</item>
      </candidateList>
      <explain>文本全半角错误。</explain>
      <paraID> 576D430</paraID>
      <start>3</start>
      <end>4</end>
      <status>unmodified</status>
      <modifiedWord/>
      <trackRevisions>false</trackRevisions>
    </reviewItem>
    <reviewItem>
      <errorID>eb786ac2-be15-42ab-9b01-a5df0599cc7b</errorID>
      <errorWord>）</errorWord>
      <group>L1_Format</group>
      <groupName>格式问题</groupName>
      <ability>L2_HalfPunc_CN</ability>
      <abilityName>全半角问题</abilityName>
      <candidateList>
        <item>)</item>
      </candidateList>
      <explain>文本全半角错误。</explain>
      <paraID> 576D430</paraID>
      <start>8</start>
      <end>9</end>
      <status>unmodified</status>
      <modifiedWord/>
      <trackRevisions>false</trackRevisions>
    </reviewItem>
    <reviewItem>
      <errorID>63e2eab6-62a5-49dd-af62-874bbb428d09</errorID>
      <errorWord>（</errorWord>
      <group>L1_Format</group>
      <groupName>格式问题</groupName>
      <ability>L2_HalfPunc_CN</ability>
      <abilityName>全半角问题</abilityName>
      <candidateList>
        <item>(</item>
      </candidateList>
      <explain>文本全半角错误。</explain>
      <paraID>6F908A81</paraID>
      <start>5</start>
      <end>6</end>
      <status>unmodified</status>
      <modifiedWord/>
      <trackRevisions>false</trackRevisions>
    </reviewItem>
    <reviewItem>
      <errorID>eb8fc1a3-22b8-4e21-b906-895da78ce92d</errorID>
      <errorWord>）</errorWord>
      <group>L1_Format</group>
      <groupName>格式问题</groupName>
      <ability>L2_HalfPunc_CN</ability>
      <abilityName>全半角问题</abilityName>
      <candidateList>
        <item>)</item>
      </candidateList>
      <explain>文本全半角错误。</explain>
      <paraID>3E7CD903</paraID>
      <start>2</start>
      <end>3</end>
      <status>unmodified</status>
      <modifiedWord/>
      <trackRevisions>false</trackRevisions>
    </reviewItem>
    <reviewItem>
      <errorID>f81cdec2-1593-45ac-b4ec-80382576f6bb</errorID>
      <errorWord>（</errorWord>
      <group>L1_Format</group>
      <groupName>格式问题</groupName>
      <ability>L2_HalfPunc_CN</ability>
      <abilityName>全半角问题</abilityName>
      <candidateList>
        <item>(</item>
      </candidateList>
      <explain>文本全半角错误。</explain>
      <paraID> 4C62CA0</paraID>
      <start>4</start>
      <end>5</end>
      <status>unmodified</status>
      <modifiedWord/>
      <trackRevisions>false</trackRevisions>
    </reviewItem>
    <reviewItem>
      <errorID>8615a3a7-d54b-4f6c-b027-98a0e05a3fd8</errorID>
      <errorWord>）</errorWord>
      <group>L1_Format</group>
      <groupName>格式问题</groupName>
      <ability>L2_HalfPunc_CN</ability>
      <abilityName>全半角问题</abilityName>
      <candidateList>
        <item>)</item>
      </candidateList>
      <explain>文本全半角错误。</explain>
      <paraID> 4C62CA0</paraID>
      <start>9</start>
      <end>10</end>
      <status>unmodified</status>
      <modifiedWord/>
      <trackRevisions>false</trackRevisions>
    </reviewItem>
    <reviewItem>
      <errorID>bd227c76-e1f2-4ff0-8f78-6bd67570a2cc</errorID>
      <errorWord>（</errorWord>
      <group>L1_Format</group>
      <groupName>格式问题</groupName>
      <ability>L2_HalfPunc_CN</ability>
      <abilityName>全半角问题</abilityName>
      <candidateList>
        <item>(</item>
      </candidateList>
      <explain>文本全半角错误。</explain>
      <paraID>7741F326</paraID>
      <start>5</start>
      <end>6</end>
      <status>unmodified</status>
      <modifiedWord/>
      <trackRevisions>false</trackRevisions>
    </reviewItem>
    <reviewItem>
      <errorID>6e41ce26-a48e-421c-bda6-1e289122e049</errorID>
      <errorWord>）</errorWord>
      <group>L1_Format</group>
      <groupName>格式问题</groupName>
      <ability>L2_HalfPunc_CN</ability>
      <abilityName>全半角问题</abilityName>
      <candidateList>
        <item>)</item>
      </candidateList>
      <explain>文本全半角错误。</explain>
      <paraID>7741F326</paraID>
      <start>11</start>
      <end>12</end>
      <status>unmodified</status>
      <modifiedWord/>
      <trackRevisions>false</trackRevisions>
    </reviewItem>
    <reviewItem>
      <errorID>09fc73ee-2284-4a20-a230-5982a996ed37</errorID>
      <errorWord>（</errorWord>
      <group>L1_Format</group>
      <groupName>格式问题</groupName>
      <ability>L2_HalfPunc_CN</ability>
      <abilityName>全半角问题</abilityName>
      <candidateList>
        <item>(</item>
      </candidateList>
      <explain>文本全半角错误。</explain>
      <paraID>3FB36CC5</paraID>
      <start>5</start>
      <end>6</end>
      <status>unmodified</status>
      <modifiedWord/>
      <trackRevisions>false</trackRevisions>
    </reviewItem>
    <reviewItem>
      <errorID>d65df346-90ce-40f6-b27f-c8721f5f0f8f</errorID>
      <errorWord>）</errorWord>
      <group>L1_Format</group>
      <groupName>格式问题</groupName>
      <ability>L2_HalfPunc_CN</ability>
      <abilityName>全半角问题</abilityName>
      <candidateList>
        <item>)</item>
      </candidateList>
      <explain>文本全半角错误。</explain>
      <paraID>3FB36CC5</paraID>
      <start>11</start>
      <end>12</end>
      <status>unmodified</status>
      <modifiedWord/>
      <trackRevisions>false</trackRevisions>
    </reviewItem>
    <reviewItem>
      <errorID>6337aa2f-a91b-4346-94c0-7608290812ac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759028C5</paraID>
      <start>0</start>
      <end>2</end>
      <status>unmodified</status>
      <modifiedWord/>
      <trackRevisions>false</trackRevisions>
    </reviewItem>
    <reviewItem>
      <errorID>c55bd615-3c49-4818-b5b1-51bd09620544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60D6AC4</paraID>
      <start>0</start>
      <end>2</end>
      <status>unmodified</status>
      <modifiedWord/>
      <trackRevisions>false</trackRevisions>
    </reviewItem>
    <reviewItem>
      <errorID>cb181297-ebfa-4824-bb5a-14f735d65960</errorID>
      <errorWord>识</errorWord>
      <group>L1_Word</group>
      <groupName>字词问题</groupName>
      <ability>L2_Typo</ability>
      <abilityName>字词错误</abilityName>
      <candidateList>
        <item>识和</item>
      </candidateList>
      <explain/>
      <paraID>7F6009E7</paraID>
      <start>71</start>
      <end>72</end>
      <status>unmodified</status>
      <modifiedWord/>
      <trackRevisions>false</trackRevisions>
    </reviewItem>
    <reviewItem>
      <errorID>67e068ba-cf73-408a-b8d8-115cd5fcabf7</errorID>
      <errorWord>（</errorWord>
      <group>L1_Word</group>
      <groupName>字词问题</groupName>
      <ability>L2_Typo</ability>
      <abilityName>字词错误</abilityName>
      <candidateList>
        <item>（设</item>
      </candidateList>
      <explain/>
      <paraID>10E083D0</paraID>
      <start>113</start>
      <end>114</end>
      <status>unmodified</status>
      <modifiedWord/>
      <trackRevisions>false</trackRevisions>
    </reviewItem>
    <reviewItem>
      <errorID>be0aea2d-2f61-42b4-90c3-3d4c1ee7be2e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66C23CD3</paraID>
      <start>71</start>
      <end>74</end>
      <status>ignored</status>
      <modifiedWord/>
      <trackRevisions>false</trackRevisions>
    </reviewItem>
    <reviewItem>
      <errorID>7b71df3e-8250-4ff2-aa20-28586cd0e90d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66C23CD3</paraID>
      <start>85</start>
      <end>88</end>
      <status>ignored</status>
      <modifiedWord/>
      <trackRevisions>false</trackRevisions>
    </reviewItem>
    <reviewItem>
      <errorID>61101787-d9b4-4132-8674-3372204b37a9</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66C23CD3</paraID>
      <start>88</start>
      <end>102</end>
      <status>unmodified</status>
      <modifiedWord/>
      <trackRevisions>false</trackRevisions>
    </reviewItem>
    <reviewItem>
      <errorID>208e14a6-4e84-4b02-b57f-beac67a103d2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66C23CD3</paraID>
      <start>102</start>
      <end>105</end>
      <status>ignored</status>
      <modifiedWord/>
      <trackRevisions>false</trackRevisions>
    </reviewItem>
    <reviewItem>
      <errorID>e76c12af-0eed-4fe0-8d33-9ebb517d3381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106EEBDD</paraID>
      <start>0</start>
      <end>2</end>
      <status>unmodified</status>
      <modifiedWord/>
      <trackRevisions>false</trackRevisions>
    </reviewItem>
    <reviewItem>
      <errorID>7d51a160-20b3-4b5c-b791-762db4573b4e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71B89C48</paraID>
      <start>0</start>
      <end>2</end>
      <status>unmodified</status>
      <modifiedWord/>
      <trackRevisions>false</trackRevisions>
    </reviewItem>
    <reviewItem>
      <errorID>877ce0b0-e19b-4c57-874c-7724b4bdc9f2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5F43ED07</paraID>
      <start>0</start>
      <end>2</end>
      <status>unmodified</status>
      <modifiedWord/>
      <trackRevisions>false</trackRevisions>
    </reviewItem>
    <reviewItem>
      <errorID>7839ec6a-5af9-40d3-9dd5-0b0a7739458f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54947ED</paraID>
      <start>0</start>
      <end>2</end>
      <status>unmodified</status>
      <modifiedWord/>
      <trackRevisions>false</trackRevisions>
    </reviewItem>
    <reviewItem>
      <errorID>6fd4ab81-0a44-4bc7-92af-89899600b638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61E1D075</paraID>
      <start>0</start>
      <end>2</end>
      <status>unmodified</status>
      <modifiedWord/>
      <trackRevisions>false</trackRevisions>
    </reviewItem>
    <reviewItem>
      <errorID>8f75693d-9edf-40b5-9f0d-f9036eef6710</errorID>
      <errorWord>人</errorWord>
      <group>L1_Word</group>
      <groupName>字词问题</groupName>
      <ability>L2_Typo</ability>
      <abilityName>字词错误</abilityName>
      <candidateList>
        <item>入</item>
      </candidateList>
      <explain>存在字形相近字词的误用。</explain>
      <paraID>6C402AB7</paraID>
      <start>4</start>
      <end>5</end>
      <status>unmodified</status>
      <modifiedWord/>
      <trackRevisions>false</trackRevisions>
    </reviewItem>
    <reviewItem>
      <errorID>cda65e36-f87d-4c6e-8243-77071e9d39c2</errorID>
      <errorWord>检定证书</errorWord>
      <group>L1_Word</group>
      <groupName>字词问题</groupName>
      <ability>L2_Typo</ability>
      <abilityName>字词错误</abilityName>
      <candidateList>
        <item>鉴定证书</item>
      </candidateList>
      <explain/>
      <paraID>17625692</paraID>
      <start>12</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78E70E-ABFC-4663-8700-F82DA1E21228}">
  <ds:schemaRefs/>
</ds:datastoreItem>
</file>

<file path=docProps/app.xml><?xml version="1.0" encoding="utf-8"?>
<Properties xmlns="http://schemas.openxmlformats.org/officeDocument/2006/extended-properties" xmlns:vt="http://schemas.openxmlformats.org/officeDocument/2006/docPropsVTypes">
  <Template>Normal.dotm</Template>
  <Pages>69</Pages>
  <Words>2617</Words>
  <Characters>2862</Characters>
  <Lines>3846</Lines>
  <Paragraphs>3165</Paragraphs>
  <TotalTime>3</TotalTime>
  <ScaleCrop>false</ScaleCrop>
  <LinksUpToDate>false</LinksUpToDate>
  <CharactersWithSpaces>2983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2024-08-15T02:11:00Z</dcterms:created>
  <dc:creator>Flamingo.</dc:creator>
  <cp:lastModifiedBy>傲娇玻璃心小公举</cp:lastModifiedBy>
  <dcterms:modified xsi:type="dcterms:W3CDTF">2026-09-18T02:28:51Z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FCBBE777199C402EA29B3AAD608AE59F_13</vt:lpwstr>
  </property>
  <property fmtid="{D5CDD505-2E9C-101B-9397-08002B2CF9AE}" pid="4" name="KSOTemplateDocerSaveRecord">
    <vt:lpwstr>eyJoZGlkIjoiMTcxNjU1ZjJhOTYzZTUyOGE3OWYzMjRjZWM0NThlODMiLCJ1c2VySWQiOiIzMzIxOTgyMDYifQ==</vt:lpwstr>
  </property>
</Properties>
</file>