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68D35">
      <w:pPr>
        <w:tabs>
          <w:tab w:val="left" w:pos="210"/>
        </w:tabs>
        <w:spacing w:before="468" w:beforeLines="150" w:after="468" w:afterLines="150"/>
        <w:ind w:firstLine="0" w:firstLineChars="0"/>
        <w:jc w:val="center"/>
        <w:outlineLvl w:val="0"/>
        <w:rPr>
          <w:rFonts w:ascii="黑体" w:hAnsi="Times New Roman" w:eastAsia="黑体" w:cs="黑体"/>
          <w:b/>
          <w:sz w:val="32"/>
          <w:szCs w:val="32"/>
          <w:lang w:bidi="ar"/>
          <w14:ligatures w14:val="none"/>
        </w:rPr>
      </w:pPr>
      <w:bookmarkStart w:id="0" w:name="_Toc187164219"/>
      <w:bookmarkStart w:id="1" w:name="_Toc186786435"/>
      <w:bookmarkStart w:id="2" w:name="_Toc218437719"/>
      <w:bookmarkStart w:id="3" w:name="_Toc187309979"/>
      <w:r>
        <w:rPr>
          <w:rFonts w:hint="eastAsia" w:ascii="黑体" w:hAnsi="Times New Roman" w:eastAsia="黑体" w:cs="黑体"/>
          <w:b/>
          <w:sz w:val="32"/>
          <w:szCs w:val="32"/>
          <w:lang w:bidi="ar"/>
          <w14:ligatures w14:val="none"/>
        </w:rPr>
        <w:t>前  言</w:t>
      </w:r>
      <w:bookmarkEnd w:id="0"/>
      <w:bookmarkEnd w:id="1"/>
      <w:bookmarkEnd w:id="2"/>
      <w:bookmarkEnd w:id="3"/>
    </w:p>
    <w:p w14:paraId="4D256A4A">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eastAsia="zh-CN" w:bidi="ar"/>
          <w14:ligatures w14:val="none"/>
        </w:rPr>
        <w:t>沈阳市于洪区大兴乡星火特加油站</w:t>
      </w:r>
      <w:r>
        <w:rPr>
          <w:rFonts w:hint="eastAsia" w:ascii="Times New Roman" w:hAnsi="Times New Roman" w:eastAsia="宋体" w:cs="宋体"/>
          <w:szCs w:val="28"/>
          <w:lang w:bidi="ar"/>
          <w14:ligatures w14:val="none"/>
        </w:rPr>
        <w:t>（以下称</w:t>
      </w:r>
      <w:r>
        <w:rPr>
          <w:rFonts w:hint="eastAsia" w:ascii="Times New Roman" w:hAnsi="Times New Roman" w:eastAsia="宋体" w:cs="宋体"/>
          <w:szCs w:val="28"/>
          <w:lang w:eastAsia="zh-CN" w:bidi="ar"/>
          <w14:ligatures w14:val="none"/>
        </w:rPr>
        <w:t>星火特加油站</w:t>
      </w:r>
      <w:r>
        <w:rPr>
          <w:rFonts w:hint="eastAsia" w:ascii="Times New Roman" w:hAnsi="Times New Roman" w:eastAsia="宋体" w:cs="宋体"/>
          <w:szCs w:val="28"/>
          <w:lang w:bidi="ar"/>
          <w14:ligatures w14:val="none"/>
        </w:rPr>
        <w:t>）位于</w:t>
      </w:r>
      <w:r>
        <w:rPr>
          <w:rFonts w:hint="eastAsia" w:ascii="Times New Roman" w:hAnsi="Times New Roman" w:eastAsia="宋体" w:cs="宋体"/>
          <w:szCs w:val="28"/>
          <w:lang w:eastAsia="zh-CN" w:bidi="ar"/>
          <w14:ligatures w14:val="none"/>
        </w:rPr>
        <w:t>沈阳市于洪区大兴乡孤家子村</w:t>
      </w:r>
      <w:r>
        <w:rPr>
          <w:rFonts w:hint="eastAsia" w:ascii="Times New Roman" w:hAnsi="Times New Roman" w:eastAsia="宋体" w:cs="宋体"/>
          <w:szCs w:val="28"/>
          <w:lang w:bidi="ar"/>
          <w14:ligatures w14:val="none"/>
        </w:rPr>
        <w:t>，成立于200</w:t>
      </w:r>
      <w:r>
        <w:rPr>
          <w:rFonts w:hint="eastAsia" w:ascii="Times New Roman" w:hAnsi="Times New Roman" w:eastAsia="宋体" w:cs="宋体"/>
          <w:szCs w:val="28"/>
          <w:lang w:val="en-US" w:eastAsia="zh-CN" w:bidi="ar"/>
          <w14:ligatures w14:val="none"/>
        </w:rPr>
        <w:t>2</w:t>
      </w:r>
      <w:r>
        <w:rPr>
          <w:rFonts w:hint="eastAsia" w:ascii="Times New Roman" w:hAnsi="Times New Roman" w:eastAsia="宋体" w:cs="宋体"/>
          <w:szCs w:val="28"/>
          <w:lang w:bidi="ar"/>
          <w14:ligatures w14:val="none"/>
        </w:rPr>
        <w:t>年</w:t>
      </w:r>
      <w:r>
        <w:rPr>
          <w:rFonts w:hint="eastAsia" w:ascii="Times New Roman" w:hAnsi="Times New Roman" w:eastAsia="宋体" w:cs="宋体"/>
          <w:szCs w:val="28"/>
          <w:lang w:val="en-US" w:eastAsia="zh-CN" w:bidi="ar"/>
          <w14:ligatures w14:val="none"/>
        </w:rPr>
        <w:t>07</w:t>
      </w:r>
      <w:r>
        <w:rPr>
          <w:rFonts w:hint="eastAsia" w:ascii="Times New Roman" w:hAnsi="Times New Roman" w:eastAsia="宋体" w:cs="宋体"/>
          <w:szCs w:val="28"/>
          <w:lang w:bidi="ar"/>
          <w14:ligatures w14:val="none"/>
        </w:rPr>
        <w:t>月</w:t>
      </w:r>
      <w:r>
        <w:rPr>
          <w:rFonts w:hint="eastAsia" w:ascii="Times New Roman" w:hAnsi="Times New Roman" w:eastAsia="宋体" w:cs="宋体"/>
          <w:szCs w:val="28"/>
          <w:lang w:val="en-US" w:eastAsia="zh-CN" w:bidi="ar"/>
          <w14:ligatures w14:val="none"/>
        </w:rPr>
        <w:t>02</w:t>
      </w:r>
      <w:r>
        <w:rPr>
          <w:rFonts w:hint="eastAsia" w:ascii="Times New Roman" w:hAnsi="Times New Roman" w:eastAsia="宋体" w:cs="宋体"/>
          <w:szCs w:val="28"/>
          <w:lang w:bidi="ar"/>
          <w14:ligatures w14:val="none"/>
        </w:rPr>
        <w:t>日，</w:t>
      </w:r>
      <w:r>
        <w:rPr>
          <w:rFonts w:hint="eastAsia" w:ascii="Times New Roman" w:hAnsi="Times New Roman" w:eastAsia="宋体" w:cs="宋体"/>
          <w:szCs w:val="28"/>
          <w:lang w:val="en-US" w:eastAsia="zh-CN" w:bidi="ar"/>
          <w14:ligatures w14:val="none"/>
        </w:rPr>
        <w:t>投资</w:t>
      </w:r>
      <w:r>
        <w:rPr>
          <w:rFonts w:hint="eastAsia" w:ascii="Times New Roman" w:hAnsi="Times New Roman" w:eastAsia="宋体" w:cs="宋体"/>
          <w:szCs w:val="28"/>
          <w:lang w:bidi="ar"/>
          <w14:ligatures w14:val="none"/>
        </w:rPr>
        <w:t>人为</w:t>
      </w:r>
      <w:r>
        <w:rPr>
          <w:rFonts w:hint="eastAsia" w:ascii="Times New Roman" w:hAnsi="Times New Roman" w:eastAsia="宋体" w:cs="宋体"/>
          <w:szCs w:val="28"/>
          <w:lang w:val="en-US" w:eastAsia="zh-CN" w:bidi="ar"/>
          <w14:ligatures w14:val="none"/>
        </w:rPr>
        <w:t>王玉华</w:t>
      </w:r>
      <w:r>
        <w:rPr>
          <w:rFonts w:hint="eastAsia" w:ascii="Times New Roman" w:hAnsi="Times New Roman" w:eastAsia="宋体" w:cs="宋体"/>
          <w:szCs w:val="28"/>
          <w:lang w:bidi="ar"/>
          <w14:ligatures w14:val="none"/>
        </w:rPr>
        <w:t>，公司类型为</w:t>
      </w:r>
      <w:r>
        <w:rPr>
          <w:rFonts w:hint="eastAsia" w:ascii="Times New Roman" w:hAnsi="Times New Roman" w:eastAsia="宋体" w:cs="宋体"/>
          <w:szCs w:val="28"/>
          <w:lang w:val="en-US" w:eastAsia="zh-CN" w:bidi="ar"/>
          <w14:ligatures w14:val="none"/>
        </w:rPr>
        <w:t>个人独资企业</w:t>
      </w:r>
      <w:r>
        <w:rPr>
          <w:rFonts w:hint="eastAsia" w:ascii="Times New Roman" w:hAnsi="Times New Roman" w:eastAsia="宋体" w:cs="宋体"/>
          <w:szCs w:val="28"/>
          <w:lang w:bidi="ar"/>
          <w14:ligatures w14:val="none"/>
        </w:rPr>
        <w:t>，经营范围：成品油零售。（依法须经批准的项目，经相关部门批准后方可开展经营活动，具体经营项目以相关部门批准文件或许可证件为准）。</w:t>
      </w:r>
    </w:p>
    <w:p w14:paraId="36307AF3">
      <w:pPr>
        <w:ind w:firstLine="560"/>
        <w:rPr>
          <w:rFonts w:ascii="Times New Roman" w:hAnsi="Times New Roman" w:eastAsia="宋体" w:cs="宋体"/>
          <w:szCs w:val="28"/>
          <w:highlight w:val="none"/>
          <w:lang w:bidi="ar"/>
          <w14:ligatures w14:val="none"/>
        </w:rPr>
      </w:pPr>
      <w:r>
        <w:rPr>
          <w:rFonts w:hint="eastAsia" w:ascii="Times New Roman" w:hAnsi="Times New Roman" w:eastAsia="宋体" w:cs="宋体"/>
          <w:szCs w:val="28"/>
          <w:lang w:eastAsia="zh-CN" w:bidi="ar"/>
          <w14:ligatures w14:val="none"/>
        </w:rPr>
        <w:t>沈阳市于洪区大兴乡星火特加油站</w:t>
      </w:r>
      <w:r>
        <w:rPr>
          <w:rFonts w:hint="eastAsia" w:ascii="Times New Roman" w:hAnsi="Times New Roman" w:eastAsia="宋体" w:cs="宋体"/>
          <w:szCs w:val="28"/>
          <w:lang w:bidi="ar"/>
          <w14:ligatures w14:val="none"/>
        </w:rPr>
        <w:t>于</w:t>
      </w:r>
      <w:r>
        <w:rPr>
          <w:rFonts w:ascii="Times New Roman" w:hAnsi="Times New Roman" w:eastAsia="宋体" w:cs="宋体"/>
          <w:szCs w:val="28"/>
          <w:lang w:bidi="ar"/>
          <w14:ligatures w14:val="none"/>
        </w:rPr>
        <w:t>202</w:t>
      </w:r>
      <w:r>
        <w:rPr>
          <w:rFonts w:hint="eastAsia" w:ascii="Times New Roman" w:hAnsi="Times New Roman" w:eastAsia="宋体" w:cs="宋体"/>
          <w:szCs w:val="28"/>
          <w:lang w:bidi="ar"/>
          <w14:ligatures w14:val="none"/>
        </w:rPr>
        <w:t>5</w:t>
      </w:r>
      <w:r>
        <w:rPr>
          <w:rFonts w:ascii="Times New Roman" w:hAnsi="Times New Roman" w:eastAsia="宋体" w:cs="宋体"/>
          <w:szCs w:val="28"/>
          <w:lang w:bidi="ar"/>
          <w14:ligatures w14:val="none"/>
        </w:rPr>
        <w:t>年</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08</w:t>
      </w:r>
      <w:r>
        <w:rPr>
          <w:rFonts w:ascii="Times New Roman" w:hAnsi="Times New Roman" w:eastAsia="宋体" w:cs="宋体"/>
          <w:color w:val="000000" w:themeColor="text1"/>
          <w:szCs w:val="28"/>
          <w:highlight w:val="none"/>
          <w:lang w:bidi="ar"/>
          <w14:textFill>
            <w14:solidFill>
              <w14:schemeClr w14:val="tx1"/>
            </w14:solidFill>
          </w14:textFill>
          <w14:ligatures w14:val="none"/>
        </w:rPr>
        <w:t>月</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25日</w:t>
      </w:r>
      <w:r>
        <w:rPr>
          <w:rFonts w:hint="eastAsia" w:ascii="Times New Roman" w:hAnsi="Times New Roman" w:eastAsia="宋体" w:cs="宋体"/>
          <w:color w:val="000000" w:themeColor="text1"/>
          <w:szCs w:val="28"/>
          <w:highlight w:val="none"/>
          <w:lang w:bidi="ar"/>
          <w14:textFill>
            <w14:solidFill>
              <w14:schemeClr w14:val="tx1"/>
            </w14:solidFill>
          </w14:textFill>
          <w14:ligatures w14:val="none"/>
        </w:rPr>
        <w:t>取得</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沈阳市于洪区发展和改革局</w:t>
      </w:r>
      <w:r>
        <w:rPr>
          <w:rFonts w:hint="eastAsia" w:ascii="Times New Roman" w:hAnsi="Times New Roman" w:eastAsia="宋体" w:cs="宋体"/>
          <w:color w:val="000000" w:themeColor="text1"/>
          <w:szCs w:val="28"/>
          <w:highlight w:val="none"/>
          <w:lang w:bidi="ar"/>
          <w14:textFill>
            <w14:solidFill>
              <w14:schemeClr w14:val="tx1"/>
            </w14:solidFill>
          </w14:textFill>
          <w14:ligatures w14:val="none"/>
        </w:rPr>
        <w:t>核发的关于《沈阳市于洪区大兴乡星火特加油站罐区增容改造项目》项目备案证明，企业依法履行“三同时”，并</w:t>
      </w:r>
      <w:r>
        <w:rPr>
          <w:rFonts w:ascii="Times New Roman" w:hAnsi="Times New Roman" w:eastAsia="宋体" w:cs="宋体"/>
          <w:color w:val="000000" w:themeColor="text1"/>
          <w:szCs w:val="28"/>
          <w:highlight w:val="none"/>
          <w:lang w:bidi="ar"/>
          <w14:textFill>
            <w14:solidFill>
              <w14:schemeClr w14:val="tx1"/>
            </w14:solidFill>
          </w14:textFill>
          <w14:ligatures w14:val="none"/>
        </w:rPr>
        <w:t>于202</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6</w:t>
      </w:r>
      <w:r>
        <w:rPr>
          <w:rFonts w:ascii="Times New Roman" w:hAnsi="Times New Roman" w:eastAsia="宋体" w:cs="宋体"/>
          <w:color w:val="000000" w:themeColor="text1"/>
          <w:szCs w:val="28"/>
          <w:highlight w:val="none"/>
          <w:lang w:bidi="ar"/>
          <w14:textFill>
            <w14:solidFill>
              <w14:schemeClr w14:val="tx1"/>
            </w14:solidFill>
          </w14:textFill>
          <w14:ligatures w14:val="none"/>
        </w:rPr>
        <w:t>年</w:t>
      </w:r>
      <w:r>
        <w:rPr>
          <w:rFonts w:hint="eastAsia" w:ascii="Times New Roman" w:hAnsi="Times New Roman" w:eastAsia="宋体" w:cs="宋体"/>
          <w:color w:val="000000" w:themeColor="text1"/>
          <w:szCs w:val="28"/>
          <w:highlight w:val="none"/>
          <w:lang w:bidi="ar"/>
          <w14:textFill>
            <w14:solidFill>
              <w14:schemeClr w14:val="tx1"/>
            </w14:solidFill>
          </w14:textFill>
          <w14:ligatures w14:val="none"/>
        </w:rPr>
        <w:t>0</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2</w:t>
      </w:r>
      <w:r>
        <w:rPr>
          <w:rFonts w:ascii="Times New Roman" w:hAnsi="Times New Roman" w:eastAsia="宋体" w:cs="宋体"/>
          <w:color w:val="000000" w:themeColor="text1"/>
          <w:szCs w:val="28"/>
          <w:highlight w:val="none"/>
          <w:lang w:bidi="ar"/>
          <w14:textFill>
            <w14:solidFill>
              <w14:schemeClr w14:val="tx1"/>
            </w14:solidFill>
          </w14:textFill>
          <w14:ligatures w14:val="none"/>
        </w:rPr>
        <w:t>月</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12</w:t>
      </w:r>
      <w:r>
        <w:rPr>
          <w:rFonts w:ascii="Times New Roman" w:hAnsi="Times New Roman" w:eastAsia="宋体" w:cs="宋体"/>
          <w:color w:val="000000" w:themeColor="text1"/>
          <w:szCs w:val="28"/>
          <w:highlight w:val="none"/>
          <w:lang w:bidi="ar"/>
          <w14:textFill>
            <w14:solidFill>
              <w14:schemeClr w14:val="tx1"/>
            </w14:solidFill>
          </w14:textFill>
          <w14:ligatures w14:val="none"/>
        </w:rPr>
        <w:t>日</w:t>
      </w:r>
      <w:r>
        <w:rPr>
          <w:rFonts w:hint="eastAsia" w:ascii="Times New Roman" w:hAnsi="Times New Roman" w:eastAsia="宋体" w:cs="宋体"/>
          <w:color w:val="000000" w:themeColor="text1"/>
          <w:szCs w:val="28"/>
          <w:highlight w:val="none"/>
          <w:lang w:bidi="ar"/>
          <w14:textFill>
            <w14:solidFill>
              <w14:schemeClr w14:val="tx1"/>
            </w14:solidFill>
          </w14:textFill>
          <w14:ligatures w14:val="none"/>
        </w:rPr>
        <w:t>先后取得了</w:t>
      </w:r>
      <w:r>
        <w:rPr>
          <w:rFonts w:ascii="Times New Roman" w:hAnsi="Times New Roman" w:eastAsia="宋体" w:cs="宋体"/>
          <w:color w:val="000000" w:themeColor="text1"/>
          <w:szCs w:val="28"/>
          <w:highlight w:val="none"/>
          <w:lang w:bidi="ar"/>
          <w14:textFill>
            <w14:solidFill>
              <w14:schemeClr w14:val="tx1"/>
            </w14:solidFill>
          </w14:textFill>
          <w14:ligatures w14:val="none"/>
        </w:rPr>
        <w:t>由</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沈阳市</w:t>
      </w:r>
      <w:r>
        <w:rPr>
          <w:rFonts w:ascii="Times New Roman" w:hAnsi="Times New Roman" w:eastAsia="宋体" w:cs="宋体"/>
          <w:color w:val="000000" w:themeColor="text1"/>
          <w:szCs w:val="28"/>
          <w:highlight w:val="none"/>
          <w:lang w:bidi="ar"/>
          <w14:textFill>
            <w14:solidFill>
              <w14:schemeClr w14:val="tx1"/>
            </w14:solidFill>
          </w14:textFill>
          <w14:ligatures w14:val="none"/>
        </w:rPr>
        <w:t>应急管理局核发的《危险化学品建设项目安全条件审查意见书》（</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沈</w:t>
      </w:r>
      <w:r>
        <w:rPr>
          <w:rFonts w:ascii="Times New Roman" w:hAnsi="Times New Roman" w:eastAsia="宋体" w:cs="宋体"/>
          <w:color w:val="000000" w:themeColor="text1"/>
          <w:szCs w:val="28"/>
          <w:highlight w:val="none"/>
          <w:lang w:bidi="ar"/>
          <w14:textFill>
            <w14:solidFill>
              <w14:schemeClr w14:val="tx1"/>
            </w14:solidFill>
          </w14:textFill>
          <w14:ligatures w14:val="none"/>
        </w:rPr>
        <w:t>危化项目安条审字[202</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6</w:t>
      </w:r>
      <w:r>
        <w:rPr>
          <w:rFonts w:ascii="Times New Roman" w:hAnsi="Times New Roman" w:eastAsia="宋体" w:cs="宋体"/>
          <w:color w:val="000000" w:themeColor="text1"/>
          <w:szCs w:val="28"/>
          <w:highlight w:val="none"/>
          <w:lang w:bidi="ar"/>
          <w14:textFill>
            <w14:solidFill>
              <w14:schemeClr w14:val="tx1"/>
            </w14:solidFill>
          </w14:textFill>
          <w14:ligatures w14:val="none"/>
        </w:rPr>
        <w:t>]</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2</w:t>
      </w:r>
      <w:r>
        <w:rPr>
          <w:rFonts w:ascii="Times New Roman" w:hAnsi="Times New Roman" w:eastAsia="宋体" w:cs="宋体"/>
          <w:color w:val="000000" w:themeColor="text1"/>
          <w:szCs w:val="28"/>
          <w:highlight w:val="none"/>
          <w:lang w:bidi="ar"/>
          <w14:textFill>
            <w14:solidFill>
              <w14:schemeClr w14:val="tx1"/>
            </w14:solidFill>
          </w14:textFill>
          <w14:ligatures w14:val="none"/>
        </w:rPr>
        <w:t>号）和《危险化学品建设项目安全设施设计审查意见书》（</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沈</w:t>
      </w:r>
      <w:r>
        <w:rPr>
          <w:rFonts w:ascii="Times New Roman" w:hAnsi="Times New Roman" w:eastAsia="宋体" w:cs="宋体"/>
          <w:color w:val="000000" w:themeColor="text1"/>
          <w:szCs w:val="28"/>
          <w:highlight w:val="none"/>
          <w:lang w:bidi="ar"/>
          <w14:textFill>
            <w14:solidFill>
              <w14:schemeClr w14:val="tx1"/>
            </w14:solidFill>
          </w14:textFill>
          <w14:ligatures w14:val="none"/>
        </w:rPr>
        <w:t>危化项目安设审字[202</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6</w:t>
      </w:r>
      <w:r>
        <w:rPr>
          <w:rFonts w:ascii="Times New Roman" w:hAnsi="Times New Roman" w:eastAsia="宋体" w:cs="宋体"/>
          <w:color w:val="000000" w:themeColor="text1"/>
          <w:szCs w:val="28"/>
          <w:highlight w:val="none"/>
          <w:lang w:bidi="ar"/>
          <w14:textFill>
            <w14:solidFill>
              <w14:schemeClr w14:val="tx1"/>
            </w14:solidFill>
          </w14:textFill>
          <w14:ligatures w14:val="none"/>
        </w:rPr>
        <w:t>]</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2</w:t>
      </w:r>
      <w:r>
        <w:rPr>
          <w:rFonts w:ascii="Times New Roman" w:hAnsi="Times New Roman" w:eastAsia="宋体" w:cs="宋体"/>
          <w:color w:val="000000" w:themeColor="text1"/>
          <w:szCs w:val="28"/>
          <w:highlight w:val="none"/>
          <w:lang w:bidi="ar"/>
          <w14:textFill>
            <w14:solidFill>
              <w14:schemeClr w14:val="tx1"/>
            </w14:solidFill>
          </w14:textFill>
          <w14:ligatures w14:val="none"/>
        </w:rPr>
        <w:t>号）</w:t>
      </w:r>
      <w:r>
        <w:rPr>
          <w:rFonts w:hint="eastAsia" w:ascii="Times New Roman" w:hAnsi="Times New Roman" w:eastAsia="宋体" w:cs="宋体"/>
          <w:szCs w:val="28"/>
          <w:highlight w:val="none"/>
          <w:lang w:bidi="ar"/>
          <w14:ligatures w14:val="none"/>
        </w:rPr>
        <w:t>，并于202</w:t>
      </w:r>
      <w:r>
        <w:rPr>
          <w:rFonts w:hint="eastAsia" w:ascii="Times New Roman" w:hAnsi="Times New Roman" w:eastAsia="宋体" w:cs="宋体"/>
          <w:szCs w:val="28"/>
          <w:highlight w:val="none"/>
          <w:lang w:val="en-US" w:eastAsia="zh-CN" w:bidi="ar"/>
          <w14:ligatures w14:val="none"/>
        </w:rPr>
        <w:t>6</w:t>
      </w:r>
      <w:r>
        <w:rPr>
          <w:rFonts w:hint="eastAsia" w:ascii="Times New Roman" w:hAnsi="Times New Roman" w:eastAsia="宋体" w:cs="宋体"/>
          <w:szCs w:val="28"/>
          <w:highlight w:val="none"/>
          <w:lang w:bidi="ar"/>
          <w14:ligatures w14:val="none"/>
        </w:rPr>
        <w:t>年</w:t>
      </w:r>
      <w:r>
        <w:rPr>
          <w:rFonts w:hint="eastAsia" w:ascii="Times New Roman" w:hAnsi="Times New Roman" w:eastAsia="宋体" w:cs="宋体"/>
          <w:szCs w:val="28"/>
          <w:highlight w:val="none"/>
          <w:lang w:val="en-US" w:eastAsia="zh-CN" w:bidi="ar"/>
          <w14:ligatures w14:val="none"/>
        </w:rPr>
        <w:t>05</w:t>
      </w:r>
      <w:r>
        <w:rPr>
          <w:rFonts w:hint="eastAsia" w:ascii="Times New Roman" w:hAnsi="Times New Roman" w:eastAsia="宋体" w:cs="宋体"/>
          <w:szCs w:val="28"/>
          <w:highlight w:val="none"/>
          <w:lang w:bidi="ar"/>
          <w14:ligatures w14:val="none"/>
        </w:rPr>
        <w:t>月</w:t>
      </w:r>
      <w:r>
        <w:rPr>
          <w:rFonts w:hint="eastAsia" w:ascii="Times New Roman" w:hAnsi="Times New Roman" w:eastAsia="宋体" w:cs="宋体"/>
          <w:szCs w:val="28"/>
          <w:highlight w:val="none"/>
          <w:lang w:val="en-US" w:eastAsia="zh-CN" w:bidi="ar"/>
          <w14:ligatures w14:val="none"/>
        </w:rPr>
        <w:t>30</w:t>
      </w:r>
      <w:r>
        <w:rPr>
          <w:rFonts w:hint="eastAsia" w:ascii="Times New Roman" w:hAnsi="Times New Roman" w:eastAsia="宋体" w:cs="宋体"/>
          <w:szCs w:val="28"/>
          <w:highlight w:val="none"/>
          <w:lang w:bidi="ar"/>
          <w14:ligatures w14:val="none"/>
        </w:rPr>
        <w:t>日建设完工。</w:t>
      </w:r>
    </w:p>
    <w:p w14:paraId="1AB552DF">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该站原有</w:t>
      </w:r>
      <w:r>
        <w:rPr>
          <w:rFonts w:hint="eastAsia" w:ascii="Times New Roman" w:hAnsi="Times New Roman" w:eastAsia="宋体" w:cs="宋体"/>
          <w:szCs w:val="28"/>
          <w:lang w:val="en-US" w:eastAsia="zh-CN" w:bidi="ar"/>
          <w14:ligatures w14:val="none"/>
        </w:rPr>
        <w:t>4</w:t>
      </w:r>
      <w:r>
        <w:rPr>
          <w:rFonts w:hint="eastAsia" w:ascii="Times New Roman" w:hAnsi="Times New Roman" w:eastAsia="宋体" w:cs="宋体"/>
          <w:szCs w:val="28"/>
          <w:lang w:bidi="ar"/>
          <w14:ligatures w14:val="none"/>
        </w:rPr>
        <w:t>座埋地储罐，其中2座</w:t>
      </w:r>
      <w:r>
        <w:rPr>
          <w:rFonts w:hint="eastAsia" w:ascii="Times New Roman" w:hAnsi="Times New Roman" w:eastAsia="宋体" w:cs="宋体"/>
          <w:szCs w:val="28"/>
          <w:lang w:val="en-US" w:eastAsia="zh-CN" w:bidi="ar"/>
          <w14:ligatures w14:val="none"/>
        </w:rPr>
        <w:t>20</w:t>
      </w:r>
      <w:r>
        <w:rPr>
          <w:rFonts w:hint="eastAsia" w:ascii="Times New Roman" w:hAnsi="Times New Roman" w:eastAsia="宋体" w:cs="宋体"/>
          <w:szCs w:val="28"/>
          <w:lang w:bidi="ar"/>
          <w14:ligatures w14:val="none"/>
        </w:rPr>
        <w:t>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车用乙醇汽油储罐，</w:t>
      </w:r>
      <w:r>
        <w:rPr>
          <w:rFonts w:hint="eastAsia" w:ascii="Times New Roman" w:hAnsi="Times New Roman" w:eastAsia="宋体" w:cs="宋体"/>
          <w:szCs w:val="28"/>
          <w:lang w:val="en-US" w:eastAsia="zh-CN" w:bidi="ar"/>
          <w14:ligatures w14:val="none"/>
        </w:rPr>
        <w:t>2</w:t>
      </w:r>
      <w:r>
        <w:rPr>
          <w:rFonts w:hint="eastAsia" w:ascii="Times New Roman" w:hAnsi="Times New Roman" w:eastAsia="宋体" w:cs="宋体"/>
          <w:szCs w:val="28"/>
          <w:lang w:bidi="ar"/>
          <w14:ligatures w14:val="none"/>
        </w:rPr>
        <w:t>座</w:t>
      </w:r>
      <w:r>
        <w:rPr>
          <w:rFonts w:hint="eastAsia" w:ascii="Times New Roman" w:hAnsi="Times New Roman" w:eastAsia="宋体" w:cs="宋体"/>
          <w:szCs w:val="28"/>
          <w:lang w:val="en-US" w:eastAsia="zh-CN" w:bidi="ar"/>
          <w14:ligatures w14:val="none"/>
        </w:rPr>
        <w:t>20</w:t>
      </w:r>
      <w:r>
        <w:rPr>
          <w:rFonts w:hint="eastAsia" w:ascii="Times New Roman" w:hAnsi="Times New Roman" w:eastAsia="宋体" w:cs="宋体"/>
          <w:szCs w:val="28"/>
          <w:lang w:bidi="ar"/>
          <w14:ligatures w14:val="none"/>
        </w:rPr>
        <w:t>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柴油储罐，</w:t>
      </w:r>
      <w:r>
        <w:rPr>
          <w:rFonts w:ascii="Times New Roman" w:hAnsi="Times New Roman" w:eastAsia="宋体" w:cs="宋体"/>
          <w:szCs w:val="28"/>
          <w:lang w:bidi="ar"/>
          <w14:ligatures w14:val="none"/>
        </w:rPr>
        <w:t>根据《汽车加油加气加氢站技术标准》（GB 50156-2021）第3.0.9条规定，该加油站油罐容积为</w:t>
      </w:r>
      <w:r>
        <w:rPr>
          <w:rFonts w:hint="eastAsia" w:ascii="Times New Roman" w:hAnsi="Times New Roman" w:eastAsia="宋体" w:cs="宋体"/>
          <w:szCs w:val="28"/>
          <w:lang w:val="en-US" w:eastAsia="zh-CN" w:bidi="ar"/>
          <w14:ligatures w14:val="none"/>
        </w:rPr>
        <w:t>60</w:t>
      </w:r>
      <w:r>
        <w:rPr>
          <w:rFonts w:ascii="Times New Roman" w:hAnsi="Times New Roman" w:eastAsia="宋体" w:cs="宋体"/>
          <w:szCs w:val="28"/>
          <w:lang w:bidi="ar"/>
          <w14:ligatures w14:val="none"/>
        </w:rPr>
        <w:t>m</w:t>
      </w:r>
      <w:r>
        <w:rPr>
          <w:rFonts w:ascii="Times New Roman" w:hAnsi="Times New Roman" w:eastAsia="宋体" w:cs="宋体"/>
          <w:szCs w:val="28"/>
          <w:vertAlign w:val="superscript"/>
          <w:lang w:bidi="ar"/>
          <w14:ligatures w14:val="none"/>
        </w:rPr>
        <w:t>3</w:t>
      </w:r>
      <w:r>
        <w:rPr>
          <w:rFonts w:ascii="Times New Roman" w:hAnsi="Times New Roman" w:eastAsia="宋体" w:cs="宋体"/>
          <w:szCs w:val="28"/>
          <w:lang w:bidi="ar"/>
          <w14:ligatures w14:val="none"/>
        </w:rPr>
        <w:t>（柴油罐容积折半计入），故该站为</w:t>
      </w:r>
      <w:r>
        <w:rPr>
          <w:rFonts w:hint="eastAsia" w:ascii="Times New Roman" w:hAnsi="Times New Roman" w:eastAsia="宋体" w:cs="宋体"/>
          <w:szCs w:val="28"/>
          <w:lang w:bidi="ar"/>
          <w14:ligatures w14:val="none"/>
        </w:rPr>
        <w:t>三</w:t>
      </w:r>
      <w:r>
        <w:rPr>
          <w:rFonts w:ascii="Times New Roman" w:hAnsi="Times New Roman" w:eastAsia="宋体" w:cs="宋体"/>
          <w:szCs w:val="28"/>
          <w:lang w:bidi="ar"/>
          <w14:ligatures w14:val="none"/>
        </w:rPr>
        <w:t>级加油站。</w:t>
      </w:r>
    </w:p>
    <w:p w14:paraId="1F7B6FEA">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该站改造后新建</w:t>
      </w:r>
      <w:r>
        <w:rPr>
          <w:rFonts w:hint="eastAsia" w:ascii="Times New Roman" w:hAnsi="Times New Roman" w:eastAsia="宋体" w:cs="宋体"/>
          <w:szCs w:val="28"/>
          <w:lang w:val="en-US" w:eastAsia="zh-CN" w:bidi="ar"/>
          <w14:ligatures w14:val="none"/>
        </w:rPr>
        <w:t>2</w:t>
      </w:r>
      <w:r>
        <w:rPr>
          <w:rFonts w:hint="eastAsia" w:ascii="Times New Roman" w:hAnsi="Times New Roman" w:eastAsia="宋体" w:cs="宋体"/>
          <w:szCs w:val="28"/>
          <w:lang w:bidi="ar"/>
          <w14:ligatures w14:val="none"/>
        </w:rPr>
        <w:t>座</w:t>
      </w:r>
      <w:r>
        <w:rPr>
          <w:rFonts w:hint="eastAsia" w:ascii="Times New Roman" w:hAnsi="Times New Roman" w:eastAsia="宋体" w:cs="宋体"/>
          <w:szCs w:val="28"/>
          <w:lang w:val="en-US" w:eastAsia="zh-CN" w:bidi="ar"/>
          <w14:ligatures w14:val="none"/>
        </w:rPr>
        <w:t>5</w:t>
      </w:r>
      <w:r>
        <w:rPr>
          <w:rFonts w:hint="eastAsia" w:ascii="Times New Roman" w:hAnsi="Times New Roman" w:eastAsia="宋体" w:cs="宋体"/>
          <w:szCs w:val="28"/>
          <w:lang w:bidi="ar"/>
          <w14:ligatures w14:val="none"/>
        </w:rPr>
        <w:t>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车用乙醇汽油储罐</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其中一个罐带隔仓，每个隔仓容量均为25m</w:t>
      </w:r>
      <w:r>
        <w:rPr>
          <w:rFonts w:hint="eastAsia" w:ascii="Times New Roman" w:hAnsi="Times New Roman" w:eastAsia="宋体" w:cs="宋体"/>
          <w:szCs w:val="28"/>
          <w:vertAlign w:val="superscript"/>
          <w:lang w:val="en-US" w:eastAsia="zh-CN" w:bidi="ar"/>
          <w14:ligatures w14:val="none"/>
        </w:rPr>
        <w:t>3</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bidi="ar"/>
          <w14:ligatures w14:val="none"/>
        </w:rPr>
        <w:t>和</w:t>
      </w:r>
      <w:r>
        <w:rPr>
          <w:rFonts w:hint="eastAsia" w:ascii="Times New Roman" w:hAnsi="Times New Roman" w:eastAsia="宋体" w:cs="宋体"/>
          <w:szCs w:val="28"/>
          <w:lang w:val="en-US" w:eastAsia="zh-CN" w:bidi="ar"/>
          <w14:ligatures w14:val="none"/>
        </w:rPr>
        <w:t>2</w:t>
      </w:r>
      <w:r>
        <w:rPr>
          <w:rFonts w:hint="eastAsia" w:ascii="Times New Roman" w:hAnsi="Times New Roman" w:eastAsia="宋体" w:cs="宋体"/>
          <w:szCs w:val="28"/>
          <w:lang w:bidi="ar"/>
          <w14:ligatures w14:val="none"/>
        </w:rPr>
        <w:t>座50m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柴油储罐</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其中一个罐带隔仓，每个隔仓容量均为25m</w:t>
      </w:r>
      <w:r>
        <w:rPr>
          <w:rFonts w:hint="eastAsia" w:ascii="Times New Roman" w:hAnsi="Times New Roman" w:eastAsia="宋体" w:cs="宋体"/>
          <w:szCs w:val="28"/>
          <w:vertAlign w:val="superscript"/>
          <w:lang w:val="en-US" w:eastAsia="zh-CN" w:bidi="ar"/>
          <w14:ligatures w14:val="none"/>
        </w:rPr>
        <w:t>3</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根据《汽车加油加气加氢站技术标准》（GB 50156-2021）第3.0.9条规定，该加油站油罐</w:t>
      </w:r>
      <w:r>
        <w:rPr>
          <w:rFonts w:hint="eastAsia" w:ascii="Times New Roman" w:hAnsi="Times New Roman" w:eastAsia="宋体" w:cs="宋体"/>
          <w:szCs w:val="28"/>
          <w:lang w:bidi="ar"/>
          <w14:ligatures w14:val="none"/>
        </w:rPr>
        <w:t>改造后</w:t>
      </w:r>
      <w:r>
        <w:rPr>
          <w:rFonts w:ascii="Times New Roman" w:hAnsi="Times New Roman" w:eastAsia="宋体" w:cs="宋体"/>
          <w:szCs w:val="28"/>
          <w:lang w:bidi="ar"/>
          <w14:ligatures w14:val="none"/>
        </w:rPr>
        <w:t>容积为</w:t>
      </w:r>
      <w:r>
        <w:rPr>
          <w:rFonts w:hint="eastAsia" w:ascii="Times New Roman" w:hAnsi="Times New Roman" w:eastAsia="宋体" w:cs="宋体"/>
          <w:szCs w:val="28"/>
          <w:lang w:bidi="ar"/>
          <w14:ligatures w14:val="none"/>
        </w:rPr>
        <w:t>1</w:t>
      </w:r>
      <w:r>
        <w:rPr>
          <w:rFonts w:hint="eastAsia" w:ascii="Times New Roman" w:hAnsi="Times New Roman" w:eastAsia="宋体" w:cs="宋体"/>
          <w:szCs w:val="28"/>
          <w:lang w:val="en-US" w:eastAsia="zh-CN" w:bidi="ar"/>
          <w14:ligatures w14:val="none"/>
        </w:rPr>
        <w:t>50</w:t>
      </w:r>
      <w:r>
        <w:rPr>
          <w:rFonts w:ascii="Times New Roman" w:hAnsi="Times New Roman" w:eastAsia="宋体" w:cs="宋体"/>
          <w:szCs w:val="28"/>
          <w:lang w:bidi="ar"/>
          <w14:ligatures w14:val="none"/>
        </w:rPr>
        <w:t>m</w:t>
      </w:r>
      <w:r>
        <w:rPr>
          <w:rFonts w:ascii="Times New Roman" w:hAnsi="Times New Roman" w:eastAsia="宋体" w:cs="宋体"/>
          <w:szCs w:val="28"/>
          <w:vertAlign w:val="superscript"/>
          <w:lang w:bidi="ar"/>
          <w14:ligatures w14:val="none"/>
        </w:rPr>
        <w:t>3</w:t>
      </w:r>
      <w:r>
        <w:rPr>
          <w:rFonts w:ascii="Times New Roman" w:hAnsi="Times New Roman" w:eastAsia="宋体" w:cs="宋体"/>
          <w:szCs w:val="28"/>
          <w:lang w:bidi="ar"/>
          <w14:ligatures w14:val="none"/>
        </w:rPr>
        <w:t>（柴油罐容积折半计入），故该站</w:t>
      </w:r>
      <w:r>
        <w:rPr>
          <w:rFonts w:hint="eastAsia" w:ascii="Times New Roman" w:hAnsi="Times New Roman" w:eastAsia="宋体" w:cs="宋体"/>
          <w:szCs w:val="28"/>
          <w:lang w:bidi="ar"/>
          <w14:ligatures w14:val="none"/>
        </w:rPr>
        <w:t>由原来的</w:t>
      </w:r>
      <w:r>
        <w:rPr>
          <w:rFonts w:ascii="Times New Roman" w:hAnsi="Times New Roman" w:eastAsia="宋体" w:cs="宋体"/>
          <w:szCs w:val="28"/>
          <w:lang w:bidi="ar"/>
          <w14:ligatures w14:val="none"/>
        </w:rPr>
        <w:t>三级加油站</w:t>
      </w:r>
      <w:r>
        <w:rPr>
          <w:rFonts w:hint="eastAsia" w:ascii="Times New Roman" w:hAnsi="Times New Roman" w:eastAsia="宋体" w:cs="宋体"/>
          <w:szCs w:val="28"/>
          <w:lang w:bidi="ar"/>
          <w14:ligatures w14:val="none"/>
        </w:rPr>
        <w:t>变为二级加油站</w:t>
      </w:r>
      <w:r>
        <w:rPr>
          <w:rFonts w:ascii="Times New Roman" w:hAnsi="Times New Roman" w:eastAsia="宋体" w:cs="宋体"/>
          <w:szCs w:val="28"/>
          <w:lang w:bidi="ar"/>
          <w14:ligatures w14:val="none"/>
        </w:rPr>
        <w:t>。</w:t>
      </w:r>
    </w:p>
    <w:p w14:paraId="3B7D3967">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根据《危险化学品目录（2015版）》（原安全监管总局、工业和信息化部、公安部、环境保护部、交通运输部、农业部、国家卫生计生委、质检总局、铁路局、民航局公告2015第5号，应急管理部公告〔2022〕8号修正，应急管理部等10部门公告2026年第3号新增）</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bidi="ar"/>
          <w14:ligatures w14:val="none"/>
        </w:rPr>
        <w:t>该站涉及的车用乙醇汽油、柴油均属于危险化学品。因此，本项目属于危险化学品改扩建项目。</w:t>
      </w:r>
    </w:p>
    <w:p w14:paraId="3A215AFF">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根据《中华人民共和国安全生产法》（中华人民共和国主席令[2021]第八十八号）的规定，生产经营单位新建、改建、扩建工程项目的安全设施必须与主体工程同时设计、同时施工、同时投入生产和使用。《危险化学品建设项目安全监督管理办法（2015年修订）》（国家安全生产监督管理总局令第45号）第二十五条的规定，建设项目试生产期间，建设单位应当委托有相应资质的安全评价机构对建设项目及其安全设施试生产（使用）情况进行安全验收评价，且不得委托在可行性研究阶段进行安全评价的同一安全评价机构，为此，</w:t>
      </w:r>
      <w:r>
        <w:rPr>
          <w:rFonts w:hint="eastAsia" w:ascii="Times New Roman" w:hAnsi="Times New Roman" w:eastAsia="宋体" w:cs="宋体"/>
          <w:szCs w:val="28"/>
          <w:lang w:eastAsia="zh-CN" w:bidi="ar"/>
          <w14:ligatures w14:val="none"/>
        </w:rPr>
        <w:t>沈阳市于洪区大兴乡星火特加油站</w:t>
      </w:r>
      <w:r>
        <w:rPr>
          <w:rFonts w:hint="eastAsia" w:ascii="Times New Roman" w:hAnsi="Times New Roman" w:eastAsia="宋体" w:cs="宋体"/>
          <w:szCs w:val="28"/>
          <w:lang w:bidi="ar"/>
          <w14:ligatures w14:val="none"/>
        </w:rPr>
        <w:t>委托具有相应安全评价资质的辽宁诺诚安全科技有限公司对其建设项目进行安全设施竣工验收安全评价。</w:t>
      </w:r>
    </w:p>
    <w:p w14:paraId="10E16DAB">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根据《安全评价通则》（AQ 8001-2007）、《安全验收评价导则》（AQ 8003-2007）和《危险化学品建设项目安全评价细则（试行）》（安监总危化[2007]255号）的要求编制完成了《沈阳市于洪区大兴乡星火特加油站罐区增容改造项目安全设施竣工验收安全评价报告》。</w:t>
      </w:r>
    </w:p>
    <w:p w14:paraId="23166F11">
      <w:pPr>
        <w:ind w:firstLine="560"/>
        <w:rPr>
          <w:rFonts w:ascii="Times New Roman" w:hAnsi="Times New Roman" w:eastAsia="宋体" w:cs="宋体"/>
          <w:szCs w:val="28"/>
          <w:lang w:bidi="ar"/>
          <w14:ligatures w14:val="none"/>
        </w:rPr>
        <w:sectPr>
          <w:headerReference r:id="rId7" w:type="first"/>
          <w:footerReference r:id="rId10" w:type="first"/>
          <w:headerReference r:id="rId5" w:type="default"/>
          <w:footerReference r:id="rId8" w:type="default"/>
          <w:headerReference r:id="rId6" w:type="even"/>
          <w:footerReference r:id="rId9" w:type="even"/>
          <w:pgSz w:w="11906" w:h="16838"/>
          <w:pgMar w:top="1418" w:right="1134" w:bottom="1134" w:left="1588" w:header="851" w:footer="992" w:gutter="0"/>
          <w:cols w:space="425" w:num="1"/>
          <w:docGrid w:type="lines" w:linePitch="312" w:charSpace="0"/>
        </w:sectPr>
      </w:pPr>
      <w:r>
        <w:rPr>
          <w:rFonts w:hint="eastAsia" w:ascii="Times New Roman" w:hAnsi="Times New Roman" w:eastAsia="宋体" w:cs="宋体"/>
          <w:szCs w:val="28"/>
          <w:lang w:bidi="ar"/>
          <w14:ligatures w14:val="none"/>
        </w:rPr>
        <w:t>在现场勘验、资料收集以及报告编制过程中，得到了</w:t>
      </w:r>
      <w:r>
        <w:rPr>
          <w:rFonts w:hint="eastAsia" w:ascii="Times New Roman" w:hAnsi="Times New Roman" w:eastAsia="宋体" w:cs="宋体"/>
          <w:szCs w:val="28"/>
          <w:lang w:eastAsia="zh-CN" w:bidi="ar"/>
          <w14:ligatures w14:val="none"/>
        </w:rPr>
        <w:t>沈阳市于洪区大兴乡星火特加油站</w:t>
      </w:r>
      <w:r>
        <w:rPr>
          <w:rFonts w:hint="eastAsia" w:ascii="Times New Roman" w:hAnsi="Times New Roman" w:eastAsia="宋体" w:cs="宋体"/>
          <w:szCs w:val="28"/>
          <w:lang w:bidi="ar"/>
          <w14:ligatures w14:val="none"/>
        </w:rPr>
        <w:t>领导、安全管理人员的大力支持和帮助，在此致以衷心的感谢！</w:t>
      </w:r>
    </w:p>
    <w:p w14:paraId="5E4A0E8D">
      <w:pPr>
        <w:tabs>
          <w:tab w:val="left" w:pos="210"/>
        </w:tabs>
        <w:spacing w:before="468" w:beforeLines="150" w:after="468" w:afterLines="150"/>
        <w:ind w:firstLine="0" w:firstLineChars="0"/>
        <w:jc w:val="center"/>
        <w:outlineLvl w:val="0"/>
        <w:rPr>
          <w:rFonts w:ascii="黑体" w:hAnsi="Times New Roman" w:eastAsia="黑体" w:cs="黑体"/>
          <w:b/>
          <w:sz w:val="32"/>
          <w:szCs w:val="32"/>
          <w:lang w:bidi="ar"/>
          <w14:ligatures w14:val="none"/>
        </w:rPr>
      </w:pPr>
      <w:bookmarkStart w:id="4" w:name="_Toc187164220"/>
      <w:bookmarkStart w:id="5" w:name="_Toc187309980"/>
      <w:bookmarkStart w:id="6" w:name="_Toc218437720"/>
      <w:r>
        <w:rPr>
          <w:rFonts w:hint="eastAsia" w:ascii="黑体" w:hAnsi="Times New Roman" w:eastAsia="黑体" w:cs="黑体"/>
          <w:b/>
          <w:sz w:val="32"/>
          <w:szCs w:val="32"/>
          <w:lang w:bidi="ar"/>
          <w14:ligatures w14:val="none"/>
        </w:rPr>
        <w:t>目  录</w:t>
      </w:r>
      <w:bookmarkEnd w:id="4"/>
      <w:bookmarkEnd w:id="5"/>
      <w:bookmarkEnd w:id="6"/>
    </w:p>
    <w:p w14:paraId="5C6F27F5">
      <w:pPr>
        <w:pStyle w:val="12"/>
        <w:tabs>
          <w:tab w:val="right" w:leader="dot" w:pos="9174"/>
        </w:tabs>
        <w:adjustRightInd w:val="0"/>
        <w:snapToGrid w:val="0"/>
        <w:spacing w:line="360" w:lineRule="auto"/>
        <w:jc w:val="both"/>
        <w:rPr>
          <w:rFonts w:eastAsia="黑体"/>
          <w:b w:val="0"/>
          <w:szCs w:val="28"/>
          <w14:ligatures w14:val="standardContextual"/>
        </w:rPr>
      </w:pPr>
      <w:r>
        <w:rPr>
          <w:rFonts w:eastAsia="黑体"/>
          <w:szCs w:val="28"/>
          <w:lang w:bidi="ar"/>
        </w:rPr>
        <w:fldChar w:fldCharType="begin"/>
      </w:r>
      <w:r>
        <w:rPr>
          <w:rFonts w:eastAsia="黑体"/>
          <w:szCs w:val="28"/>
          <w:lang w:bidi="ar"/>
        </w:rPr>
        <w:instrText xml:space="preserve"> TOC \o "1-2" \h \z \u </w:instrText>
      </w:r>
      <w:r>
        <w:rPr>
          <w:rFonts w:eastAsia="黑体"/>
          <w:szCs w:val="28"/>
          <w:lang w:bidi="ar"/>
        </w:rPr>
        <w:fldChar w:fldCharType="separate"/>
      </w:r>
      <w:r>
        <w:fldChar w:fldCharType="begin"/>
      </w:r>
      <w:r>
        <w:instrText xml:space="preserve"> HYPERLINK \l "_Toc218437721" </w:instrText>
      </w:r>
      <w:r>
        <w:fldChar w:fldCharType="separate"/>
      </w:r>
      <w:r>
        <w:rPr>
          <w:rStyle w:val="39"/>
          <w:rFonts w:eastAsia="黑体"/>
          <w:bCs/>
          <w:szCs w:val="28"/>
          <w:lang w:bidi="ar"/>
        </w:rPr>
        <w:t>1安全评价工作经过</w:t>
      </w:r>
      <w:r>
        <w:rPr>
          <w:rFonts w:eastAsia="黑体"/>
          <w:szCs w:val="28"/>
        </w:rPr>
        <w:tab/>
      </w:r>
      <w:r>
        <w:rPr>
          <w:rFonts w:eastAsia="黑体"/>
          <w:szCs w:val="28"/>
        </w:rPr>
        <w:fldChar w:fldCharType="begin"/>
      </w:r>
      <w:r>
        <w:rPr>
          <w:rFonts w:eastAsia="黑体"/>
          <w:szCs w:val="28"/>
        </w:rPr>
        <w:instrText xml:space="preserve"> PAGEREF _Toc218437721 \h </w:instrText>
      </w:r>
      <w:r>
        <w:rPr>
          <w:rFonts w:eastAsia="黑体"/>
          <w:szCs w:val="28"/>
        </w:rPr>
        <w:fldChar w:fldCharType="separate"/>
      </w:r>
      <w:r>
        <w:rPr>
          <w:rFonts w:eastAsia="黑体"/>
          <w:szCs w:val="28"/>
        </w:rPr>
        <w:t>1</w:t>
      </w:r>
      <w:r>
        <w:rPr>
          <w:rFonts w:eastAsia="黑体"/>
          <w:szCs w:val="28"/>
        </w:rPr>
        <w:fldChar w:fldCharType="end"/>
      </w:r>
      <w:r>
        <w:rPr>
          <w:rFonts w:eastAsia="黑体"/>
          <w:szCs w:val="28"/>
        </w:rPr>
        <w:fldChar w:fldCharType="end"/>
      </w:r>
    </w:p>
    <w:p w14:paraId="2F5CC12A">
      <w:pPr>
        <w:pStyle w:val="27"/>
        <w:tabs>
          <w:tab w:val="right" w:leader="dot" w:pos="9174"/>
        </w:tabs>
        <w:adjustRightInd w:val="0"/>
        <w:snapToGrid w:val="0"/>
        <w:spacing w:line="360" w:lineRule="auto"/>
        <w:ind w:left="280" w:leftChars="100" w:firstLine="0" w:firstLineChars="0"/>
        <w:rPr>
          <w:rFonts w:eastAsia="黑体"/>
          <w:szCs w:val="28"/>
          <w14:ligatures w14:val="standardContextual"/>
        </w:rPr>
      </w:pPr>
      <w:r>
        <w:fldChar w:fldCharType="begin"/>
      </w:r>
      <w:r>
        <w:instrText xml:space="preserve"> HYPERLINK \l "_Toc218437722" </w:instrText>
      </w:r>
      <w:r>
        <w:fldChar w:fldCharType="separate"/>
      </w:r>
      <w:r>
        <w:rPr>
          <w:rStyle w:val="39"/>
          <w:rFonts w:eastAsia="黑体"/>
          <w:szCs w:val="28"/>
          <w:lang w:bidi="ar"/>
        </w:rPr>
        <w:t>1.1前期准备情况</w:t>
      </w:r>
      <w:r>
        <w:rPr>
          <w:rFonts w:eastAsia="黑体"/>
          <w:szCs w:val="28"/>
        </w:rPr>
        <w:tab/>
      </w:r>
      <w:r>
        <w:rPr>
          <w:rFonts w:eastAsia="黑体"/>
          <w:szCs w:val="28"/>
        </w:rPr>
        <w:fldChar w:fldCharType="begin"/>
      </w:r>
      <w:r>
        <w:rPr>
          <w:rFonts w:eastAsia="黑体"/>
          <w:szCs w:val="28"/>
        </w:rPr>
        <w:instrText xml:space="preserve"> PAGEREF _Toc218437722 \h </w:instrText>
      </w:r>
      <w:r>
        <w:rPr>
          <w:rFonts w:eastAsia="黑体"/>
          <w:szCs w:val="28"/>
        </w:rPr>
        <w:fldChar w:fldCharType="separate"/>
      </w:r>
      <w:r>
        <w:rPr>
          <w:rFonts w:eastAsia="黑体"/>
          <w:szCs w:val="28"/>
        </w:rPr>
        <w:t>1</w:t>
      </w:r>
      <w:r>
        <w:rPr>
          <w:rFonts w:eastAsia="黑体"/>
          <w:szCs w:val="28"/>
        </w:rPr>
        <w:fldChar w:fldCharType="end"/>
      </w:r>
      <w:r>
        <w:rPr>
          <w:rFonts w:eastAsia="黑体"/>
          <w:szCs w:val="28"/>
        </w:rPr>
        <w:fldChar w:fldCharType="end"/>
      </w:r>
    </w:p>
    <w:p w14:paraId="146B35F6">
      <w:pPr>
        <w:pStyle w:val="27"/>
        <w:tabs>
          <w:tab w:val="right" w:leader="dot" w:pos="9174"/>
        </w:tabs>
        <w:adjustRightInd w:val="0"/>
        <w:snapToGrid w:val="0"/>
        <w:spacing w:line="360" w:lineRule="auto"/>
        <w:ind w:left="280" w:leftChars="100" w:firstLine="0" w:firstLineChars="0"/>
        <w:rPr>
          <w:rFonts w:eastAsia="黑体"/>
          <w:szCs w:val="28"/>
          <w14:ligatures w14:val="standardContextual"/>
        </w:rPr>
      </w:pPr>
      <w:r>
        <w:fldChar w:fldCharType="begin"/>
      </w:r>
      <w:r>
        <w:instrText xml:space="preserve"> HYPERLINK \l "_Toc218437723" </w:instrText>
      </w:r>
      <w:r>
        <w:fldChar w:fldCharType="separate"/>
      </w:r>
      <w:r>
        <w:rPr>
          <w:rStyle w:val="39"/>
          <w:rFonts w:eastAsia="黑体"/>
          <w:szCs w:val="28"/>
          <w:lang w:bidi="ar"/>
        </w:rPr>
        <w:t>1.2评价目的</w:t>
      </w:r>
      <w:r>
        <w:rPr>
          <w:rFonts w:eastAsia="黑体"/>
          <w:szCs w:val="28"/>
        </w:rPr>
        <w:tab/>
      </w:r>
      <w:r>
        <w:rPr>
          <w:rFonts w:eastAsia="黑体"/>
          <w:szCs w:val="28"/>
        </w:rPr>
        <w:fldChar w:fldCharType="begin"/>
      </w:r>
      <w:r>
        <w:rPr>
          <w:rFonts w:eastAsia="黑体"/>
          <w:szCs w:val="28"/>
        </w:rPr>
        <w:instrText xml:space="preserve"> PAGEREF _Toc218437723 \h </w:instrText>
      </w:r>
      <w:r>
        <w:rPr>
          <w:rFonts w:eastAsia="黑体"/>
          <w:szCs w:val="28"/>
        </w:rPr>
        <w:fldChar w:fldCharType="separate"/>
      </w:r>
      <w:r>
        <w:rPr>
          <w:rFonts w:eastAsia="黑体"/>
          <w:szCs w:val="28"/>
        </w:rPr>
        <w:t>1</w:t>
      </w:r>
      <w:r>
        <w:rPr>
          <w:rFonts w:eastAsia="黑体"/>
          <w:szCs w:val="28"/>
        </w:rPr>
        <w:fldChar w:fldCharType="end"/>
      </w:r>
      <w:r>
        <w:rPr>
          <w:rFonts w:eastAsia="黑体"/>
          <w:szCs w:val="28"/>
        </w:rPr>
        <w:fldChar w:fldCharType="end"/>
      </w:r>
    </w:p>
    <w:p w14:paraId="7001DFB4">
      <w:pPr>
        <w:pStyle w:val="27"/>
        <w:tabs>
          <w:tab w:val="right" w:leader="dot" w:pos="9174"/>
        </w:tabs>
        <w:adjustRightInd w:val="0"/>
        <w:snapToGrid w:val="0"/>
        <w:spacing w:line="360" w:lineRule="auto"/>
        <w:ind w:left="280" w:leftChars="100" w:firstLine="0" w:firstLineChars="0"/>
        <w:rPr>
          <w:rFonts w:eastAsia="黑体"/>
          <w:szCs w:val="28"/>
          <w14:ligatures w14:val="standardContextual"/>
        </w:rPr>
      </w:pPr>
      <w:r>
        <w:fldChar w:fldCharType="begin"/>
      </w:r>
      <w:r>
        <w:instrText xml:space="preserve"> HYPERLINK \l "_Toc218437724" </w:instrText>
      </w:r>
      <w:r>
        <w:fldChar w:fldCharType="separate"/>
      </w:r>
      <w:r>
        <w:rPr>
          <w:rStyle w:val="39"/>
          <w:rFonts w:eastAsia="黑体"/>
          <w:szCs w:val="28"/>
          <w:lang w:bidi="ar"/>
        </w:rPr>
        <w:t>1.3对象及范围</w:t>
      </w:r>
      <w:r>
        <w:rPr>
          <w:rFonts w:eastAsia="黑体"/>
          <w:szCs w:val="28"/>
        </w:rPr>
        <w:tab/>
      </w:r>
      <w:r>
        <w:rPr>
          <w:rFonts w:eastAsia="黑体"/>
          <w:szCs w:val="28"/>
        </w:rPr>
        <w:fldChar w:fldCharType="begin"/>
      </w:r>
      <w:r>
        <w:rPr>
          <w:rFonts w:eastAsia="黑体"/>
          <w:szCs w:val="28"/>
        </w:rPr>
        <w:instrText xml:space="preserve"> PAGEREF _Toc218437724 \h </w:instrText>
      </w:r>
      <w:r>
        <w:rPr>
          <w:rFonts w:eastAsia="黑体"/>
          <w:szCs w:val="28"/>
        </w:rPr>
        <w:fldChar w:fldCharType="separate"/>
      </w:r>
      <w:r>
        <w:rPr>
          <w:rFonts w:eastAsia="黑体"/>
          <w:szCs w:val="28"/>
        </w:rPr>
        <w:t>1</w:t>
      </w:r>
      <w:r>
        <w:rPr>
          <w:rFonts w:eastAsia="黑体"/>
          <w:szCs w:val="28"/>
        </w:rPr>
        <w:fldChar w:fldCharType="end"/>
      </w:r>
      <w:r>
        <w:rPr>
          <w:rFonts w:eastAsia="黑体"/>
          <w:szCs w:val="28"/>
        </w:rPr>
        <w:fldChar w:fldCharType="end"/>
      </w:r>
    </w:p>
    <w:p w14:paraId="12EFE538">
      <w:pPr>
        <w:pStyle w:val="27"/>
        <w:tabs>
          <w:tab w:val="right" w:leader="dot" w:pos="9174"/>
        </w:tabs>
        <w:adjustRightInd w:val="0"/>
        <w:snapToGrid w:val="0"/>
        <w:spacing w:line="360" w:lineRule="auto"/>
        <w:ind w:left="280" w:leftChars="100" w:firstLine="0" w:firstLineChars="0"/>
        <w:rPr>
          <w:rFonts w:eastAsia="黑体"/>
          <w:szCs w:val="28"/>
          <w14:ligatures w14:val="standardContextual"/>
        </w:rPr>
      </w:pPr>
      <w:r>
        <w:fldChar w:fldCharType="begin"/>
      </w:r>
      <w:r>
        <w:instrText xml:space="preserve"> HYPERLINK \l "_Toc218437725" </w:instrText>
      </w:r>
      <w:r>
        <w:fldChar w:fldCharType="separate"/>
      </w:r>
      <w:r>
        <w:rPr>
          <w:rStyle w:val="39"/>
          <w:rFonts w:eastAsia="黑体"/>
          <w:szCs w:val="28"/>
          <w:lang w:bidi="ar"/>
        </w:rPr>
        <w:t>1.4工作经过和程序</w:t>
      </w:r>
      <w:r>
        <w:rPr>
          <w:rFonts w:eastAsia="黑体"/>
          <w:szCs w:val="28"/>
        </w:rPr>
        <w:tab/>
      </w:r>
      <w:r>
        <w:rPr>
          <w:rFonts w:eastAsia="黑体"/>
          <w:szCs w:val="28"/>
        </w:rPr>
        <w:fldChar w:fldCharType="begin"/>
      </w:r>
      <w:r>
        <w:rPr>
          <w:rFonts w:eastAsia="黑体"/>
          <w:szCs w:val="28"/>
        </w:rPr>
        <w:instrText xml:space="preserve"> PAGEREF _Toc218437725 \h </w:instrText>
      </w:r>
      <w:r>
        <w:rPr>
          <w:rFonts w:eastAsia="黑体"/>
          <w:szCs w:val="28"/>
        </w:rPr>
        <w:fldChar w:fldCharType="separate"/>
      </w:r>
      <w:r>
        <w:rPr>
          <w:rFonts w:eastAsia="黑体"/>
          <w:szCs w:val="28"/>
        </w:rPr>
        <w:t>2</w:t>
      </w:r>
      <w:r>
        <w:rPr>
          <w:rFonts w:eastAsia="黑体"/>
          <w:szCs w:val="28"/>
        </w:rPr>
        <w:fldChar w:fldCharType="end"/>
      </w:r>
      <w:r>
        <w:rPr>
          <w:rFonts w:eastAsia="黑体"/>
          <w:szCs w:val="28"/>
        </w:rPr>
        <w:fldChar w:fldCharType="end"/>
      </w:r>
    </w:p>
    <w:p w14:paraId="18394D51">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"_Toc218437726" </w:instrText>
      </w:r>
      <w:r>
        <w:fldChar w:fldCharType="separate"/>
      </w:r>
      <w:r>
        <w:rPr>
          <w:rStyle w:val="39"/>
          <w:rFonts w:eastAsia="黑体"/>
          <w:bCs/>
          <w:szCs w:val="28"/>
          <w:lang w:bidi="ar"/>
        </w:rPr>
        <w:t>2建设项目概况</w:t>
      </w:r>
      <w:r>
        <w:rPr>
          <w:rFonts w:eastAsia="黑体"/>
          <w:szCs w:val="28"/>
        </w:rPr>
        <w:tab/>
      </w:r>
      <w:r>
        <w:rPr>
          <w:rFonts w:eastAsia="黑体"/>
          <w:szCs w:val="28"/>
        </w:rPr>
        <w:fldChar w:fldCharType="begin"/>
      </w:r>
      <w:r>
        <w:rPr>
          <w:rFonts w:eastAsia="黑体"/>
          <w:szCs w:val="28"/>
        </w:rPr>
        <w:instrText xml:space="preserve"> PAGEREF _Toc218437726 \h </w:instrText>
      </w:r>
      <w:r>
        <w:rPr>
          <w:rFonts w:eastAsia="黑体"/>
          <w:szCs w:val="28"/>
        </w:rPr>
        <w:fldChar w:fldCharType="separate"/>
      </w:r>
      <w:r>
        <w:rPr>
          <w:rFonts w:eastAsia="黑体"/>
          <w:szCs w:val="28"/>
        </w:rPr>
        <w:t>4</w:t>
      </w:r>
      <w:r>
        <w:rPr>
          <w:rFonts w:eastAsia="黑体"/>
          <w:szCs w:val="28"/>
        </w:rPr>
        <w:fldChar w:fldCharType="end"/>
      </w:r>
      <w:r>
        <w:rPr>
          <w:rFonts w:eastAsia="黑体"/>
          <w:szCs w:val="28"/>
        </w:rPr>
        <w:fldChar w:fldCharType="end"/>
      </w:r>
    </w:p>
    <w:p w14:paraId="6957EA33">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"_Toc218437727" </w:instrText>
      </w:r>
      <w:r>
        <w:fldChar w:fldCharType="separate"/>
      </w:r>
      <w:r>
        <w:rPr>
          <w:rStyle w:val="39"/>
          <w:rFonts w:eastAsia="黑体"/>
          <w:szCs w:val="28"/>
          <w:lang w:bidi="ar"/>
        </w:rPr>
        <w:t>2.1建设单位简介</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_Toc218437727 \h</w:instrText>
      </w:r>
      <w:r>
        <w:rPr>
          <w:rStyle w:val="39"/>
          <w:rFonts w:hint="eastAsia"/>
          <w:lang w:bidi="ar"/>
        </w:rPr>
        <w:instrText xml:space="preserve"> </w:instrText>
      </w:r>
      <w:r>
        <w:rPr>
          <w:rStyle w:val="39"/>
          <w:rFonts w:hint="eastAsia"/>
          <w:lang w:bidi="ar"/>
        </w:rPr>
        <w:fldChar w:fldCharType="separate"/>
      </w:r>
      <w:r>
        <w:rPr>
          <w:rStyle w:val="39"/>
          <w:lang w:bidi="ar"/>
        </w:rPr>
        <w:t>4</w:t>
      </w:r>
      <w:r>
        <w:rPr>
          <w:rStyle w:val="39"/>
          <w:rFonts w:hint="eastAsia"/>
          <w:lang w:bidi="ar"/>
        </w:rPr>
        <w:fldChar w:fldCharType="end"/>
      </w:r>
      <w:r>
        <w:rPr>
          <w:rStyle w:val="39"/>
          <w:rFonts w:hint="eastAsia"/>
          <w:lang w:bidi="ar"/>
        </w:rPr>
        <w:fldChar w:fldCharType="end"/>
      </w:r>
    </w:p>
    <w:p w14:paraId="6CC09532">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"_Toc218437728" </w:instrText>
      </w:r>
      <w:r>
        <w:fldChar w:fldCharType="separate"/>
      </w:r>
      <w:r>
        <w:rPr>
          <w:rStyle w:val="39"/>
          <w:rFonts w:eastAsia="黑体"/>
          <w:szCs w:val="28"/>
          <w:lang w:bidi="ar"/>
        </w:rPr>
        <w:t>2.2建设项目简介</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_Toc218437728 \h</w:instrText>
      </w:r>
      <w:r>
        <w:rPr>
          <w:rStyle w:val="39"/>
          <w:rFonts w:hint="eastAsia"/>
          <w:lang w:bidi="ar"/>
        </w:rPr>
        <w:instrText xml:space="preserve"> </w:instrText>
      </w:r>
      <w:r>
        <w:rPr>
          <w:rStyle w:val="39"/>
          <w:rFonts w:hint="eastAsia"/>
          <w:lang w:bidi="ar"/>
        </w:rPr>
        <w:fldChar w:fldCharType="separate"/>
      </w:r>
      <w:r>
        <w:rPr>
          <w:rStyle w:val="39"/>
          <w:lang w:bidi="ar"/>
        </w:rPr>
        <w:t>5</w:t>
      </w:r>
      <w:r>
        <w:rPr>
          <w:rStyle w:val="39"/>
          <w:rFonts w:hint="eastAsia"/>
          <w:lang w:bidi="ar"/>
        </w:rPr>
        <w:fldChar w:fldCharType="end"/>
      </w:r>
      <w:r>
        <w:rPr>
          <w:rStyle w:val="39"/>
          <w:rFonts w:hint="eastAsia"/>
          <w:lang w:bidi="ar"/>
        </w:rPr>
        <w:fldChar w:fldCharType="end"/>
      </w:r>
    </w:p>
    <w:p w14:paraId="332883DE">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"_Toc218437729" </w:instrText>
      </w:r>
      <w:r>
        <w:fldChar w:fldCharType="separate"/>
      </w:r>
      <w:r>
        <w:rPr>
          <w:rStyle w:val="39"/>
          <w:rFonts w:eastAsia="黑体"/>
          <w:szCs w:val="28"/>
          <w:lang w:bidi="ar"/>
        </w:rPr>
        <w:t>2.3采用的主要技术、工艺和同类项目水平对比情况</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_Toc218437729 \h</w:instrText>
      </w:r>
      <w:r>
        <w:rPr>
          <w:rStyle w:val="39"/>
          <w:rFonts w:hint="eastAsia"/>
          <w:lang w:bidi="ar"/>
        </w:rPr>
        <w:instrText xml:space="preserve"> </w:instrText>
      </w:r>
      <w:r>
        <w:rPr>
          <w:rStyle w:val="39"/>
          <w:rFonts w:hint="eastAsia"/>
          <w:lang w:bidi="ar"/>
        </w:rPr>
        <w:fldChar w:fldCharType="separate"/>
      </w:r>
      <w:r>
        <w:rPr>
          <w:rStyle w:val="39"/>
          <w:lang w:bidi="ar"/>
        </w:rPr>
        <w:t>6</w:t>
      </w:r>
      <w:r>
        <w:rPr>
          <w:rStyle w:val="39"/>
          <w:rFonts w:hint="eastAsia"/>
          <w:lang w:bidi="ar"/>
        </w:rPr>
        <w:fldChar w:fldCharType="end"/>
      </w:r>
      <w:r>
        <w:rPr>
          <w:rStyle w:val="39"/>
          <w:rFonts w:hint="eastAsia"/>
          <w:lang w:bidi="ar"/>
        </w:rPr>
        <w:fldChar w:fldCharType="end"/>
      </w:r>
    </w:p>
    <w:p w14:paraId="3457BA49">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"_Toc218437730" </w:instrText>
      </w:r>
      <w:r>
        <w:fldChar w:fldCharType="separate"/>
      </w:r>
      <w:r>
        <w:rPr>
          <w:rStyle w:val="39"/>
          <w:rFonts w:eastAsia="黑体"/>
          <w:szCs w:val="28"/>
          <w:lang w:bidi="ar"/>
        </w:rPr>
        <w:t>2.4建设项目的地理位置、用地面积和储存规模</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_Toc218437730 \h</w:instrText>
      </w:r>
      <w:r>
        <w:rPr>
          <w:rStyle w:val="39"/>
          <w:rFonts w:hint="eastAsia"/>
          <w:lang w:bidi="ar"/>
        </w:rPr>
        <w:instrText xml:space="preserve"> </w:instrText>
      </w:r>
      <w:r>
        <w:rPr>
          <w:rStyle w:val="39"/>
          <w:rFonts w:hint="eastAsia"/>
          <w:lang w:bidi="ar"/>
        </w:rPr>
        <w:fldChar w:fldCharType="separate"/>
      </w:r>
      <w:r>
        <w:rPr>
          <w:rStyle w:val="39"/>
          <w:lang w:bidi="ar"/>
        </w:rPr>
        <w:t>8</w:t>
      </w:r>
      <w:r>
        <w:rPr>
          <w:rStyle w:val="39"/>
          <w:rFonts w:hint="eastAsia"/>
          <w:lang w:bidi="ar"/>
        </w:rPr>
        <w:fldChar w:fldCharType="end"/>
      </w:r>
      <w:r>
        <w:rPr>
          <w:rStyle w:val="39"/>
          <w:rFonts w:hint="eastAsia"/>
          <w:lang w:bidi="ar"/>
        </w:rPr>
        <w:fldChar w:fldCharType="end"/>
      </w:r>
    </w:p>
    <w:p w14:paraId="249245CF">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"_Toc218437731" </w:instrText>
      </w:r>
      <w:r>
        <w:fldChar w:fldCharType="separate"/>
      </w:r>
      <w:r>
        <w:rPr>
          <w:rStyle w:val="39"/>
          <w:rFonts w:eastAsia="黑体"/>
          <w:szCs w:val="28"/>
          <w:lang w:bidi="ar"/>
        </w:rPr>
        <w:t>2.5涉及的主要原辅材料、产品品种名称、数量，储存</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_Toc218437731 \h</w:instrText>
      </w:r>
      <w:r>
        <w:rPr>
          <w:rStyle w:val="39"/>
          <w:rFonts w:hint="eastAsia"/>
          <w:lang w:bidi="ar"/>
        </w:rPr>
        <w:instrText xml:space="preserve"> </w:instrText>
      </w:r>
      <w:r>
        <w:rPr>
          <w:rStyle w:val="39"/>
          <w:rFonts w:hint="eastAsia"/>
          <w:lang w:bidi="ar"/>
        </w:rPr>
        <w:fldChar w:fldCharType="separate"/>
      </w:r>
      <w:r>
        <w:rPr>
          <w:rStyle w:val="39"/>
          <w:lang w:bidi="ar"/>
        </w:rPr>
        <w:t>9</w:t>
      </w:r>
      <w:r>
        <w:rPr>
          <w:rStyle w:val="39"/>
          <w:rFonts w:hint="eastAsia"/>
          <w:lang w:bidi="ar"/>
        </w:rPr>
        <w:fldChar w:fldCharType="end"/>
      </w:r>
      <w:r>
        <w:rPr>
          <w:rStyle w:val="39"/>
          <w:rFonts w:hint="eastAsia"/>
          <w:lang w:bidi="ar"/>
        </w:rPr>
        <w:fldChar w:fldCharType="end"/>
      </w:r>
    </w:p>
    <w:p w14:paraId="1A8CCE06">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"_Toc218437732" </w:instrText>
      </w:r>
      <w:r>
        <w:fldChar w:fldCharType="separate"/>
      </w:r>
      <w:r>
        <w:rPr>
          <w:rStyle w:val="39"/>
          <w:rFonts w:eastAsia="黑体"/>
          <w:szCs w:val="28"/>
          <w:lang w:bidi="ar"/>
        </w:rPr>
        <w:t>2.6工艺流程和主要装置和设施的布局及其上下游生产装置的关系</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_Toc218437732 \h</w:instrText>
      </w:r>
      <w:r>
        <w:rPr>
          <w:rStyle w:val="39"/>
          <w:rFonts w:hint="eastAsia"/>
          <w:lang w:bidi="ar"/>
        </w:rPr>
        <w:instrText xml:space="preserve"> </w:instrText>
      </w:r>
      <w:r>
        <w:rPr>
          <w:rStyle w:val="39"/>
          <w:rFonts w:hint="eastAsia"/>
          <w:lang w:bidi="ar"/>
        </w:rPr>
        <w:fldChar w:fldCharType="separate"/>
      </w:r>
      <w:r>
        <w:rPr>
          <w:rStyle w:val="39"/>
          <w:lang w:bidi="ar"/>
        </w:rPr>
        <w:t>9</w:t>
      </w:r>
      <w:r>
        <w:rPr>
          <w:rStyle w:val="39"/>
          <w:rFonts w:hint="eastAsia"/>
          <w:lang w:bidi="ar"/>
        </w:rPr>
        <w:fldChar w:fldCharType="end"/>
      </w:r>
      <w:r>
        <w:rPr>
          <w:rStyle w:val="39"/>
          <w:rFonts w:hint="eastAsia"/>
          <w:lang w:bidi="ar"/>
        </w:rPr>
        <w:fldChar w:fldCharType="end"/>
      </w:r>
    </w:p>
    <w:p w14:paraId="26C87C05">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"_Toc218437733" </w:instrText>
      </w:r>
      <w:r>
        <w:fldChar w:fldCharType="separate"/>
      </w:r>
      <w:r>
        <w:rPr>
          <w:rStyle w:val="39"/>
          <w:rFonts w:eastAsia="黑体"/>
          <w:szCs w:val="28"/>
          <w:lang w:bidi="ar"/>
        </w:rPr>
        <w:t>2.7配套和辅助工程</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_Toc218437733 \h</w:instrText>
      </w:r>
      <w:r>
        <w:rPr>
          <w:rStyle w:val="39"/>
          <w:rFonts w:hint="eastAsia"/>
          <w:lang w:bidi="ar"/>
        </w:rPr>
        <w:instrText xml:space="preserve"> </w:instrText>
      </w:r>
      <w:r>
        <w:rPr>
          <w:rStyle w:val="39"/>
          <w:rFonts w:hint="eastAsia"/>
          <w:lang w:bidi="ar"/>
        </w:rPr>
        <w:fldChar w:fldCharType="separate"/>
      </w:r>
      <w:r>
        <w:rPr>
          <w:rStyle w:val="39"/>
          <w:lang w:bidi="ar"/>
        </w:rPr>
        <w:t>14</w:t>
      </w:r>
      <w:r>
        <w:rPr>
          <w:rStyle w:val="39"/>
          <w:rFonts w:hint="eastAsia"/>
          <w:lang w:bidi="ar"/>
        </w:rPr>
        <w:fldChar w:fldCharType="end"/>
      </w:r>
      <w:r>
        <w:rPr>
          <w:rStyle w:val="39"/>
          <w:rFonts w:hint="eastAsia"/>
          <w:lang w:bidi="ar"/>
        </w:rPr>
        <w:fldChar w:fldCharType="end"/>
      </w:r>
    </w:p>
    <w:p w14:paraId="744A9C5D">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"_Toc218437734" </w:instrText>
      </w:r>
      <w:r>
        <w:fldChar w:fldCharType="separate"/>
      </w:r>
      <w:r>
        <w:rPr>
          <w:rStyle w:val="39"/>
          <w:rFonts w:eastAsia="黑体"/>
          <w:szCs w:val="28"/>
          <w:lang w:bidi="ar"/>
        </w:rPr>
        <w:t>2.8主要装置（设备）和设施</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_Toc218437734 \h</w:instrText>
      </w:r>
      <w:r>
        <w:rPr>
          <w:rStyle w:val="39"/>
          <w:rFonts w:hint="eastAsia"/>
          <w:lang w:bidi="ar"/>
        </w:rPr>
        <w:instrText xml:space="preserve"> </w:instrText>
      </w:r>
      <w:r>
        <w:rPr>
          <w:rStyle w:val="39"/>
          <w:rFonts w:hint="eastAsia"/>
          <w:lang w:bidi="ar"/>
        </w:rPr>
        <w:fldChar w:fldCharType="separate"/>
      </w:r>
      <w:r>
        <w:rPr>
          <w:rStyle w:val="39"/>
          <w:lang w:bidi="ar"/>
        </w:rPr>
        <w:t>17</w:t>
      </w:r>
      <w:r>
        <w:rPr>
          <w:rStyle w:val="39"/>
          <w:rFonts w:hint="eastAsia"/>
          <w:lang w:bidi="ar"/>
        </w:rPr>
        <w:fldChar w:fldCharType="end"/>
      </w:r>
      <w:r>
        <w:rPr>
          <w:rStyle w:val="39"/>
          <w:rFonts w:hint="eastAsia"/>
          <w:lang w:bidi="ar"/>
        </w:rPr>
        <w:fldChar w:fldCharType="end"/>
      </w:r>
    </w:p>
    <w:p w14:paraId="6D5D7FBD">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"_Toc218437735" </w:instrText>
      </w:r>
      <w:r>
        <w:fldChar w:fldCharType="separate"/>
      </w:r>
      <w:r>
        <w:rPr>
          <w:rStyle w:val="39"/>
          <w:rFonts w:eastAsia="黑体"/>
          <w:szCs w:val="28"/>
          <w:lang w:bidi="ar"/>
        </w:rPr>
        <w:t>2.9劳动定员</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_Toc218437735 \h</w:instrText>
      </w:r>
      <w:r>
        <w:rPr>
          <w:rStyle w:val="39"/>
          <w:rFonts w:hint="eastAsia"/>
          <w:lang w:bidi="ar"/>
        </w:rPr>
        <w:instrText xml:space="preserve"> </w:instrText>
      </w:r>
      <w:r>
        <w:rPr>
          <w:rStyle w:val="39"/>
          <w:rFonts w:hint="eastAsia"/>
          <w:lang w:bidi="ar"/>
        </w:rPr>
        <w:fldChar w:fldCharType="separate"/>
      </w:r>
      <w:r>
        <w:rPr>
          <w:rStyle w:val="39"/>
          <w:lang w:bidi="ar"/>
        </w:rPr>
        <w:t>18</w:t>
      </w:r>
      <w:r>
        <w:rPr>
          <w:rStyle w:val="39"/>
          <w:rFonts w:hint="eastAsia"/>
          <w:lang w:bidi="ar"/>
        </w:rPr>
        <w:fldChar w:fldCharType="end"/>
      </w:r>
      <w:r>
        <w:rPr>
          <w:rStyle w:val="39"/>
          <w:rFonts w:hint="eastAsia"/>
          <w:lang w:bidi="ar"/>
        </w:rPr>
        <w:fldChar w:fldCharType="end"/>
      </w:r>
    </w:p>
    <w:p w14:paraId="36FA5B7D">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"_Toc218437736" </w:instrText>
      </w:r>
      <w:r>
        <w:fldChar w:fldCharType="separate"/>
      </w:r>
      <w:r>
        <w:rPr>
          <w:rStyle w:val="39"/>
          <w:rFonts w:eastAsia="黑体"/>
          <w:bCs/>
          <w:szCs w:val="28"/>
          <w:lang w:bidi="ar"/>
        </w:rPr>
        <w:t>3危险、有害因素和固有的危险、有害程度</w:t>
      </w:r>
      <w:r>
        <w:rPr>
          <w:rFonts w:eastAsia="黑体"/>
          <w:szCs w:val="28"/>
        </w:rPr>
        <w:tab/>
      </w:r>
      <w:r>
        <w:rPr>
          <w:rFonts w:eastAsia="黑体"/>
          <w:szCs w:val="28"/>
        </w:rPr>
        <w:fldChar w:fldCharType="begin"/>
      </w:r>
      <w:r>
        <w:rPr>
          <w:rFonts w:eastAsia="黑体"/>
          <w:szCs w:val="28"/>
        </w:rPr>
        <w:instrText xml:space="preserve"> PAGEREF _Toc218437736 \h </w:instrText>
      </w:r>
      <w:r>
        <w:rPr>
          <w:rFonts w:eastAsia="黑体"/>
          <w:szCs w:val="28"/>
        </w:rPr>
        <w:fldChar w:fldCharType="separate"/>
      </w:r>
      <w:r>
        <w:rPr>
          <w:rFonts w:eastAsia="黑体"/>
          <w:szCs w:val="28"/>
        </w:rPr>
        <w:t>19</w:t>
      </w:r>
      <w:r>
        <w:rPr>
          <w:rFonts w:eastAsia="黑体"/>
          <w:szCs w:val="28"/>
        </w:rPr>
        <w:fldChar w:fldCharType="end"/>
      </w:r>
      <w:r>
        <w:rPr>
          <w:rFonts w:eastAsia="黑体"/>
          <w:szCs w:val="28"/>
        </w:rPr>
        <w:fldChar w:fldCharType="end"/>
      </w:r>
    </w:p>
    <w:p w14:paraId="3D949E8E">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"_Toc218437737" </w:instrText>
      </w:r>
      <w:r>
        <w:fldChar w:fldCharType="separate"/>
      </w:r>
      <w:r>
        <w:rPr>
          <w:rStyle w:val="39"/>
          <w:rFonts w:eastAsia="黑体"/>
          <w:szCs w:val="28"/>
          <w:lang w:bidi="ar"/>
        </w:rPr>
        <w:t>3.1物料的危险、有害因素分析</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_Toc218437737 \h</w:instrText>
      </w:r>
      <w:r>
        <w:rPr>
          <w:rStyle w:val="39"/>
          <w:rFonts w:hint="eastAsia"/>
          <w:lang w:bidi="ar"/>
        </w:rPr>
        <w:instrText xml:space="preserve"> </w:instrText>
      </w:r>
      <w:r>
        <w:rPr>
          <w:rStyle w:val="39"/>
          <w:rFonts w:hint="eastAsia"/>
          <w:lang w:bidi="ar"/>
        </w:rPr>
        <w:fldChar w:fldCharType="separate"/>
      </w:r>
      <w:r>
        <w:rPr>
          <w:rStyle w:val="39"/>
          <w:lang w:bidi="ar"/>
        </w:rPr>
        <w:t>19</w:t>
      </w:r>
      <w:r>
        <w:rPr>
          <w:rStyle w:val="39"/>
          <w:rFonts w:hint="eastAsia"/>
          <w:lang w:bidi="ar"/>
        </w:rPr>
        <w:fldChar w:fldCharType="end"/>
      </w:r>
      <w:r>
        <w:rPr>
          <w:rStyle w:val="39"/>
          <w:rFonts w:hint="eastAsia"/>
          <w:lang w:bidi="ar"/>
        </w:rPr>
        <w:fldChar w:fldCharType="end"/>
      </w:r>
    </w:p>
    <w:p w14:paraId="099386C1">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"_Toc218437738" </w:instrText>
      </w:r>
      <w:r>
        <w:fldChar w:fldCharType="separate"/>
      </w:r>
      <w:r>
        <w:rPr>
          <w:rStyle w:val="39"/>
          <w:rFonts w:eastAsia="黑体"/>
          <w:szCs w:val="28"/>
          <w:lang w:bidi="ar"/>
        </w:rPr>
        <w:t>3.2储存、经营过程中的危险、有害因素分析</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_Toc218437738 \h</w:instrText>
      </w:r>
      <w:r>
        <w:rPr>
          <w:rStyle w:val="39"/>
          <w:rFonts w:hint="eastAsia"/>
          <w:lang w:bidi="ar"/>
        </w:rPr>
        <w:instrText xml:space="preserve"> </w:instrText>
      </w:r>
      <w:r>
        <w:rPr>
          <w:rStyle w:val="39"/>
          <w:rFonts w:hint="eastAsia"/>
          <w:lang w:bidi="ar"/>
        </w:rPr>
        <w:fldChar w:fldCharType="separate"/>
      </w:r>
      <w:r>
        <w:rPr>
          <w:rStyle w:val="39"/>
          <w:lang w:bidi="ar"/>
        </w:rPr>
        <w:t>21</w:t>
      </w:r>
      <w:r>
        <w:rPr>
          <w:rStyle w:val="39"/>
          <w:rFonts w:hint="eastAsia"/>
          <w:lang w:bidi="ar"/>
        </w:rPr>
        <w:fldChar w:fldCharType="end"/>
      </w:r>
      <w:r>
        <w:rPr>
          <w:rStyle w:val="39"/>
          <w:rFonts w:hint="eastAsia"/>
          <w:lang w:bidi="ar"/>
        </w:rPr>
        <w:fldChar w:fldCharType="end"/>
      </w:r>
    </w:p>
    <w:p w14:paraId="7BA5536E">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"_Toc218437739" </w:instrText>
      </w:r>
      <w:r>
        <w:fldChar w:fldCharType="separate"/>
      </w:r>
      <w:r>
        <w:rPr>
          <w:rStyle w:val="39"/>
          <w:rFonts w:eastAsia="黑体"/>
          <w:szCs w:val="28"/>
          <w:lang w:bidi="ar"/>
        </w:rPr>
        <w:t>3.3“两重点、一重大”情况</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_Toc218437739 \h</w:instrText>
      </w:r>
      <w:r>
        <w:rPr>
          <w:rStyle w:val="39"/>
          <w:rFonts w:hint="eastAsia"/>
          <w:lang w:bidi="ar"/>
        </w:rPr>
        <w:instrText xml:space="preserve"> </w:instrText>
      </w:r>
      <w:r>
        <w:rPr>
          <w:rStyle w:val="39"/>
          <w:rFonts w:hint="eastAsia"/>
          <w:lang w:bidi="ar"/>
        </w:rPr>
        <w:fldChar w:fldCharType="separate"/>
      </w:r>
      <w:r>
        <w:rPr>
          <w:rStyle w:val="39"/>
          <w:lang w:bidi="ar"/>
        </w:rPr>
        <w:t>21</w:t>
      </w:r>
      <w:r>
        <w:rPr>
          <w:rStyle w:val="39"/>
          <w:rFonts w:hint="eastAsia"/>
          <w:lang w:bidi="ar"/>
        </w:rPr>
        <w:fldChar w:fldCharType="end"/>
      </w:r>
      <w:r>
        <w:rPr>
          <w:rStyle w:val="39"/>
          <w:rFonts w:hint="eastAsia"/>
          <w:lang w:bidi="ar"/>
        </w:rPr>
        <w:fldChar w:fldCharType="end"/>
      </w:r>
    </w:p>
    <w:p w14:paraId="107EA171">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"_Toc218437740" </w:instrText>
      </w:r>
      <w:r>
        <w:fldChar w:fldCharType="separate"/>
      </w:r>
      <w:r>
        <w:rPr>
          <w:rStyle w:val="39"/>
          <w:rFonts w:eastAsia="黑体"/>
          <w:bCs/>
          <w:szCs w:val="28"/>
          <w:lang w:bidi="ar"/>
        </w:rPr>
        <w:t>4评价单元的划分与评价方法的选择</w:t>
      </w:r>
      <w:r>
        <w:rPr>
          <w:rFonts w:eastAsia="黑体"/>
          <w:szCs w:val="28"/>
        </w:rPr>
        <w:tab/>
      </w:r>
      <w:r>
        <w:rPr>
          <w:rFonts w:eastAsia="黑体"/>
          <w:szCs w:val="28"/>
        </w:rPr>
        <w:fldChar w:fldCharType="begin"/>
      </w:r>
      <w:r>
        <w:rPr>
          <w:rFonts w:eastAsia="黑体"/>
          <w:szCs w:val="28"/>
        </w:rPr>
        <w:instrText xml:space="preserve"> PAGEREF _Toc218437740 \h </w:instrText>
      </w:r>
      <w:r>
        <w:rPr>
          <w:rFonts w:eastAsia="黑体"/>
          <w:szCs w:val="28"/>
        </w:rPr>
        <w:fldChar w:fldCharType="separate"/>
      </w:r>
      <w:r>
        <w:rPr>
          <w:rFonts w:eastAsia="黑体"/>
          <w:szCs w:val="28"/>
        </w:rPr>
        <w:t>23</w:t>
      </w:r>
      <w:r>
        <w:rPr>
          <w:rFonts w:eastAsia="黑体"/>
          <w:szCs w:val="28"/>
        </w:rPr>
        <w:fldChar w:fldCharType="end"/>
      </w:r>
      <w:r>
        <w:rPr>
          <w:rFonts w:eastAsia="黑体"/>
          <w:szCs w:val="28"/>
        </w:rPr>
        <w:fldChar w:fldCharType="end"/>
      </w:r>
    </w:p>
    <w:p w14:paraId="650436E7">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"_Toc218437741" </w:instrText>
      </w:r>
      <w:r>
        <w:fldChar w:fldCharType="separate"/>
      </w:r>
      <w:r>
        <w:rPr>
          <w:rStyle w:val="39"/>
          <w:rFonts w:eastAsia="黑体"/>
          <w:szCs w:val="28"/>
          <w:lang w:bidi="ar"/>
        </w:rPr>
        <w:t>4.1评价单元的划分</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_Toc218437741 \h</w:instrText>
      </w:r>
      <w:r>
        <w:rPr>
          <w:rStyle w:val="39"/>
          <w:rFonts w:hint="eastAsia"/>
          <w:lang w:bidi="ar"/>
        </w:rPr>
        <w:instrText xml:space="preserve"> </w:instrText>
      </w:r>
      <w:r>
        <w:rPr>
          <w:rStyle w:val="39"/>
          <w:rFonts w:hint="eastAsia"/>
          <w:lang w:bidi="ar"/>
        </w:rPr>
        <w:fldChar w:fldCharType="separate"/>
      </w:r>
      <w:r>
        <w:rPr>
          <w:rStyle w:val="39"/>
          <w:lang w:bidi="ar"/>
        </w:rPr>
        <w:t>23</w:t>
      </w:r>
      <w:r>
        <w:rPr>
          <w:rStyle w:val="39"/>
          <w:rFonts w:hint="eastAsia"/>
          <w:lang w:bidi="ar"/>
        </w:rPr>
        <w:fldChar w:fldCharType="end"/>
      </w:r>
      <w:r>
        <w:rPr>
          <w:rStyle w:val="39"/>
          <w:rFonts w:hint="eastAsia"/>
          <w:lang w:bidi="ar"/>
        </w:rPr>
        <w:fldChar w:fldCharType="end"/>
      </w:r>
    </w:p>
    <w:p w14:paraId="6DBB275D">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"_Toc218437742" </w:instrText>
      </w:r>
      <w:r>
        <w:fldChar w:fldCharType="separate"/>
      </w:r>
      <w:r>
        <w:rPr>
          <w:rStyle w:val="39"/>
          <w:rFonts w:eastAsia="黑体"/>
          <w:szCs w:val="28"/>
          <w:lang w:bidi="ar"/>
        </w:rPr>
        <w:t>4.2安全评价方法的选择</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_Toc218437742 \h</w:instrText>
      </w:r>
      <w:r>
        <w:rPr>
          <w:rStyle w:val="39"/>
          <w:rFonts w:hint="eastAsia"/>
          <w:lang w:bidi="ar"/>
        </w:rPr>
        <w:instrText xml:space="preserve"> </w:instrText>
      </w:r>
      <w:r>
        <w:rPr>
          <w:rStyle w:val="39"/>
          <w:rFonts w:hint="eastAsia"/>
          <w:lang w:bidi="ar"/>
        </w:rPr>
        <w:fldChar w:fldCharType="separate"/>
      </w:r>
      <w:r>
        <w:rPr>
          <w:rStyle w:val="39"/>
          <w:lang w:bidi="ar"/>
        </w:rPr>
        <w:t>23</w:t>
      </w:r>
      <w:r>
        <w:rPr>
          <w:rStyle w:val="39"/>
          <w:rFonts w:hint="eastAsia"/>
          <w:lang w:bidi="ar"/>
        </w:rPr>
        <w:fldChar w:fldCharType="end"/>
      </w:r>
      <w:r>
        <w:rPr>
          <w:rStyle w:val="39"/>
          <w:rFonts w:hint="eastAsia"/>
          <w:lang w:bidi="ar"/>
        </w:rPr>
        <w:fldChar w:fldCharType="end"/>
      </w:r>
    </w:p>
    <w:p w14:paraId="3FE206C2">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"_Toc218437743" </w:instrText>
      </w:r>
      <w:r>
        <w:fldChar w:fldCharType="separate"/>
      </w:r>
      <w:r>
        <w:rPr>
          <w:rStyle w:val="39"/>
          <w:rFonts w:eastAsia="黑体"/>
          <w:bCs/>
          <w:szCs w:val="28"/>
          <w:lang w:bidi="ar"/>
        </w:rPr>
        <w:t>5定性、定量分析危险、有害程度的结果</w:t>
      </w:r>
      <w:r>
        <w:rPr>
          <w:rFonts w:eastAsia="黑体"/>
          <w:szCs w:val="28"/>
        </w:rPr>
        <w:tab/>
      </w:r>
      <w:r>
        <w:rPr>
          <w:rFonts w:eastAsia="黑体"/>
          <w:szCs w:val="28"/>
        </w:rPr>
        <w:fldChar w:fldCharType="begin"/>
      </w:r>
      <w:r>
        <w:rPr>
          <w:rFonts w:eastAsia="黑体"/>
          <w:szCs w:val="28"/>
        </w:rPr>
        <w:instrText xml:space="preserve"> PAGEREF _Toc218437743 \h </w:instrText>
      </w:r>
      <w:r>
        <w:rPr>
          <w:rFonts w:eastAsia="黑体"/>
          <w:szCs w:val="28"/>
        </w:rPr>
        <w:fldChar w:fldCharType="separate"/>
      </w:r>
      <w:r>
        <w:rPr>
          <w:rFonts w:eastAsia="黑体"/>
          <w:szCs w:val="28"/>
        </w:rPr>
        <w:t>25</w:t>
      </w:r>
      <w:r>
        <w:rPr>
          <w:rFonts w:eastAsia="黑体"/>
          <w:szCs w:val="28"/>
        </w:rPr>
        <w:fldChar w:fldCharType="end"/>
      </w:r>
      <w:r>
        <w:rPr>
          <w:rFonts w:eastAsia="黑体"/>
          <w:szCs w:val="28"/>
        </w:rPr>
        <w:fldChar w:fldCharType="end"/>
      </w:r>
    </w:p>
    <w:p w14:paraId="5D2A1093">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"_Toc218437744" </w:instrText>
      </w:r>
      <w:r>
        <w:fldChar w:fldCharType="separate"/>
      </w:r>
      <w:r>
        <w:rPr>
          <w:rStyle w:val="39"/>
          <w:rFonts w:eastAsia="黑体"/>
          <w:szCs w:val="28"/>
          <w:lang w:bidi="ar"/>
        </w:rPr>
        <w:t>5.1固有危险程度的分析</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_Toc218437744 \h</w:instrText>
      </w:r>
      <w:r>
        <w:rPr>
          <w:rStyle w:val="39"/>
          <w:rFonts w:hint="eastAsia"/>
          <w:lang w:bidi="ar"/>
        </w:rPr>
        <w:instrText xml:space="preserve"> </w:instrText>
      </w:r>
      <w:r>
        <w:rPr>
          <w:rStyle w:val="39"/>
          <w:rFonts w:hint="eastAsia"/>
          <w:lang w:bidi="ar"/>
        </w:rPr>
        <w:fldChar w:fldCharType="separate"/>
      </w:r>
      <w:r>
        <w:rPr>
          <w:rStyle w:val="39"/>
          <w:lang w:bidi="ar"/>
        </w:rPr>
        <w:t>25</w:t>
      </w:r>
      <w:r>
        <w:rPr>
          <w:rStyle w:val="39"/>
          <w:rFonts w:hint="eastAsia"/>
          <w:lang w:bidi="ar"/>
        </w:rPr>
        <w:fldChar w:fldCharType="end"/>
      </w:r>
      <w:r>
        <w:rPr>
          <w:rStyle w:val="39"/>
          <w:rFonts w:hint="eastAsia"/>
          <w:lang w:bidi="ar"/>
        </w:rPr>
        <w:fldChar w:fldCharType="end"/>
      </w:r>
    </w:p>
    <w:p w14:paraId="31CAB7E9">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"_Toc218437745" </w:instrText>
      </w:r>
      <w:r>
        <w:fldChar w:fldCharType="separate"/>
      </w:r>
      <w:r>
        <w:rPr>
          <w:rStyle w:val="39"/>
          <w:rFonts w:eastAsia="黑体"/>
          <w:szCs w:val="28"/>
          <w:lang w:bidi="ar"/>
        </w:rPr>
        <w:t>5.2风险程度的分析</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_Toc218437745 \h</w:instrText>
      </w:r>
      <w:r>
        <w:rPr>
          <w:rStyle w:val="39"/>
          <w:rFonts w:hint="eastAsia"/>
          <w:lang w:bidi="ar"/>
        </w:rPr>
        <w:instrText xml:space="preserve"> </w:instrText>
      </w:r>
      <w:r>
        <w:rPr>
          <w:rStyle w:val="39"/>
          <w:rFonts w:hint="eastAsia"/>
          <w:lang w:bidi="ar"/>
        </w:rPr>
        <w:fldChar w:fldCharType="separate"/>
      </w:r>
      <w:r>
        <w:rPr>
          <w:rStyle w:val="39"/>
          <w:lang w:bidi="ar"/>
        </w:rPr>
        <w:t>27</w:t>
      </w:r>
      <w:r>
        <w:rPr>
          <w:rStyle w:val="39"/>
          <w:rFonts w:hint="eastAsia"/>
          <w:lang w:bidi="ar"/>
        </w:rPr>
        <w:fldChar w:fldCharType="end"/>
      </w:r>
      <w:r>
        <w:rPr>
          <w:rStyle w:val="39"/>
          <w:rFonts w:hint="eastAsia"/>
          <w:lang w:bidi="ar"/>
        </w:rPr>
        <w:fldChar w:fldCharType="end"/>
      </w:r>
    </w:p>
    <w:p w14:paraId="48FE3DAF">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"_Toc218437746" </w:instrText>
      </w:r>
      <w:r>
        <w:fldChar w:fldCharType="separate"/>
      </w:r>
      <w:r>
        <w:rPr>
          <w:rStyle w:val="39"/>
          <w:rFonts w:eastAsia="黑体"/>
          <w:bCs/>
          <w:szCs w:val="28"/>
        </w:rPr>
        <w:t>6建设项目的安全条件</w:t>
      </w:r>
      <w:r>
        <w:rPr>
          <w:rFonts w:eastAsia="黑体"/>
          <w:szCs w:val="28"/>
        </w:rPr>
        <w:tab/>
      </w:r>
      <w:r>
        <w:rPr>
          <w:rFonts w:eastAsia="黑体"/>
          <w:szCs w:val="28"/>
        </w:rPr>
        <w:fldChar w:fldCharType="begin"/>
      </w:r>
      <w:r>
        <w:rPr>
          <w:rFonts w:eastAsia="黑体"/>
          <w:szCs w:val="28"/>
        </w:rPr>
        <w:instrText xml:space="preserve"> PAGEREF _Toc218437746 \h </w:instrText>
      </w:r>
      <w:r>
        <w:rPr>
          <w:rFonts w:eastAsia="黑体"/>
          <w:szCs w:val="28"/>
        </w:rPr>
        <w:fldChar w:fldCharType="separate"/>
      </w:r>
      <w:r>
        <w:rPr>
          <w:rFonts w:eastAsia="黑体"/>
          <w:szCs w:val="28"/>
        </w:rPr>
        <w:t>28</w:t>
      </w:r>
      <w:r>
        <w:rPr>
          <w:rFonts w:eastAsia="黑体"/>
          <w:szCs w:val="28"/>
        </w:rPr>
        <w:fldChar w:fldCharType="end"/>
      </w:r>
      <w:r>
        <w:rPr>
          <w:rFonts w:eastAsia="黑体"/>
          <w:szCs w:val="28"/>
        </w:rPr>
        <w:fldChar w:fldCharType="end"/>
      </w:r>
    </w:p>
    <w:p w14:paraId="5C914CD2">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"_Toc218437747" </w:instrText>
      </w:r>
      <w:r>
        <w:fldChar w:fldCharType="separate"/>
      </w:r>
      <w:r>
        <w:rPr>
          <w:rStyle w:val="39"/>
          <w:rFonts w:eastAsia="黑体"/>
          <w:szCs w:val="28"/>
          <w:lang w:bidi="ar"/>
        </w:rPr>
        <w:t>6.1建设项目的外部情况</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_Toc218437747 \h</w:instrText>
      </w:r>
      <w:r>
        <w:rPr>
          <w:rStyle w:val="39"/>
          <w:rFonts w:hint="eastAsia"/>
          <w:lang w:bidi="ar"/>
        </w:rPr>
        <w:instrText xml:space="preserve"> </w:instrText>
      </w:r>
      <w:r>
        <w:rPr>
          <w:rStyle w:val="39"/>
          <w:rFonts w:hint="eastAsia"/>
          <w:lang w:bidi="ar"/>
        </w:rPr>
        <w:fldChar w:fldCharType="separate"/>
      </w:r>
      <w:r>
        <w:rPr>
          <w:rStyle w:val="39"/>
          <w:lang w:bidi="ar"/>
        </w:rPr>
        <w:t>28</w:t>
      </w:r>
      <w:r>
        <w:rPr>
          <w:rStyle w:val="39"/>
          <w:rFonts w:hint="eastAsia"/>
          <w:lang w:bidi="ar"/>
        </w:rPr>
        <w:fldChar w:fldCharType="end"/>
      </w:r>
      <w:r>
        <w:rPr>
          <w:rStyle w:val="39"/>
          <w:rFonts w:hint="eastAsia"/>
          <w:lang w:bidi="ar"/>
        </w:rPr>
        <w:fldChar w:fldCharType="end"/>
      </w:r>
    </w:p>
    <w:p w14:paraId="4D3D03DB">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"_Toc218437748" </w:instrText>
      </w:r>
      <w:r>
        <w:fldChar w:fldCharType="separate"/>
      </w:r>
      <w:r>
        <w:rPr>
          <w:rStyle w:val="39"/>
          <w:rFonts w:eastAsia="黑体"/>
          <w:szCs w:val="28"/>
          <w:lang w:bidi="ar"/>
        </w:rPr>
        <w:t>6.2建设项目的安全条件</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_Toc218437748 \h</w:instrText>
      </w:r>
      <w:r>
        <w:rPr>
          <w:rStyle w:val="39"/>
          <w:rFonts w:hint="eastAsia"/>
          <w:lang w:bidi="ar"/>
        </w:rPr>
        <w:instrText xml:space="preserve"> </w:instrText>
      </w:r>
      <w:r>
        <w:rPr>
          <w:rStyle w:val="39"/>
          <w:rFonts w:hint="eastAsia"/>
          <w:lang w:bidi="ar"/>
        </w:rPr>
        <w:fldChar w:fldCharType="separate"/>
      </w:r>
      <w:r>
        <w:rPr>
          <w:rStyle w:val="39"/>
          <w:lang w:bidi="ar"/>
        </w:rPr>
        <w:t>30</w:t>
      </w:r>
      <w:r>
        <w:rPr>
          <w:rStyle w:val="39"/>
          <w:rFonts w:hint="eastAsia"/>
          <w:lang w:bidi="ar"/>
        </w:rPr>
        <w:fldChar w:fldCharType="end"/>
      </w:r>
      <w:r>
        <w:rPr>
          <w:rStyle w:val="39"/>
          <w:rFonts w:hint="eastAsia"/>
          <w:lang w:bidi="ar"/>
        </w:rPr>
        <w:fldChar w:fldCharType="end"/>
      </w:r>
    </w:p>
    <w:p w14:paraId="38C9D428">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"_Toc218437749" </w:instrText>
      </w:r>
      <w:r>
        <w:fldChar w:fldCharType="separate"/>
      </w:r>
      <w:r>
        <w:rPr>
          <w:rStyle w:val="39"/>
          <w:rFonts w:eastAsia="黑体"/>
          <w:szCs w:val="28"/>
          <w:lang w:bidi="ar"/>
        </w:rPr>
        <w:t>6.3建设项目的安全生产条件分析</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_Toc218437749 \h</w:instrText>
      </w:r>
      <w:r>
        <w:rPr>
          <w:rStyle w:val="39"/>
          <w:rFonts w:hint="eastAsia"/>
          <w:lang w:bidi="ar"/>
        </w:rPr>
        <w:instrText xml:space="preserve"> </w:instrText>
      </w:r>
      <w:r>
        <w:rPr>
          <w:rStyle w:val="39"/>
          <w:rFonts w:hint="eastAsia"/>
          <w:lang w:bidi="ar"/>
        </w:rPr>
        <w:fldChar w:fldCharType="separate"/>
      </w:r>
      <w:r>
        <w:rPr>
          <w:rStyle w:val="39"/>
          <w:lang w:bidi="ar"/>
        </w:rPr>
        <w:t>32</w:t>
      </w:r>
      <w:r>
        <w:rPr>
          <w:rStyle w:val="39"/>
          <w:rFonts w:hint="eastAsia"/>
          <w:lang w:bidi="ar"/>
        </w:rPr>
        <w:fldChar w:fldCharType="end"/>
      </w:r>
      <w:r>
        <w:rPr>
          <w:rStyle w:val="39"/>
          <w:rFonts w:hint="eastAsia"/>
          <w:lang w:bidi="ar"/>
        </w:rPr>
        <w:fldChar w:fldCharType="end"/>
      </w:r>
    </w:p>
    <w:p w14:paraId="31DCD614">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"_Toc218437750" </w:instrText>
      </w:r>
      <w:r>
        <w:fldChar w:fldCharType="separate"/>
      </w:r>
      <w:r>
        <w:rPr>
          <w:rStyle w:val="39"/>
          <w:rFonts w:eastAsia="黑体"/>
          <w:szCs w:val="28"/>
          <w:lang w:bidi="ar"/>
        </w:rPr>
        <w:t>6.4事故案例分析</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_Toc218437750 \h</w:instrText>
      </w:r>
      <w:r>
        <w:rPr>
          <w:rStyle w:val="39"/>
          <w:rFonts w:hint="eastAsia"/>
          <w:lang w:bidi="ar"/>
        </w:rPr>
        <w:instrText xml:space="preserve"> </w:instrText>
      </w:r>
      <w:r>
        <w:rPr>
          <w:rStyle w:val="39"/>
          <w:rFonts w:hint="eastAsia"/>
          <w:lang w:bidi="ar"/>
        </w:rPr>
        <w:fldChar w:fldCharType="separate"/>
      </w:r>
      <w:r>
        <w:rPr>
          <w:rStyle w:val="39"/>
          <w:lang w:bidi="ar"/>
        </w:rPr>
        <w:t>38</w:t>
      </w:r>
      <w:r>
        <w:rPr>
          <w:rStyle w:val="39"/>
          <w:rFonts w:hint="eastAsia"/>
          <w:lang w:bidi="ar"/>
        </w:rPr>
        <w:fldChar w:fldCharType="end"/>
      </w:r>
      <w:r>
        <w:rPr>
          <w:rStyle w:val="39"/>
          <w:rFonts w:hint="eastAsia"/>
          <w:lang w:bidi="ar"/>
        </w:rPr>
        <w:fldChar w:fldCharType="end"/>
      </w:r>
    </w:p>
    <w:p w14:paraId="000D850D">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"_Toc218437751" </w:instrText>
      </w:r>
      <w:r>
        <w:fldChar w:fldCharType="separate"/>
      </w:r>
      <w:r>
        <w:rPr>
          <w:rStyle w:val="39"/>
          <w:rFonts w:eastAsia="黑体"/>
          <w:bCs/>
          <w:szCs w:val="28"/>
        </w:rPr>
        <w:t>7安全设施的施工、检验、检测和调试情况</w:t>
      </w:r>
      <w:r>
        <w:rPr>
          <w:rFonts w:eastAsia="黑体"/>
          <w:szCs w:val="28"/>
        </w:rPr>
        <w:tab/>
      </w:r>
      <w:r>
        <w:rPr>
          <w:rFonts w:eastAsia="黑体"/>
          <w:szCs w:val="28"/>
        </w:rPr>
        <w:fldChar w:fldCharType="begin"/>
      </w:r>
      <w:r>
        <w:rPr>
          <w:rFonts w:eastAsia="黑体"/>
          <w:szCs w:val="28"/>
        </w:rPr>
        <w:instrText xml:space="preserve"> PAGEREF _Toc218437751 \h </w:instrText>
      </w:r>
      <w:r>
        <w:rPr>
          <w:rFonts w:eastAsia="黑体"/>
          <w:szCs w:val="28"/>
        </w:rPr>
        <w:fldChar w:fldCharType="separate"/>
      </w:r>
      <w:r>
        <w:rPr>
          <w:rFonts w:eastAsia="黑体"/>
          <w:szCs w:val="28"/>
        </w:rPr>
        <w:t>42</w:t>
      </w:r>
      <w:r>
        <w:rPr>
          <w:rFonts w:eastAsia="黑体"/>
          <w:szCs w:val="28"/>
        </w:rPr>
        <w:fldChar w:fldCharType="end"/>
      </w:r>
      <w:r>
        <w:rPr>
          <w:rFonts w:eastAsia="黑体"/>
          <w:szCs w:val="28"/>
        </w:rPr>
        <w:fldChar w:fldCharType="end"/>
      </w:r>
    </w:p>
    <w:p w14:paraId="21B5F7A6">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"_Toc218437752" </w:instrText>
      </w:r>
      <w:r>
        <w:fldChar w:fldCharType="separate"/>
      </w:r>
      <w:r>
        <w:rPr>
          <w:rStyle w:val="39"/>
          <w:rFonts w:eastAsia="黑体"/>
          <w:szCs w:val="28"/>
          <w:lang w:bidi="ar"/>
        </w:rPr>
        <w:t>7.1安全设施的施工质量情况</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_Toc218437752 \h</w:instrText>
      </w:r>
      <w:r>
        <w:rPr>
          <w:rStyle w:val="39"/>
          <w:rFonts w:hint="eastAsia"/>
          <w:lang w:bidi="ar"/>
        </w:rPr>
        <w:instrText xml:space="preserve"> </w:instrText>
      </w:r>
      <w:r>
        <w:rPr>
          <w:rStyle w:val="39"/>
          <w:rFonts w:hint="eastAsia"/>
          <w:lang w:bidi="ar"/>
        </w:rPr>
        <w:fldChar w:fldCharType="separate"/>
      </w:r>
      <w:r>
        <w:rPr>
          <w:rStyle w:val="39"/>
          <w:lang w:bidi="ar"/>
        </w:rPr>
        <w:t>42</w:t>
      </w:r>
      <w:r>
        <w:rPr>
          <w:rStyle w:val="39"/>
          <w:rFonts w:hint="eastAsia"/>
          <w:lang w:bidi="ar"/>
        </w:rPr>
        <w:fldChar w:fldCharType="end"/>
      </w:r>
      <w:r>
        <w:rPr>
          <w:rStyle w:val="39"/>
          <w:rFonts w:hint="eastAsia"/>
          <w:lang w:bidi="ar"/>
        </w:rPr>
        <w:fldChar w:fldCharType="end"/>
      </w:r>
    </w:p>
    <w:p w14:paraId="5CEA706C">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"_Toc218437753" </w:instrText>
      </w:r>
      <w:r>
        <w:fldChar w:fldCharType="separate"/>
      </w:r>
      <w:r>
        <w:rPr>
          <w:rStyle w:val="39"/>
          <w:rFonts w:eastAsia="黑体"/>
          <w:szCs w:val="28"/>
          <w:lang w:bidi="ar"/>
        </w:rPr>
        <w:t>7.2安全设施在施工前后的检验、检测情况及有效性情况</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_Toc218437753 \h</w:instrText>
      </w:r>
      <w:r>
        <w:rPr>
          <w:rStyle w:val="39"/>
          <w:rFonts w:hint="eastAsia"/>
          <w:lang w:bidi="ar"/>
        </w:rPr>
        <w:instrText xml:space="preserve"> </w:instrText>
      </w:r>
      <w:r>
        <w:rPr>
          <w:rStyle w:val="39"/>
          <w:rFonts w:hint="eastAsia"/>
          <w:lang w:bidi="ar"/>
        </w:rPr>
        <w:fldChar w:fldCharType="separate"/>
      </w:r>
      <w:r>
        <w:rPr>
          <w:rStyle w:val="39"/>
          <w:lang w:bidi="ar"/>
        </w:rPr>
        <w:t>42</w:t>
      </w:r>
      <w:r>
        <w:rPr>
          <w:rStyle w:val="39"/>
          <w:rFonts w:hint="eastAsia"/>
          <w:lang w:bidi="ar"/>
        </w:rPr>
        <w:fldChar w:fldCharType="end"/>
      </w:r>
      <w:r>
        <w:rPr>
          <w:rStyle w:val="39"/>
          <w:rFonts w:hint="eastAsia"/>
          <w:lang w:bidi="ar"/>
        </w:rPr>
        <w:fldChar w:fldCharType="end"/>
      </w:r>
    </w:p>
    <w:p w14:paraId="28E7D3E6">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"_Toc218437754" </w:instrText>
      </w:r>
      <w:r>
        <w:fldChar w:fldCharType="separate"/>
      </w:r>
      <w:r>
        <w:rPr>
          <w:rStyle w:val="39"/>
          <w:rFonts w:eastAsia="黑体"/>
          <w:szCs w:val="28"/>
          <w:lang w:bidi="ar"/>
        </w:rPr>
        <w:t>7.3安全设施试生产（使用）前的调试情况</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_Toc218437754 \h</w:instrText>
      </w:r>
      <w:r>
        <w:rPr>
          <w:rStyle w:val="39"/>
          <w:rFonts w:hint="eastAsia"/>
          <w:lang w:bidi="ar"/>
        </w:rPr>
        <w:instrText xml:space="preserve"> </w:instrText>
      </w:r>
      <w:r>
        <w:rPr>
          <w:rStyle w:val="39"/>
          <w:rFonts w:hint="eastAsia"/>
          <w:lang w:bidi="ar"/>
        </w:rPr>
        <w:fldChar w:fldCharType="separate"/>
      </w:r>
      <w:r>
        <w:rPr>
          <w:rStyle w:val="39"/>
          <w:lang w:bidi="ar"/>
        </w:rPr>
        <w:t>43</w:t>
      </w:r>
      <w:r>
        <w:rPr>
          <w:rStyle w:val="39"/>
          <w:rFonts w:hint="eastAsia"/>
          <w:lang w:bidi="ar"/>
        </w:rPr>
        <w:fldChar w:fldCharType="end"/>
      </w:r>
      <w:r>
        <w:rPr>
          <w:rStyle w:val="39"/>
          <w:rFonts w:hint="eastAsia"/>
          <w:lang w:bidi="ar"/>
        </w:rPr>
        <w:fldChar w:fldCharType="end"/>
      </w:r>
    </w:p>
    <w:p w14:paraId="60B8F146">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"_Toc218437755" </w:instrText>
      </w:r>
      <w:r>
        <w:fldChar w:fldCharType="separate"/>
      </w:r>
      <w:r>
        <w:rPr>
          <w:rStyle w:val="39"/>
          <w:rFonts w:eastAsia="黑体"/>
          <w:bCs/>
          <w:szCs w:val="28"/>
        </w:rPr>
        <w:t>8结论和建议</w:t>
      </w:r>
      <w:r>
        <w:rPr>
          <w:rFonts w:eastAsia="黑体"/>
          <w:szCs w:val="28"/>
        </w:rPr>
        <w:tab/>
      </w:r>
      <w:r>
        <w:rPr>
          <w:rFonts w:eastAsia="黑体"/>
          <w:szCs w:val="28"/>
        </w:rPr>
        <w:fldChar w:fldCharType="begin"/>
      </w:r>
      <w:r>
        <w:rPr>
          <w:rFonts w:eastAsia="黑体"/>
          <w:szCs w:val="28"/>
        </w:rPr>
        <w:instrText xml:space="preserve"> PAGEREF _Toc218437755 \h </w:instrText>
      </w:r>
      <w:r>
        <w:rPr>
          <w:rFonts w:eastAsia="黑体"/>
          <w:szCs w:val="28"/>
        </w:rPr>
        <w:fldChar w:fldCharType="separate"/>
      </w:r>
      <w:r>
        <w:rPr>
          <w:rFonts w:eastAsia="黑体"/>
          <w:szCs w:val="28"/>
        </w:rPr>
        <w:t>44</w:t>
      </w:r>
      <w:r>
        <w:rPr>
          <w:rFonts w:eastAsia="黑体"/>
          <w:szCs w:val="28"/>
        </w:rPr>
        <w:fldChar w:fldCharType="end"/>
      </w:r>
      <w:r>
        <w:rPr>
          <w:rFonts w:eastAsia="黑体"/>
          <w:szCs w:val="28"/>
        </w:rPr>
        <w:fldChar w:fldCharType="end"/>
      </w:r>
    </w:p>
    <w:p w14:paraId="320CF8A6">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"_Toc218437756" </w:instrText>
      </w:r>
      <w:r>
        <w:fldChar w:fldCharType="separate"/>
      </w:r>
      <w:r>
        <w:rPr>
          <w:rStyle w:val="39"/>
          <w:rFonts w:eastAsia="黑体"/>
          <w:szCs w:val="28"/>
          <w:lang w:bidi="ar"/>
        </w:rPr>
        <w:t>8.1结论</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_Toc218437756 \h</w:instrText>
      </w:r>
      <w:r>
        <w:rPr>
          <w:rStyle w:val="39"/>
          <w:rFonts w:hint="eastAsia"/>
          <w:lang w:bidi="ar"/>
        </w:rPr>
        <w:instrText xml:space="preserve"> </w:instrText>
      </w:r>
      <w:r>
        <w:rPr>
          <w:rStyle w:val="39"/>
          <w:rFonts w:hint="eastAsia"/>
          <w:lang w:bidi="ar"/>
        </w:rPr>
        <w:fldChar w:fldCharType="separate"/>
      </w:r>
      <w:r>
        <w:rPr>
          <w:rStyle w:val="39"/>
          <w:lang w:bidi="ar"/>
        </w:rPr>
        <w:t>44</w:t>
      </w:r>
      <w:r>
        <w:rPr>
          <w:rStyle w:val="39"/>
          <w:rFonts w:hint="eastAsia"/>
          <w:lang w:bidi="ar"/>
        </w:rPr>
        <w:fldChar w:fldCharType="end"/>
      </w:r>
      <w:r>
        <w:rPr>
          <w:rStyle w:val="39"/>
          <w:rFonts w:hint="eastAsia"/>
          <w:lang w:bidi="ar"/>
        </w:rPr>
        <w:fldChar w:fldCharType="end"/>
      </w:r>
    </w:p>
    <w:p w14:paraId="36ABD990">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"_Toc218437757" </w:instrText>
      </w:r>
      <w:r>
        <w:fldChar w:fldCharType="separate"/>
      </w:r>
      <w:r>
        <w:rPr>
          <w:rStyle w:val="39"/>
          <w:rFonts w:eastAsia="黑体"/>
          <w:szCs w:val="28"/>
          <w:lang w:bidi="ar"/>
        </w:rPr>
        <w:t>8.2对建设项目的建议</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_Toc218437757 \h</w:instrText>
      </w:r>
      <w:r>
        <w:rPr>
          <w:rStyle w:val="39"/>
          <w:rFonts w:hint="eastAsia"/>
          <w:lang w:bidi="ar"/>
        </w:rPr>
        <w:instrText xml:space="preserve"> </w:instrText>
      </w:r>
      <w:r>
        <w:rPr>
          <w:rStyle w:val="39"/>
          <w:rFonts w:hint="eastAsia"/>
          <w:lang w:bidi="ar"/>
        </w:rPr>
        <w:fldChar w:fldCharType="separate"/>
      </w:r>
      <w:r>
        <w:rPr>
          <w:rStyle w:val="39"/>
          <w:lang w:bidi="ar"/>
        </w:rPr>
        <w:t>45</w:t>
      </w:r>
      <w:r>
        <w:rPr>
          <w:rStyle w:val="39"/>
          <w:rFonts w:hint="eastAsia"/>
          <w:lang w:bidi="ar"/>
        </w:rPr>
        <w:fldChar w:fldCharType="end"/>
      </w:r>
      <w:r>
        <w:rPr>
          <w:rStyle w:val="39"/>
          <w:rFonts w:hint="eastAsia"/>
          <w:lang w:bidi="ar"/>
        </w:rPr>
        <w:fldChar w:fldCharType="end"/>
      </w:r>
    </w:p>
    <w:p w14:paraId="79C63A4F">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"_Toc218437758" </w:instrText>
      </w:r>
      <w:r>
        <w:fldChar w:fldCharType="separate"/>
      </w:r>
      <w:r>
        <w:rPr>
          <w:rStyle w:val="39"/>
          <w:rFonts w:eastAsia="黑体"/>
          <w:szCs w:val="28"/>
          <w:lang w:bidi="ar"/>
        </w:rPr>
        <w:t>8.3建设项目竣工验收安全评价总结论</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_Toc218437758 \h</w:instrText>
      </w:r>
      <w:r>
        <w:rPr>
          <w:rStyle w:val="39"/>
          <w:rFonts w:hint="eastAsia"/>
          <w:lang w:bidi="ar"/>
        </w:rPr>
        <w:instrText xml:space="preserve"> </w:instrText>
      </w:r>
      <w:r>
        <w:rPr>
          <w:rStyle w:val="39"/>
          <w:rFonts w:hint="eastAsia"/>
          <w:lang w:bidi="ar"/>
        </w:rPr>
        <w:fldChar w:fldCharType="separate"/>
      </w:r>
      <w:r>
        <w:rPr>
          <w:rStyle w:val="39"/>
          <w:lang w:bidi="ar"/>
        </w:rPr>
        <w:t>47</w:t>
      </w:r>
      <w:r>
        <w:rPr>
          <w:rStyle w:val="39"/>
          <w:rFonts w:hint="eastAsia"/>
          <w:lang w:bidi="ar"/>
        </w:rPr>
        <w:fldChar w:fldCharType="end"/>
      </w:r>
      <w:r>
        <w:rPr>
          <w:rStyle w:val="39"/>
          <w:rFonts w:hint="eastAsia"/>
          <w:lang w:bidi="ar"/>
        </w:rPr>
        <w:fldChar w:fldCharType="end"/>
      </w:r>
    </w:p>
    <w:p w14:paraId="44B7D01A">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"_Toc218437759" </w:instrText>
      </w:r>
      <w:r>
        <w:fldChar w:fldCharType="separate"/>
      </w:r>
      <w:r>
        <w:rPr>
          <w:rStyle w:val="39"/>
          <w:rFonts w:eastAsia="黑体"/>
          <w:bCs/>
          <w:szCs w:val="28"/>
        </w:rPr>
        <w:t>9与建设单位交换意见</w:t>
      </w:r>
      <w:r>
        <w:rPr>
          <w:rFonts w:eastAsia="黑体"/>
          <w:szCs w:val="28"/>
        </w:rPr>
        <w:tab/>
      </w:r>
      <w:r>
        <w:rPr>
          <w:rFonts w:eastAsia="黑体"/>
          <w:szCs w:val="28"/>
        </w:rPr>
        <w:fldChar w:fldCharType="begin"/>
      </w:r>
      <w:r>
        <w:rPr>
          <w:rFonts w:eastAsia="黑体"/>
          <w:szCs w:val="28"/>
        </w:rPr>
        <w:instrText xml:space="preserve"> PAGEREF _Toc218437759 \h </w:instrText>
      </w:r>
      <w:r>
        <w:rPr>
          <w:rFonts w:eastAsia="黑体"/>
          <w:szCs w:val="28"/>
        </w:rPr>
        <w:fldChar w:fldCharType="separate"/>
      </w:r>
      <w:r>
        <w:rPr>
          <w:rFonts w:eastAsia="黑体"/>
          <w:szCs w:val="28"/>
        </w:rPr>
        <w:t>49</w:t>
      </w:r>
      <w:r>
        <w:rPr>
          <w:rFonts w:eastAsia="黑体"/>
          <w:szCs w:val="28"/>
        </w:rPr>
        <w:fldChar w:fldCharType="end"/>
      </w:r>
      <w:r>
        <w:rPr>
          <w:rFonts w:eastAsia="黑体"/>
          <w:szCs w:val="28"/>
        </w:rPr>
        <w:fldChar w:fldCharType="end"/>
      </w:r>
    </w:p>
    <w:p w14:paraId="5AB74265">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"_Toc218437760" </w:instrText>
      </w:r>
      <w:r>
        <w:fldChar w:fldCharType="separate"/>
      </w:r>
      <w:r>
        <w:rPr>
          <w:rStyle w:val="39"/>
          <w:rFonts w:eastAsia="黑体"/>
          <w:bCs/>
          <w:szCs w:val="28"/>
        </w:rPr>
        <w:t>附件1平面布置图等图表</w:t>
      </w:r>
      <w:r>
        <w:rPr>
          <w:rFonts w:eastAsia="黑体"/>
          <w:szCs w:val="28"/>
        </w:rPr>
        <w:tab/>
      </w:r>
      <w:r>
        <w:rPr>
          <w:rFonts w:eastAsia="黑体"/>
          <w:szCs w:val="28"/>
        </w:rPr>
        <w:fldChar w:fldCharType="begin"/>
      </w:r>
      <w:r>
        <w:rPr>
          <w:rFonts w:eastAsia="黑体"/>
          <w:szCs w:val="28"/>
        </w:rPr>
        <w:instrText xml:space="preserve"> PAGEREF _Toc218437760 \h </w:instrText>
      </w:r>
      <w:r>
        <w:rPr>
          <w:rFonts w:eastAsia="黑体"/>
          <w:szCs w:val="28"/>
        </w:rPr>
        <w:fldChar w:fldCharType="separate"/>
      </w:r>
      <w:r>
        <w:rPr>
          <w:rFonts w:eastAsia="黑体"/>
          <w:szCs w:val="28"/>
        </w:rPr>
        <w:t>50</w:t>
      </w:r>
      <w:r>
        <w:rPr>
          <w:rFonts w:eastAsia="黑体"/>
          <w:szCs w:val="28"/>
        </w:rPr>
        <w:fldChar w:fldCharType="end"/>
      </w:r>
      <w:r>
        <w:rPr>
          <w:rFonts w:eastAsia="黑体"/>
          <w:szCs w:val="28"/>
        </w:rPr>
        <w:fldChar w:fldCharType="end"/>
      </w:r>
    </w:p>
    <w:p w14:paraId="437B0B6F">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"_Toc218437761" </w:instrText>
      </w:r>
      <w:r>
        <w:fldChar w:fldCharType="separate"/>
      </w:r>
      <w:r>
        <w:rPr>
          <w:rStyle w:val="39"/>
          <w:rFonts w:eastAsia="黑体"/>
          <w:szCs w:val="28"/>
          <w:lang w:bidi="ar"/>
        </w:rPr>
        <w:t>F1.1周边环境及总平面布置示意图</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_Toc218437761 \h</w:instrText>
      </w:r>
      <w:r>
        <w:rPr>
          <w:rStyle w:val="39"/>
          <w:rFonts w:hint="eastAsia"/>
          <w:lang w:bidi="ar"/>
        </w:rPr>
        <w:instrText xml:space="preserve"> </w:instrText>
      </w:r>
      <w:r>
        <w:rPr>
          <w:rStyle w:val="39"/>
          <w:rFonts w:hint="eastAsia"/>
          <w:lang w:bidi="ar"/>
        </w:rPr>
        <w:fldChar w:fldCharType="separate"/>
      </w:r>
      <w:r>
        <w:rPr>
          <w:rStyle w:val="39"/>
          <w:lang w:bidi="ar"/>
        </w:rPr>
        <w:t>50</w:t>
      </w:r>
      <w:r>
        <w:rPr>
          <w:rStyle w:val="39"/>
          <w:rFonts w:hint="eastAsia"/>
          <w:lang w:bidi="ar"/>
        </w:rPr>
        <w:fldChar w:fldCharType="end"/>
      </w:r>
      <w:r>
        <w:rPr>
          <w:rStyle w:val="39"/>
          <w:rFonts w:hint="eastAsia"/>
          <w:lang w:bidi="ar"/>
        </w:rPr>
        <w:fldChar w:fldCharType="end"/>
      </w:r>
    </w:p>
    <w:p w14:paraId="62728CFF">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"_Toc218437762" </w:instrText>
      </w:r>
      <w:r>
        <w:fldChar w:fldCharType="separate"/>
      </w:r>
      <w:r>
        <w:rPr>
          <w:rStyle w:val="39"/>
          <w:rFonts w:eastAsia="黑体"/>
          <w:szCs w:val="28"/>
          <w:lang w:bidi="ar"/>
        </w:rPr>
        <w:t>F1.2工艺流程图</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_Toc218437762 \h</w:instrText>
      </w:r>
      <w:r>
        <w:rPr>
          <w:rStyle w:val="39"/>
          <w:rFonts w:hint="eastAsia"/>
          <w:lang w:bidi="ar"/>
        </w:rPr>
        <w:instrText xml:space="preserve"> </w:instrText>
      </w:r>
      <w:r>
        <w:rPr>
          <w:rStyle w:val="39"/>
          <w:rFonts w:hint="eastAsia"/>
          <w:lang w:bidi="ar"/>
        </w:rPr>
        <w:fldChar w:fldCharType="separate"/>
      </w:r>
      <w:r>
        <w:rPr>
          <w:rStyle w:val="39"/>
          <w:lang w:bidi="ar"/>
        </w:rPr>
        <w:t>50</w:t>
      </w:r>
      <w:r>
        <w:rPr>
          <w:rStyle w:val="39"/>
          <w:rFonts w:hint="eastAsia"/>
          <w:lang w:bidi="ar"/>
        </w:rPr>
        <w:fldChar w:fldCharType="end"/>
      </w:r>
      <w:r>
        <w:rPr>
          <w:rStyle w:val="39"/>
          <w:rFonts w:hint="eastAsia"/>
          <w:lang w:bidi="ar"/>
        </w:rPr>
        <w:fldChar w:fldCharType="end"/>
      </w:r>
    </w:p>
    <w:p w14:paraId="5F97ED26">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"_Toc218437763" </w:instrText>
      </w:r>
      <w:r>
        <w:fldChar w:fldCharType="separate"/>
      </w:r>
      <w:r>
        <w:rPr>
          <w:rStyle w:val="39"/>
          <w:rFonts w:eastAsia="黑体"/>
          <w:szCs w:val="28"/>
          <w:lang w:bidi="ar"/>
        </w:rPr>
        <w:t>F1.3爆炸危险区域划分图</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_Toc218437763 \h</w:instrText>
      </w:r>
      <w:r>
        <w:rPr>
          <w:rStyle w:val="39"/>
          <w:rFonts w:hint="eastAsia"/>
          <w:lang w:bidi="ar"/>
        </w:rPr>
        <w:instrText xml:space="preserve"> </w:instrText>
      </w:r>
      <w:r>
        <w:rPr>
          <w:rStyle w:val="39"/>
          <w:rFonts w:hint="eastAsia"/>
          <w:lang w:bidi="ar"/>
        </w:rPr>
        <w:fldChar w:fldCharType="separate"/>
      </w:r>
      <w:r>
        <w:rPr>
          <w:rStyle w:val="39"/>
          <w:lang w:bidi="ar"/>
        </w:rPr>
        <w:t>50</w:t>
      </w:r>
      <w:r>
        <w:rPr>
          <w:rStyle w:val="39"/>
          <w:rFonts w:hint="eastAsia"/>
          <w:lang w:bidi="ar"/>
        </w:rPr>
        <w:fldChar w:fldCharType="end"/>
      </w:r>
      <w:r>
        <w:rPr>
          <w:rStyle w:val="39"/>
          <w:rFonts w:hint="eastAsia"/>
          <w:lang w:bidi="ar"/>
        </w:rPr>
        <w:fldChar w:fldCharType="end"/>
      </w:r>
    </w:p>
    <w:p w14:paraId="6271B4D4">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"_Toc218437764" </w:instrText>
      </w:r>
      <w:r>
        <w:fldChar w:fldCharType="separate"/>
      </w:r>
      <w:r>
        <w:rPr>
          <w:rStyle w:val="39"/>
          <w:rFonts w:eastAsia="黑体"/>
          <w:bCs/>
          <w:szCs w:val="28"/>
        </w:rPr>
        <w:t>附件2选用的安全评价方法简介</w:t>
      </w:r>
      <w:r>
        <w:rPr>
          <w:rFonts w:eastAsia="黑体"/>
          <w:szCs w:val="28"/>
        </w:rPr>
        <w:tab/>
      </w:r>
      <w:r>
        <w:rPr>
          <w:rFonts w:eastAsia="黑体"/>
          <w:szCs w:val="28"/>
        </w:rPr>
        <w:fldChar w:fldCharType="begin"/>
      </w:r>
      <w:r>
        <w:rPr>
          <w:rFonts w:eastAsia="黑体"/>
          <w:szCs w:val="28"/>
        </w:rPr>
        <w:instrText xml:space="preserve"> PAGEREF _Toc218437764 \h </w:instrText>
      </w:r>
      <w:r>
        <w:rPr>
          <w:rFonts w:eastAsia="黑体"/>
          <w:szCs w:val="28"/>
        </w:rPr>
        <w:fldChar w:fldCharType="separate"/>
      </w:r>
      <w:r>
        <w:rPr>
          <w:rFonts w:eastAsia="黑体"/>
          <w:szCs w:val="28"/>
        </w:rPr>
        <w:t>51</w:t>
      </w:r>
      <w:r>
        <w:rPr>
          <w:rFonts w:eastAsia="黑体"/>
          <w:szCs w:val="28"/>
        </w:rPr>
        <w:fldChar w:fldCharType="end"/>
      </w:r>
      <w:r>
        <w:rPr>
          <w:rFonts w:eastAsia="黑体"/>
          <w:szCs w:val="28"/>
        </w:rPr>
        <w:fldChar w:fldCharType="end"/>
      </w:r>
    </w:p>
    <w:p w14:paraId="3F3303AE">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"_Toc218437765" </w:instrText>
      </w:r>
      <w:r>
        <w:fldChar w:fldCharType="separate"/>
      </w:r>
      <w:r>
        <w:rPr>
          <w:rStyle w:val="39"/>
          <w:rFonts w:eastAsia="黑体"/>
          <w:szCs w:val="28"/>
          <w:lang w:bidi="ar"/>
        </w:rPr>
        <w:t>F2.1重大危险源辨识</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_Toc218437765 \h</w:instrText>
      </w:r>
      <w:r>
        <w:rPr>
          <w:rStyle w:val="39"/>
          <w:rFonts w:hint="eastAsia"/>
          <w:lang w:bidi="ar"/>
        </w:rPr>
        <w:instrText xml:space="preserve"> </w:instrText>
      </w:r>
      <w:r>
        <w:rPr>
          <w:rStyle w:val="39"/>
          <w:rFonts w:hint="eastAsia"/>
          <w:lang w:bidi="ar"/>
        </w:rPr>
        <w:fldChar w:fldCharType="separate"/>
      </w:r>
      <w:r>
        <w:rPr>
          <w:rStyle w:val="39"/>
          <w:lang w:bidi="ar"/>
        </w:rPr>
        <w:t>51</w:t>
      </w:r>
      <w:r>
        <w:rPr>
          <w:rStyle w:val="39"/>
          <w:rFonts w:hint="eastAsia"/>
          <w:lang w:bidi="ar"/>
        </w:rPr>
        <w:fldChar w:fldCharType="end"/>
      </w:r>
      <w:r>
        <w:rPr>
          <w:rStyle w:val="39"/>
          <w:rFonts w:hint="eastAsia"/>
          <w:lang w:bidi="ar"/>
        </w:rPr>
        <w:fldChar w:fldCharType="end"/>
      </w:r>
    </w:p>
    <w:p w14:paraId="2320FBCF">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"_Toc218437766" </w:instrText>
      </w:r>
      <w:r>
        <w:fldChar w:fldCharType="separate"/>
      </w:r>
      <w:r>
        <w:rPr>
          <w:rStyle w:val="39"/>
          <w:rFonts w:eastAsia="黑体"/>
          <w:szCs w:val="28"/>
          <w:lang w:bidi="ar"/>
        </w:rPr>
        <w:t>F2.2安全检查表法</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_Toc218437766 \h</w:instrText>
      </w:r>
      <w:r>
        <w:rPr>
          <w:rStyle w:val="39"/>
          <w:rFonts w:hint="eastAsia"/>
          <w:lang w:bidi="ar"/>
        </w:rPr>
        <w:instrText xml:space="preserve"> </w:instrText>
      </w:r>
      <w:r>
        <w:rPr>
          <w:rStyle w:val="39"/>
          <w:rFonts w:hint="eastAsia"/>
          <w:lang w:bidi="ar"/>
        </w:rPr>
        <w:fldChar w:fldCharType="separate"/>
      </w:r>
      <w:r>
        <w:rPr>
          <w:rStyle w:val="39"/>
          <w:lang w:bidi="ar"/>
        </w:rPr>
        <w:t>52</w:t>
      </w:r>
      <w:r>
        <w:rPr>
          <w:rStyle w:val="39"/>
          <w:rFonts w:hint="eastAsia"/>
          <w:lang w:bidi="ar"/>
        </w:rPr>
        <w:fldChar w:fldCharType="end"/>
      </w:r>
      <w:r>
        <w:rPr>
          <w:rStyle w:val="39"/>
          <w:rFonts w:hint="eastAsia"/>
          <w:lang w:bidi="ar"/>
        </w:rPr>
        <w:fldChar w:fldCharType="end"/>
      </w:r>
    </w:p>
    <w:p w14:paraId="4369069F">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"_Toc218437767" </w:instrText>
      </w:r>
      <w:r>
        <w:fldChar w:fldCharType="separate"/>
      </w:r>
      <w:r>
        <w:rPr>
          <w:rStyle w:val="39"/>
          <w:rFonts w:eastAsia="黑体"/>
          <w:szCs w:val="28"/>
          <w:lang w:bidi="ar"/>
        </w:rPr>
        <w:t>F2.3作业条件危险性分析法</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_Toc218437767 \h</w:instrText>
      </w:r>
      <w:r>
        <w:rPr>
          <w:rStyle w:val="39"/>
          <w:rFonts w:hint="eastAsia"/>
          <w:lang w:bidi="ar"/>
        </w:rPr>
        <w:instrText xml:space="preserve"> </w:instrText>
      </w:r>
      <w:r>
        <w:rPr>
          <w:rStyle w:val="39"/>
          <w:rFonts w:hint="eastAsia"/>
          <w:lang w:bidi="ar"/>
        </w:rPr>
        <w:fldChar w:fldCharType="separate"/>
      </w:r>
      <w:r>
        <w:rPr>
          <w:rStyle w:val="39"/>
          <w:lang w:bidi="ar"/>
        </w:rPr>
        <w:t>53</w:t>
      </w:r>
      <w:r>
        <w:rPr>
          <w:rStyle w:val="39"/>
          <w:rFonts w:hint="eastAsia"/>
          <w:lang w:bidi="ar"/>
        </w:rPr>
        <w:fldChar w:fldCharType="end"/>
      </w:r>
      <w:r>
        <w:rPr>
          <w:rStyle w:val="39"/>
          <w:rFonts w:hint="eastAsia"/>
          <w:lang w:bidi="ar"/>
        </w:rPr>
        <w:fldChar w:fldCharType="end"/>
      </w:r>
    </w:p>
    <w:p w14:paraId="2F2FD41C">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"_Toc218437768" </w:instrText>
      </w:r>
      <w:r>
        <w:fldChar w:fldCharType="separate"/>
      </w:r>
      <w:r>
        <w:rPr>
          <w:rStyle w:val="39"/>
          <w:rFonts w:eastAsia="黑体"/>
          <w:szCs w:val="28"/>
          <w:lang w:bidi="ar"/>
        </w:rPr>
        <w:t>F2.4TNT当量计算</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_Toc218437768 \h</w:instrText>
      </w:r>
      <w:r>
        <w:rPr>
          <w:rStyle w:val="39"/>
          <w:rFonts w:hint="eastAsia"/>
          <w:lang w:bidi="ar"/>
        </w:rPr>
        <w:instrText xml:space="preserve"> </w:instrText>
      </w:r>
      <w:r>
        <w:rPr>
          <w:rStyle w:val="39"/>
          <w:rFonts w:hint="eastAsia"/>
          <w:lang w:bidi="ar"/>
        </w:rPr>
        <w:fldChar w:fldCharType="separate"/>
      </w:r>
      <w:r>
        <w:rPr>
          <w:rStyle w:val="39"/>
          <w:lang w:bidi="ar"/>
        </w:rPr>
        <w:t>55</w:t>
      </w:r>
      <w:r>
        <w:rPr>
          <w:rStyle w:val="39"/>
          <w:rFonts w:hint="eastAsia"/>
          <w:lang w:bidi="ar"/>
        </w:rPr>
        <w:fldChar w:fldCharType="end"/>
      </w:r>
      <w:r>
        <w:rPr>
          <w:rStyle w:val="39"/>
          <w:rFonts w:hint="eastAsia"/>
          <w:lang w:bidi="ar"/>
        </w:rPr>
        <w:fldChar w:fldCharType="end"/>
      </w:r>
    </w:p>
    <w:p w14:paraId="58E9018C">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"_Toc218437769" </w:instrText>
      </w:r>
      <w:r>
        <w:fldChar w:fldCharType="separate"/>
      </w:r>
      <w:r>
        <w:rPr>
          <w:rStyle w:val="39"/>
          <w:rFonts w:eastAsia="黑体"/>
          <w:bCs/>
          <w:szCs w:val="28"/>
        </w:rPr>
        <w:t>附件3危险有害因素分析</w:t>
      </w:r>
      <w:r>
        <w:rPr>
          <w:rFonts w:eastAsia="黑体"/>
          <w:szCs w:val="28"/>
        </w:rPr>
        <w:tab/>
      </w:r>
      <w:r>
        <w:rPr>
          <w:rFonts w:eastAsia="黑体"/>
          <w:szCs w:val="28"/>
        </w:rPr>
        <w:fldChar w:fldCharType="begin"/>
      </w:r>
      <w:r>
        <w:rPr>
          <w:rFonts w:eastAsia="黑体"/>
          <w:szCs w:val="28"/>
        </w:rPr>
        <w:instrText xml:space="preserve"> PAGEREF _Toc218437769 \h </w:instrText>
      </w:r>
      <w:r>
        <w:rPr>
          <w:rFonts w:eastAsia="黑体"/>
          <w:szCs w:val="28"/>
        </w:rPr>
        <w:fldChar w:fldCharType="separate"/>
      </w:r>
      <w:r>
        <w:rPr>
          <w:rFonts w:eastAsia="黑体"/>
          <w:szCs w:val="28"/>
        </w:rPr>
        <w:t>57</w:t>
      </w:r>
      <w:r>
        <w:rPr>
          <w:rFonts w:eastAsia="黑体"/>
          <w:szCs w:val="28"/>
        </w:rPr>
        <w:fldChar w:fldCharType="end"/>
      </w:r>
      <w:r>
        <w:rPr>
          <w:rFonts w:eastAsia="黑体"/>
          <w:szCs w:val="28"/>
        </w:rPr>
        <w:fldChar w:fldCharType="end"/>
      </w:r>
    </w:p>
    <w:p w14:paraId="7DED4DB8">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"_Toc218437770" </w:instrText>
      </w:r>
      <w:r>
        <w:fldChar w:fldCharType="separate"/>
      </w:r>
      <w:r>
        <w:rPr>
          <w:rStyle w:val="39"/>
          <w:rFonts w:eastAsia="黑体"/>
          <w:szCs w:val="28"/>
          <w:lang w:bidi="ar"/>
        </w:rPr>
        <w:t>F3.1危险化学品的理化性能指标与危险特性</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_Toc218437770 \h</w:instrText>
      </w:r>
      <w:r>
        <w:rPr>
          <w:rStyle w:val="39"/>
          <w:rFonts w:hint="eastAsia"/>
          <w:lang w:bidi="ar"/>
        </w:rPr>
        <w:instrText xml:space="preserve"> </w:instrText>
      </w:r>
      <w:r>
        <w:rPr>
          <w:rStyle w:val="39"/>
          <w:rFonts w:hint="eastAsia"/>
          <w:lang w:bidi="ar"/>
        </w:rPr>
        <w:fldChar w:fldCharType="separate"/>
      </w:r>
      <w:r>
        <w:rPr>
          <w:rStyle w:val="39"/>
          <w:lang w:bidi="ar"/>
        </w:rPr>
        <w:t>57</w:t>
      </w:r>
      <w:r>
        <w:rPr>
          <w:rStyle w:val="39"/>
          <w:rFonts w:hint="eastAsia"/>
          <w:lang w:bidi="ar"/>
        </w:rPr>
        <w:fldChar w:fldCharType="end"/>
      </w:r>
      <w:r>
        <w:rPr>
          <w:rStyle w:val="39"/>
          <w:rFonts w:hint="eastAsia"/>
          <w:lang w:bidi="ar"/>
        </w:rPr>
        <w:fldChar w:fldCharType="end"/>
      </w:r>
    </w:p>
    <w:p w14:paraId="13CB8156">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"_Toc218437771" </w:instrText>
      </w:r>
      <w:r>
        <w:fldChar w:fldCharType="separate"/>
      </w:r>
      <w:r>
        <w:rPr>
          <w:rStyle w:val="39"/>
          <w:rFonts w:eastAsia="黑体"/>
          <w:szCs w:val="28"/>
          <w:lang w:bidi="ar"/>
        </w:rPr>
        <w:t>F3.2火灾、爆炸、中毒和窒息事故分析</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_Toc218437771 \h</w:instrText>
      </w:r>
      <w:r>
        <w:rPr>
          <w:rStyle w:val="39"/>
          <w:rFonts w:hint="eastAsia"/>
          <w:lang w:bidi="ar"/>
        </w:rPr>
        <w:instrText xml:space="preserve"> </w:instrText>
      </w:r>
      <w:r>
        <w:rPr>
          <w:rStyle w:val="39"/>
          <w:rFonts w:hint="eastAsia"/>
          <w:lang w:bidi="ar"/>
        </w:rPr>
        <w:fldChar w:fldCharType="separate"/>
      </w:r>
      <w:r>
        <w:rPr>
          <w:rStyle w:val="39"/>
          <w:lang w:bidi="ar"/>
        </w:rPr>
        <w:t>60</w:t>
      </w:r>
      <w:r>
        <w:rPr>
          <w:rStyle w:val="39"/>
          <w:rFonts w:hint="eastAsia"/>
          <w:lang w:bidi="ar"/>
        </w:rPr>
        <w:fldChar w:fldCharType="end"/>
      </w:r>
      <w:r>
        <w:rPr>
          <w:rStyle w:val="39"/>
          <w:rFonts w:hint="eastAsia"/>
          <w:lang w:bidi="ar"/>
        </w:rPr>
        <w:fldChar w:fldCharType="end"/>
      </w:r>
    </w:p>
    <w:p w14:paraId="012D6C87">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"_Toc218437772" </w:instrText>
      </w:r>
      <w:r>
        <w:fldChar w:fldCharType="separate"/>
      </w:r>
      <w:r>
        <w:rPr>
          <w:rStyle w:val="39"/>
          <w:rFonts w:eastAsia="黑体"/>
          <w:szCs w:val="28"/>
          <w:lang w:bidi="ar"/>
        </w:rPr>
        <w:t>F3.3可能造成作业人员伤亡的其它危险、有害因素分析</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_Toc218437772 \h</w:instrText>
      </w:r>
      <w:r>
        <w:rPr>
          <w:rStyle w:val="39"/>
          <w:rFonts w:hint="eastAsia"/>
          <w:lang w:bidi="ar"/>
        </w:rPr>
        <w:instrText xml:space="preserve"> </w:instrText>
      </w:r>
      <w:r>
        <w:rPr>
          <w:rStyle w:val="39"/>
          <w:rFonts w:hint="eastAsia"/>
          <w:lang w:bidi="ar"/>
        </w:rPr>
        <w:fldChar w:fldCharType="separate"/>
      </w:r>
      <w:r>
        <w:rPr>
          <w:rStyle w:val="39"/>
          <w:lang w:bidi="ar"/>
        </w:rPr>
        <w:t>64</w:t>
      </w:r>
      <w:r>
        <w:rPr>
          <w:rStyle w:val="39"/>
          <w:rFonts w:hint="eastAsia"/>
          <w:lang w:bidi="ar"/>
        </w:rPr>
        <w:fldChar w:fldCharType="end"/>
      </w:r>
      <w:r>
        <w:rPr>
          <w:rStyle w:val="39"/>
          <w:rFonts w:hint="eastAsia"/>
          <w:lang w:bidi="ar"/>
        </w:rPr>
        <w:fldChar w:fldCharType="end"/>
      </w:r>
    </w:p>
    <w:p w14:paraId="46A937EE">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"_Toc218437773" </w:instrText>
      </w:r>
      <w:r>
        <w:fldChar w:fldCharType="separate"/>
      </w:r>
      <w:r>
        <w:rPr>
          <w:rStyle w:val="39"/>
          <w:rFonts w:eastAsia="黑体"/>
          <w:szCs w:val="28"/>
          <w:lang w:bidi="ar"/>
        </w:rPr>
        <w:t>F3.4重大危险源辨识</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_Toc218437773 \h</w:instrText>
      </w:r>
      <w:r>
        <w:rPr>
          <w:rStyle w:val="39"/>
          <w:rFonts w:hint="eastAsia"/>
          <w:lang w:bidi="ar"/>
        </w:rPr>
        <w:instrText xml:space="preserve"> </w:instrText>
      </w:r>
      <w:r>
        <w:rPr>
          <w:rStyle w:val="39"/>
          <w:rFonts w:hint="eastAsia"/>
          <w:lang w:bidi="ar"/>
        </w:rPr>
        <w:fldChar w:fldCharType="separate"/>
      </w:r>
      <w:r>
        <w:rPr>
          <w:rStyle w:val="39"/>
          <w:lang w:bidi="ar"/>
        </w:rPr>
        <w:t>69</w:t>
      </w:r>
      <w:r>
        <w:rPr>
          <w:rStyle w:val="39"/>
          <w:rFonts w:hint="eastAsia"/>
          <w:lang w:bidi="ar"/>
        </w:rPr>
        <w:fldChar w:fldCharType="end"/>
      </w:r>
      <w:r>
        <w:rPr>
          <w:rStyle w:val="39"/>
          <w:rFonts w:hint="eastAsia"/>
          <w:lang w:bidi="ar"/>
        </w:rPr>
        <w:fldChar w:fldCharType="end"/>
      </w:r>
    </w:p>
    <w:p w14:paraId="64D38AD7">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"_Toc218437774" </w:instrText>
      </w:r>
      <w:r>
        <w:fldChar w:fldCharType="separate"/>
      </w:r>
      <w:r>
        <w:rPr>
          <w:rStyle w:val="39"/>
          <w:rFonts w:eastAsia="黑体"/>
          <w:bCs/>
          <w:szCs w:val="28"/>
        </w:rPr>
        <w:t>附件4定性、定量分析危险、有害程度的过程</w:t>
      </w:r>
      <w:r>
        <w:rPr>
          <w:rFonts w:eastAsia="黑体"/>
          <w:szCs w:val="28"/>
        </w:rPr>
        <w:tab/>
      </w:r>
      <w:r>
        <w:rPr>
          <w:rFonts w:eastAsia="黑体"/>
          <w:szCs w:val="28"/>
        </w:rPr>
        <w:fldChar w:fldCharType="begin"/>
      </w:r>
      <w:r>
        <w:rPr>
          <w:rFonts w:eastAsia="黑体"/>
          <w:szCs w:val="28"/>
        </w:rPr>
        <w:instrText xml:space="preserve"> PAGEREF _Toc218437774 \h </w:instrText>
      </w:r>
      <w:r>
        <w:rPr>
          <w:rFonts w:eastAsia="黑体"/>
          <w:szCs w:val="28"/>
        </w:rPr>
        <w:fldChar w:fldCharType="separate"/>
      </w:r>
      <w:r>
        <w:rPr>
          <w:rFonts w:eastAsia="黑体"/>
          <w:szCs w:val="28"/>
        </w:rPr>
        <w:t>71</w:t>
      </w:r>
      <w:r>
        <w:rPr>
          <w:rFonts w:eastAsia="黑体"/>
          <w:szCs w:val="28"/>
        </w:rPr>
        <w:fldChar w:fldCharType="end"/>
      </w:r>
      <w:r>
        <w:rPr>
          <w:rFonts w:eastAsia="黑体"/>
          <w:szCs w:val="28"/>
        </w:rPr>
        <w:fldChar w:fldCharType="end"/>
      </w:r>
    </w:p>
    <w:p w14:paraId="22823632">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"_Toc218437775" </w:instrText>
      </w:r>
      <w:r>
        <w:fldChar w:fldCharType="separate"/>
      </w:r>
      <w:r>
        <w:rPr>
          <w:rStyle w:val="39"/>
          <w:rFonts w:eastAsia="黑体"/>
          <w:szCs w:val="28"/>
          <w:lang w:bidi="ar"/>
        </w:rPr>
        <w:t>F4.1安全检查表法定性评价过程</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_Toc218437775 \h</w:instrText>
      </w:r>
      <w:r>
        <w:rPr>
          <w:rStyle w:val="39"/>
          <w:rFonts w:hint="eastAsia"/>
          <w:lang w:bidi="ar"/>
        </w:rPr>
        <w:instrText xml:space="preserve"> </w:instrText>
      </w:r>
      <w:r>
        <w:rPr>
          <w:rStyle w:val="39"/>
          <w:rFonts w:hint="eastAsia"/>
          <w:lang w:bidi="ar"/>
        </w:rPr>
        <w:fldChar w:fldCharType="separate"/>
      </w:r>
      <w:r>
        <w:rPr>
          <w:rStyle w:val="39"/>
          <w:lang w:bidi="ar"/>
        </w:rPr>
        <w:t>71</w:t>
      </w:r>
      <w:r>
        <w:rPr>
          <w:rStyle w:val="39"/>
          <w:rFonts w:hint="eastAsia"/>
          <w:lang w:bidi="ar"/>
        </w:rPr>
        <w:fldChar w:fldCharType="end"/>
      </w:r>
      <w:r>
        <w:rPr>
          <w:rStyle w:val="39"/>
          <w:rFonts w:hint="eastAsia"/>
          <w:lang w:bidi="ar"/>
        </w:rPr>
        <w:fldChar w:fldCharType="end"/>
      </w:r>
    </w:p>
    <w:p w14:paraId="7865D8B4">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"_Toc218437776" </w:instrText>
      </w:r>
      <w:r>
        <w:fldChar w:fldCharType="separate"/>
      </w:r>
      <w:r>
        <w:rPr>
          <w:rStyle w:val="39"/>
          <w:rFonts w:eastAsia="黑体"/>
          <w:szCs w:val="28"/>
          <w:lang w:bidi="ar"/>
        </w:rPr>
        <w:t>F4.2作业条件危险性分析法定性评价过程</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_Toc218437776 \h</w:instrText>
      </w:r>
      <w:r>
        <w:rPr>
          <w:rStyle w:val="39"/>
          <w:rFonts w:hint="eastAsia"/>
          <w:lang w:bidi="ar"/>
        </w:rPr>
        <w:instrText xml:space="preserve"> </w:instrText>
      </w:r>
      <w:r>
        <w:rPr>
          <w:rStyle w:val="39"/>
          <w:rFonts w:hint="eastAsia"/>
          <w:lang w:bidi="ar"/>
        </w:rPr>
        <w:fldChar w:fldCharType="separate"/>
      </w:r>
      <w:r>
        <w:rPr>
          <w:rStyle w:val="39"/>
          <w:lang w:bidi="ar"/>
        </w:rPr>
        <w:t>92</w:t>
      </w:r>
      <w:r>
        <w:rPr>
          <w:rStyle w:val="39"/>
          <w:rFonts w:hint="eastAsia"/>
          <w:lang w:bidi="ar"/>
        </w:rPr>
        <w:fldChar w:fldCharType="end"/>
      </w:r>
      <w:r>
        <w:rPr>
          <w:rStyle w:val="39"/>
          <w:rFonts w:hint="eastAsia"/>
          <w:lang w:bidi="ar"/>
        </w:rPr>
        <w:fldChar w:fldCharType="end"/>
      </w:r>
    </w:p>
    <w:p w14:paraId="76376899">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"_Toc218437777" </w:instrText>
      </w:r>
      <w:r>
        <w:fldChar w:fldCharType="separate"/>
      </w:r>
      <w:r>
        <w:rPr>
          <w:rStyle w:val="39"/>
          <w:rFonts w:eastAsia="黑体"/>
          <w:szCs w:val="28"/>
          <w:lang w:bidi="ar"/>
        </w:rPr>
        <w:t>F4.3定量分析具有可燃性化学品的固有风险程度</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_Toc218437777 \h</w:instrText>
      </w:r>
      <w:r>
        <w:rPr>
          <w:rStyle w:val="39"/>
          <w:rFonts w:hint="eastAsia"/>
          <w:lang w:bidi="ar"/>
        </w:rPr>
        <w:instrText xml:space="preserve"> </w:instrText>
      </w:r>
      <w:r>
        <w:rPr>
          <w:rStyle w:val="39"/>
          <w:rFonts w:hint="eastAsia"/>
          <w:lang w:bidi="ar"/>
        </w:rPr>
        <w:fldChar w:fldCharType="separate"/>
      </w:r>
      <w:r>
        <w:rPr>
          <w:rStyle w:val="39"/>
          <w:lang w:bidi="ar"/>
        </w:rPr>
        <w:t>94</w:t>
      </w:r>
      <w:r>
        <w:rPr>
          <w:rStyle w:val="39"/>
          <w:rFonts w:hint="eastAsia"/>
          <w:lang w:bidi="ar"/>
        </w:rPr>
        <w:fldChar w:fldCharType="end"/>
      </w:r>
      <w:r>
        <w:rPr>
          <w:rStyle w:val="39"/>
          <w:rFonts w:hint="eastAsia"/>
          <w:lang w:bidi="ar"/>
        </w:rPr>
        <w:fldChar w:fldCharType="end"/>
      </w:r>
    </w:p>
    <w:p w14:paraId="46B4B57C">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"_Toc218437778" </w:instrText>
      </w:r>
      <w:r>
        <w:fldChar w:fldCharType="separate"/>
      </w:r>
      <w:r>
        <w:rPr>
          <w:rStyle w:val="39"/>
          <w:rFonts w:eastAsia="黑体"/>
          <w:bCs/>
          <w:szCs w:val="28"/>
        </w:rPr>
        <w:t>附件5安全评价依据</w:t>
      </w:r>
      <w:r>
        <w:rPr>
          <w:rFonts w:eastAsia="黑体"/>
          <w:szCs w:val="28"/>
        </w:rPr>
        <w:tab/>
      </w:r>
      <w:r>
        <w:rPr>
          <w:rFonts w:eastAsia="黑体"/>
          <w:szCs w:val="28"/>
        </w:rPr>
        <w:fldChar w:fldCharType="begin"/>
      </w:r>
      <w:r>
        <w:rPr>
          <w:rFonts w:eastAsia="黑体"/>
          <w:szCs w:val="28"/>
        </w:rPr>
        <w:instrText xml:space="preserve"> PAGEREF _Toc218437778 \h </w:instrText>
      </w:r>
      <w:r>
        <w:rPr>
          <w:rFonts w:eastAsia="黑体"/>
          <w:szCs w:val="28"/>
        </w:rPr>
        <w:fldChar w:fldCharType="separate"/>
      </w:r>
      <w:r>
        <w:rPr>
          <w:rFonts w:eastAsia="黑体"/>
          <w:szCs w:val="28"/>
        </w:rPr>
        <w:t>95</w:t>
      </w:r>
      <w:r>
        <w:rPr>
          <w:rFonts w:eastAsia="黑体"/>
          <w:szCs w:val="28"/>
        </w:rPr>
        <w:fldChar w:fldCharType="end"/>
      </w:r>
      <w:r>
        <w:rPr>
          <w:rFonts w:eastAsia="黑体"/>
          <w:szCs w:val="28"/>
        </w:rPr>
        <w:fldChar w:fldCharType="end"/>
      </w:r>
    </w:p>
    <w:p w14:paraId="1DA33249">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"_Toc218437779" </w:instrText>
      </w:r>
      <w:r>
        <w:fldChar w:fldCharType="separate"/>
      </w:r>
      <w:r>
        <w:rPr>
          <w:rStyle w:val="39"/>
          <w:rFonts w:eastAsia="黑体"/>
          <w:szCs w:val="28"/>
          <w:lang w:bidi="ar"/>
        </w:rPr>
        <w:t>F5.1法律</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_Toc218437779 \h</w:instrText>
      </w:r>
      <w:r>
        <w:rPr>
          <w:rStyle w:val="39"/>
          <w:rFonts w:hint="eastAsia"/>
          <w:lang w:bidi="ar"/>
        </w:rPr>
        <w:instrText xml:space="preserve"> </w:instrText>
      </w:r>
      <w:r>
        <w:rPr>
          <w:rStyle w:val="39"/>
          <w:rFonts w:hint="eastAsia"/>
          <w:lang w:bidi="ar"/>
        </w:rPr>
        <w:fldChar w:fldCharType="separate"/>
      </w:r>
      <w:r>
        <w:rPr>
          <w:rStyle w:val="39"/>
          <w:lang w:bidi="ar"/>
        </w:rPr>
        <w:t>95</w:t>
      </w:r>
      <w:r>
        <w:rPr>
          <w:rStyle w:val="39"/>
          <w:rFonts w:hint="eastAsia"/>
          <w:lang w:bidi="ar"/>
        </w:rPr>
        <w:fldChar w:fldCharType="end"/>
      </w:r>
      <w:r>
        <w:rPr>
          <w:rStyle w:val="39"/>
          <w:rFonts w:hint="eastAsia"/>
          <w:lang w:bidi="ar"/>
        </w:rPr>
        <w:fldChar w:fldCharType="end"/>
      </w:r>
    </w:p>
    <w:p w14:paraId="18CCE500">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"_Toc218437780" </w:instrText>
      </w:r>
      <w:r>
        <w:fldChar w:fldCharType="separate"/>
      </w:r>
      <w:r>
        <w:rPr>
          <w:rStyle w:val="39"/>
          <w:rFonts w:eastAsia="黑体"/>
          <w:szCs w:val="28"/>
          <w:lang w:bidi="ar"/>
        </w:rPr>
        <w:t>F5.2法规</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_Toc218437780 \h</w:instrText>
      </w:r>
      <w:r>
        <w:rPr>
          <w:rStyle w:val="39"/>
          <w:rFonts w:hint="eastAsia"/>
          <w:lang w:bidi="ar"/>
        </w:rPr>
        <w:instrText xml:space="preserve"> </w:instrText>
      </w:r>
      <w:r>
        <w:rPr>
          <w:rStyle w:val="39"/>
          <w:rFonts w:hint="eastAsia"/>
          <w:lang w:bidi="ar"/>
        </w:rPr>
        <w:fldChar w:fldCharType="separate"/>
      </w:r>
      <w:r>
        <w:rPr>
          <w:rStyle w:val="39"/>
          <w:lang w:bidi="ar"/>
        </w:rPr>
        <w:t>96</w:t>
      </w:r>
      <w:r>
        <w:rPr>
          <w:rStyle w:val="39"/>
          <w:rFonts w:hint="eastAsia"/>
          <w:lang w:bidi="ar"/>
        </w:rPr>
        <w:fldChar w:fldCharType="end"/>
      </w:r>
      <w:r>
        <w:rPr>
          <w:rStyle w:val="39"/>
          <w:rFonts w:hint="eastAsia"/>
          <w:lang w:bidi="ar"/>
        </w:rPr>
        <w:fldChar w:fldCharType="end"/>
      </w:r>
    </w:p>
    <w:p w14:paraId="0779F99C">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"_Toc218437781" </w:instrText>
      </w:r>
      <w:r>
        <w:fldChar w:fldCharType="separate"/>
      </w:r>
      <w:r>
        <w:rPr>
          <w:rStyle w:val="39"/>
          <w:rFonts w:eastAsia="黑体"/>
          <w:szCs w:val="28"/>
          <w:lang w:bidi="ar"/>
        </w:rPr>
        <w:t>F5.3规章和规范性文件</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_Toc218437781 \h</w:instrText>
      </w:r>
      <w:r>
        <w:rPr>
          <w:rStyle w:val="39"/>
          <w:rFonts w:hint="eastAsia"/>
          <w:lang w:bidi="ar"/>
        </w:rPr>
        <w:instrText xml:space="preserve"> </w:instrText>
      </w:r>
      <w:r>
        <w:rPr>
          <w:rStyle w:val="39"/>
          <w:rFonts w:hint="eastAsia"/>
          <w:lang w:bidi="ar"/>
        </w:rPr>
        <w:fldChar w:fldCharType="separate"/>
      </w:r>
      <w:r>
        <w:rPr>
          <w:rStyle w:val="39"/>
          <w:lang w:bidi="ar"/>
        </w:rPr>
        <w:t>96</w:t>
      </w:r>
      <w:r>
        <w:rPr>
          <w:rStyle w:val="39"/>
          <w:rFonts w:hint="eastAsia"/>
          <w:lang w:bidi="ar"/>
        </w:rPr>
        <w:fldChar w:fldCharType="end"/>
      </w:r>
      <w:r>
        <w:rPr>
          <w:rStyle w:val="39"/>
          <w:rFonts w:hint="eastAsia"/>
          <w:lang w:bidi="ar"/>
        </w:rPr>
        <w:fldChar w:fldCharType="end"/>
      </w:r>
    </w:p>
    <w:p w14:paraId="6D698985">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"_Toc218437782" </w:instrText>
      </w:r>
      <w:r>
        <w:fldChar w:fldCharType="separate"/>
      </w:r>
      <w:r>
        <w:rPr>
          <w:rStyle w:val="39"/>
          <w:rFonts w:eastAsia="黑体"/>
          <w:szCs w:val="28"/>
          <w:lang w:bidi="ar"/>
        </w:rPr>
        <w:t>F5.4地方法规、规章和规范性文件</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_Toc218437782 \h</w:instrText>
      </w:r>
      <w:r>
        <w:rPr>
          <w:rStyle w:val="39"/>
          <w:rFonts w:hint="eastAsia"/>
          <w:lang w:bidi="ar"/>
        </w:rPr>
        <w:instrText xml:space="preserve"> </w:instrText>
      </w:r>
      <w:r>
        <w:rPr>
          <w:rStyle w:val="39"/>
          <w:rFonts w:hint="eastAsia"/>
          <w:lang w:bidi="ar"/>
        </w:rPr>
        <w:fldChar w:fldCharType="separate"/>
      </w:r>
      <w:r>
        <w:rPr>
          <w:rStyle w:val="39"/>
          <w:lang w:bidi="ar"/>
        </w:rPr>
        <w:t>99</w:t>
      </w:r>
      <w:r>
        <w:rPr>
          <w:rStyle w:val="39"/>
          <w:rFonts w:hint="eastAsia"/>
          <w:lang w:bidi="ar"/>
        </w:rPr>
        <w:fldChar w:fldCharType="end"/>
      </w:r>
      <w:r>
        <w:rPr>
          <w:rStyle w:val="39"/>
          <w:rFonts w:hint="eastAsia"/>
          <w:lang w:bidi="ar"/>
        </w:rPr>
        <w:fldChar w:fldCharType="end"/>
      </w:r>
    </w:p>
    <w:p w14:paraId="04CDA7D5">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"_Toc218437783" </w:instrText>
      </w:r>
      <w:r>
        <w:fldChar w:fldCharType="separate"/>
      </w:r>
      <w:r>
        <w:rPr>
          <w:rStyle w:val="39"/>
          <w:rFonts w:eastAsia="黑体"/>
          <w:szCs w:val="28"/>
          <w:lang w:bidi="ar"/>
        </w:rPr>
        <w:t>F5.5国家及行业标准、规范</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_Toc218437783 \h</w:instrText>
      </w:r>
      <w:r>
        <w:rPr>
          <w:rStyle w:val="39"/>
          <w:rFonts w:hint="eastAsia"/>
          <w:lang w:bidi="ar"/>
        </w:rPr>
        <w:instrText xml:space="preserve"> </w:instrText>
      </w:r>
      <w:r>
        <w:rPr>
          <w:rStyle w:val="39"/>
          <w:rFonts w:hint="eastAsia"/>
          <w:lang w:bidi="ar"/>
        </w:rPr>
        <w:fldChar w:fldCharType="separate"/>
      </w:r>
      <w:r>
        <w:rPr>
          <w:rStyle w:val="39"/>
          <w:lang w:bidi="ar"/>
        </w:rPr>
        <w:t>100</w:t>
      </w:r>
      <w:r>
        <w:rPr>
          <w:rStyle w:val="39"/>
          <w:rFonts w:hint="eastAsia"/>
          <w:lang w:bidi="ar"/>
        </w:rPr>
        <w:fldChar w:fldCharType="end"/>
      </w:r>
      <w:r>
        <w:rPr>
          <w:rStyle w:val="39"/>
          <w:rFonts w:hint="eastAsia"/>
          <w:lang w:bidi="ar"/>
        </w:rPr>
        <w:fldChar w:fldCharType="end"/>
      </w:r>
    </w:p>
    <w:p w14:paraId="60AC5B3D">
      <w:pPr>
        <w:pStyle w:val="27"/>
        <w:tabs>
          <w:tab w:val="right" w:leader="dot" w:pos="9174"/>
        </w:tabs>
        <w:adjustRightInd w:val="0"/>
        <w:snapToGrid w:val="0"/>
        <w:spacing w:line="360" w:lineRule="auto"/>
        <w:ind w:left="280" w:leftChars="100" w:firstLine="0" w:firstLineChars="0"/>
        <w:rPr>
          <w:rStyle w:val="39"/>
          <w:lang w:bidi="ar"/>
        </w:rPr>
      </w:pPr>
      <w:r>
        <w:fldChar w:fldCharType="begin"/>
      </w:r>
      <w:r>
        <w:instrText xml:space="preserve"> HYPERLINK \l "_Toc218437784" </w:instrText>
      </w:r>
      <w:r>
        <w:fldChar w:fldCharType="separate"/>
      </w:r>
      <w:r>
        <w:rPr>
          <w:rStyle w:val="39"/>
          <w:rFonts w:eastAsia="黑体"/>
          <w:szCs w:val="28"/>
          <w:lang w:bidi="ar"/>
        </w:rPr>
        <w:t>F5.6参考资料</w:t>
      </w:r>
      <w:r>
        <w:rPr>
          <w:rStyle w:val="39"/>
          <w:rFonts w:hint="eastAsia"/>
          <w:lang w:bidi="ar"/>
        </w:rPr>
        <w:tab/>
      </w:r>
      <w:r>
        <w:rPr>
          <w:rStyle w:val="39"/>
          <w:rFonts w:hint="eastAsia"/>
          <w:lang w:bidi="ar"/>
        </w:rPr>
        <w:fldChar w:fldCharType="begin"/>
      </w:r>
      <w:r>
        <w:rPr>
          <w:rStyle w:val="39"/>
          <w:rFonts w:hint="eastAsia"/>
          <w:lang w:bidi="ar"/>
        </w:rPr>
        <w:instrText xml:space="preserve"> </w:instrText>
      </w:r>
      <w:r>
        <w:rPr>
          <w:rStyle w:val="39"/>
          <w:lang w:bidi="ar"/>
        </w:rPr>
        <w:instrText xml:space="preserve">PAGEREF _Toc218437784 \h</w:instrText>
      </w:r>
      <w:r>
        <w:rPr>
          <w:rStyle w:val="39"/>
          <w:rFonts w:hint="eastAsia"/>
          <w:lang w:bidi="ar"/>
        </w:rPr>
        <w:instrText xml:space="preserve"> </w:instrText>
      </w:r>
      <w:r>
        <w:rPr>
          <w:rStyle w:val="39"/>
          <w:rFonts w:hint="eastAsia"/>
          <w:lang w:bidi="ar"/>
        </w:rPr>
        <w:fldChar w:fldCharType="separate"/>
      </w:r>
      <w:r>
        <w:rPr>
          <w:rStyle w:val="39"/>
          <w:lang w:bidi="ar"/>
        </w:rPr>
        <w:t>104</w:t>
      </w:r>
      <w:r>
        <w:rPr>
          <w:rStyle w:val="39"/>
          <w:rFonts w:hint="eastAsia"/>
          <w:lang w:bidi="ar"/>
        </w:rPr>
        <w:fldChar w:fldCharType="end"/>
      </w:r>
      <w:r>
        <w:rPr>
          <w:rStyle w:val="39"/>
          <w:rFonts w:hint="eastAsia"/>
          <w:lang w:bidi="ar"/>
        </w:rPr>
        <w:fldChar w:fldCharType="end"/>
      </w:r>
    </w:p>
    <w:p w14:paraId="4F350A3A">
      <w:pPr>
        <w:pStyle w:val="12"/>
        <w:tabs>
          <w:tab w:val="right" w:leader="dot" w:pos="9174"/>
        </w:tabs>
        <w:adjustRightInd w:val="0"/>
        <w:snapToGrid w:val="0"/>
        <w:spacing w:line="360" w:lineRule="auto"/>
        <w:jc w:val="both"/>
        <w:rPr>
          <w:rFonts w:eastAsia="黑体"/>
          <w:b w:val="0"/>
          <w:szCs w:val="28"/>
          <w14:ligatures w14:val="standardContextual"/>
        </w:rPr>
      </w:pPr>
      <w:r>
        <w:fldChar w:fldCharType="begin"/>
      </w:r>
      <w:r>
        <w:instrText xml:space="preserve"> HYPERLINK \l "_Toc218437785" </w:instrText>
      </w:r>
      <w:r>
        <w:fldChar w:fldCharType="separate"/>
      </w:r>
      <w:r>
        <w:rPr>
          <w:rStyle w:val="39"/>
          <w:rFonts w:eastAsia="黑体"/>
          <w:bCs/>
          <w:szCs w:val="28"/>
        </w:rPr>
        <w:t>附件6相关文件及附图目录</w:t>
      </w:r>
      <w:r>
        <w:rPr>
          <w:rFonts w:eastAsia="黑体"/>
          <w:szCs w:val="28"/>
        </w:rPr>
        <w:tab/>
      </w:r>
      <w:r>
        <w:rPr>
          <w:rFonts w:eastAsia="黑体"/>
          <w:szCs w:val="28"/>
        </w:rPr>
        <w:fldChar w:fldCharType="begin"/>
      </w:r>
      <w:r>
        <w:rPr>
          <w:rFonts w:eastAsia="黑体"/>
          <w:szCs w:val="28"/>
        </w:rPr>
        <w:instrText xml:space="preserve"> PAGEREF _Toc218437785 \h </w:instrText>
      </w:r>
      <w:r>
        <w:rPr>
          <w:rFonts w:eastAsia="黑体"/>
          <w:szCs w:val="28"/>
        </w:rPr>
        <w:fldChar w:fldCharType="separate"/>
      </w:r>
      <w:r>
        <w:rPr>
          <w:rFonts w:eastAsia="黑体"/>
          <w:szCs w:val="28"/>
        </w:rPr>
        <w:t>105</w:t>
      </w:r>
      <w:r>
        <w:rPr>
          <w:rFonts w:eastAsia="黑体"/>
          <w:szCs w:val="28"/>
        </w:rPr>
        <w:fldChar w:fldCharType="end"/>
      </w:r>
      <w:r>
        <w:rPr>
          <w:rFonts w:eastAsia="黑体"/>
          <w:szCs w:val="28"/>
        </w:rPr>
        <w:fldChar w:fldCharType="end"/>
      </w:r>
    </w:p>
    <w:p w14:paraId="6CA3A466">
      <w:pPr>
        <w:ind w:firstLine="0" w:firstLineChars="0"/>
        <w:rPr>
          <w:rFonts w:ascii="Times New Roman" w:hAnsi="Times New Roman" w:eastAsia="黑体" w:cs="宋体"/>
          <w:szCs w:val="28"/>
          <w:lang w:bidi="ar"/>
          <w14:ligatures w14:val="none"/>
        </w:rPr>
      </w:pPr>
      <w:r>
        <w:rPr>
          <w:rFonts w:ascii="Times New Roman" w:hAnsi="Times New Roman" w:eastAsia="黑体" w:cs="Times New Roman"/>
          <w:szCs w:val="28"/>
          <w:lang w:bidi="ar"/>
          <w14:ligatures w14:val="none"/>
        </w:rPr>
        <w:fldChar w:fldCharType="end"/>
      </w:r>
      <w:r>
        <w:rPr>
          <w:rFonts w:ascii="Times New Roman" w:hAnsi="Times New Roman" w:eastAsia="黑体" w:cs="宋体"/>
          <w:szCs w:val="28"/>
          <w:lang w:bidi="ar"/>
          <w14:ligatures w14:val="none"/>
        </w:rPr>
        <w:br w:type="page"/>
      </w:r>
    </w:p>
    <w:p w14:paraId="115883D5">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br w:type="page"/>
      </w:r>
    </w:p>
    <w:p w14:paraId="4FB37396">
      <w:pPr>
        <w:ind w:firstLine="560"/>
        <w:rPr>
          <w:rFonts w:ascii="Times New Roman" w:hAnsi="Times New Roman" w:eastAsia="宋体" w:cs="宋体"/>
          <w:szCs w:val="28"/>
          <w:lang w:bidi="ar"/>
          <w14:ligatures w14:val="none"/>
        </w:rPr>
        <w:sectPr>
          <w:pgSz w:w="11906" w:h="16838"/>
          <w:pgMar w:top="1418" w:right="1134" w:bottom="1134" w:left="1588" w:header="851" w:footer="992" w:gutter="0"/>
          <w:cols w:space="425" w:num="1"/>
          <w:docGrid w:type="lines" w:linePitch="312" w:charSpace="0"/>
        </w:sectPr>
      </w:pPr>
    </w:p>
    <w:p w14:paraId="48E6DEBE">
      <w:pPr>
        <w:pStyle w:val="8"/>
        <w:spacing w:line="360" w:lineRule="auto"/>
        <w:ind w:firstLine="0" w:firstLineChars="0"/>
        <w:jc w:val="center"/>
        <w:rPr>
          <w:sz w:val="32"/>
          <w:szCs w:val="32"/>
        </w:rPr>
      </w:pPr>
      <w:r>
        <w:rPr>
          <w:rFonts w:hint="eastAsia"/>
          <w:sz w:val="32"/>
          <w:szCs w:val="32"/>
        </w:rPr>
        <w:t>术语和定义</w:t>
      </w:r>
    </w:p>
    <w:p w14:paraId="5BFBEBAC">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（1）化学品</w:t>
      </w:r>
    </w:p>
    <w:p w14:paraId="6A8D1EB7">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指各种化学元素、由元素组成的化合物及其混合物，包括天然的或者人造的。</w:t>
      </w:r>
    </w:p>
    <w:p w14:paraId="42E04EA3">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（2）危险化学品</w:t>
      </w:r>
    </w:p>
    <w:p w14:paraId="32359C3B">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指具有爆炸、燃烧、助燃、毒害、腐蚀等性质且对接触的人员、设施、环境可能造成伤害或者损害的化学品。</w:t>
      </w:r>
    </w:p>
    <w:p w14:paraId="4DB7552E">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（3）新建项目</w:t>
      </w:r>
    </w:p>
    <w:p w14:paraId="0D4BA612">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指拟依法设立的企业建设伴有危险化学品产生的化学品或者危险化学品生产、储存装置（设施）和现有企业（单位）拟建与现有生产、储存活动不同的伴有危险化学品产生的化学品或者危险化学品生产、储存装置（设施）的建设项目。</w:t>
      </w:r>
    </w:p>
    <w:p w14:paraId="2A2ECAA5">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（4）改建项目</w:t>
      </w:r>
    </w:p>
    <w:p w14:paraId="6020E811">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指企业对在役伴有危险化学品产生的化学品或者危险化学品生产、储存装置（设施），在原址或者易地更新技术、工艺和改变原设计的生产、储存危险化学品种类及主要装置（设施、设备）、危险化学品作业场所的建设项目。</w:t>
      </w:r>
    </w:p>
    <w:p w14:paraId="6973C2FE">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（5）扩建项目</w:t>
      </w:r>
    </w:p>
    <w:p w14:paraId="190C7CEB">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指企业（单位）拟建与现有伴有危险化学品产生的化学品或者危险化学品品种相同且生产、储存装置（设施）相对独立的建设项目。</w:t>
      </w:r>
    </w:p>
    <w:p w14:paraId="0F20F367">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（6）安全设施</w:t>
      </w:r>
    </w:p>
    <w:p w14:paraId="7E267A73">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指企业（单位）在生产经营活动中将危险因素、有害因素控制在安全范围内以及预防、减少、消除危害所配备的装置（设备）和采取的措施。</w:t>
      </w:r>
    </w:p>
    <w:p w14:paraId="25348B49">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（7）作业场所</w:t>
      </w:r>
    </w:p>
    <w:p w14:paraId="6BD02C95">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指可能使从业人员接触危险化学品的任何作业活动场所，包括从事危险化学品的生产、操作、处置、储存、搬运、运输、废弃危险化学品的处置或者处理等场所。</w:t>
      </w:r>
    </w:p>
    <w:p w14:paraId="2C4B51C2">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（8）安全评价单元</w:t>
      </w:r>
    </w:p>
    <w:p w14:paraId="51C0107C">
      <w:pPr>
        <w:ind w:firstLine="560"/>
        <w:rPr>
          <w:rFonts w:ascii="Times New Roman" w:hAnsi="Times New Roman" w:eastAsia="宋体" w:cs="宋体"/>
          <w:szCs w:val="28"/>
          <w:lang w:bidi="ar"/>
          <w14:ligatures w14:val="none"/>
        </w:rPr>
        <w:sectPr>
          <w:pgSz w:w="11906" w:h="16838"/>
          <w:pgMar w:top="1418" w:right="1134" w:bottom="1134" w:left="1588" w:header="851" w:footer="992" w:gutter="0"/>
          <w:cols w:space="425" w:num="1"/>
          <w:docGrid w:type="lines" w:linePitch="312" w:charSpace="0"/>
        </w:sectPr>
      </w:pPr>
      <w:r>
        <w:rPr>
          <w:rFonts w:hint="eastAsia" w:ascii="Times New Roman" w:hAnsi="Times New Roman" w:eastAsia="宋体" w:cs="宋体"/>
          <w:szCs w:val="28"/>
          <w:lang w:bidi="ar"/>
          <w14:ligatures w14:val="none"/>
        </w:rPr>
        <w:t>根据建设项目安全评价的需要，将建设项目划分为一些相对独立部分，其中每个相对独立部分称为评价单元。</w:t>
      </w:r>
    </w:p>
    <w:p w14:paraId="690DDA1A">
      <w:pPr>
        <w:spacing w:before="468" w:beforeLines="150" w:after="468" w:afterLines="150"/>
        <w:ind w:firstLine="0" w:firstLineChars="0"/>
        <w:jc w:val="center"/>
        <w:outlineLvl w:val="0"/>
        <w:rPr>
          <w:rFonts w:ascii="Times New Roman" w:hAnsi="Times New Roman" w:eastAsia="黑体" w:cs="宋体"/>
          <w:b/>
          <w:bCs/>
          <w:sz w:val="32"/>
          <w:szCs w:val="28"/>
          <w:lang w:bidi="ar"/>
          <w14:ligatures w14:val="none"/>
        </w:rPr>
      </w:pPr>
      <w:bookmarkStart w:id="7" w:name="_Toc218437721"/>
      <w:r>
        <w:rPr>
          <w:rFonts w:hint="eastAsia" w:ascii="Times New Roman" w:hAnsi="Times New Roman" w:eastAsia="黑体" w:cs="宋体"/>
          <w:b/>
          <w:bCs/>
          <w:sz w:val="32"/>
          <w:szCs w:val="28"/>
          <w:lang w:bidi="ar"/>
          <w14:ligatures w14:val="none"/>
        </w:rPr>
        <w:t>1安全评价工作经过</w:t>
      </w:r>
      <w:bookmarkEnd w:id="7"/>
    </w:p>
    <w:p w14:paraId="53750836">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8" w:name="_Toc218437722"/>
      <w:r>
        <w:rPr>
          <w:rFonts w:hint="eastAsia" w:ascii="Times New Roman" w:hAnsi="Times New Roman" w:eastAsia="楷体" w:cs="宋体"/>
          <w:b/>
          <w:bCs/>
          <w:sz w:val="32"/>
          <w:szCs w:val="28"/>
          <w:lang w:bidi="ar"/>
          <w14:ligatures w14:val="none"/>
        </w:rPr>
        <w:t>1.1前期准备情况</w:t>
      </w:r>
      <w:bookmarkEnd w:id="8"/>
    </w:p>
    <w:p w14:paraId="4BC8E79E">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我公司在接到</w:t>
      </w:r>
      <w:r>
        <w:rPr>
          <w:rFonts w:hint="eastAsia" w:ascii="Times New Roman" w:hAnsi="Times New Roman" w:eastAsia="宋体" w:cs="宋体"/>
          <w:szCs w:val="28"/>
          <w:lang w:eastAsia="zh-CN" w:bidi="ar"/>
          <w14:ligatures w14:val="none"/>
        </w:rPr>
        <w:t>沈阳市于洪区大兴乡星火特加油站</w:t>
      </w:r>
      <w:r>
        <w:rPr>
          <w:rFonts w:hint="eastAsia" w:ascii="Times New Roman" w:hAnsi="Times New Roman" w:eastAsia="宋体" w:cs="宋体"/>
          <w:szCs w:val="28"/>
          <w:lang w:bidi="ar"/>
          <w14:ligatures w14:val="none"/>
        </w:rPr>
        <w:t>的委托后，随即组成了安全评价项目组，到建设单位现场进行勘察，与建设单位共同协商确定安全评价对象和范围。在充分调查研究验收评价对象和范围相关情况后，收集、整理安全评价所需要的各种文件、资料和数据，为做好安全评价工作进行了较为充分的前期准备。</w:t>
      </w:r>
    </w:p>
    <w:p w14:paraId="756A76BB">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9" w:name="_Toc218437723"/>
      <w:r>
        <w:rPr>
          <w:rFonts w:hint="eastAsia" w:ascii="Times New Roman" w:hAnsi="Times New Roman" w:eastAsia="楷体" w:cs="宋体"/>
          <w:b/>
          <w:bCs/>
          <w:sz w:val="32"/>
          <w:szCs w:val="28"/>
          <w:lang w:bidi="ar"/>
          <w14:ligatures w14:val="none"/>
        </w:rPr>
        <w:t>1.2评价目的</w:t>
      </w:r>
      <w:bookmarkEnd w:id="9"/>
    </w:p>
    <w:p w14:paraId="1059D813">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在建设项目竣工后正式生产运行前，通过检查建设项目安全设施与主体工程同时设计、同时施工、同时投入生产和使用的情况，检查安全生产管理措施到位情况，检查安全生产规章制度健全情况，检查事故应急预案建立情况，确定建设项目满足安全生产法律法规、标准、规范要求的符合性，为应急管理部门实施行政许可和日常监管提供技术支撑，亦可作为企业强化安全管理，编制和完善安全管理规章制度，制定事故应急预案和安全防范措施，实现安全生产提供技术支持。</w:t>
      </w:r>
    </w:p>
    <w:p w14:paraId="61C3195B">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10" w:name="_Toc218437724"/>
      <w:r>
        <w:rPr>
          <w:rFonts w:hint="eastAsia" w:ascii="Times New Roman" w:hAnsi="Times New Roman" w:eastAsia="楷体" w:cs="宋体"/>
          <w:b/>
          <w:bCs/>
          <w:sz w:val="32"/>
          <w:szCs w:val="28"/>
          <w:lang w:bidi="ar"/>
          <w14:ligatures w14:val="none"/>
        </w:rPr>
        <w:t>1.3对象及范围</w:t>
      </w:r>
      <w:bookmarkEnd w:id="10"/>
    </w:p>
    <w:p w14:paraId="4C217055">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本次评价的对象为</w:t>
      </w:r>
      <w:r>
        <w:rPr>
          <w:rFonts w:hint="eastAsia" w:ascii="Times New Roman" w:hAnsi="Times New Roman" w:eastAsia="宋体" w:cs="宋体"/>
          <w:szCs w:val="28"/>
          <w:lang w:eastAsia="zh-CN" w:bidi="ar"/>
          <w14:ligatures w14:val="none"/>
        </w:rPr>
        <w:t>沈阳市于洪区大兴乡星火特加油站罐区增容改造项目</w:t>
      </w:r>
      <w:r>
        <w:rPr>
          <w:rFonts w:hint="eastAsia" w:ascii="Times New Roman" w:hAnsi="Times New Roman" w:eastAsia="宋体" w:cs="宋体"/>
          <w:szCs w:val="28"/>
          <w:lang w:bidi="ar"/>
          <w14:ligatures w14:val="none"/>
        </w:rPr>
        <w:t>。</w:t>
      </w:r>
    </w:p>
    <w:p w14:paraId="14B0AAB4">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本次评价的范围包括：</w:t>
      </w:r>
      <w:r>
        <w:rPr>
          <w:rFonts w:hint="eastAsia" w:ascii="Times New Roman" w:hAnsi="Times New Roman" w:eastAsia="宋体" w:cs="宋体"/>
          <w:szCs w:val="28"/>
          <w:lang w:eastAsia="zh-CN" w:bidi="ar"/>
          <w14:ligatures w14:val="none"/>
        </w:rPr>
        <w:t>沈阳市于洪区大兴乡星火特加油站改</w:t>
      </w:r>
      <w:r>
        <w:rPr>
          <w:rFonts w:hint="eastAsia" w:ascii="Times New Roman" w:hAnsi="Times New Roman" w:eastAsia="宋体" w:cs="宋体"/>
          <w:szCs w:val="28"/>
          <w:lang w:val="en-US" w:eastAsia="zh-CN" w:bidi="ar"/>
          <w14:ligatures w14:val="none"/>
        </w:rPr>
        <w:t>造</w:t>
      </w:r>
      <w:r>
        <w:rPr>
          <w:rFonts w:hint="eastAsia" w:ascii="Times New Roman" w:hAnsi="Times New Roman" w:eastAsia="宋体" w:cs="宋体"/>
          <w:szCs w:val="28"/>
          <w:lang w:eastAsia="zh-CN" w:bidi="ar"/>
          <w14:ligatures w14:val="none"/>
        </w:rPr>
        <w:t>项目</w:t>
      </w:r>
      <w:r>
        <w:rPr>
          <w:rFonts w:hint="eastAsia" w:ascii="Times New Roman" w:hAnsi="Times New Roman" w:eastAsia="宋体" w:cs="宋体"/>
          <w:szCs w:val="28"/>
          <w:lang w:bidi="ar"/>
          <w14:ligatures w14:val="none"/>
        </w:rPr>
        <w:t>所涉及的总平面布置、工艺设备、设施、与之配套的公辅工程以及安全管理等。</w:t>
      </w:r>
    </w:p>
    <w:p w14:paraId="44640121">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本次评价的内容包括：</w:t>
      </w:r>
    </w:p>
    <w:p w14:paraId="3E1BFE15">
      <w:pPr>
        <w:numPr>
          <w:ilvl w:val="0"/>
          <w:numId w:val="1"/>
        </w:numPr>
        <w:ind w:firstLine="560"/>
        <w:rPr>
          <w:rFonts w:hint="eastAsia" w:ascii="Times New Roman" w:hAnsi="Times New Roman" w:eastAsia="宋体" w:cs="宋体"/>
          <w:szCs w:val="28"/>
          <w:lang w:bidi="ar"/>
          <w14:ligatures w14:val="none"/>
        </w:rPr>
      </w:pPr>
      <w:r>
        <w:rPr>
          <w:rFonts w:hint="eastAsia" w:ascii="Times New Roman" w:hAnsi="Times New Roman" w:eastAsia="宋体" w:cs="宋体"/>
          <w:szCs w:val="28"/>
          <w:lang w:val="en-US" w:eastAsia="zh-CN" w:bidi="ar"/>
          <w14:ligatures w14:val="none"/>
        </w:rPr>
        <w:t>改</w:t>
      </w:r>
      <w:r>
        <w:rPr>
          <w:rFonts w:ascii="Times New Roman" w:hAnsi="Times New Roman" w:eastAsia="宋体" w:cs="宋体"/>
          <w:szCs w:val="28"/>
          <w:lang w:bidi="ar"/>
          <w14:ligatures w14:val="none"/>
        </w:rPr>
        <w:t>建1座承重罐区，</w:t>
      </w:r>
      <w:r>
        <w:rPr>
          <w:rFonts w:hint="eastAsia" w:ascii="Times New Roman" w:hAnsi="Times New Roman" w:eastAsia="宋体" w:cs="宋体"/>
          <w:szCs w:val="28"/>
          <w:lang w:bidi="ar"/>
          <w14:ligatures w14:val="none"/>
        </w:rPr>
        <w:t>在罐</w:t>
      </w:r>
      <w:r>
        <w:rPr>
          <w:rFonts w:hint="eastAsia" w:ascii="Times New Roman" w:hAnsi="Times New Roman" w:eastAsia="宋体" w:cs="宋体"/>
          <w:szCs w:val="28"/>
          <w:lang w:val="en-US" w:eastAsia="zh-CN" w:bidi="ar"/>
          <w14:ligatures w14:val="none"/>
        </w:rPr>
        <w:t>区</w:t>
      </w:r>
      <w:r>
        <w:rPr>
          <w:rFonts w:hint="eastAsia" w:ascii="Times New Roman" w:hAnsi="Times New Roman" w:eastAsia="宋体" w:cs="宋体"/>
          <w:szCs w:val="28"/>
          <w:lang w:bidi="ar"/>
          <w14:ligatures w14:val="none"/>
        </w:rPr>
        <w:t>内设置2座</w:t>
      </w:r>
      <w:r>
        <w:rPr>
          <w:rFonts w:hint="eastAsia" w:ascii="Times New Roman" w:hAnsi="Times New Roman" w:eastAsia="宋体" w:cs="宋体"/>
          <w:szCs w:val="28"/>
          <w:lang w:val="en-US" w:eastAsia="zh-CN" w:bidi="ar"/>
          <w14:ligatures w14:val="none"/>
        </w:rPr>
        <w:t>5</w:t>
      </w:r>
      <w:r>
        <w:rPr>
          <w:rFonts w:hint="eastAsia" w:ascii="Times New Roman" w:hAnsi="Times New Roman" w:eastAsia="宋体" w:cs="宋体"/>
          <w:szCs w:val="28"/>
          <w:lang w:bidi="ar"/>
          <w14:ligatures w14:val="none"/>
        </w:rPr>
        <w:t>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SF双层车用乙醇汽油储罐（V01、V02），</w:t>
      </w:r>
      <w:r>
        <w:rPr>
          <w:rFonts w:hint="eastAsia" w:ascii="Times New Roman" w:hAnsi="Times New Roman" w:eastAsia="宋体" w:cs="宋体"/>
          <w:szCs w:val="28"/>
          <w:lang w:val="en-US" w:eastAsia="zh-CN" w:bidi="ar"/>
          <w14:ligatures w14:val="none"/>
        </w:rPr>
        <w:t>2</w:t>
      </w:r>
      <w:r>
        <w:rPr>
          <w:rFonts w:hint="eastAsia" w:ascii="Times New Roman" w:hAnsi="Times New Roman" w:eastAsia="宋体" w:cs="宋体"/>
          <w:szCs w:val="28"/>
          <w:lang w:bidi="ar"/>
          <w14:ligatures w14:val="none"/>
        </w:rPr>
        <w:t>座</w:t>
      </w:r>
      <w:r>
        <w:rPr>
          <w:rFonts w:hint="eastAsia" w:ascii="Times New Roman" w:hAnsi="Times New Roman" w:eastAsia="宋体" w:cs="宋体"/>
          <w:szCs w:val="28"/>
          <w:lang w:val="en-US" w:eastAsia="zh-CN" w:bidi="ar"/>
          <w14:ligatures w14:val="none"/>
        </w:rPr>
        <w:t>5</w:t>
      </w:r>
      <w:r>
        <w:rPr>
          <w:rFonts w:hint="eastAsia" w:ascii="Times New Roman" w:hAnsi="Times New Roman" w:eastAsia="宋体" w:cs="宋体"/>
          <w:szCs w:val="28"/>
          <w:lang w:bidi="ar"/>
          <w14:ligatures w14:val="none"/>
        </w:rPr>
        <w:t>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SF双层柴油储罐（V03、V04）。</w:t>
      </w:r>
    </w:p>
    <w:p w14:paraId="31A4C340">
      <w:pPr>
        <w:numPr>
          <w:ilvl w:val="0"/>
          <w:numId w:val="1"/>
        </w:numPr>
        <w:ind w:left="0" w:leftChars="0" w:firstLine="560" w:firstLineChars="200"/>
        <w:rPr>
          <w:rFonts w:hint="eastAsia"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对储罐配套管线进行升级改造：更换通气管道和卸油管道。</w:t>
      </w:r>
    </w:p>
    <w:p w14:paraId="30E4AAA9">
      <w:pPr>
        <w:numPr>
          <w:ilvl w:val="0"/>
          <w:numId w:val="1"/>
        </w:numPr>
        <w:ind w:left="0" w:leftChars="0" w:firstLine="560" w:firstLineChars="200"/>
        <w:rPr>
          <w:rFonts w:hint="eastAsia"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仪表检测信号传送至站房内液位在线监测仪；新增油罐及管道油气渗漏检测报警装置，检测信号接入站房内渗漏检测报警显示器。</w:t>
      </w:r>
    </w:p>
    <w:p w14:paraId="4FEE1AE6">
      <w:pPr>
        <w:numPr>
          <w:ilvl w:val="0"/>
          <w:numId w:val="1"/>
        </w:numPr>
        <w:ind w:left="0" w:leftChars="0" w:firstLine="560" w:firstLineChars="20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其它公辅工程设施，给排水、供电、采暖、消防设施均利旧</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bidi="ar"/>
          <w14:ligatures w14:val="none"/>
        </w:rPr>
        <w:t>站内原有设施，不在本次</w:t>
      </w:r>
      <w:r>
        <w:rPr>
          <w:rFonts w:hint="eastAsia" w:ascii="Times New Roman" w:hAnsi="Times New Roman" w:eastAsia="宋体" w:cs="宋体"/>
          <w:szCs w:val="28"/>
          <w:lang w:val="en-US" w:eastAsia="zh-CN" w:bidi="ar"/>
          <w14:ligatures w14:val="none"/>
        </w:rPr>
        <w:t>评价</w:t>
      </w:r>
      <w:r>
        <w:rPr>
          <w:rFonts w:hint="eastAsia" w:ascii="Times New Roman" w:hAnsi="Times New Roman" w:eastAsia="宋体" w:cs="宋体"/>
          <w:szCs w:val="28"/>
          <w:lang w:bidi="ar"/>
          <w14:ligatures w14:val="none"/>
        </w:rPr>
        <w:t>范围内。</w:t>
      </w:r>
      <w:r>
        <w:rPr>
          <w:rFonts w:hint="eastAsia" w:ascii="Times New Roman" w:hAnsi="Times New Roman" w:eastAsia="宋体" w:cs="宋体"/>
          <w:szCs w:val="28"/>
          <w:lang w:val="en-US" w:eastAsia="zh-CN" w:bidi="ar"/>
          <w14:ligatures w14:val="none"/>
        </w:rPr>
        <w:t>利旧</w:t>
      </w:r>
      <w:r>
        <w:rPr>
          <w:rFonts w:hint="eastAsia" w:ascii="Times New Roman" w:hAnsi="Times New Roman" w:eastAsia="宋体" w:cs="宋体"/>
          <w:szCs w:val="28"/>
          <w:lang w:bidi="ar"/>
          <w14:ligatures w14:val="none"/>
        </w:rPr>
        <w:t>原有站房、罩棚</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辅房、地磅房、</w:t>
      </w:r>
      <w:r>
        <w:rPr>
          <w:rFonts w:hint="eastAsia" w:ascii="Times New Roman" w:hAnsi="Times New Roman" w:eastAsia="宋体" w:cs="宋体"/>
          <w:szCs w:val="28"/>
          <w:lang w:bidi="ar"/>
          <w14:ligatures w14:val="none"/>
        </w:rPr>
        <w:t>洗车房以及</w:t>
      </w:r>
      <w:r>
        <w:rPr>
          <w:rFonts w:hint="eastAsia" w:ascii="Times New Roman" w:hAnsi="Times New Roman" w:eastAsia="宋体" w:cs="宋体"/>
          <w:szCs w:val="28"/>
          <w:lang w:val="en-US" w:eastAsia="zh-CN" w:bidi="ar"/>
          <w14:ligatures w14:val="none"/>
        </w:rPr>
        <w:t>三次油气回收装置</w:t>
      </w:r>
      <w:r>
        <w:rPr>
          <w:rFonts w:hint="eastAsia" w:ascii="Times New Roman" w:hAnsi="Times New Roman" w:eastAsia="宋体" w:cs="宋体"/>
          <w:szCs w:val="28"/>
          <w:lang w:bidi="ar"/>
          <w14:ligatures w14:val="none"/>
        </w:rPr>
        <w:t>，仅对其距离进行符合性评价。</w:t>
      </w:r>
    </w:p>
    <w:p w14:paraId="58916B6B">
      <w:pPr>
        <w:keepNext/>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11" w:name="_Toc218437725"/>
      <w:r>
        <w:rPr>
          <w:rFonts w:hint="eastAsia" w:ascii="Times New Roman" w:hAnsi="Times New Roman" w:eastAsia="楷体" w:cs="宋体"/>
          <w:b/>
          <w:bCs/>
          <w:sz w:val="32"/>
          <w:szCs w:val="28"/>
          <w:lang w:bidi="ar"/>
          <w14:ligatures w14:val="none"/>
        </w:rPr>
        <w:t>1.4工作经过和程序</w:t>
      </w:r>
      <w:bookmarkEnd w:id="11"/>
    </w:p>
    <w:p w14:paraId="5DD2D245">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安全设施竣工验收安全评价程序包括：前期准备；安全评价；与建设单位交换意见；编制安全验收评价报告。</w:t>
      </w:r>
    </w:p>
    <w:p w14:paraId="07AF8BA6">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本次安全验收评价的程序，如图1.4-1所示：</w:t>
      </w:r>
    </w:p>
    <w:p w14:paraId="6208207C">
      <w:pPr>
        <w:pStyle w:val="43"/>
        <w:ind w:firstLine="420"/>
        <w:rPr>
          <w:rFonts w:cs="宋体"/>
          <w:lang w:bidi="ar"/>
        </w:rPr>
      </w:pPr>
      <w:r>
        <mc:AlternateContent>
          <mc:Choice Requires="wpc">
            <w:drawing>
              <wp:inline distT="0" distB="0" distL="114300" distR="114300">
                <wp:extent cx="5076825" cy="6238875"/>
                <wp:effectExtent l="0" t="0" r="0" b="0"/>
                <wp:docPr id="60" name="画布 45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矩形 453"/>
                        <wps:cNvSpPr/>
                        <wps:spPr>
                          <a:xfrm>
                            <a:off x="343237" y="332719"/>
                            <a:ext cx="1256103" cy="29599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C4B943">
                              <w:pPr>
                                <w:pStyle w:val="43"/>
                              </w:pPr>
                              <w:r>
                                <w:rPr>
                                  <w:rFonts w:hint="eastAsia"/>
                                </w:rPr>
                                <w:t>前期准备</w:t>
                              </w:r>
                            </w:p>
                          </w:txbxContent>
                        </wps:txbx>
                        <wps:bodyPr upright="1"/>
                      </wps:wsp>
                      <wps:wsp>
                        <wps:cNvPr id="9" name="矩形 454"/>
                        <wps:cNvSpPr/>
                        <wps:spPr>
                          <a:xfrm>
                            <a:off x="2514397" y="1125917"/>
                            <a:ext cx="2057964" cy="29744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C0087C">
                              <w:pPr>
                                <w:pStyle w:val="43"/>
                              </w:pPr>
                              <w:r>
                                <w:rPr>
                                  <w:rFonts w:hint="eastAsia"/>
                                </w:rPr>
                                <w:t>辨识危险、有害因素</w:t>
                              </w:r>
                            </w:p>
                          </w:txbxContent>
                        </wps:txbx>
                        <wps:bodyPr upright="1"/>
                      </wps:wsp>
                      <wps:wsp>
                        <wps:cNvPr id="10" name="矩形 455"/>
                        <wps:cNvSpPr/>
                        <wps:spPr>
                          <a:xfrm>
                            <a:off x="2514397" y="1720086"/>
                            <a:ext cx="2057964" cy="296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C52BE1">
                              <w:pPr>
                                <w:pStyle w:val="43"/>
                              </w:pPr>
                              <w:r>
                                <w:rPr>
                                  <w:rFonts w:hint="eastAsia"/>
                                </w:rPr>
                                <w:t>划分评价单元</w:t>
                              </w:r>
                            </w:p>
                          </w:txbxContent>
                        </wps:txbx>
                        <wps:bodyPr upright="1"/>
                      </wps:wsp>
                      <wps:wsp>
                        <wps:cNvPr id="17" name="矩形 456"/>
                        <wps:cNvSpPr/>
                        <wps:spPr>
                          <a:xfrm>
                            <a:off x="2514397" y="2314255"/>
                            <a:ext cx="2057964" cy="296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5083EA4">
                              <w:pPr>
                                <w:pStyle w:val="43"/>
                              </w:pPr>
                              <w:r>
                                <w:rPr>
                                  <w:rFonts w:hint="eastAsia"/>
                                </w:rPr>
                                <w:t>确定安全评价方法</w:t>
                              </w:r>
                            </w:p>
                          </w:txbxContent>
                        </wps:txbx>
                        <wps:bodyPr upright="1"/>
                      </wps:wsp>
                      <wps:wsp>
                        <wps:cNvPr id="22" name="矩形 457"/>
                        <wps:cNvSpPr/>
                        <wps:spPr>
                          <a:xfrm>
                            <a:off x="2514397" y="2908425"/>
                            <a:ext cx="2059426" cy="29963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244747B">
                              <w:pPr>
                                <w:pStyle w:val="43"/>
                              </w:pPr>
                              <w:r>
                                <w:rPr>
                                  <w:rFonts w:hint="eastAsia"/>
                                </w:rPr>
                                <w:t>定性、定量分析危险、有害程度</w:t>
                              </w:r>
                            </w:p>
                            <w:p w14:paraId="073571D9">
                              <w:pPr>
                                <w:ind w:firstLine="560"/>
                              </w:pPr>
                            </w:p>
                          </w:txbxContent>
                        </wps:txbx>
                        <wps:bodyPr upright="1"/>
                      </wps:wsp>
                      <wps:wsp>
                        <wps:cNvPr id="23" name="矩形 458"/>
                        <wps:cNvSpPr/>
                        <wps:spPr>
                          <a:xfrm>
                            <a:off x="2514397" y="3502594"/>
                            <a:ext cx="2058694"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B670E53">
                              <w:pPr>
                                <w:pStyle w:val="43"/>
                              </w:pPr>
                              <w:r>
                                <w:rPr>
                                  <w:rFonts w:hint="eastAsia"/>
                                </w:rPr>
                                <w:t>分析安全条件和安全生产条件</w:t>
                              </w:r>
                            </w:p>
                            <w:p w14:paraId="5B9D489D">
                              <w:pPr>
                                <w:ind w:firstLine="560"/>
                              </w:pPr>
                            </w:p>
                          </w:txbxContent>
                        </wps:txbx>
                        <wps:bodyPr upright="1"/>
                      </wps:wsp>
                      <wps:wsp>
                        <wps:cNvPr id="24" name="矩形 459"/>
                        <wps:cNvSpPr/>
                        <wps:spPr>
                          <a:xfrm>
                            <a:off x="2514397" y="4097492"/>
                            <a:ext cx="2057964"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2F4636B">
                              <w:pPr>
                                <w:pStyle w:val="43"/>
                              </w:pPr>
                              <w:r>
                                <w:rPr>
                                  <w:rFonts w:hint="eastAsia"/>
                                </w:rPr>
                                <w:t>提出安全对策与建议</w:t>
                              </w:r>
                            </w:p>
                            <w:p w14:paraId="1496CC4D">
                              <w:pPr>
                                <w:ind w:firstLine="560"/>
                              </w:pPr>
                            </w:p>
                          </w:txbxContent>
                        </wps:txbx>
                        <wps:bodyPr upright="1"/>
                      </wps:wsp>
                      <wps:wsp>
                        <wps:cNvPr id="25" name="直线 460"/>
                        <wps:cNvCnPr/>
                        <wps:spPr>
                          <a:xfrm>
                            <a:off x="1028982" y="630168"/>
                            <a:ext cx="730" cy="2278257"/>
                          </a:xfrm>
                          <a:prstGeom prst="line">
                            <a:avLst/>
                          </a:prstGeom>
                          <a:ln w="9525" cap="flat" cmpd="sng">
                            <a:solidFill>
                              <a:srgbClr val="000000"/>
                            </a:solidFill>
                            <a:prstDash val="solid"/>
                            <a:headEnd type="none" w="med" len="med"/>
                            <a:tailEnd type="triangle" w="med" len="med"/>
                          </a:ln>
                        </wps:spPr>
                        <wps:bodyPr/>
                      </wps:wsp>
                      <wps:wsp>
                        <wps:cNvPr id="35" name="矩形 466"/>
                        <wps:cNvSpPr/>
                        <wps:spPr>
                          <a:xfrm>
                            <a:off x="228582" y="5153038"/>
                            <a:ext cx="1486145"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08ED058">
                              <w:pPr>
                                <w:pStyle w:val="43"/>
                              </w:pPr>
                              <w:r>
                                <w:rPr>
                                  <w:rFonts w:hint="eastAsia"/>
                                </w:rPr>
                                <w:t>与建设单位交换意见</w:t>
                              </w:r>
                            </w:p>
                          </w:txbxContent>
                        </wps:txbx>
                        <wps:bodyPr upright="1"/>
                      </wps:wsp>
                      <wps:wsp>
                        <wps:cNvPr id="36" name="矩形 467"/>
                        <wps:cNvSpPr/>
                        <wps:spPr>
                          <a:xfrm>
                            <a:off x="228582" y="5847113"/>
                            <a:ext cx="1486145" cy="29817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636EFA">
                              <w:pPr>
                                <w:pStyle w:val="43"/>
                              </w:pPr>
                              <w:r>
                                <w:rPr>
                                  <w:rFonts w:hint="eastAsia"/>
                                </w:rPr>
                                <w:t>编制安全评价报告</w:t>
                              </w:r>
                            </w:p>
                          </w:txbxContent>
                        </wps:txbx>
                        <wps:bodyPr upright="1"/>
                      </wps:wsp>
                      <wps:wsp>
                        <wps:cNvPr id="37" name="直线 468"/>
                        <wps:cNvCnPr/>
                        <wps:spPr>
                          <a:xfrm>
                            <a:off x="1028252" y="5451958"/>
                            <a:ext cx="730" cy="395141"/>
                          </a:xfrm>
                          <a:prstGeom prst="line">
                            <a:avLst/>
                          </a:prstGeom>
                          <a:ln w="9525" cap="flat" cmpd="sng">
                            <a:solidFill>
                              <a:srgbClr val="000000"/>
                            </a:solidFill>
                            <a:prstDash val="solid"/>
                            <a:headEnd type="none" w="med" len="med"/>
                            <a:tailEnd type="triangle" w="med" len="med"/>
                          </a:ln>
                        </wps:spPr>
                        <wps:bodyPr/>
                      </wps:wsp>
                      <wps:wsp>
                        <wps:cNvPr id="38" name="矩形 469"/>
                        <wps:cNvSpPr/>
                        <wps:spPr>
                          <a:xfrm>
                            <a:off x="343237" y="2908425"/>
                            <a:ext cx="1256103" cy="2967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A166FC7">
                              <w:pPr>
                                <w:pStyle w:val="43"/>
                              </w:pPr>
                              <w:r>
                                <w:rPr>
                                  <w:rFonts w:hint="eastAsia"/>
                                </w:rPr>
                                <w:t>安全评价</w:t>
                              </w:r>
                            </w:p>
                          </w:txbxContent>
                        </wps:txbx>
                        <wps:bodyPr upright="1"/>
                      </wps:wsp>
                      <wps:wsp>
                        <wps:cNvPr id="39" name="直线 470"/>
                        <wps:cNvCnPr/>
                        <wps:spPr>
                          <a:xfrm>
                            <a:off x="2057234" y="1224337"/>
                            <a:ext cx="730" cy="3566474"/>
                          </a:xfrm>
                          <a:prstGeom prst="line">
                            <a:avLst/>
                          </a:prstGeom>
                          <a:ln w="9525" cap="flat" cmpd="sng">
                            <a:solidFill>
                              <a:srgbClr val="000000"/>
                            </a:solidFill>
                            <a:prstDash val="solid"/>
                            <a:headEnd type="none" w="med" len="med"/>
                            <a:tailEnd type="none" w="med" len="med"/>
                          </a:ln>
                        </wps:spPr>
                        <wps:bodyPr/>
                      </wps:wsp>
                      <wps:wsp>
                        <wps:cNvPr id="40" name="直线 471"/>
                        <wps:cNvCnPr/>
                        <wps:spPr>
                          <a:xfrm>
                            <a:off x="2057234" y="1224337"/>
                            <a:ext cx="457163" cy="0"/>
                          </a:xfrm>
                          <a:prstGeom prst="line">
                            <a:avLst/>
                          </a:prstGeom>
                          <a:ln w="9525" cap="flat" cmpd="sng">
                            <a:solidFill>
                              <a:srgbClr val="000000"/>
                            </a:solidFill>
                            <a:prstDash val="solid"/>
                            <a:headEnd type="none" w="med" len="med"/>
                            <a:tailEnd type="none" w="med" len="med"/>
                          </a:ln>
                        </wps:spPr>
                        <wps:bodyPr/>
                      </wps:wsp>
                      <wps:wsp>
                        <wps:cNvPr id="41" name="直线 472"/>
                        <wps:cNvCnPr/>
                        <wps:spPr>
                          <a:xfrm>
                            <a:off x="2057234" y="1819236"/>
                            <a:ext cx="457163" cy="0"/>
                          </a:xfrm>
                          <a:prstGeom prst="line">
                            <a:avLst/>
                          </a:prstGeom>
                          <a:ln w="9525" cap="flat" cmpd="sng">
                            <a:solidFill>
                              <a:srgbClr val="000000"/>
                            </a:solidFill>
                            <a:prstDash val="solid"/>
                            <a:headEnd type="none" w="med" len="med"/>
                            <a:tailEnd type="none" w="med" len="med"/>
                          </a:ln>
                        </wps:spPr>
                        <wps:bodyPr/>
                      </wps:wsp>
                      <wps:wsp>
                        <wps:cNvPr id="42" name="直线 473"/>
                        <wps:cNvCnPr/>
                        <wps:spPr>
                          <a:xfrm>
                            <a:off x="2057234" y="2512555"/>
                            <a:ext cx="457163" cy="0"/>
                          </a:xfrm>
                          <a:prstGeom prst="line">
                            <a:avLst/>
                          </a:prstGeom>
                          <a:ln w="9525" cap="flat" cmpd="sng">
                            <a:solidFill>
                              <a:srgbClr val="000000"/>
                            </a:solidFill>
                            <a:prstDash val="solid"/>
                            <a:headEnd type="none" w="med" len="med"/>
                            <a:tailEnd type="none" w="med" len="med"/>
                          </a:ln>
                        </wps:spPr>
                        <wps:bodyPr/>
                      </wps:wsp>
                      <wps:wsp>
                        <wps:cNvPr id="43" name="直线 474"/>
                        <wps:cNvCnPr/>
                        <wps:spPr>
                          <a:xfrm>
                            <a:off x="2057234" y="3007574"/>
                            <a:ext cx="457163" cy="0"/>
                          </a:xfrm>
                          <a:prstGeom prst="line">
                            <a:avLst/>
                          </a:prstGeom>
                          <a:ln w="9525" cap="flat" cmpd="sng">
                            <a:solidFill>
                              <a:srgbClr val="000000"/>
                            </a:solidFill>
                            <a:prstDash val="solid"/>
                            <a:headEnd type="none" w="med" len="med"/>
                            <a:tailEnd type="none" w="med" len="med"/>
                          </a:ln>
                        </wps:spPr>
                        <wps:bodyPr/>
                      </wps:wsp>
                      <wps:wsp>
                        <wps:cNvPr id="44" name="直线 475"/>
                        <wps:cNvCnPr/>
                        <wps:spPr>
                          <a:xfrm>
                            <a:off x="2057234" y="3602473"/>
                            <a:ext cx="457163" cy="0"/>
                          </a:xfrm>
                          <a:prstGeom prst="line">
                            <a:avLst/>
                          </a:prstGeom>
                          <a:ln w="9525" cap="flat" cmpd="sng">
                            <a:solidFill>
                              <a:srgbClr val="000000"/>
                            </a:solidFill>
                            <a:prstDash val="solid"/>
                            <a:headEnd type="none" w="med" len="med"/>
                            <a:tailEnd type="none" w="med" len="med"/>
                          </a:ln>
                        </wps:spPr>
                        <wps:bodyPr/>
                      </wps:wsp>
                      <wps:wsp>
                        <wps:cNvPr id="45" name="直线 476"/>
                        <wps:cNvCnPr/>
                        <wps:spPr>
                          <a:xfrm>
                            <a:off x="1600071" y="3007574"/>
                            <a:ext cx="457163" cy="729"/>
                          </a:xfrm>
                          <a:prstGeom prst="line">
                            <a:avLst/>
                          </a:prstGeom>
                          <a:ln w="9525" cap="flat" cmpd="sng">
                            <a:solidFill>
                              <a:srgbClr val="000000"/>
                            </a:solidFill>
                            <a:prstDash val="solid"/>
                            <a:headEnd type="none" w="med" len="med"/>
                            <a:tailEnd type="none" w="med" len="med"/>
                          </a:ln>
                        </wps:spPr>
                        <wps:bodyPr/>
                      </wps:wsp>
                      <wps:wsp>
                        <wps:cNvPr id="46" name="直线 477"/>
                        <wps:cNvCnPr/>
                        <wps:spPr>
                          <a:xfrm>
                            <a:off x="1600071" y="431869"/>
                            <a:ext cx="457163" cy="729"/>
                          </a:xfrm>
                          <a:prstGeom prst="line">
                            <a:avLst/>
                          </a:prstGeom>
                          <a:ln w="9525" cap="flat" cmpd="sng">
                            <a:solidFill>
                              <a:srgbClr val="000000"/>
                            </a:solidFill>
                            <a:prstDash val="solid"/>
                            <a:headEnd type="none" w="med" len="med"/>
                            <a:tailEnd type="none" w="med" len="med"/>
                          </a:ln>
                        </wps:spPr>
                        <wps:bodyPr/>
                      </wps:wsp>
                      <wps:wsp>
                        <wps:cNvPr id="47" name="直线 478"/>
                        <wps:cNvCnPr/>
                        <wps:spPr>
                          <a:xfrm>
                            <a:off x="2057234" y="135148"/>
                            <a:ext cx="730" cy="594169"/>
                          </a:xfrm>
                          <a:prstGeom prst="line">
                            <a:avLst/>
                          </a:prstGeom>
                          <a:ln w="9525" cap="flat" cmpd="sng">
                            <a:solidFill>
                              <a:srgbClr val="000000"/>
                            </a:solidFill>
                            <a:prstDash val="solid"/>
                            <a:headEnd type="none" w="med" len="med"/>
                            <a:tailEnd type="none" w="med" len="med"/>
                          </a:ln>
                        </wps:spPr>
                        <wps:bodyPr/>
                      </wps:wsp>
                      <wps:wsp>
                        <wps:cNvPr id="48" name="矩形 479"/>
                        <wps:cNvSpPr/>
                        <wps:spPr>
                          <a:xfrm>
                            <a:off x="2514397" y="35999"/>
                            <a:ext cx="2057964" cy="297449"/>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AB917E2">
                              <w:pPr>
                                <w:pStyle w:val="43"/>
                              </w:pPr>
                              <w:r>
                                <w:rPr>
                                  <w:rFonts w:hint="eastAsia"/>
                                </w:rPr>
                                <w:t>确定安全评价对象和范围</w:t>
                              </w:r>
                            </w:p>
                          </w:txbxContent>
                        </wps:txbx>
                        <wps:bodyPr upright="1"/>
                      </wps:wsp>
                      <wps:wsp>
                        <wps:cNvPr id="49" name="矩形 480"/>
                        <wps:cNvSpPr/>
                        <wps:spPr>
                          <a:xfrm>
                            <a:off x="2514397" y="630168"/>
                            <a:ext cx="2057964" cy="29817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72763C">
                              <w:pPr>
                                <w:pStyle w:val="43"/>
                              </w:pPr>
                              <w:r>
                                <w:rPr>
                                  <w:rFonts w:hint="eastAsia"/>
                                </w:rPr>
                                <w:t>收集、整理安全评价所需资料</w:t>
                              </w:r>
                            </w:p>
                          </w:txbxContent>
                        </wps:txbx>
                        <wps:bodyPr upright="1"/>
                      </wps:wsp>
                      <wps:wsp>
                        <wps:cNvPr id="50" name="直线 481"/>
                        <wps:cNvCnPr/>
                        <wps:spPr>
                          <a:xfrm>
                            <a:off x="2057234" y="729318"/>
                            <a:ext cx="457163" cy="0"/>
                          </a:xfrm>
                          <a:prstGeom prst="line">
                            <a:avLst/>
                          </a:prstGeom>
                          <a:ln w="9525" cap="flat" cmpd="sng">
                            <a:solidFill>
                              <a:srgbClr val="000000"/>
                            </a:solidFill>
                            <a:prstDash val="solid"/>
                            <a:headEnd type="none" w="med" len="med"/>
                            <a:tailEnd type="none" w="med" len="med"/>
                          </a:ln>
                        </wps:spPr>
                        <wps:bodyPr/>
                      </wps:wsp>
                      <wps:wsp>
                        <wps:cNvPr id="51" name="直线 482"/>
                        <wps:cNvCnPr/>
                        <wps:spPr>
                          <a:xfrm>
                            <a:off x="2057234" y="135148"/>
                            <a:ext cx="457163" cy="0"/>
                          </a:xfrm>
                          <a:prstGeom prst="line">
                            <a:avLst/>
                          </a:prstGeom>
                          <a:ln w="9525" cap="flat" cmpd="sng">
                            <a:solidFill>
                              <a:srgbClr val="000000"/>
                            </a:solidFill>
                            <a:prstDash val="solid"/>
                            <a:headEnd type="none" w="med" len="med"/>
                            <a:tailEnd type="none" w="med" len="med"/>
                          </a:ln>
                        </wps:spPr>
                        <wps:bodyPr/>
                      </wps:wsp>
                      <wps:wsp>
                        <wps:cNvPr id="53" name="矩形 484"/>
                        <wps:cNvSpPr/>
                        <wps:spPr>
                          <a:xfrm>
                            <a:off x="2514397" y="4691662"/>
                            <a:ext cx="2059425" cy="29890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352B56">
                              <w:pPr>
                                <w:pStyle w:val="43"/>
                              </w:pPr>
                              <w:r>
                                <w:rPr>
                                  <w:rFonts w:hint="eastAsia"/>
                                </w:rPr>
                                <w:t>整理、归纳安全评价结论</w:t>
                              </w:r>
                            </w:p>
                            <w:p w14:paraId="71CC8597">
                              <w:pPr>
                                <w:ind w:firstLine="560"/>
                              </w:pPr>
                            </w:p>
                          </w:txbxContent>
                        </wps:txbx>
                        <wps:bodyPr upright="1"/>
                      </wps:wsp>
                      <wps:wsp>
                        <wps:cNvPr id="54" name="直线 485"/>
                        <wps:cNvCnPr/>
                        <wps:spPr>
                          <a:xfrm>
                            <a:off x="2057234" y="4295792"/>
                            <a:ext cx="457163" cy="0"/>
                          </a:xfrm>
                          <a:prstGeom prst="line">
                            <a:avLst/>
                          </a:prstGeom>
                          <a:ln w="9525" cap="flat" cmpd="sng">
                            <a:solidFill>
                              <a:srgbClr val="000000"/>
                            </a:solidFill>
                            <a:prstDash val="solid"/>
                            <a:headEnd type="none" w="med" len="med"/>
                            <a:tailEnd type="none" w="med" len="med"/>
                          </a:ln>
                        </wps:spPr>
                        <wps:bodyPr/>
                      </wps:wsp>
                      <wps:wsp>
                        <wps:cNvPr id="55" name="直线 486"/>
                        <wps:cNvCnPr/>
                        <wps:spPr>
                          <a:xfrm>
                            <a:off x="2057234" y="4790811"/>
                            <a:ext cx="457163" cy="0"/>
                          </a:xfrm>
                          <a:prstGeom prst="line">
                            <a:avLst/>
                          </a:prstGeom>
                          <a:ln w="9525" cap="flat" cmpd="sng">
                            <a:solidFill>
                              <a:srgbClr val="000000"/>
                            </a:solidFill>
                            <a:prstDash val="solid"/>
                            <a:headEnd type="none" w="med" len="med"/>
                            <a:tailEnd type="none" w="med" len="med"/>
                          </a:ln>
                        </wps:spPr>
                        <wps:bodyPr/>
                      </wps:wsp>
                      <wps:wsp>
                        <wps:cNvPr id="56" name="直线 487"/>
                        <wps:cNvCnPr/>
                        <wps:spPr>
                          <a:xfrm>
                            <a:off x="1028982" y="3205555"/>
                            <a:ext cx="0" cy="1947470"/>
                          </a:xfrm>
                          <a:prstGeom prst="line">
                            <a:avLst/>
                          </a:prstGeom>
                          <a:ln w="9525" cap="flat" cmpd="sng">
                            <a:solidFill>
                              <a:srgbClr val="000000"/>
                            </a:solidFill>
                            <a:prstDash val="solid"/>
                            <a:headEnd type="none" w="med" len="med"/>
                            <a:tailEnd type="triangle" w="med" len="med"/>
                          </a:ln>
                        </wps:spPr>
                        <wps:bodyPr/>
                      </wps:wsp>
                    </wpc:wpc>
                  </a:graphicData>
                </a:graphic>
              </wp:inline>
            </w:drawing>
          </mc:Choice>
          <mc:Fallback>
            <w:pict>
              <v:group id="画布 451" o:spid="_x0000_s1026" o:spt="203" style="height:491.25pt;width:399.75pt;" coordsize="5076825,6238875" editas="canvas" o:gfxdata="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">
                <o:lock v:ext="edit" aspectratio="f"/>
                <v:shape id="画布 451" o:spid="_x0000_s1026" style="position:absolute;left:0;top:0;height:6238875;width:5076825;" filled="f" stroked="f" coordsize="21600,21600" o:gfxdata="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">
                  <v:fill on="f" focussize="0,0"/>
                  <v:stroke on="f"/>
                  <v:imagedata o:title=""/>
                  <o:lock v:ext="edit" aspectratio="t"/>
                </v:shape>
                <v:rect id="矩形 453" o:spid="_x0000_s1026" o:spt="1" style="position:absolute;left:343237;top:332719;height:295991;width:1256103;"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XgMVdUAAAAFAQAADwAAAAAAAAABACAAAAAi&#10;AAAAZHJzL2Rvd25yZXYueG1sUEsBAhQAFAAAAAgAh07iQBwKw14NAgAANQQAAA4AAAAAAAAAAQAg&#10;AAAAJAEAAGRycy9lMm9Eb2MueG1sUEsFBgAAAAAGAAYAWQEAAKMFAAAAAA==&#10;">
                  <v:fill on="t" focussize="0,0"/>
                  <v:stroke color="#000000" joinstyle="miter"/>
                  <v:imagedata o:title=""/>
                  <o:lock v:ext="edit" aspectratio="f"/>
                  <v:textbox>
                    <w:txbxContent>
                      <w:p w14:paraId="0AC4B943">
                        <w:pPr>
                          <w:pStyle w:val="43"/>
                        </w:pPr>
                        <w:r>
                          <w:rPr>
                            <w:rFonts w:hint="eastAsia"/>
                          </w:rPr>
                          <w:t>前期准备</w:t>
                        </w:r>
                      </w:p>
                    </w:txbxContent>
                  </v:textbox>
                </v:rect>
                <v:rect id="矩形 454" o:spid="_x0000_s1026" o:spt="1" style="position:absolute;left:2514397;top:1125917;height:297449;width:2057964;"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l4DFXVAAAABQEAAA8AAAAAAAAAAQAgAAAA&#10;IgAAAGRycy9kb3ducmV2LnhtbFBLAQIUABQAAAAIAIdO4kB4cNxdDgIAADcEAAAOAAAAAAAAAAEA&#10;IAAAACQBAABkcnMvZTJvRG9jLnhtbFBLBQYAAAAABgAGAFkBAACkBQAAAAA=&#10;">
                  <v:fill on="t" focussize="0,0"/>
                  <v:stroke color="#000000" joinstyle="miter"/>
                  <v:imagedata o:title=""/>
                  <o:lock v:ext="edit" aspectratio="f"/>
                  <v:textbox>
                    <w:txbxContent>
                      <w:p w14:paraId="0DC0087C">
                        <w:pPr>
                          <w:pStyle w:val="43"/>
                        </w:pPr>
                        <w:r>
                          <w:rPr>
                            <w:rFonts w:hint="eastAsia"/>
                          </w:rPr>
                          <w:t>辨识危险、有害因素</w:t>
                        </w:r>
                      </w:p>
                    </w:txbxContent>
                  </v:textbox>
                </v:rect>
                <v:rect id="矩形 455" o:spid="_x0000_s1026" o:spt="1" style="position:absolute;left:2514397;top:1720086;height:296720;width:2057964;"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JeAxV1QAAAAUBAAAPAAAAAAAAAAEAIAAA&#10;ACIAAABkcnMvZG93bnJldi54bWxQSwECFAAUAAAACACHTuJA66Jukw8CAAA4BAAADgAAAAAAAAAB&#10;ACAAAAAkAQAAZHJzL2Uyb0RvYy54bWxQSwUGAAAAAAYABgBZAQAApQUAAAAA&#10;">
                  <v:fill on="t" focussize="0,0"/>
                  <v:stroke color="#000000" joinstyle="miter"/>
                  <v:imagedata o:title=""/>
                  <o:lock v:ext="edit" aspectratio="f"/>
                  <v:textbox>
                    <w:txbxContent>
                      <w:p w14:paraId="24C52BE1">
                        <w:pPr>
                          <w:pStyle w:val="43"/>
                        </w:pPr>
                        <w:r>
                          <w:rPr>
                            <w:rFonts w:hint="eastAsia"/>
                          </w:rPr>
                          <w:t>划分评价单元</w:t>
                        </w:r>
                      </w:p>
                    </w:txbxContent>
                  </v:textbox>
                </v:rect>
                <v:rect id="矩形 456" o:spid="_x0000_s1026" o:spt="1" style="position:absolute;left:2514397;top:2314255;height:296720;width:2057964;"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l4DFXVAAAABQEAAA8AAAAAAAAAAQAg&#10;AAAAIgAAAGRycy9kb3ducmV2LnhtbFBLAQIUABQAAAAIAIdO4kB7pKfDEQIAADgEAAAOAAAAAAAA&#10;AAEAIAAAACQBAABkcnMvZTJvRG9jLnhtbFBLBQYAAAAABgAGAFkBAACnBQAAAAA=&#10;">
                  <v:fill on="t" focussize="0,0"/>
                  <v:stroke color="#000000" joinstyle="miter"/>
                  <v:imagedata o:title=""/>
                  <o:lock v:ext="edit" aspectratio="f"/>
                  <v:textbox>
                    <w:txbxContent>
                      <w:p w14:paraId="65083EA4">
                        <w:pPr>
                          <w:pStyle w:val="43"/>
                        </w:pPr>
                        <w:r>
                          <w:rPr>
                            <w:rFonts w:hint="eastAsia"/>
                          </w:rPr>
                          <w:t>确定安全评价方法</w:t>
                        </w:r>
                      </w:p>
                    </w:txbxContent>
                  </v:textbox>
                </v:rect>
                <v:rect id="矩形 457" o:spid="_x0000_s1026" o:spt="1" style="position:absolute;left:2514397;top:2908425;height:299636;width:2059426;"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l4DFXVAAAABQEAAA8AAAAAAAAAAQAgAAAA&#10;IgAAAGRycy9kb3ducmV2LnhtbFBLAQIUABQAAAAIAIdO4kBOiy8hDgIAADgEAAAOAAAAAAAAAAEA&#10;IAAAACQBAABkcnMvZTJvRG9jLnhtbFBLBQYAAAAABgAGAFkBAACkBQAAAAA=&#10;">
                  <v:fill on="t" focussize="0,0"/>
                  <v:stroke color="#000000" joinstyle="miter"/>
                  <v:imagedata o:title=""/>
                  <o:lock v:ext="edit" aspectratio="f"/>
                  <v:textbox>
                    <w:txbxContent>
                      <w:p w14:paraId="3244747B">
                        <w:pPr>
                          <w:pStyle w:val="43"/>
                        </w:pPr>
                        <w:r>
                          <w:rPr>
                            <w:rFonts w:hint="eastAsia"/>
                          </w:rPr>
                          <w:t>定性、定量分析危险、有害程度</w:t>
                        </w:r>
                      </w:p>
                      <w:p w14:paraId="073571D9">
                        <w:pPr>
                          <w:ind w:firstLine="560"/>
                        </w:pPr>
                      </w:p>
                    </w:txbxContent>
                  </v:textbox>
                </v:rect>
                <v:rect id="矩形 458" o:spid="_x0000_s1026" o:spt="1" style="position:absolute;left:2514397;top:3502594;height:298907;width:2058694;"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XgMVdUAAAAFAQAADwAAAAAAAAABACAA&#10;AAAiAAAAZHJzL2Rvd25yZXYueG1sUEsBAhQAFAAAAAgAh07iQH1yqrkQAgAAOAQAAA4AAAAAAAAA&#10;AQAgAAAAJAEAAGRycy9lMm9Eb2MueG1sUEsFBgAAAAAGAAYAWQEAAKYFAAAAAA==&#10;">
                  <v:fill on="t" focussize="0,0"/>
                  <v:stroke color="#000000" joinstyle="miter"/>
                  <v:imagedata o:title=""/>
                  <o:lock v:ext="edit" aspectratio="f"/>
                  <v:textbox>
                    <w:txbxContent>
                      <w:p w14:paraId="1B670E53">
                        <w:pPr>
                          <w:pStyle w:val="43"/>
                        </w:pPr>
                        <w:r>
                          <w:rPr>
                            <w:rFonts w:hint="eastAsia"/>
                          </w:rPr>
                          <w:t>分析安全条件和安全生产条件</w:t>
                        </w:r>
                      </w:p>
                      <w:p w14:paraId="5B9D489D">
                        <w:pPr>
                          <w:ind w:firstLine="560"/>
                        </w:pPr>
                      </w:p>
                    </w:txbxContent>
                  </v:textbox>
                </v:rect>
                <v:rect id="矩形 459" o:spid="_x0000_s1026" o:spt="1" style="position:absolute;left:2514397;top:4097492;height:298907;width:2057964;"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XgMVdUAAAAFAQAADwAAAAAAAAABACAA&#10;AAAiAAAAZHJzL2Rvd25yZXYueG1sUEsBAhQAFAAAAAgAh07iQCijk4oQAgAAOAQAAA4AAAAAAAAA&#10;AQAgAAAAJAEAAGRycy9lMm9Eb2MueG1sUEsFBgAAAAAGAAYAWQEAAKYFAAAAAA==&#10;">
                  <v:fill on="t" focussize="0,0"/>
                  <v:stroke color="#000000" joinstyle="miter"/>
                  <v:imagedata o:title=""/>
                  <o:lock v:ext="edit" aspectratio="f"/>
                  <v:textbox>
                    <w:txbxContent>
                      <w:p w14:paraId="22F4636B">
                        <w:pPr>
                          <w:pStyle w:val="43"/>
                        </w:pPr>
                        <w:r>
                          <w:rPr>
                            <w:rFonts w:hint="eastAsia"/>
                          </w:rPr>
                          <w:t>提出安全对策与建议</w:t>
                        </w:r>
                      </w:p>
                      <w:p w14:paraId="1496CC4D">
                        <w:pPr>
                          <w:ind w:firstLine="560"/>
                        </w:pPr>
                      </w:p>
                    </w:txbxContent>
                  </v:textbox>
                </v:rect>
                <v:line id="直线 460" o:spid="_x0000_s1026" o:spt="20" style="position:absolute;left:1028982;top:630168;height:2278257;width:730;" filled="f" stroked="t" coordsize="21600,21600" o:gfxdata="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BaIuf1wAAAAUBAAAPAAAAAAAAAAEAIAAAACIAAABkcnMvZG93bnJldi54bWxQSwEC&#10;FAAUAAAACACHTuJAkraE+/UBAADjAwAADgAAAAAAAAABACAAAAAmAQAAZHJzL2Uyb0RvYy54bWxQ&#10;SwUGAAAAAAYABgBZAQAAjQUAAAAA&#10;">
                  <v:fill on="f" focussize="0,0"/>
                  <v:stroke color="#000000" joinstyle="round" endarrow="block"/>
                  <v:imagedata o:title=""/>
                  <o:lock v:ext="edit" aspectratio="f"/>
                </v:line>
                <v:rect id="矩形 466" o:spid="_x0000_s1026" o:spt="1" style="position:absolute;left:228582;top:5153038;height:298907;width:1486145;"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JeAxV1QAAAAUBAAAPAAAAAAAAAAEAIAAA&#10;ACIAAABkcnMvZG93bnJldi54bWxQSwECFAAUAAAACACHTuJApaJjjg8CAAA3BAAADgAAAAAAAAAB&#10;ACAAAAAkAQAAZHJzL2Uyb0RvYy54bWxQSwUGAAAAAAYABgBZAQAApQUAAAAA&#10;">
                  <v:fill on="t" focussize="0,0"/>
                  <v:stroke color="#000000" joinstyle="miter"/>
                  <v:imagedata o:title=""/>
                  <o:lock v:ext="edit" aspectratio="f"/>
                  <v:textbox>
                    <w:txbxContent>
                      <w:p w14:paraId="408ED058">
                        <w:pPr>
                          <w:pStyle w:val="43"/>
                        </w:pPr>
                        <w:r>
                          <w:rPr>
                            <w:rFonts w:hint="eastAsia"/>
                          </w:rPr>
                          <w:t>与建设单位交换意见</w:t>
                        </w:r>
                      </w:p>
                    </w:txbxContent>
                  </v:textbox>
                </v:rect>
                <v:rect id="矩形 467" o:spid="_x0000_s1026" o:spt="1" style="position:absolute;left:228582;top:5847113;height:298178;width:1486145;"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l4DFXVAAAABQEAAA8AAAAAAAAAAQAg&#10;AAAAIgAAAGRycy9kb3ducmV2LnhtbFBLAQIUABQAAAAIAIdO4kC+Ix84EQIAADcEAAAOAAAAAAAA&#10;AAEAIAAAACQBAABkcnMvZTJvRG9jLnhtbFBLBQYAAAAABgAGAFkBAACnBQAAAAA=&#10;">
                  <v:fill on="t" focussize="0,0"/>
                  <v:stroke color="#000000" joinstyle="miter"/>
                  <v:imagedata o:title=""/>
                  <o:lock v:ext="edit" aspectratio="f"/>
                  <v:textbox>
                    <w:txbxContent>
                      <w:p w14:paraId="20636EFA">
                        <w:pPr>
                          <w:pStyle w:val="43"/>
                        </w:pPr>
                        <w:r>
                          <w:rPr>
                            <w:rFonts w:hint="eastAsia"/>
                          </w:rPr>
                          <w:t>编制安全评价报告</w:t>
                        </w:r>
                      </w:p>
                    </w:txbxContent>
                  </v:textbox>
                </v:rect>
                <v:line id="直线 468" o:spid="_x0000_s1026" o:spt="20" style="position:absolute;left:1028252;top:5451958;height:395141;width:730;" filled="f" stroked="t" coordsize="21600,21600" o:gfxdata="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BaIuf1wAAAAUBAAAPAAAAAAAAAAEAIAAAACIAAABkcnMvZG93bnJldi54bWxQ&#10;SwECFAAUAAAACACHTuJA65bA7vgBAADjAwAADgAAAAAAAAABACAAAAAmAQAAZHJzL2Uyb0RvYy54&#10;bWxQSwUGAAAAAAYABgBZAQAAkAUAAAAA&#10;">
                  <v:fill on="f" focussize="0,0"/>
                  <v:stroke color="#000000" joinstyle="round" endarrow="block"/>
                  <v:imagedata o:title=""/>
                  <o:lock v:ext="edit" aspectratio="f"/>
                </v:line>
                <v:rect id="矩形 469" o:spid="_x0000_s1026" o:spt="1" style="position:absolute;left:343237;top:2908425;height:296720;width:1256103;"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l4DFXVAAAABQEAAA8AAAAAAAAAAQAg&#10;AAAAIgAAAGRycy9kb3ducmV2LnhtbFBLAQIUABQAAAAIAIdO4kCCbKa7EQIAADcEAAAOAAAAAAAA&#10;AAEAIAAAACQBAABkcnMvZTJvRG9jLnhtbFBLBQYAAAAABgAGAFkBAACnBQAAAAA=&#10;">
                  <v:fill on="t" focussize="0,0"/>
                  <v:stroke color="#000000" joinstyle="miter"/>
                  <v:imagedata o:title=""/>
                  <o:lock v:ext="edit" aspectratio="f"/>
                  <v:textbox>
                    <w:txbxContent>
                      <w:p w14:paraId="5A166FC7">
                        <w:pPr>
                          <w:pStyle w:val="43"/>
                        </w:pPr>
                        <w:r>
                          <w:rPr>
                            <w:rFonts w:hint="eastAsia"/>
                          </w:rPr>
                          <w:t>安全评价</w:t>
                        </w:r>
                      </w:p>
                    </w:txbxContent>
                  </v:textbox>
                </v:rect>
                <v:line id="直线 470" o:spid="_x0000_s1026" o:spt="20" style="position:absolute;left:2057234;top:1224337;height:3566474;width:730;"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yHCj/1gAAAAUBAAAPAAAAAAAAAAEAIAAAACIAAABkcnMvZG93bnJldi54bWxQSwECFAAUAAAA&#10;CACHTuJAFL1DhvABAADgAwAADgAAAAAAAAABACAAAAAlAQAAZHJzL2Uyb0RvYy54bWxQSwUGAAAA&#10;AAYABgBZAQAAhwUAAAAA&#10;">
                  <v:fill on="f" focussize="0,0"/>
                  <v:stroke color="#000000" joinstyle="round"/>
                  <v:imagedata o:title=""/>
                  <o:lock v:ext="edit" aspectratio="f"/>
                </v:line>
                <v:line id="直线 471" o:spid="_x0000_s1026" o:spt="20" style="position:absolute;left:2057234;top:1224337;height:0;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hwo/9YAAAAFAQAADwAAAAAAAAABACAAAAAiAAAAZHJzL2Rvd25yZXYueG1sUEsBAhQAFAAA&#10;AAgAh07iQBqy+8DxAQAA3QMAAA4AAAAAAAAAAQAgAAAAJQEAAGRycy9lMm9Eb2MueG1sUEsFBgAA&#10;AAAGAAYAWQEAAIgFAAAAAA==&#10;">
                  <v:fill on="f" focussize="0,0"/>
                  <v:stroke color="#000000" joinstyle="round"/>
                  <v:imagedata o:title=""/>
                  <o:lock v:ext="edit" aspectratio="f"/>
                </v:line>
                <v:line id="直线 472" o:spid="_x0000_s1026" o:spt="20" style="position:absolute;left:2057234;top:1819236;height:0;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hwo/9YAAAAFAQAADwAAAAAAAAABACAAAAAiAAAAZHJzL2Rvd25yZXYueG1sUEsBAhQAFAAA&#10;AAgAh07iQBBODrXxAQAA3QMAAA4AAAAAAAAAAQAgAAAAJQEAAGRycy9lMm9Eb2MueG1sUEsFBgAA&#10;AAAGAAYAWQEAAIgFAAAAAA==&#10;">
                  <v:fill on="f" focussize="0,0"/>
                  <v:stroke color="#000000" joinstyle="round"/>
                  <v:imagedata o:title=""/>
                  <o:lock v:ext="edit" aspectratio="f"/>
                </v:line>
                <v:line id="直线 473" o:spid="_x0000_s1026" o:spt="20" style="position:absolute;left:2057234;top:2512555;height:0;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hwo/9YAAAAFAQAADwAAAAAAAAABACAAAAAiAAAAZHJzL2Rvd25yZXYueG1sUEsBAhQAFAAA&#10;AAgAh07iQMgj4b/xAQAA3QMAAA4AAAAAAAAAAQAgAAAAJQEAAGRycy9lMm9Eb2MueG1sUEsFBgAA&#10;AAAGAAYAWQEAAIgFAAAAAA==&#10;">
                  <v:fill on="f" focussize="0,0"/>
                  <v:stroke color="#000000" joinstyle="round"/>
                  <v:imagedata o:title=""/>
                  <o:lock v:ext="edit" aspectratio="f"/>
                </v:line>
                <v:line id="直线 474" o:spid="_x0000_s1026" o:spt="20" style="position:absolute;left:2057234;top:3007574;height:0;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yHCj/1gAAAAUBAAAPAAAAAAAAAAEAIAAAACIAAABkcnMvZG93bnJldi54bWxQSwECFAAUAAAA&#10;CACHTuJAc5KXqvABAADdAwAADgAAAAAAAAABACAAAAAlAQAAZHJzL2Uyb0RvYy54bWxQSwUGAAAA&#10;AAYABgBZAQAAhwUAAAAA&#10;">
                  <v:fill on="f" focussize="0,0"/>
                  <v:stroke color="#000000" joinstyle="round"/>
                  <v:imagedata o:title=""/>
                  <o:lock v:ext="edit" aspectratio="f"/>
                </v:line>
                <v:line id="直线 475" o:spid="_x0000_s1026" o:spt="20" style="position:absolute;left:2057234;top:3602473;height:0;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yHCj/1gAAAAUBAAAPAAAAAAAAAAEAIAAAACIAAABkcnMvZG93bnJldi54bWxQSwECFAAUAAAA&#10;CACHTuJAekvI3fABAADdAwAADgAAAAAAAAABACAAAAAlAQAAZHJzL2Uyb0RvYy54bWxQSwUGAAAA&#10;AAYABgBZAQAAhwUAAAAA&#10;">
                  <v:fill on="f" focussize="0,0"/>
                  <v:stroke color="#000000" joinstyle="round"/>
                  <v:imagedata o:title=""/>
                  <o:lock v:ext="edit" aspectratio="f"/>
                </v:line>
                <v:line id="直线 476" o:spid="_x0000_s1026" o:spt="20" style="position:absolute;left:1600071;top:3007574;height:729;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yHCj/1gAAAAUBAAAPAAAAAAAAAAEAIAAAACIAAABkcnMvZG93bnJldi54bWxQSwECFAAUAAAA&#10;CACHTuJAWl9z7/ABAADfAwAADgAAAAAAAAABACAAAAAlAQAAZHJzL2Uyb0RvYy54bWxQSwUGAAAA&#10;AAYABgBZAQAAhwUAAAAA&#10;">
                  <v:fill on="f" focussize="0,0"/>
                  <v:stroke color="#000000" joinstyle="round"/>
                  <v:imagedata o:title=""/>
                  <o:lock v:ext="edit" aspectratio="f"/>
                </v:line>
                <v:line id="直线 477" o:spid="_x0000_s1026" o:spt="20" style="position:absolute;left:1600071;top:431869;height:729;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IcKP/WAAAABQEAAA8AAAAAAAAAAQAgAAAAIgAAAGRycy9kb3ducmV2LnhtbFBLAQIUABQA&#10;AAAIAIdO4kCE+TDU8gEAAN4DAAAOAAAAAAAAAAEAIAAAACUBAABkcnMvZTJvRG9jLnhtbFBLBQYA&#10;AAAABgAGAFkBAACJBQAAAAA=&#10;">
                  <v:fill on="f" focussize="0,0"/>
                  <v:stroke color="#000000" joinstyle="round"/>
                  <v:imagedata o:title=""/>
                  <o:lock v:ext="edit" aspectratio="f"/>
                </v:line>
                <v:line id="直线 478" o:spid="_x0000_s1026" o:spt="20" style="position:absolute;left:2057234;top:135148;height:594169;width:730;"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HIcKP/WAAAABQEAAA8AAAAAAAAAAQAgAAAAIgAAAGRycy9kb3ducmV2LnhtbFBLAQIUABQAAAAI&#10;AIdO4kAbIUMz7wEAAN4DAAAOAAAAAAAAAAEAIAAAACUBAABkcnMvZTJvRG9jLnhtbFBLBQYAAAAA&#10;BgAGAFkBAACGBQAAAAA=&#10;">
                  <v:fill on="f" focussize="0,0"/>
                  <v:stroke color="#000000" joinstyle="round"/>
                  <v:imagedata o:title=""/>
                  <o:lock v:ext="edit" aspectratio="f"/>
                </v:line>
                <v:rect id="矩形 479" o:spid="_x0000_s1026" o:spt="1" style="position:absolute;left:2514397;top:35999;height:297449;width:2057964;"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JeAxV1QAAAAUBAAAPAAAAAAAAAAEA&#10;IAAAACIAAABkcnMvZG93bnJldi54bWxQSwECFAAUAAAACACHTuJAPQJbJBICAAA2BAAADgAAAAAA&#10;AAABACAAAAAkAQAAZHJzL2Uyb0RvYy54bWxQSwUGAAAAAAYABgBZAQAAqAUAAAAA&#10;">
                  <v:fill on="t" focussize="0,0"/>
                  <v:stroke color="#000000" joinstyle="miter"/>
                  <v:imagedata o:title=""/>
                  <o:lock v:ext="edit" aspectratio="f"/>
                  <v:textbox>
                    <w:txbxContent>
                      <w:p w14:paraId="6AB917E2">
                        <w:pPr>
                          <w:pStyle w:val="43"/>
                        </w:pPr>
                        <w:r>
                          <w:rPr>
                            <w:rFonts w:hint="eastAsia"/>
                          </w:rPr>
                          <w:t>确定安全评价对象和范围</w:t>
                        </w:r>
                      </w:p>
                    </w:txbxContent>
                  </v:textbox>
                </v:rect>
                <v:rect id="矩形 480" o:spid="_x0000_s1026" o:spt="1" style="position:absolute;left:2514397;top:630168;height:298178;width:2057964;"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Al4DFXVAAAABQEAAA8AAAAAAAAAAQAg&#10;AAAAIgAAAGRycy9kb3ducmV2LnhtbFBLAQIUABQAAAAIAIdO4kBEddtwEQIAADcEAAAOAAAAAAAA&#10;AAEAIAAAACQBAABkcnMvZTJvRG9jLnhtbFBLBQYAAAAABgAGAFkBAACnBQAAAAA=&#10;">
                  <v:fill on="t" focussize="0,0"/>
                  <v:stroke color="#000000" joinstyle="miter"/>
                  <v:imagedata o:title=""/>
                  <o:lock v:ext="edit" aspectratio="f"/>
                  <v:textbox>
                    <w:txbxContent>
                      <w:p w14:paraId="0A72763C">
                        <w:pPr>
                          <w:pStyle w:val="43"/>
                        </w:pPr>
                        <w:r>
                          <w:rPr>
                            <w:rFonts w:hint="eastAsia"/>
                          </w:rPr>
                          <w:t>收集、整理安全评价所需资料</w:t>
                        </w:r>
                      </w:p>
                    </w:txbxContent>
                  </v:textbox>
                </v:rect>
                <v:line id="直线 481" o:spid="_x0000_s1026" o:spt="20" style="position:absolute;left:2057234;top:729318;height:0;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hwo/9YAAAAFAQAADwAAAAAAAAABACAAAAAiAAAAZHJzL2Rvd25yZXYueG1sUEsBAhQAFAAA&#10;AAgAh07iQEUpTdfxAQAA3AMAAA4AAAAAAAAAAQAgAAAAJQEAAGRycy9lMm9Eb2MueG1sUEsFBgAA&#10;AAAGAAYAWQEAAIgFAAAAAA==&#10;">
                  <v:fill on="f" focussize="0,0"/>
                  <v:stroke color="#000000" joinstyle="round"/>
                  <v:imagedata o:title=""/>
                  <o:lock v:ext="edit" aspectratio="f"/>
                </v:line>
                <v:line id="直线 482" o:spid="_x0000_s1026" o:spt="20" style="position:absolute;left:2057234;top:135148;height:0;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hwo/9YAAAAFAQAADwAAAAAAAAABACAAAAAiAAAAZHJzL2Rvd25yZXYueG1sUEsBAhQAFAAA&#10;AAgAh07iQHjHvArxAQAA3AMAAA4AAAAAAAAAAQAgAAAAJQEAAGRycy9lMm9Eb2MueG1sUEsFBgAA&#10;AAAGAAYAWQEAAIgFAAAAAA==&#10;">
                  <v:fill on="f" focussize="0,0"/>
                  <v:stroke color="#000000" joinstyle="round"/>
                  <v:imagedata o:title=""/>
                  <o:lock v:ext="edit" aspectratio="f"/>
                </v:line>
                <v:rect id="矩形 484" o:spid="_x0000_s1026" o:spt="1" style="position:absolute;left:2514397;top:4691662;height:298907;width:2059425;" fillcolor="#FFFFFF" filled="t" stroked="t" coordsize="21600,21600" o:gfxdata="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XgMVdUAAAAFAQAADwAAAAAAAAABACAA&#10;AAAiAAAAZHJzL2Rvd25yZXYueG1sUEsBAhQAFAAAAAgAh07iQIRTmYQQAgAAOAQAAA4AAAAAAAAA&#10;AQAgAAAAJAEAAGRycy9lMm9Eb2MueG1sUEsFBgAAAAAGAAYAWQEAAKYFAAAAAA==&#10;">
                  <v:fill on="t" focussize="0,0"/>
                  <v:stroke color="#000000" joinstyle="miter"/>
                  <v:imagedata o:title=""/>
                  <o:lock v:ext="edit" aspectratio="f"/>
                  <v:textbox>
                    <w:txbxContent>
                      <w:p w14:paraId="6B352B56">
                        <w:pPr>
                          <w:pStyle w:val="43"/>
                        </w:pPr>
                        <w:r>
                          <w:rPr>
                            <w:rFonts w:hint="eastAsia"/>
                          </w:rPr>
                          <w:t>整理、归纳安全评价结论</w:t>
                        </w:r>
                      </w:p>
                      <w:p w14:paraId="71CC8597">
                        <w:pPr>
                          <w:ind w:firstLine="560"/>
                        </w:pPr>
                      </w:p>
                    </w:txbxContent>
                  </v:textbox>
                </v:rect>
                <v:line id="直线 485" o:spid="_x0000_s1026" o:spt="20" style="position:absolute;left:2057234;top:4295792;height:0;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hwo/9YAAAAFAQAADwAAAAAAAAABACAAAAAiAAAAZHJzL2Rvd25yZXYueG1sUEsBAhQAFAAA&#10;AAgAh07iQIC2GqDxAQAA3QMAAA4AAAAAAAAAAQAgAAAAJQEAAGRycy9lMm9Eb2MueG1sUEsFBgAA&#10;AAAGAAYAWQEAAIgFAAAAAA==&#10;">
                  <v:fill on="f" focussize="0,0"/>
                  <v:stroke color="#000000" joinstyle="round"/>
                  <v:imagedata o:title=""/>
                  <o:lock v:ext="edit" aspectratio="f"/>
                </v:line>
                <v:line id="直线 486" o:spid="_x0000_s1026" o:spt="20" style="position:absolute;left:2057234;top:4790811;height:0;width:457163;" filled="f" stroked="t" coordsize="21600,21600" o:gfxdata="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IcKP/WAAAABQEAAA8AAAAAAAAAAQAgAAAAIgAAAGRycy9kb3ducmV2LnhtbFBLAQIUABQA&#10;AAAIAIdO4kCOgeZk8gEAAN0DAAAOAAAAAAAAAAEAIAAAACUBAABkcnMvZTJvRG9jLnhtbFBLBQYA&#10;AAAABgAGAFkBAACJBQAAAAA=&#10;">
                  <v:fill on="f" focussize="0,0"/>
                  <v:stroke color="#000000" joinstyle="round"/>
                  <v:imagedata o:title=""/>
                  <o:lock v:ext="edit" aspectratio="f"/>
                </v:line>
                <v:line id="直线 487" o:spid="_x0000_s1026" o:spt="20" style="position:absolute;left:1028982;top:3205555;height:1947470;width:0;" filled="f" stroked="t" coordsize="21600,21600" o:gfxdata="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BaIuf1wAAAAUBAAAPAAAAAAAAAAEAIAAAACIAAABkcnMvZG93bnJldi54bWxQ&#10;SwECFAAUAAAACACHTuJAuwETcfgBAADiAwAADgAAAAAAAAABACAAAAAmAQAAZHJzL2Uyb0RvYy54&#10;bWxQSwUGAAAAAAYABgBZAQAAkAUAAAAA&#10;">
                  <v:fill on="f" focussize="0,0"/>
                  <v:stroke color="#000000" joinstyle="round" endarrow="block"/>
                  <v:imagedata o:title=""/>
                  <o:lock v:ext="edit" aspectratio="f"/>
                </v:line>
                <w10:wrap type="none"/>
                <w10:anchorlock/>
              </v:group>
            </w:pict>
          </mc:Fallback>
        </mc:AlternateContent>
      </w:r>
    </w:p>
    <w:p w14:paraId="66B0C5AF">
      <w:pPr>
        <w:pStyle w:val="43"/>
        <w:spacing w:before="156" w:beforeLines="50" w:after="156" w:afterLines="50"/>
        <w:rPr>
          <w:rFonts w:hint="eastAsia" w:ascii="黑体" w:hAnsi="黑体" w:eastAsia="黑体"/>
          <w:sz w:val="24"/>
        </w:rPr>
        <w:sectPr>
          <w:headerReference r:id="rId11" w:type="default"/>
          <w:footerReference r:id="rId12" w:type="default"/>
          <w:pgSz w:w="11906" w:h="16838"/>
          <w:pgMar w:top="1418" w:right="1134" w:bottom="1134" w:left="1588" w:header="851" w:footer="992" w:gutter="0"/>
          <w:pgNumType w:start="1"/>
          <w:cols w:space="425" w:num="1"/>
          <w:docGrid w:type="lines" w:linePitch="312" w:charSpace="0"/>
        </w:sectPr>
      </w:pPr>
      <w:r>
        <w:rPr>
          <w:rFonts w:hint="eastAsia" w:ascii="黑体" w:hAnsi="黑体" w:eastAsia="黑体"/>
          <w:sz w:val="24"/>
        </w:rPr>
        <w:t>图</w:t>
      </w:r>
      <w:r>
        <w:rPr>
          <w:rFonts w:eastAsia="黑体"/>
          <w:sz w:val="24"/>
        </w:rPr>
        <w:t>1.4-1</w:t>
      </w:r>
      <w:r>
        <w:rPr>
          <w:rFonts w:hint="eastAsia" w:ascii="黑体" w:hAnsi="黑体" w:eastAsia="黑体"/>
          <w:sz w:val="24"/>
        </w:rPr>
        <w:t xml:space="preserve">  评价程序图</w:t>
      </w:r>
    </w:p>
    <w:p w14:paraId="72DEE84D">
      <w:pPr>
        <w:spacing w:before="468" w:beforeLines="150" w:after="468" w:afterLines="150"/>
        <w:ind w:firstLine="0" w:firstLineChars="0"/>
        <w:jc w:val="center"/>
        <w:outlineLvl w:val="0"/>
        <w:rPr>
          <w:rFonts w:ascii="Times New Roman" w:hAnsi="Times New Roman" w:eastAsia="黑体" w:cs="宋体"/>
          <w:b/>
          <w:bCs/>
          <w:sz w:val="32"/>
          <w:szCs w:val="28"/>
          <w:lang w:bidi="ar"/>
          <w14:ligatures w14:val="none"/>
        </w:rPr>
      </w:pPr>
      <w:bookmarkStart w:id="12" w:name="_Toc218437726"/>
      <w:r>
        <w:rPr>
          <w:rFonts w:hint="eastAsia" w:ascii="Times New Roman" w:hAnsi="Times New Roman" w:eastAsia="黑体" w:cs="宋体"/>
          <w:b/>
          <w:bCs/>
          <w:sz w:val="32"/>
          <w:szCs w:val="28"/>
          <w:lang w:bidi="ar"/>
          <w14:ligatures w14:val="none"/>
        </w:rPr>
        <w:t>2建设项目概况</w:t>
      </w:r>
      <w:bookmarkEnd w:id="12"/>
    </w:p>
    <w:p w14:paraId="6C82CF1A">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13" w:name="_Toc218437727"/>
      <w:r>
        <w:rPr>
          <w:rFonts w:hint="eastAsia" w:ascii="Times New Roman" w:hAnsi="Times New Roman" w:eastAsia="楷体" w:cs="宋体"/>
          <w:b/>
          <w:bCs/>
          <w:sz w:val="32"/>
          <w:szCs w:val="28"/>
          <w:lang w:bidi="ar"/>
          <w14:ligatures w14:val="none"/>
        </w:rPr>
        <w:t>2.1建设单位简介</w:t>
      </w:r>
      <w:bookmarkEnd w:id="13"/>
    </w:p>
    <w:p w14:paraId="0299AC71">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eastAsia="zh-CN" w:bidi="ar"/>
          <w14:ligatures w14:val="none"/>
        </w:rPr>
        <w:t>沈阳市于洪区大兴乡星火特加油站（以下称星火特加油站）位于沈阳市于洪区大兴乡孤家子村，</w:t>
      </w:r>
      <w:r>
        <w:rPr>
          <w:rFonts w:hint="eastAsia" w:ascii="Times New Roman" w:hAnsi="Times New Roman" w:eastAsia="宋体" w:cs="宋体"/>
          <w:szCs w:val="28"/>
          <w:lang w:bidi="ar"/>
          <w14:ligatures w14:val="none"/>
        </w:rPr>
        <w:t>成立于200</w:t>
      </w:r>
      <w:r>
        <w:rPr>
          <w:rFonts w:hint="eastAsia" w:ascii="Times New Roman" w:hAnsi="Times New Roman" w:eastAsia="宋体" w:cs="宋体"/>
          <w:szCs w:val="28"/>
          <w:lang w:val="en-US" w:eastAsia="zh-CN" w:bidi="ar"/>
          <w14:ligatures w14:val="none"/>
        </w:rPr>
        <w:t>2</w:t>
      </w:r>
      <w:r>
        <w:rPr>
          <w:rFonts w:hint="eastAsia" w:ascii="Times New Roman" w:hAnsi="Times New Roman" w:eastAsia="宋体" w:cs="宋体"/>
          <w:szCs w:val="28"/>
          <w:lang w:bidi="ar"/>
          <w14:ligatures w14:val="none"/>
        </w:rPr>
        <w:t>年</w:t>
      </w:r>
      <w:r>
        <w:rPr>
          <w:rFonts w:hint="eastAsia" w:ascii="Times New Roman" w:hAnsi="Times New Roman" w:eastAsia="宋体" w:cs="宋体"/>
          <w:szCs w:val="28"/>
          <w:lang w:val="en-US" w:eastAsia="zh-CN" w:bidi="ar"/>
          <w14:ligatures w14:val="none"/>
        </w:rPr>
        <w:t>07</w:t>
      </w:r>
      <w:r>
        <w:rPr>
          <w:rFonts w:hint="eastAsia" w:ascii="Times New Roman" w:hAnsi="Times New Roman" w:eastAsia="宋体" w:cs="宋体"/>
          <w:szCs w:val="28"/>
          <w:lang w:bidi="ar"/>
          <w14:ligatures w14:val="none"/>
        </w:rPr>
        <w:t>月</w:t>
      </w:r>
      <w:r>
        <w:rPr>
          <w:rFonts w:hint="eastAsia" w:ascii="Times New Roman" w:hAnsi="Times New Roman" w:eastAsia="宋体" w:cs="宋体"/>
          <w:szCs w:val="28"/>
          <w:lang w:val="en-US" w:eastAsia="zh-CN" w:bidi="ar"/>
          <w14:ligatures w14:val="none"/>
        </w:rPr>
        <w:t>02</w:t>
      </w:r>
      <w:r>
        <w:rPr>
          <w:rFonts w:hint="eastAsia" w:ascii="Times New Roman" w:hAnsi="Times New Roman" w:eastAsia="宋体" w:cs="宋体"/>
          <w:szCs w:val="28"/>
          <w:lang w:bidi="ar"/>
          <w14:ligatures w14:val="none"/>
        </w:rPr>
        <w:t>日，</w:t>
      </w:r>
      <w:r>
        <w:rPr>
          <w:rFonts w:hint="eastAsia" w:ascii="Times New Roman" w:hAnsi="Times New Roman" w:eastAsia="宋体" w:cs="宋体"/>
          <w:szCs w:val="28"/>
          <w:lang w:val="en-US" w:eastAsia="zh-CN" w:bidi="ar"/>
          <w14:ligatures w14:val="none"/>
        </w:rPr>
        <w:t>投资</w:t>
      </w:r>
      <w:r>
        <w:rPr>
          <w:rFonts w:hint="eastAsia" w:ascii="Times New Roman" w:hAnsi="Times New Roman" w:eastAsia="宋体" w:cs="宋体"/>
          <w:szCs w:val="28"/>
          <w:lang w:bidi="ar"/>
          <w14:ligatures w14:val="none"/>
        </w:rPr>
        <w:t>人为</w:t>
      </w:r>
      <w:r>
        <w:rPr>
          <w:rFonts w:hint="eastAsia" w:ascii="Times New Roman" w:hAnsi="Times New Roman" w:eastAsia="宋体" w:cs="宋体"/>
          <w:szCs w:val="28"/>
          <w:lang w:val="en-US" w:eastAsia="zh-CN" w:bidi="ar"/>
          <w14:ligatures w14:val="none"/>
        </w:rPr>
        <w:t>王玉华</w:t>
      </w:r>
      <w:r>
        <w:rPr>
          <w:rFonts w:hint="eastAsia" w:ascii="Times New Roman" w:hAnsi="Times New Roman" w:eastAsia="宋体" w:cs="宋体"/>
          <w:szCs w:val="28"/>
          <w:lang w:bidi="ar"/>
          <w14:ligatures w14:val="none"/>
        </w:rPr>
        <w:t>，公司类型为</w:t>
      </w:r>
      <w:r>
        <w:rPr>
          <w:rFonts w:hint="eastAsia" w:ascii="Times New Roman" w:hAnsi="Times New Roman" w:eastAsia="宋体" w:cs="宋体"/>
          <w:szCs w:val="28"/>
          <w:lang w:val="en-US" w:eastAsia="zh-CN" w:bidi="ar"/>
          <w14:ligatures w14:val="none"/>
        </w:rPr>
        <w:t>个人独资企业</w:t>
      </w:r>
      <w:r>
        <w:rPr>
          <w:rFonts w:hint="eastAsia" w:ascii="Times New Roman" w:hAnsi="Times New Roman" w:eastAsia="宋体" w:cs="宋体"/>
          <w:szCs w:val="28"/>
          <w:lang w:bidi="ar"/>
          <w14:ligatures w14:val="none"/>
        </w:rPr>
        <w:t>，经营范围：成品油零售。（依法须经批准的项目，经相关部门批准后方可开展经营活动，具体经营项目以相关部门批准文件或许可证件为准）。</w:t>
      </w:r>
    </w:p>
    <w:p w14:paraId="499148CF">
      <w:pPr>
        <w:ind w:firstLine="560"/>
        <w:rPr>
          <w:rFonts w:ascii="Times New Roman" w:hAnsi="Times New Roman" w:eastAsia="宋体" w:cs="宋体"/>
          <w:szCs w:val="28"/>
          <w:highlight w:val="none"/>
          <w:lang w:bidi="ar"/>
          <w14:ligatures w14:val="none"/>
        </w:rPr>
      </w:pPr>
      <w:r>
        <w:rPr>
          <w:rFonts w:hint="eastAsia" w:ascii="Times New Roman" w:hAnsi="Times New Roman" w:eastAsia="宋体" w:cs="宋体"/>
          <w:szCs w:val="28"/>
          <w:lang w:val="en-US" w:eastAsia="zh-CN" w:bidi="ar"/>
          <w14:ligatures w14:val="none"/>
        </w:rPr>
        <w:t xml:space="preserve"> </w:t>
      </w:r>
      <w:r>
        <w:rPr>
          <w:rFonts w:hint="eastAsia" w:ascii="Times New Roman" w:hAnsi="Times New Roman" w:eastAsia="宋体" w:cs="宋体"/>
          <w:szCs w:val="28"/>
          <w:lang w:eastAsia="zh-CN" w:bidi="ar"/>
          <w14:ligatures w14:val="none"/>
        </w:rPr>
        <w:t>沈阳市于洪区大兴乡星火特加油站</w:t>
      </w:r>
      <w:r>
        <w:rPr>
          <w:rFonts w:hint="eastAsia" w:ascii="Times New Roman" w:hAnsi="Times New Roman" w:eastAsia="宋体" w:cs="宋体"/>
          <w:szCs w:val="28"/>
          <w:lang w:bidi="ar"/>
          <w14:ligatures w14:val="none"/>
        </w:rPr>
        <w:t>于</w:t>
      </w:r>
      <w:r>
        <w:rPr>
          <w:rFonts w:ascii="Times New Roman" w:hAnsi="Times New Roman" w:eastAsia="宋体" w:cs="宋体"/>
          <w:szCs w:val="28"/>
          <w:lang w:bidi="ar"/>
          <w14:ligatures w14:val="none"/>
        </w:rPr>
        <w:t>202</w:t>
      </w:r>
      <w:r>
        <w:rPr>
          <w:rFonts w:hint="eastAsia" w:ascii="Times New Roman" w:hAnsi="Times New Roman" w:eastAsia="宋体" w:cs="宋体"/>
          <w:szCs w:val="28"/>
          <w:lang w:bidi="ar"/>
          <w14:ligatures w14:val="none"/>
        </w:rPr>
        <w:t>5</w:t>
      </w:r>
      <w:r>
        <w:rPr>
          <w:rFonts w:ascii="Times New Roman" w:hAnsi="Times New Roman" w:eastAsia="宋体" w:cs="宋体"/>
          <w:szCs w:val="28"/>
          <w:lang w:bidi="ar"/>
          <w14:ligatures w14:val="none"/>
        </w:rPr>
        <w:t>年</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08</w:t>
      </w:r>
      <w:r>
        <w:rPr>
          <w:rFonts w:ascii="Times New Roman" w:hAnsi="Times New Roman" w:eastAsia="宋体" w:cs="宋体"/>
          <w:color w:val="000000" w:themeColor="text1"/>
          <w:szCs w:val="28"/>
          <w:highlight w:val="none"/>
          <w:lang w:bidi="ar"/>
          <w14:textFill>
            <w14:solidFill>
              <w14:schemeClr w14:val="tx1"/>
            </w14:solidFill>
          </w14:textFill>
          <w14:ligatures w14:val="none"/>
        </w:rPr>
        <w:t>月</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25日</w:t>
      </w:r>
      <w:r>
        <w:rPr>
          <w:rFonts w:hint="eastAsia" w:ascii="Times New Roman" w:hAnsi="Times New Roman" w:eastAsia="宋体" w:cs="宋体"/>
          <w:color w:val="000000" w:themeColor="text1"/>
          <w:szCs w:val="28"/>
          <w:highlight w:val="none"/>
          <w:lang w:bidi="ar"/>
          <w14:textFill>
            <w14:solidFill>
              <w14:schemeClr w14:val="tx1"/>
            </w14:solidFill>
          </w14:textFill>
          <w14:ligatures w14:val="none"/>
        </w:rPr>
        <w:t>取得</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沈阳市于洪区发展和改革局</w:t>
      </w:r>
      <w:r>
        <w:rPr>
          <w:rFonts w:hint="eastAsia" w:ascii="Times New Roman" w:hAnsi="Times New Roman" w:eastAsia="宋体" w:cs="宋体"/>
          <w:color w:val="000000" w:themeColor="text1"/>
          <w:szCs w:val="28"/>
          <w:highlight w:val="none"/>
          <w:lang w:bidi="ar"/>
          <w14:textFill>
            <w14:solidFill>
              <w14:schemeClr w14:val="tx1"/>
            </w14:solidFill>
          </w14:textFill>
          <w14:ligatures w14:val="none"/>
        </w:rPr>
        <w:t>核发的关于《沈阳市于洪区大兴乡星火特加油站罐区增容改造项目》项目备案证明，企业依法履行“三同时”，并</w:t>
      </w:r>
      <w:r>
        <w:rPr>
          <w:rFonts w:ascii="Times New Roman" w:hAnsi="Times New Roman" w:eastAsia="宋体" w:cs="宋体"/>
          <w:color w:val="000000" w:themeColor="text1"/>
          <w:szCs w:val="28"/>
          <w:highlight w:val="none"/>
          <w:lang w:bidi="ar"/>
          <w14:textFill>
            <w14:solidFill>
              <w14:schemeClr w14:val="tx1"/>
            </w14:solidFill>
          </w14:textFill>
          <w14:ligatures w14:val="none"/>
        </w:rPr>
        <w:t>于202</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6</w:t>
      </w:r>
      <w:r>
        <w:rPr>
          <w:rFonts w:ascii="Times New Roman" w:hAnsi="Times New Roman" w:eastAsia="宋体" w:cs="宋体"/>
          <w:color w:val="000000" w:themeColor="text1"/>
          <w:szCs w:val="28"/>
          <w:highlight w:val="none"/>
          <w:lang w:bidi="ar"/>
          <w14:textFill>
            <w14:solidFill>
              <w14:schemeClr w14:val="tx1"/>
            </w14:solidFill>
          </w14:textFill>
          <w14:ligatures w14:val="none"/>
        </w:rPr>
        <w:t>年</w:t>
      </w:r>
      <w:r>
        <w:rPr>
          <w:rFonts w:hint="eastAsia" w:ascii="Times New Roman" w:hAnsi="Times New Roman" w:eastAsia="宋体" w:cs="宋体"/>
          <w:color w:val="000000" w:themeColor="text1"/>
          <w:szCs w:val="28"/>
          <w:highlight w:val="none"/>
          <w:lang w:bidi="ar"/>
          <w14:textFill>
            <w14:solidFill>
              <w14:schemeClr w14:val="tx1"/>
            </w14:solidFill>
          </w14:textFill>
          <w14:ligatures w14:val="none"/>
        </w:rPr>
        <w:t>0</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2</w:t>
      </w:r>
      <w:r>
        <w:rPr>
          <w:rFonts w:ascii="Times New Roman" w:hAnsi="Times New Roman" w:eastAsia="宋体" w:cs="宋体"/>
          <w:color w:val="000000" w:themeColor="text1"/>
          <w:szCs w:val="28"/>
          <w:highlight w:val="none"/>
          <w:lang w:bidi="ar"/>
          <w14:textFill>
            <w14:solidFill>
              <w14:schemeClr w14:val="tx1"/>
            </w14:solidFill>
          </w14:textFill>
          <w14:ligatures w14:val="none"/>
        </w:rPr>
        <w:t>月</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12</w:t>
      </w:r>
      <w:r>
        <w:rPr>
          <w:rFonts w:ascii="Times New Roman" w:hAnsi="Times New Roman" w:eastAsia="宋体" w:cs="宋体"/>
          <w:color w:val="000000" w:themeColor="text1"/>
          <w:szCs w:val="28"/>
          <w:highlight w:val="none"/>
          <w:lang w:bidi="ar"/>
          <w14:textFill>
            <w14:solidFill>
              <w14:schemeClr w14:val="tx1"/>
            </w14:solidFill>
          </w14:textFill>
          <w14:ligatures w14:val="none"/>
        </w:rPr>
        <w:t>日</w:t>
      </w:r>
      <w:r>
        <w:rPr>
          <w:rFonts w:hint="eastAsia" w:ascii="Times New Roman" w:hAnsi="Times New Roman" w:eastAsia="宋体" w:cs="宋体"/>
          <w:color w:val="000000" w:themeColor="text1"/>
          <w:szCs w:val="28"/>
          <w:highlight w:val="none"/>
          <w:lang w:bidi="ar"/>
          <w14:textFill>
            <w14:solidFill>
              <w14:schemeClr w14:val="tx1"/>
            </w14:solidFill>
          </w14:textFill>
          <w14:ligatures w14:val="none"/>
        </w:rPr>
        <w:t>先后取得了</w:t>
      </w:r>
      <w:r>
        <w:rPr>
          <w:rFonts w:ascii="Times New Roman" w:hAnsi="Times New Roman" w:eastAsia="宋体" w:cs="宋体"/>
          <w:color w:val="000000" w:themeColor="text1"/>
          <w:szCs w:val="28"/>
          <w:highlight w:val="none"/>
          <w:lang w:bidi="ar"/>
          <w14:textFill>
            <w14:solidFill>
              <w14:schemeClr w14:val="tx1"/>
            </w14:solidFill>
          </w14:textFill>
          <w14:ligatures w14:val="none"/>
        </w:rPr>
        <w:t>由</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沈阳市</w:t>
      </w:r>
      <w:r>
        <w:rPr>
          <w:rFonts w:ascii="Times New Roman" w:hAnsi="Times New Roman" w:eastAsia="宋体" w:cs="宋体"/>
          <w:color w:val="000000" w:themeColor="text1"/>
          <w:szCs w:val="28"/>
          <w:highlight w:val="none"/>
          <w:lang w:bidi="ar"/>
          <w14:textFill>
            <w14:solidFill>
              <w14:schemeClr w14:val="tx1"/>
            </w14:solidFill>
          </w14:textFill>
          <w14:ligatures w14:val="none"/>
        </w:rPr>
        <w:t>应急管理局核发的《危险化学品建设项目安全条件审查意见书》（</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沈</w:t>
      </w:r>
      <w:r>
        <w:rPr>
          <w:rFonts w:ascii="Times New Roman" w:hAnsi="Times New Roman" w:eastAsia="宋体" w:cs="宋体"/>
          <w:color w:val="000000" w:themeColor="text1"/>
          <w:szCs w:val="28"/>
          <w:highlight w:val="none"/>
          <w:lang w:bidi="ar"/>
          <w14:textFill>
            <w14:solidFill>
              <w14:schemeClr w14:val="tx1"/>
            </w14:solidFill>
          </w14:textFill>
          <w14:ligatures w14:val="none"/>
        </w:rPr>
        <w:t>危化项目安条审字[202</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6</w:t>
      </w:r>
      <w:r>
        <w:rPr>
          <w:rFonts w:ascii="Times New Roman" w:hAnsi="Times New Roman" w:eastAsia="宋体" w:cs="宋体"/>
          <w:color w:val="000000" w:themeColor="text1"/>
          <w:szCs w:val="28"/>
          <w:highlight w:val="none"/>
          <w:lang w:bidi="ar"/>
          <w14:textFill>
            <w14:solidFill>
              <w14:schemeClr w14:val="tx1"/>
            </w14:solidFill>
          </w14:textFill>
          <w14:ligatures w14:val="none"/>
        </w:rPr>
        <w:t>]</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2</w:t>
      </w:r>
      <w:r>
        <w:rPr>
          <w:rFonts w:ascii="Times New Roman" w:hAnsi="Times New Roman" w:eastAsia="宋体" w:cs="宋体"/>
          <w:color w:val="000000" w:themeColor="text1"/>
          <w:szCs w:val="28"/>
          <w:highlight w:val="none"/>
          <w:lang w:bidi="ar"/>
          <w14:textFill>
            <w14:solidFill>
              <w14:schemeClr w14:val="tx1"/>
            </w14:solidFill>
          </w14:textFill>
          <w14:ligatures w14:val="none"/>
        </w:rPr>
        <w:t>号）和《危险化学品建设项目安全设施设计审查意见书》（</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沈</w:t>
      </w:r>
      <w:r>
        <w:rPr>
          <w:rFonts w:ascii="Times New Roman" w:hAnsi="Times New Roman" w:eastAsia="宋体" w:cs="宋体"/>
          <w:color w:val="000000" w:themeColor="text1"/>
          <w:szCs w:val="28"/>
          <w:highlight w:val="none"/>
          <w:lang w:bidi="ar"/>
          <w14:textFill>
            <w14:solidFill>
              <w14:schemeClr w14:val="tx1"/>
            </w14:solidFill>
          </w14:textFill>
          <w14:ligatures w14:val="none"/>
        </w:rPr>
        <w:t>危化项目安设审字[202</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6</w:t>
      </w:r>
      <w:r>
        <w:rPr>
          <w:rFonts w:ascii="Times New Roman" w:hAnsi="Times New Roman" w:eastAsia="宋体" w:cs="宋体"/>
          <w:color w:val="000000" w:themeColor="text1"/>
          <w:szCs w:val="28"/>
          <w:highlight w:val="none"/>
          <w:lang w:bidi="ar"/>
          <w14:textFill>
            <w14:solidFill>
              <w14:schemeClr w14:val="tx1"/>
            </w14:solidFill>
          </w14:textFill>
          <w14:ligatures w14:val="none"/>
        </w:rPr>
        <w:t>]</w:t>
      </w:r>
      <w:r>
        <w:rPr>
          <w:rFonts w:hint="eastAsia" w:ascii="Times New Roman" w:hAnsi="Times New Roman" w:eastAsia="宋体" w:cs="宋体"/>
          <w:color w:val="000000" w:themeColor="text1"/>
          <w:szCs w:val="28"/>
          <w:highlight w:val="none"/>
          <w:lang w:val="en-US" w:eastAsia="zh-CN" w:bidi="ar"/>
          <w14:textFill>
            <w14:solidFill>
              <w14:schemeClr w14:val="tx1"/>
            </w14:solidFill>
          </w14:textFill>
          <w14:ligatures w14:val="none"/>
        </w:rPr>
        <w:t>2</w:t>
      </w:r>
      <w:r>
        <w:rPr>
          <w:rFonts w:ascii="Times New Roman" w:hAnsi="Times New Roman" w:eastAsia="宋体" w:cs="宋体"/>
          <w:color w:val="000000" w:themeColor="text1"/>
          <w:szCs w:val="28"/>
          <w:highlight w:val="none"/>
          <w:lang w:bidi="ar"/>
          <w14:textFill>
            <w14:solidFill>
              <w14:schemeClr w14:val="tx1"/>
            </w14:solidFill>
          </w14:textFill>
          <w14:ligatures w14:val="none"/>
        </w:rPr>
        <w:t>号）</w:t>
      </w:r>
      <w:r>
        <w:rPr>
          <w:rFonts w:hint="eastAsia" w:ascii="Times New Roman" w:hAnsi="Times New Roman" w:eastAsia="宋体" w:cs="宋体"/>
          <w:szCs w:val="28"/>
          <w:highlight w:val="none"/>
          <w:lang w:bidi="ar"/>
          <w14:ligatures w14:val="none"/>
        </w:rPr>
        <w:t>，并于202</w:t>
      </w:r>
      <w:r>
        <w:rPr>
          <w:rFonts w:hint="eastAsia" w:ascii="Times New Roman" w:hAnsi="Times New Roman" w:eastAsia="宋体" w:cs="宋体"/>
          <w:szCs w:val="28"/>
          <w:highlight w:val="none"/>
          <w:lang w:val="en-US" w:eastAsia="zh-CN" w:bidi="ar"/>
          <w14:ligatures w14:val="none"/>
        </w:rPr>
        <w:t>6</w:t>
      </w:r>
      <w:r>
        <w:rPr>
          <w:rFonts w:hint="eastAsia" w:ascii="Times New Roman" w:hAnsi="Times New Roman" w:eastAsia="宋体" w:cs="宋体"/>
          <w:szCs w:val="28"/>
          <w:highlight w:val="none"/>
          <w:lang w:bidi="ar"/>
          <w14:ligatures w14:val="none"/>
        </w:rPr>
        <w:t>年</w:t>
      </w:r>
      <w:r>
        <w:rPr>
          <w:rFonts w:hint="eastAsia" w:ascii="Times New Roman" w:hAnsi="Times New Roman" w:eastAsia="宋体" w:cs="宋体"/>
          <w:szCs w:val="28"/>
          <w:highlight w:val="none"/>
          <w:lang w:val="en-US" w:eastAsia="zh-CN" w:bidi="ar"/>
          <w14:ligatures w14:val="none"/>
        </w:rPr>
        <w:t>05</w:t>
      </w:r>
      <w:r>
        <w:rPr>
          <w:rFonts w:hint="eastAsia" w:ascii="Times New Roman" w:hAnsi="Times New Roman" w:eastAsia="宋体" w:cs="宋体"/>
          <w:szCs w:val="28"/>
          <w:highlight w:val="none"/>
          <w:lang w:bidi="ar"/>
          <w14:ligatures w14:val="none"/>
        </w:rPr>
        <w:t>月</w:t>
      </w:r>
      <w:r>
        <w:rPr>
          <w:rFonts w:hint="eastAsia" w:ascii="Times New Roman" w:hAnsi="Times New Roman" w:eastAsia="宋体" w:cs="宋体"/>
          <w:szCs w:val="28"/>
          <w:highlight w:val="none"/>
          <w:lang w:val="en-US" w:eastAsia="zh-CN" w:bidi="ar"/>
          <w14:ligatures w14:val="none"/>
        </w:rPr>
        <w:t>30</w:t>
      </w:r>
      <w:r>
        <w:rPr>
          <w:rFonts w:hint="eastAsia" w:ascii="Times New Roman" w:hAnsi="Times New Roman" w:eastAsia="宋体" w:cs="宋体"/>
          <w:szCs w:val="28"/>
          <w:highlight w:val="none"/>
          <w:lang w:bidi="ar"/>
          <w14:ligatures w14:val="none"/>
        </w:rPr>
        <w:t>日建设完工。</w:t>
      </w:r>
    </w:p>
    <w:p w14:paraId="3701C1FF">
      <w:pPr>
        <w:ind w:firstLine="560"/>
        <w:rPr>
          <w:rFonts w:hint="eastAsia" w:ascii="Times New Roman" w:hAnsi="Times New Roman" w:eastAsia="宋体" w:cs="宋体"/>
          <w:szCs w:val="28"/>
          <w:highlight w:val="none"/>
          <w:lang w:eastAsia="zh-CN" w:bidi="ar"/>
          <w14:ligatures w14:val="none"/>
        </w:rPr>
      </w:pPr>
      <w:r>
        <w:rPr>
          <w:rFonts w:hint="eastAsia" w:ascii="Times New Roman" w:hAnsi="Times New Roman" w:eastAsia="宋体" w:cs="宋体"/>
          <w:szCs w:val="28"/>
          <w:highlight w:val="none"/>
          <w:lang w:eastAsia="zh-CN" w:bidi="ar"/>
          <w14:ligatures w14:val="none"/>
        </w:rPr>
        <w:t>202</w:t>
      </w:r>
      <w:r>
        <w:rPr>
          <w:rFonts w:hint="eastAsia" w:ascii="Times New Roman" w:hAnsi="Times New Roman" w:eastAsia="宋体" w:cs="宋体"/>
          <w:szCs w:val="28"/>
          <w:highlight w:val="none"/>
          <w:lang w:val="en-US" w:eastAsia="zh-CN" w:bidi="ar"/>
          <w14:ligatures w14:val="none"/>
        </w:rPr>
        <w:t>6</w:t>
      </w:r>
      <w:r>
        <w:rPr>
          <w:rFonts w:hint="eastAsia" w:ascii="Times New Roman" w:hAnsi="Times New Roman" w:eastAsia="宋体" w:cs="宋体"/>
          <w:szCs w:val="28"/>
          <w:highlight w:val="none"/>
          <w:lang w:eastAsia="zh-CN" w:bidi="ar"/>
          <w14:ligatures w14:val="none"/>
        </w:rPr>
        <w:t>年0</w:t>
      </w:r>
      <w:r>
        <w:rPr>
          <w:rFonts w:hint="eastAsia" w:ascii="Times New Roman" w:hAnsi="Times New Roman" w:eastAsia="宋体" w:cs="宋体"/>
          <w:szCs w:val="28"/>
          <w:highlight w:val="none"/>
          <w:lang w:val="en-US" w:eastAsia="zh-CN" w:bidi="ar"/>
          <w14:ligatures w14:val="none"/>
        </w:rPr>
        <w:t>4</w:t>
      </w:r>
      <w:r>
        <w:rPr>
          <w:rFonts w:hint="eastAsia" w:ascii="Times New Roman" w:hAnsi="Times New Roman" w:eastAsia="宋体" w:cs="宋体"/>
          <w:szCs w:val="28"/>
          <w:highlight w:val="none"/>
          <w:lang w:eastAsia="zh-CN" w:bidi="ar"/>
          <w14:ligatures w14:val="none"/>
        </w:rPr>
        <w:t>月2</w:t>
      </w:r>
      <w:r>
        <w:rPr>
          <w:rFonts w:hint="eastAsia" w:ascii="Times New Roman" w:hAnsi="Times New Roman" w:eastAsia="宋体" w:cs="宋体"/>
          <w:szCs w:val="28"/>
          <w:highlight w:val="none"/>
          <w:lang w:val="en-US" w:eastAsia="zh-CN" w:bidi="ar"/>
          <w14:ligatures w14:val="none"/>
        </w:rPr>
        <w:t>4</w:t>
      </w:r>
      <w:r>
        <w:rPr>
          <w:rFonts w:hint="eastAsia" w:ascii="Times New Roman" w:hAnsi="Times New Roman" w:eastAsia="宋体" w:cs="宋体"/>
          <w:szCs w:val="28"/>
          <w:highlight w:val="none"/>
          <w:lang w:eastAsia="zh-CN" w:bidi="ar"/>
          <w14:ligatures w14:val="none"/>
        </w:rPr>
        <w:t>日，</w:t>
      </w:r>
      <w:r>
        <w:rPr>
          <w:rFonts w:hint="eastAsia" w:ascii="Times New Roman" w:hAnsi="Times New Roman" w:eastAsia="宋体" w:cs="宋体"/>
          <w:szCs w:val="28"/>
          <w:highlight w:val="none"/>
          <w:lang w:val="en-US" w:eastAsia="zh-CN" w:bidi="ar"/>
          <w14:ligatures w14:val="none"/>
        </w:rPr>
        <w:t>沈阳市应急管理局</w:t>
      </w:r>
      <w:r>
        <w:rPr>
          <w:rFonts w:hint="eastAsia" w:ascii="Times New Roman" w:hAnsi="Times New Roman" w:eastAsia="宋体" w:cs="宋体"/>
          <w:szCs w:val="28"/>
          <w:highlight w:val="none"/>
          <w:lang w:eastAsia="zh-CN" w:bidi="ar"/>
          <w14:ligatures w14:val="none"/>
        </w:rPr>
        <w:t>为</w:t>
      </w:r>
      <w:r>
        <w:rPr>
          <w:rFonts w:hint="eastAsia" w:ascii="Times New Roman" w:hAnsi="Times New Roman" w:eastAsia="宋体" w:cs="宋体"/>
          <w:szCs w:val="28"/>
          <w:highlight w:val="none"/>
          <w:lang w:val="en-US" w:eastAsia="zh-CN" w:bidi="ar"/>
          <w14:ligatures w14:val="none"/>
        </w:rPr>
        <w:t>星火特</w:t>
      </w:r>
      <w:r>
        <w:rPr>
          <w:rFonts w:hint="eastAsia" w:ascii="Times New Roman" w:hAnsi="Times New Roman" w:eastAsia="宋体" w:cs="宋体"/>
          <w:szCs w:val="28"/>
          <w:highlight w:val="none"/>
          <w:lang w:eastAsia="zh-CN" w:bidi="ar"/>
          <w14:ligatures w14:val="none"/>
        </w:rPr>
        <w:t>加油站颁发的《危险化学品经营许可证》，有效期至202</w:t>
      </w:r>
      <w:r>
        <w:rPr>
          <w:rFonts w:hint="eastAsia" w:ascii="Times New Roman" w:hAnsi="Times New Roman" w:eastAsia="宋体" w:cs="宋体"/>
          <w:szCs w:val="28"/>
          <w:highlight w:val="none"/>
          <w:lang w:val="en-US" w:eastAsia="zh-CN" w:bidi="ar"/>
          <w14:ligatures w14:val="none"/>
        </w:rPr>
        <w:t>9</w:t>
      </w:r>
      <w:r>
        <w:rPr>
          <w:rFonts w:hint="eastAsia" w:ascii="Times New Roman" w:hAnsi="Times New Roman" w:eastAsia="宋体" w:cs="宋体"/>
          <w:szCs w:val="28"/>
          <w:highlight w:val="none"/>
          <w:lang w:eastAsia="zh-CN" w:bidi="ar"/>
          <w14:ligatures w14:val="none"/>
        </w:rPr>
        <w:t>年0</w:t>
      </w:r>
      <w:r>
        <w:rPr>
          <w:rFonts w:hint="eastAsia" w:ascii="Times New Roman" w:hAnsi="Times New Roman" w:eastAsia="宋体" w:cs="宋体"/>
          <w:szCs w:val="28"/>
          <w:highlight w:val="none"/>
          <w:lang w:val="en-US" w:eastAsia="zh-CN" w:bidi="ar"/>
          <w14:ligatures w14:val="none"/>
        </w:rPr>
        <w:t>5</w:t>
      </w:r>
      <w:r>
        <w:rPr>
          <w:rFonts w:hint="eastAsia" w:ascii="Times New Roman" w:hAnsi="Times New Roman" w:eastAsia="宋体" w:cs="宋体"/>
          <w:szCs w:val="28"/>
          <w:highlight w:val="none"/>
          <w:lang w:eastAsia="zh-CN" w:bidi="ar"/>
          <w14:ligatures w14:val="none"/>
        </w:rPr>
        <w:t>月</w:t>
      </w:r>
      <w:r>
        <w:rPr>
          <w:rFonts w:hint="eastAsia" w:ascii="Times New Roman" w:hAnsi="Times New Roman" w:eastAsia="宋体" w:cs="宋体"/>
          <w:szCs w:val="28"/>
          <w:highlight w:val="none"/>
          <w:lang w:val="en-US" w:eastAsia="zh-CN" w:bidi="ar"/>
          <w14:ligatures w14:val="none"/>
        </w:rPr>
        <w:t>02</w:t>
      </w:r>
      <w:r>
        <w:rPr>
          <w:rFonts w:hint="eastAsia" w:ascii="Times New Roman" w:hAnsi="Times New Roman" w:eastAsia="宋体" w:cs="宋体"/>
          <w:szCs w:val="28"/>
          <w:highlight w:val="none"/>
          <w:lang w:eastAsia="zh-CN" w:bidi="ar"/>
          <w14:ligatures w14:val="none"/>
        </w:rPr>
        <w:t>日，证书编号：21010013202600147，许可范围：汽油、柴油。</w:t>
      </w:r>
    </w:p>
    <w:p w14:paraId="4481CF9B">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该站原有</w:t>
      </w:r>
      <w:r>
        <w:rPr>
          <w:rFonts w:hint="eastAsia" w:ascii="Times New Roman" w:hAnsi="Times New Roman" w:eastAsia="宋体" w:cs="宋体"/>
          <w:szCs w:val="28"/>
          <w:lang w:val="en-US" w:eastAsia="zh-CN" w:bidi="ar"/>
          <w14:ligatures w14:val="none"/>
        </w:rPr>
        <w:t>4</w:t>
      </w:r>
      <w:r>
        <w:rPr>
          <w:rFonts w:hint="eastAsia" w:ascii="Times New Roman" w:hAnsi="Times New Roman" w:eastAsia="宋体" w:cs="宋体"/>
          <w:szCs w:val="28"/>
          <w:lang w:bidi="ar"/>
          <w14:ligatures w14:val="none"/>
        </w:rPr>
        <w:t>座埋地储罐，其中2座20m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车用乙醇汽油储罐，2座20m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柴油储罐，</w:t>
      </w:r>
      <w:r>
        <w:rPr>
          <w:rFonts w:ascii="Times New Roman" w:hAnsi="Times New Roman" w:eastAsia="宋体" w:cs="宋体"/>
          <w:szCs w:val="28"/>
          <w:lang w:bidi="ar"/>
          <w14:ligatures w14:val="none"/>
        </w:rPr>
        <w:t>根据《汽车加油加气加氢站技术标准》（GB 50156-2021）第3.0.9条规定，该加油站油罐容积为</w:t>
      </w:r>
      <w:r>
        <w:rPr>
          <w:rFonts w:hint="eastAsia" w:ascii="Times New Roman" w:hAnsi="Times New Roman" w:eastAsia="宋体" w:cs="宋体"/>
          <w:szCs w:val="28"/>
          <w:lang w:val="en-US" w:eastAsia="zh-CN" w:bidi="ar"/>
          <w14:ligatures w14:val="none"/>
        </w:rPr>
        <w:t>60</w:t>
      </w:r>
      <w:r>
        <w:rPr>
          <w:rFonts w:ascii="Times New Roman" w:hAnsi="Times New Roman" w:eastAsia="宋体" w:cs="宋体"/>
          <w:szCs w:val="28"/>
          <w:lang w:bidi="ar"/>
          <w14:ligatures w14:val="none"/>
        </w:rPr>
        <w:t>m</w:t>
      </w:r>
      <w:r>
        <w:rPr>
          <w:rFonts w:ascii="Times New Roman" w:hAnsi="Times New Roman" w:eastAsia="宋体" w:cs="宋体"/>
          <w:szCs w:val="28"/>
          <w:vertAlign w:val="superscript"/>
          <w:lang w:bidi="ar"/>
          <w14:ligatures w14:val="none"/>
        </w:rPr>
        <w:t>3</w:t>
      </w:r>
      <w:r>
        <w:rPr>
          <w:rFonts w:ascii="Times New Roman" w:hAnsi="Times New Roman" w:eastAsia="宋体" w:cs="宋体"/>
          <w:szCs w:val="28"/>
          <w:lang w:bidi="ar"/>
          <w14:ligatures w14:val="none"/>
        </w:rPr>
        <w:t>（柴油罐容积折半计入），故该站为</w:t>
      </w:r>
      <w:r>
        <w:rPr>
          <w:rFonts w:hint="eastAsia" w:ascii="Times New Roman" w:hAnsi="Times New Roman" w:eastAsia="宋体" w:cs="宋体"/>
          <w:szCs w:val="28"/>
          <w:lang w:bidi="ar"/>
          <w14:ligatures w14:val="none"/>
        </w:rPr>
        <w:t>三</w:t>
      </w:r>
      <w:r>
        <w:rPr>
          <w:rFonts w:ascii="Times New Roman" w:hAnsi="Times New Roman" w:eastAsia="宋体" w:cs="宋体"/>
          <w:szCs w:val="28"/>
          <w:lang w:bidi="ar"/>
          <w14:ligatures w14:val="none"/>
        </w:rPr>
        <w:t>级加油站。</w:t>
      </w:r>
    </w:p>
    <w:p w14:paraId="181B1AED">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该站改造后新建</w:t>
      </w:r>
      <w:r>
        <w:rPr>
          <w:rFonts w:hint="eastAsia" w:ascii="Times New Roman" w:hAnsi="Times New Roman" w:eastAsia="宋体" w:cs="宋体"/>
          <w:szCs w:val="28"/>
          <w:lang w:val="en-US" w:eastAsia="zh-CN" w:bidi="ar"/>
          <w14:ligatures w14:val="none"/>
        </w:rPr>
        <w:t>2</w:t>
      </w:r>
      <w:r>
        <w:rPr>
          <w:rFonts w:hint="eastAsia" w:ascii="Times New Roman" w:hAnsi="Times New Roman" w:eastAsia="宋体" w:cs="宋体"/>
          <w:szCs w:val="28"/>
          <w:lang w:bidi="ar"/>
          <w14:ligatures w14:val="none"/>
        </w:rPr>
        <w:t>座</w:t>
      </w:r>
      <w:r>
        <w:rPr>
          <w:rFonts w:hint="eastAsia" w:ascii="Times New Roman" w:hAnsi="Times New Roman" w:eastAsia="宋体" w:cs="宋体"/>
          <w:szCs w:val="28"/>
          <w:lang w:val="en-US" w:eastAsia="zh-CN" w:bidi="ar"/>
          <w14:ligatures w14:val="none"/>
        </w:rPr>
        <w:t>5</w:t>
      </w:r>
      <w:r>
        <w:rPr>
          <w:rFonts w:hint="eastAsia" w:ascii="Times New Roman" w:hAnsi="Times New Roman" w:eastAsia="宋体" w:cs="宋体"/>
          <w:szCs w:val="28"/>
          <w:lang w:bidi="ar"/>
          <w14:ligatures w14:val="none"/>
        </w:rPr>
        <w:t>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车用乙醇汽油储罐和</w:t>
      </w:r>
      <w:r>
        <w:rPr>
          <w:rFonts w:hint="eastAsia" w:ascii="Times New Roman" w:hAnsi="Times New Roman" w:eastAsia="宋体" w:cs="宋体"/>
          <w:szCs w:val="28"/>
          <w:lang w:val="en-US" w:eastAsia="zh-CN" w:bidi="ar"/>
          <w14:ligatures w14:val="none"/>
        </w:rPr>
        <w:t>2</w:t>
      </w:r>
      <w:r>
        <w:rPr>
          <w:rFonts w:hint="eastAsia" w:ascii="Times New Roman" w:hAnsi="Times New Roman" w:eastAsia="宋体" w:cs="宋体"/>
          <w:szCs w:val="28"/>
          <w:lang w:bidi="ar"/>
          <w14:ligatures w14:val="none"/>
        </w:rPr>
        <w:t>座50m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柴油储罐，</w:t>
      </w:r>
      <w:r>
        <w:rPr>
          <w:rFonts w:ascii="Times New Roman" w:hAnsi="Times New Roman" w:eastAsia="宋体" w:cs="宋体"/>
          <w:szCs w:val="28"/>
          <w:lang w:bidi="ar"/>
          <w14:ligatures w14:val="none"/>
        </w:rPr>
        <w:t>根据《汽车加油加气加氢站技术标准》（GB 50156-2021）第3.0.9条规定，该加油站油罐</w:t>
      </w:r>
      <w:r>
        <w:rPr>
          <w:rFonts w:hint="eastAsia" w:ascii="Times New Roman" w:hAnsi="Times New Roman" w:eastAsia="宋体" w:cs="宋体"/>
          <w:szCs w:val="28"/>
          <w:lang w:bidi="ar"/>
          <w14:ligatures w14:val="none"/>
        </w:rPr>
        <w:t>改造后</w:t>
      </w:r>
      <w:r>
        <w:rPr>
          <w:rFonts w:ascii="Times New Roman" w:hAnsi="Times New Roman" w:eastAsia="宋体" w:cs="宋体"/>
          <w:szCs w:val="28"/>
          <w:lang w:bidi="ar"/>
          <w14:ligatures w14:val="none"/>
        </w:rPr>
        <w:t>容积为</w:t>
      </w:r>
      <w:r>
        <w:rPr>
          <w:rFonts w:hint="eastAsia" w:ascii="Times New Roman" w:hAnsi="Times New Roman" w:eastAsia="宋体" w:cs="宋体"/>
          <w:szCs w:val="28"/>
          <w:lang w:bidi="ar"/>
          <w14:ligatures w14:val="none"/>
        </w:rPr>
        <w:t>1</w:t>
      </w:r>
      <w:r>
        <w:rPr>
          <w:rFonts w:hint="eastAsia" w:ascii="Times New Roman" w:hAnsi="Times New Roman" w:eastAsia="宋体" w:cs="宋体"/>
          <w:szCs w:val="28"/>
          <w:lang w:val="en-US" w:eastAsia="zh-CN" w:bidi="ar"/>
          <w14:ligatures w14:val="none"/>
        </w:rPr>
        <w:t>50</w:t>
      </w:r>
      <w:r>
        <w:rPr>
          <w:rFonts w:ascii="Times New Roman" w:hAnsi="Times New Roman" w:eastAsia="宋体" w:cs="宋体"/>
          <w:szCs w:val="28"/>
          <w:lang w:bidi="ar"/>
          <w14:ligatures w14:val="none"/>
        </w:rPr>
        <w:t>m</w:t>
      </w:r>
      <w:r>
        <w:rPr>
          <w:rFonts w:ascii="Times New Roman" w:hAnsi="Times New Roman" w:eastAsia="宋体" w:cs="宋体"/>
          <w:szCs w:val="28"/>
          <w:vertAlign w:val="superscript"/>
          <w:lang w:bidi="ar"/>
          <w14:ligatures w14:val="none"/>
        </w:rPr>
        <w:t>3</w:t>
      </w:r>
      <w:r>
        <w:rPr>
          <w:rFonts w:ascii="Times New Roman" w:hAnsi="Times New Roman" w:eastAsia="宋体" w:cs="宋体"/>
          <w:szCs w:val="28"/>
          <w:lang w:bidi="ar"/>
          <w14:ligatures w14:val="none"/>
        </w:rPr>
        <w:t>（柴油罐容积折半计入），故该站</w:t>
      </w:r>
      <w:r>
        <w:rPr>
          <w:rFonts w:hint="eastAsia" w:ascii="Times New Roman" w:hAnsi="Times New Roman" w:eastAsia="宋体" w:cs="宋体"/>
          <w:szCs w:val="28"/>
          <w:lang w:bidi="ar"/>
          <w14:ligatures w14:val="none"/>
        </w:rPr>
        <w:t>由原来的</w:t>
      </w:r>
      <w:r>
        <w:rPr>
          <w:rFonts w:ascii="Times New Roman" w:hAnsi="Times New Roman" w:eastAsia="宋体" w:cs="宋体"/>
          <w:szCs w:val="28"/>
          <w:lang w:bidi="ar"/>
          <w14:ligatures w14:val="none"/>
        </w:rPr>
        <w:t>三级加油站</w:t>
      </w:r>
      <w:r>
        <w:rPr>
          <w:rFonts w:hint="eastAsia" w:ascii="Times New Roman" w:hAnsi="Times New Roman" w:eastAsia="宋体" w:cs="宋体"/>
          <w:szCs w:val="28"/>
          <w:lang w:bidi="ar"/>
          <w14:ligatures w14:val="none"/>
        </w:rPr>
        <w:t>变为二级加油站</w:t>
      </w:r>
      <w:r>
        <w:rPr>
          <w:rFonts w:ascii="Times New Roman" w:hAnsi="Times New Roman" w:eastAsia="宋体" w:cs="宋体"/>
          <w:szCs w:val="28"/>
          <w:lang w:bidi="ar"/>
          <w14:ligatures w14:val="none"/>
        </w:rPr>
        <w:t>。</w:t>
      </w:r>
    </w:p>
    <w:p w14:paraId="555C59E4">
      <w:pPr>
        <w:keepNext/>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14" w:name="_Toc218437728"/>
      <w:r>
        <w:rPr>
          <w:rFonts w:hint="eastAsia" w:ascii="Times New Roman" w:hAnsi="Times New Roman" w:eastAsia="楷体" w:cs="宋体"/>
          <w:b/>
          <w:bCs/>
          <w:sz w:val="32"/>
          <w:szCs w:val="28"/>
          <w:lang w:bidi="ar"/>
          <w14:ligatures w14:val="none"/>
        </w:rPr>
        <w:t>2.2建设项目简介</w:t>
      </w:r>
      <w:bookmarkEnd w:id="14"/>
    </w:p>
    <w:p w14:paraId="320A065C">
      <w:pPr>
        <w:ind w:firstLine="560"/>
        <w:rPr>
          <w:rFonts w:hint="eastAsia" w:ascii="Times New Roman" w:hAnsi="Times New Roman" w:eastAsia="宋体" w:cs="宋体"/>
          <w:szCs w:val="28"/>
          <w:lang w:eastAsia="zh-CN" w:bidi="ar"/>
          <w14:ligatures w14:val="none"/>
        </w:rPr>
      </w:pPr>
      <w:r>
        <w:rPr>
          <w:rFonts w:hint="eastAsia" w:ascii="Times New Roman" w:hAnsi="Times New Roman" w:eastAsia="宋体" w:cs="宋体"/>
          <w:szCs w:val="28"/>
          <w:lang w:bidi="ar"/>
          <w14:ligatures w14:val="none"/>
        </w:rPr>
        <w:t>项目名称：</w:t>
      </w:r>
      <w:r>
        <w:rPr>
          <w:rFonts w:hint="eastAsia" w:ascii="Times New Roman" w:hAnsi="Times New Roman" w:eastAsia="宋体" w:cs="宋体"/>
          <w:szCs w:val="28"/>
          <w:lang w:eastAsia="zh-CN" w:bidi="ar"/>
          <w14:ligatures w14:val="none"/>
        </w:rPr>
        <w:t>沈阳市于洪区大兴乡星火特加油站罐区增容改造项目</w:t>
      </w:r>
    </w:p>
    <w:p w14:paraId="52F16C79">
      <w:pPr>
        <w:ind w:firstLine="560"/>
        <w:rPr>
          <w:rFonts w:hint="eastAsia" w:ascii="Times New Roman" w:hAnsi="Times New Roman" w:eastAsia="宋体" w:cs="宋体"/>
          <w:szCs w:val="28"/>
          <w:lang w:eastAsia="zh-CN" w:bidi="ar"/>
          <w14:ligatures w14:val="none"/>
        </w:rPr>
      </w:pPr>
      <w:r>
        <w:rPr>
          <w:rFonts w:hint="eastAsia" w:ascii="Times New Roman" w:hAnsi="Times New Roman" w:eastAsia="宋体" w:cs="宋体"/>
          <w:szCs w:val="28"/>
          <w:lang w:bidi="ar"/>
          <w14:ligatures w14:val="none"/>
        </w:rPr>
        <w:t>建设单位：</w:t>
      </w:r>
      <w:r>
        <w:rPr>
          <w:rFonts w:hint="eastAsia" w:ascii="Times New Roman" w:hAnsi="Times New Roman" w:eastAsia="宋体" w:cs="宋体"/>
          <w:szCs w:val="28"/>
          <w:lang w:eastAsia="zh-CN" w:bidi="ar"/>
          <w14:ligatures w14:val="none"/>
        </w:rPr>
        <w:t>沈阳市于洪区大兴乡星火特加油站</w:t>
      </w:r>
    </w:p>
    <w:p w14:paraId="012605B2">
      <w:pPr>
        <w:ind w:firstLine="560"/>
        <w:rPr>
          <w:rFonts w:hint="eastAsia" w:ascii="Times New Roman" w:hAnsi="Times New Roman" w:eastAsia="宋体" w:cs="宋体"/>
          <w:szCs w:val="28"/>
          <w:lang w:eastAsia="zh-CN" w:bidi="ar"/>
          <w14:ligatures w14:val="none"/>
        </w:rPr>
      </w:pPr>
      <w:r>
        <w:rPr>
          <w:rFonts w:hint="eastAsia" w:ascii="Times New Roman" w:hAnsi="Times New Roman" w:eastAsia="宋体" w:cs="宋体"/>
          <w:szCs w:val="28"/>
          <w:lang w:bidi="ar"/>
          <w14:ligatures w14:val="none"/>
        </w:rPr>
        <w:t>建设地址：</w:t>
      </w:r>
      <w:r>
        <w:rPr>
          <w:rFonts w:hint="eastAsia" w:ascii="Times New Roman" w:hAnsi="Times New Roman" w:eastAsia="宋体" w:cs="宋体"/>
          <w:szCs w:val="28"/>
          <w:lang w:eastAsia="zh-CN" w:bidi="ar"/>
          <w14:ligatures w14:val="none"/>
        </w:rPr>
        <w:t>沈阳市于洪区大兴乡孤家子村</w:t>
      </w:r>
    </w:p>
    <w:p w14:paraId="2AB536D6">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建设性质：改建项目</w:t>
      </w:r>
    </w:p>
    <w:p w14:paraId="050579ED">
      <w:pPr>
        <w:ind w:firstLine="560"/>
        <w:rPr>
          <w:rFonts w:ascii="Times New Roman" w:hAnsi="Times New Roman" w:eastAsia="宋体" w:cs="宋体"/>
          <w:szCs w:val="28"/>
          <w:highlight w:val="none"/>
          <w:lang w:bidi="ar"/>
          <w14:ligatures w14:val="none"/>
        </w:rPr>
      </w:pPr>
      <w:r>
        <w:rPr>
          <w:rFonts w:hint="eastAsia" w:ascii="Times New Roman" w:hAnsi="Times New Roman" w:eastAsia="宋体" w:cs="宋体"/>
          <w:szCs w:val="28"/>
          <w:lang w:bidi="ar"/>
          <w14:ligatures w14:val="none"/>
        </w:rPr>
        <w:t>项目总投资：</w:t>
      </w:r>
      <w:r>
        <w:rPr>
          <w:rFonts w:hint="eastAsia" w:ascii="Times New Roman" w:hAnsi="Times New Roman" w:eastAsia="宋体" w:cs="宋体"/>
          <w:szCs w:val="28"/>
          <w:lang w:val="en-US" w:eastAsia="zh-CN" w:bidi="ar"/>
          <w14:ligatures w14:val="none"/>
        </w:rPr>
        <w:t>30</w:t>
      </w:r>
      <w:r>
        <w:rPr>
          <w:rFonts w:hint="eastAsia" w:ascii="Times New Roman" w:hAnsi="Times New Roman" w:eastAsia="宋体" w:cs="宋体"/>
          <w:szCs w:val="28"/>
          <w:lang w:bidi="ar"/>
          <w14:ligatures w14:val="none"/>
        </w:rPr>
        <w:t>万元</w:t>
      </w:r>
      <w:r>
        <w:rPr>
          <w:rFonts w:hint="eastAsia" w:ascii="Times New Roman" w:hAnsi="Times New Roman" w:eastAsia="宋体" w:cs="宋体"/>
          <w:szCs w:val="28"/>
          <w:highlight w:val="none"/>
          <w:lang w:bidi="ar"/>
          <w14:ligatures w14:val="none"/>
        </w:rPr>
        <w:t>，</w:t>
      </w:r>
      <w:r>
        <w:rPr>
          <w:rFonts w:ascii="Times New Roman" w:hAnsi="Times New Roman" w:eastAsia="宋体" w:cs="宋体"/>
          <w:szCs w:val="28"/>
          <w:highlight w:val="none"/>
          <w:lang w:bidi="ar"/>
          <w14:ligatures w14:val="none"/>
        </w:rPr>
        <w:t>安全设施投资概算约为2</w:t>
      </w:r>
      <w:r>
        <w:rPr>
          <w:rFonts w:hint="eastAsia" w:ascii="Times New Roman" w:hAnsi="Times New Roman" w:eastAsia="宋体" w:cs="宋体"/>
          <w:szCs w:val="28"/>
          <w:highlight w:val="none"/>
          <w:lang w:val="en-US" w:eastAsia="zh-CN" w:bidi="ar"/>
          <w14:ligatures w14:val="none"/>
        </w:rPr>
        <w:t>.5</w:t>
      </w:r>
      <w:r>
        <w:rPr>
          <w:rFonts w:ascii="Times New Roman" w:hAnsi="Times New Roman" w:eastAsia="宋体" w:cs="宋体"/>
          <w:szCs w:val="28"/>
          <w:highlight w:val="none"/>
          <w:lang w:bidi="ar"/>
          <w14:ligatures w14:val="none"/>
        </w:rPr>
        <w:t>万元，占总投资的</w:t>
      </w:r>
      <w:r>
        <w:rPr>
          <w:rFonts w:hint="eastAsia" w:ascii="Times New Roman" w:hAnsi="Times New Roman" w:eastAsia="宋体" w:cs="宋体"/>
          <w:szCs w:val="28"/>
          <w:highlight w:val="none"/>
          <w:lang w:val="en-US" w:eastAsia="zh-CN" w:bidi="ar"/>
          <w14:ligatures w14:val="none"/>
        </w:rPr>
        <w:t>8.3</w:t>
      </w:r>
      <w:r>
        <w:rPr>
          <w:rFonts w:ascii="Times New Roman" w:hAnsi="Times New Roman" w:eastAsia="宋体" w:cs="宋体"/>
          <w:szCs w:val="28"/>
          <w:highlight w:val="none"/>
          <w:lang w:bidi="ar"/>
          <w14:ligatures w14:val="none"/>
        </w:rPr>
        <w:t>%。</w:t>
      </w:r>
    </w:p>
    <w:p w14:paraId="3E233155">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建设内容及规模：</w:t>
      </w:r>
    </w:p>
    <w:p w14:paraId="405F2E13">
      <w:pPr>
        <w:ind w:firstLine="560"/>
        <w:rPr>
          <w:rFonts w:hint="eastAsia"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（1）改建1座承重罐区，在罐区内设置2座50m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SF双层车用乙醇汽油储罐（V01、V02），2座50m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SF双层柴油储罐（V03、V04）。</w:t>
      </w:r>
    </w:p>
    <w:p w14:paraId="177D39AE">
      <w:pPr>
        <w:ind w:firstLine="560"/>
        <w:rPr>
          <w:rFonts w:hint="eastAsia"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（2）对储罐配套管线进行升级改造：更换通气管道和卸油管道。</w:t>
      </w:r>
    </w:p>
    <w:p w14:paraId="44C25F59">
      <w:pPr>
        <w:ind w:firstLine="560"/>
        <w:rPr>
          <w:rFonts w:hint="eastAsia"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（3）仪表检测信号传送至站房内液位在线监测仪；新增油罐及管道油气渗漏检测报警装置，检测信号接入站房内渗漏检测报警显示器。</w:t>
      </w:r>
    </w:p>
    <w:p w14:paraId="3BA98987">
      <w:pPr>
        <w:ind w:firstLine="560"/>
        <w:rPr>
          <w:rFonts w:hint="eastAsia"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（4）其它公辅工程设施，给排水、供电、采暖、消防设施均利旧。利旧原有站房、罩棚、辅房、地磅房、洗车房以及三次油气回收装置。</w:t>
      </w:r>
    </w:p>
    <w:p w14:paraId="14AEA0F9">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“三同时”情况：</w:t>
      </w:r>
    </w:p>
    <w:p w14:paraId="12C7EE63">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（1）</w:t>
      </w:r>
      <w:r>
        <w:rPr>
          <w:rFonts w:ascii="Times New Roman" w:hAnsi="Times New Roman" w:eastAsia="宋体" w:cs="宋体"/>
          <w:szCs w:val="28"/>
          <w:lang w:bidi="ar"/>
          <w14:ligatures w14:val="none"/>
        </w:rPr>
        <w:t>设立安全评价</w:t>
      </w:r>
      <w:r>
        <w:rPr>
          <w:rFonts w:hint="eastAsia" w:ascii="Times New Roman" w:hAnsi="Times New Roman" w:eastAsia="宋体" w:cs="宋体"/>
          <w:szCs w:val="28"/>
          <w:lang w:bidi="ar"/>
          <w14:ligatures w14:val="none"/>
        </w:rPr>
        <w:t>编制单位：</w:t>
      </w:r>
      <w:r>
        <w:rPr>
          <w:rFonts w:ascii="Times New Roman" w:hAnsi="Times New Roman" w:eastAsia="宋体" w:cs="宋体"/>
          <w:szCs w:val="28"/>
          <w:lang w:bidi="ar"/>
          <w14:ligatures w14:val="none"/>
        </w:rPr>
        <w:t>沈阳奥思特安全技术服务集团有限公司</w:t>
      </w:r>
      <w:r>
        <w:rPr>
          <w:rFonts w:hint="eastAsia" w:ascii="Times New Roman" w:hAnsi="Times New Roman" w:eastAsia="宋体" w:cs="宋体"/>
          <w:szCs w:val="28"/>
          <w:lang w:bidi="ar"/>
          <w14:ligatures w14:val="none"/>
        </w:rPr>
        <w:t>。</w:t>
      </w:r>
    </w:p>
    <w:p w14:paraId="71DB7DB2">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（2）</w:t>
      </w:r>
      <w:r>
        <w:rPr>
          <w:rFonts w:ascii="Times New Roman" w:hAnsi="Times New Roman" w:eastAsia="宋体" w:cs="宋体"/>
          <w:szCs w:val="28"/>
          <w:lang w:bidi="ar"/>
          <w14:ligatures w14:val="none"/>
        </w:rPr>
        <w:t>安全设施设计专篇</w:t>
      </w:r>
      <w:r>
        <w:rPr>
          <w:rFonts w:hint="eastAsia" w:ascii="Times New Roman" w:hAnsi="Times New Roman" w:eastAsia="宋体" w:cs="宋体"/>
          <w:szCs w:val="28"/>
          <w:lang w:bidi="ar"/>
          <w14:ligatures w14:val="none"/>
        </w:rPr>
        <w:t>编制单位：</w:t>
      </w:r>
      <w:r>
        <w:rPr>
          <w:rFonts w:hint="eastAsia" w:ascii="Times New Roman" w:hAnsi="Times New Roman" w:eastAsia="宋体" w:cs="宋体"/>
          <w:szCs w:val="28"/>
          <w:lang w:val="en-US" w:eastAsia="zh-CN" w:bidi="ar"/>
          <w14:ligatures w14:val="none"/>
        </w:rPr>
        <w:t>歆辰</w:t>
      </w:r>
      <w:r>
        <w:rPr>
          <w:rFonts w:ascii="Times New Roman" w:hAnsi="Times New Roman" w:eastAsia="宋体" w:cs="宋体"/>
          <w:szCs w:val="28"/>
          <w:lang w:bidi="ar"/>
          <w14:ligatures w14:val="none"/>
        </w:rPr>
        <w:t>设计</w:t>
      </w:r>
      <w:r>
        <w:rPr>
          <w:rFonts w:hint="eastAsia" w:ascii="Times New Roman" w:hAnsi="Times New Roman" w:eastAsia="宋体" w:cs="宋体"/>
          <w:szCs w:val="28"/>
          <w:lang w:val="en-US" w:eastAsia="zh-CN" w:bidi="ar"/>
          <w14:ligatures w14:val="none"/>
        </w:rPr>
        <w:t>集团</w:t>
      </w:r>
      <w:r>
        <w:rPr>
          <w:rFonts w:ascii="Times New Roman" w:hAnsi="Times New Roman" w:eastAsia="宋体" w:cs="宋体"/>
          <w:szCs w:val="28"/>
          <w:lang w:bidi="ar"/>
          <w14:ligatures w14:val="none"/>
        </w:rPr>
        <w:t>有限公司</w:t>
      </w:r>
      <w:r>
        <w:rPr>
          <w:rFonts w:hint="eastAsia" w:ascii="Times New Roman" w:hAnsi="Times New Roman" w:eastAsia="宋体" w:cs="宋体"/>
          <w:szCs w:val="28"/>
          <w:lang w:bidi="ar"/>
          <w14:ligatures w14:val="none"/>
        </w:rPr>
        <w:t>。</w:t>
      </w:r>
    </w:p>
    <w:p w14:paraId="3A45676A">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设计、施工单位资质情况：</w:t>
      </w:r>
    </w:p>
    <w:p w14:paraId="139D0EB3">
      <w:pPr>
        <w:ind w:firstLine="560"/>
        <w:rPr>
          <w:rFonts w:ascii="Times New Roman" w:hAnsi="Times New Roman" w:eastAsia="宋体" w:cs="宋体"/>
          <w:szCs w:val="28"/>
          <w:highlight w:val="none"/>
          <w:lang w:bidi="ar"/>
          <w14:ligatures w14:val="none"/>
        </w:rPr>
      </w:pPr>
      <w:r>
        <w:rPr>
          <w:rFonts w:hint="eastAsia" w:ascii="Times New Roman" w:hAnsi="Times New Roman" w:eastAsia="宋体" w:cs="宋体"/>
          <w:szCs w:val="28"/>
          <w:highlight w:val="none"/>
          <w:lang w:bidi="ar"/>
          <w14:ligatures w14:val="none"/>
        </w:rPr>
        <w:t>（1）设计单位：歆辰设计集团有限公司：</w:t>
      </w:r>
      <w:r>
        <w:rPr>
          <w:rFonts w:ascii="Times New Roman" w:hAnsi="Times New Roman" w:eastAsia="宋体" w:cs="宋体"/>
          <w:szCs w:val="28"/>
          <w:highlight w:val="none"/>
          <w:lang w:bidi="ar"/>
          <w14:ligatures w14:val="none"/>
        </w:rPr>
        <w:t>化工石化医药行业乙级</w:t>
      </w:r>
      <w:r>
        <w:rPr>
          <w:rFonts w:hint="eastAsia" w:ascii="Times New Roman" w:hAnsi="Times New Roman" w:eastAsia="宋体" w:cs="宋体"/>
          <w:szCs w:val="28"/>
          <w:highlight w:val="none"/>
          <w:lang w:bidi="ar"/>
          <w14:ligatures w14:val="none"/>
        </w:rPr>
        <w:t>等，证书编号：</w:t>
      </w:r>
      <w:r>
        <w:rPr>
          <w:rFonts w:ascii="Times New Roman" w:hAnsi="Times New Roman" w:eastAsia="宋体" w:cs="宋体"/>
          <w:szCs w:val="28"/>
          <w:highlight w:val="none"/>
          <w:lang w:bidi="ar"/>
          <w14:ligatures w14:val="none"/>
        </w:rPr>
        <w:t>A252031</w:t>
      </w:r>
      <w:r>
        <w:rPr>
          <w:rFonts w:hint="eastAsia" w:ascii="Times New Roman" w:hAnsi="Times New Roman" w:eastAsia="宋体" w:cs="宋体"/>
          <w:szCs w:val="28"/>
          <w:highlight w:val="none"/>
          <w:lang w:val="en-US" w:eastAsia="zh-CN" w:bidi="ar"/>
          <w14:ligatures w14:val="none"/>
        </w:rPr>
        <w:t>327</w:t>
      </w:r>
      <w:r>
        <w:rPr>
          <w:rFonts w:hint="eastAsia" w:ascii="Times New Roman" w:hAnsi="Times New Roman" w:eastAsia="宋体" w:cs="宋体"/>
          <w:szCs w:val="28"/>
          <w:highlight w:val="none"/>
          <w:lang w:bidi="ar"/>
          <w14:ligatures w14:val="none"/>
        </w:rPr>
        <w:t>。</w:t>
      </w:r>
    </w:p>
    <w:p w14:paraId="36A4DC59">
      <w:pPr>
        <w:ind w:firstLine="560"/>
        <w:rPr>
          <w:rFonts w:ascii="Times New Roman" w:hAnsi="Times New Roman" w:eastAsia="宋体" w:cs="宋体"/>
          <w:szCs w:val="28"/>
          <w:highlight w:val="none"/>
          <w:lang w:bidi="ar"/>
          <w14:ligatures w14:val="none"/>
        </w:rPr>
      </w:pPr>
      <w:r>
        <w:rPr>
          <w:rFonts w:hint="eastAsia" w:ascii="Times New Roman" w:hAnsi="Times New Roman" w:eastAsia="宋体" w:cs="宋体"/>
          <w:szCs w:val="28"/>
          <w:highlight w:val="none"/>
          <w:lang w:bidi="ar"/>
          <w14:ligatures w14:val="none"/>
        </w:rPr>
        <w:t>（2）施工单位：辽宁光磊建设工程有限公司：石油化工工程施工总承包贰级等，证书编号：D221009597。</w:t>
      </w:r>
    </w:p>
    <w:p w14:paraId="0D70273A">
      <w:pPr>
        <w:keepNext/>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15" w:name="_Toc1254"/>
      <w:bookmarkStart w:id="16" w:name="_Toc22200"/>
      <w:bookmarkStart w:id="17" w:name="_Toc218437729"/>
      <w:bookmarkStart w:id="18" w:name="_Toc26869"/>
      <w:bookmarkStart w:id="19" w:name="_Toc9000"/>
      <w:bookmarkStart w:id="20" w:name="_Toc361059941"/>
      <w:r>
        <w:rPr>
          <w:rFonts w:ascii="Times New Roman" w:hAnsi="Times New Roman" w:eastAsia="楷体" w:cs="宋体"/>
          <w:b/>
          <w:bCs/>
          <w:sz w:val="32"/>
          <w:szCs w:val="28"/>
          <w:lang w:bidi="ar"/>
          <w14:ligatures w14:val="none"/>
        </w:rPr>
        <w:t>2.3采用的主要技术、工艺和同类项目水平对比情况</w:t>
      </w:r>
      <w:bookmarkEnd w:id="15"/>
      <w:bookmarkEnd w:id="16"/>
      <w:bookmarkEnd w:id="17"/>
      <w:bookmarkEnd w:id="18"/>
    </w:p>
    <w:p w14:paraId="229D8788">
      <w:pPr>
        <w:spacing w:before="156" w:beforeLines="50" w:after="156" w:afterLines="50"/>
        <w:ind w:firstLine="562"/>
        <w:outlineLvl w:val="2"/>
        <w:rPr>
          <w:rFonts w:ascii="Times New Roman" w:hAnsi="Times New Roman" w:eastAsia="黑体" w:cs="Times New Roman"/>
          <w:b/>
          <w:bCs/>
          <w:kern w:val="0"/>
          <w:szCs w:val="20"/>
          <w14:ligatures w14:val="none"/>
        </w:rPr>
      </w:pPr>
      <w:bookmarkStart w:id="21" w:name="_Toc25590"/>
      <w:r>
        <w:rPr>
          <w:rFonts w:ascii="Times New Roman" w:hAnsi="Times New Roman" w:eastAsia="黑体" w:cs="Times New Roman"/>
          <w:b/>
          <w:bCs/>
          <w:kern w:val="0"/>
          <w:szCs w:val="20"/>
          <w14:ligatures w14:val="none"/>
        </w:rPr>
        <w:t>2.3.1</w:t>
      </w:r>
      <w:bookmarkEnd w:id="19"/>
      <w:bookmarkEnd w:id="20"/>
      <w:r>
        <w:rPr>
          <w:rFonts w:ascii="Times New Roman" w:hAnsi="Times New Roman" w:eastAsia="黑体" w:cs="Times New Roman"/>
          <w:b/>
          <w:bCs/>
          <w:kern w:val="0"/>
          <w:szCs w:val="20"/>
          <w14:ligatures w14:val="none"/>
        </w:rPr>
        <w:t>建设项目采用的主要技术、工艺</w:t>
      </w:r>
      <w:bookmarkEnd w:id="21"/>
    </w:p>
    <w:p w14:paraId="10652D5F">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按照国家有关环境保护标准和政府有关环境保护法规、法令的要求，</w:t>
      </w: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的储油罐采用了内钢外玻璃纤维增强塑料双层储罐，可有效避免渗漏油品进入地下环境，污染土壤和地下水，呈卧式埋地设置；加油管道双层热塑性塑料加油管道，其他工艺管线采用无缝钢管；储罐及加油管道拥有均匀的夹层空间并配有一个和夹层空间相通的检测立管，可以随时监测油罐是否泄漏，并远传至</w:t>
      </w:r>
      <w:r>
        <w:rPr>
          <w:rFonts w:hint="eastAsia" w:ascii="Times New Roman" w:hAnsi="Times New Roman" w:eastAsia="宋体" w:cs="宋体"/>
          <w:szCs w:val="28"/>
          <w:lang w:bidi="ar"/>
          <w14:ligatures w14:val="none"/>
        </w:rPr>
        <w:t>站房内</w:t>
      </w:r>
      <w:r>
        <w:rPr>
          <w:rFonts w:ascii="Times New Roman" w:hAnsi="Times New Roman" w:eastAsia="宋体" w:cs="宋体"/>
          <w:szCs w:val="28"/>
          <w:lang w:bidi="ar"/>
          <w14:ligatures w14:val="none"/>
        </w:rPr>
        <w:t>的防渗漏检测装置。</w:t>
      </w:r>
    </w:p>
    <w:p w14:paraId="148A5B7F">
      <w:pPr>
        <w:ind w:firstLine="560"/>
        <w:rPr>
          <w:rFonts w:ascii="Times New Roman" w:hAnsi="Times New Roman" w:eastAsia="宋体" w:cs="宋体"/>
          <w:szCs w:val="28"/>
          <w:lang w:bidi="ar"/>
          <w14:ligatures w14:val="none"/>
        </w:rPr>
      </w:pPr>
      <w:bookmarkStart w:id="22" w:name="_Toc12908"/>
      <w:r>
        <w:rPr>
          <w:rFonts w:ascii="Times New Roman" w:hAnsi="Times New Roman" w:eastAsia="宋体" w:cs="宋体"/>
          <w:szCs w:val="28"/>
          <w:lang w:bidi="ar"/>
          <w14:ligatures w14:val="none"/>
        </w:rPr>
        <w:t>加油站的主要工艺分为卸油工艺和加油工艺。</w:t>
      </w:r>
    </w:p>
    <w:p w14:paraId="1AE4E3A4">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采用的卸油工艺为密闭卸油，分为车用乙醇汽油密闭卸油工艺和柴油密闭卸油工艺。车用乙醇汽油密闭卸油设油气回收系统，采用平衡式密闭回收系统；卸油油气回收管道采用非自闭式快速接头，在靠近快速接头的连接管道上装设阀门。</w:t>
      </w:r>
    </w:p>
    <w:p w14:paraId="59FDCF83">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采用的加油工艺为</w:t>
      </w:r>
      <w:r>
        <w:rPr>
          <w:rFonts w:hint="eastAsia" w:ascii="Times New Roman" w:hAnsi="Times New Roman" w:eastAsia="宋体" w:cs="宋体"/>
          <w:szCs w:val="28"/>
          <w:lang w:val="en-US" w:eastAsia="zh-CN" w:bidi="ar"/>
          <w14:ligatures w14:val="none"/>
        </w:rPr>
        <w:t>潜油泵式</w:t>
      </w:r>
      <w:r>
        <w:rPr>
          <w:rFonts w:ascii="Times New Roman" w:hAnsi="Times New Roman" w:eastAsia="宋体" w:cs="宋体"/>
          <w:szCs w:val="28"/>
          <w:lang w:bidi="ar"/>
          <w14:ligatures w14:val="none"/>
        </w:rPr>
        <w:t>加油工艺。车用乙醇汽油加油工艺设油气回收系统，采用真空辅助式油气回收系统，采取防止油气反向流至加油枪的措施。</w:t>
      </w:r>
    </w:p>
    <w:p w14:paraId="790EB29F">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采用的</w:t>
      </w:r>
      <w:r>
        <w:rPr>
          <w:rFonts w:hint="eastAsia" w:ascii="Times New Roman" w:hAnsi="Times New Roman" w:eastAsia="宋体" w:cs="宋体"/>
          <w:szCs w:val="28"/>
          <w:lang w:val="en-US" w:eastAsia="zh-CN" w:bidi="ar"/>
          <w14:ligatures w14:val="none"/>
        </w:rPr>
        <w:t>潜油泵</w:t>
      </w:r>
      <w:r>
        <w:rPr>
          <w:rFonts w:ascii="Times New Roman" w:hAnsi="Times New Roman" w:eastAsia="宋体" w:cs="宋体"/>
          <w:szCs w:val="28"/>
          <w:lang w:bidi="ar"/>
          <w14:ligatures w14:val="none"/>
        </w:rPr>
        <w:t>式加油机，分散式真空泵和具备油气回收功能的自封式加油枪，加油软管自带安全拉断阀。</w:t>
      </w:r>
      <w:r>
        <w:rPr>
          <w:rFonts w:hint="eastAsia" w:ascii="Times New Roman" w:hAnsi="Times New Roman" w:eastAsia="宋体" w:cs="宋体"/>
          <w:szCs w:val="28"/>
          <w:lang w:val="en-US" w:eastAsia="zh-CN" w:bidi="ar"/>
          <w14:ligatures w14:val="none"/>
        </w:rPr>
        <w:t>拉断</w:t>
      </w:r>
      <w:r>
        <w:rPr>
          <w:rFonts w:hint="eastAsia" w:ascii="Times New Roman" w:hAnsi="Times New Roman" w:eastAsia="宋体" w:cs="宋体"/>
          <w:szCs w:val="28"/>
          <w:lang w:bidi="ar"/>
          <w14:ligatures w14:val="none"/>
        </w:rPr>
        <w:t>阀的</w:t>
      </w:r>
      <w:r>
        <w:rPr>
          <w:rFonts w:ascii="Times New Roman" w:hAnsi="Times New Roman" w:eastAsia="宋体" w:cs="宋体"/>
          <w:szCs w:val="28"/>
          <w:lang w:bidi="ar"/>
          <w14:ligatures w14:val="none"/>
        </w:rPr>
        <w:t>作用</w:t>
      </w:r>
      <w:r>
        <w:rPr>
          <w:rFonts w:hint="eastAsia" w:ascii="Times New Roman" w:hAnsi="Times New Roman" w:eastAsia="宋体" w:cs="宋体"/>
          <w:szCs w:val="28"/>
          <w:lang w:val="en-US" w:eastAsia="zh-CN" w:bidi="ar"/>
          <w14:ligatures w14:val="none"/>
        </w:rPr>
        <w:t>为</w:t>
      </w:r>
      <w:r>
        <w:rPr>
          <w:rFonts w:hint="eastAsia" w:ascii="Times New Roman" w:hAnsi="Times New Roman" w:eastAsia="宋体" w:cs="宋体"/>
          <w:szCs w:val="28"/>
          <w:lang w:bidi="ar"/>
          <w14:ligatures w14:val="none"/>
        </w:rPr>
        <w:t>：可以在加油机被拉断时迅速关闭油气管道，防止燃油泄漏，确保加油站的安全运营</w:t>
      </w:r>
      <w:r>
        <w:rPr>
          <w:rFonts w:ascii="Times New Roman" w:hAnsi="Times New Roman" w:eastAsia="宋体" w:cs="宋体"/>
          <w:szCs w:val="28"/>
          <w:lang w:bidi="ar"/>
          <w14:ligatures w14:val="none"/>
        </w:rPr>
        <w:t>。</w:t>
      </w:r>
    </w:p>
    <w:p w14:paraId="43E77C64">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量油工艺采用液位仪与人工量油结合的量油方式。</w:t>
      </w:r>
    </w:p>
    <w:p w14:paraId="229BE145">
      <w:pPr>
        <w:keepNext/>
        <w:spacing w:before="156" w:beforeLines="50" w:after="156" w:afterLines="50"/>
        <w:ind w:firstLine="562"/>
        <w:outlineLvl w:val="2"/>
        <w:rPr>
          <w:rFonts w:ascii="Times New Roman" w:hAnsi="Times New Roman" w:eastAsia="黑体" w:cs="Times New Roman"/>
          <w:b/>
          <w:bCs/>
          <w:kern w:val="0"/>
          <w:szCs w:val="20"/>
          <w14:ligatures w14:val="none"/>
        </w:rPr>
      </w:pPr>
      <w:r>
        <w:rPr>
          <w:rFonts w:ascii="Times New Roman" w:hAnsi="Times New Roman" w:eastAsia="黑体" w:cs="Times New Roman"/>
          <w:b/>
          <w:bCs/>
          <w:kern w:val="0"/>
          <w:szCs w:val="20"/>
          <w14:ligatures w14:val="none"/>
        </w:rPr>
        <w:t>2.3.2项目产业政策的符合性</w:t>
      </w:r>
    </w:p>
    <w:p w14:paraId="511DDED8">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根据《产业结构调整指导目录（2024年本）》</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2023年12月1日经国家发展改革委第6次委务会通过</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2023年12月27日国家发展改革委令第7号公布</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自2024年2月1日起施行</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w:t>
      </w: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未采用和使用国家明令淘汰、禁止使用的工艺、设备。</w:t>
      </w:r>
    </w:p>
    <w:p w14:paraId="01FAE8F4">
      <w:pPr>
        <w:keepNext/>
        <w:spacing w:before="156" w:beforeLines="50" w:after="156" w:afterLines="50"/>
        <w:ind w:firstLine="562"/>
        <w:outlineLvl w:val="2"/>
        <w:rPr>
          <w:rFonts w:ascii="Times New Roman" w:hAnsi="Times New Roman" w:eastAsia="黑体" w:cs="Times New Roman"/>
          <w:b/>
          <w:bCs/>
          <w:kern w:val="0"/>
          <w:szCs w:val="20"/>
          <w14:ligatures w14:val="none"/>
        </w:rPr>
      </w:pPr>
      <w:r>
        <w:rPr>
          <w:rFonts w:ascii="Times New Roman" w:hAnsi="Times New Roman" w:eastAsia="黑体" w:cs="Times New Roman"/>
          <w:b/>
          <w:bCs/>
          <w:kern w:val="0"/>
          <w:szCs w:val="20"/>
          <w14:ligatures w14:val="none"/>
        </w:rPr>
        <w:t>2.3.3与国内外同类建设项目水平对比情况</w:t>
      </w:r>
      <w:bookmarkEnd w:id="22"/>
    </w:p>
    <w:p w14:paraId="11C77C03">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加油站加油工艺过程主要是完成油品卸入（入埋地油罐）和油品输出（出售）的过程，该站工艺过程采用密闭卸油和加油方式，卸油、加油和储油工艺技术是普遍采用的成熟的技术，设备及工艺安全可靠。</w:t>
      </w:r>
    </w:p>
    <w:p w14:paraId="2CED2861">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随着我国科技技术的不断发展，现在已经有先进的卸油油气回收系统。卸油时采用油气回收系统可以使油罐内的油气在卸油的同时回收到油罐车内，加油油气回收系统可以将给汽车加油时产生的油气密闭回收至埋地油罐内，不向大气中排放，在保证安全的同时减少了环境污染。</w:t>
      </w:r>
    </w:p>
    <w:p w14:paraId="3849141B">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SF双层罐是内钢外玻璃纤维增强塑料双层油罐的简称。我国的双层油罐技术起步较晚，与发达国家存在一定差距，目前技术已经相当成熟，并在中石油、中石化、壳牌等公司加油站使用。据统计，双层罐在日本、欧美等发达国家加油站的应用由1985年的7.1%快速增加到2009年末的98%。SF双层罐能够如此迅速的推广使用，主要体现在它的安全性、环保性等优势。</w:t>
      </w:r>
    </w:p>
    <w:p w14:paraId="1C25F459">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所采用的工艺技术为</w:t>
      </w:r>
      <w:r>
        <w:rPr>
          <w:rFonts w:hint="eastAsia" w:ascii="Times New Roman" w:hAnsi="Times New Roman" w:eastAsia="宋体" w:cs="宋体"/>
          <w:szCs w:val="28"/>
          <w:lang w:bidi="ar"/>
          <w14:ligatures w14:val="none"/>
        </w:rPr>
        <w:t>成熟</w:t>
      </w:r>
      <w:r>
        <w:rPr>
          <w:rFonts w:ascii="Times New Roman" w:hAnsi="Times New Roman" w:eastAsia="宋体" w:cs="宋体"/>
          <w:szCs w:val="28"/>
          <w:lang w:bidi="ar"/>
          <w14:ligatures w14:val="none"/>
        </w:rPr>
        <w:t>可靠的工艺。</w:t>
      </w: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不属于《产业结构调整指导目录（2024年本）》</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2023年12月1日经国家发展改革委第6次委务会通过</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2023年12月27日国家发展改革委令第7号公布</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自2024年2月1日起施行</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限制类和淘汰类。</w:t>
      </w:r>
    </w:p>
    <w:p w14:paraId="43D753A1">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经查阅《国家安全监管总局关于印发淘汰落后安全技术装备目录（2015年第一批）的通知》（安监总科技[2015]75号）、《关于印发淘汰落后安全技术工艺、设备目录（2016年）的通知》（安监总科技[2016]137号）、《应急管理部办公厅关于印发淘汰落后危险化学品安全生产工艺技术设备目录（第一批）的通知》（应急厅〔2020〕38号）和《应急管理部办公厅关于印发淘汰落后危险化学品安全生产工艺技术设备目录（第二批）的通知》（应急厅[2024]86号），该站使用的生产工艺和设备不属于淘汰落后安全技术装备。</w:t>
      </w:r>
    </w:p>
    <w:p w14:paraId="381A6B6A">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综上所述，该站工艺过程简单，所涉技术不复杂，上述安全设备、设施与国内、外同类加油站相比较，应用较为普通，技术成熟、安全可靠。</w:t>
      </w:r>
    </w:p>
    <w:p w14:paraId="2B89E9F1">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23" w:name="_Toc218437730"/>
      <w:r>
        <w:rPr>
          <w:rFonts w:hint="eastAsia" w:ascii="Times New Roman" w:hAnsi="Times New Roman" w:eastAsia="楷体" w:cs="宋体"/>
          <w:b/>
          <w:bCs/>
          <w:sz w:val="32"/>
          <w:szCs w:val="28"/>
          <w:lang w:bidi="ar"/>
          <w14:ligatures w14:val="none"/>
        </w:rPr>
        <w:t>2.4建设项目的地理位置、用地面积和储存规模</w:t>
      </w:r>
      <w:bookmarkEnd w:id="23"/>
    </w:p>
    <w:p w14:paraId="64E07C78">
      <w:pPr>
        <w:spacing w:before="156" w:beforeLines="50" w:after="156" w:afterLines="50"/>
        <w:ind w:firstLine="562"/>
        <w:outlineLvl w:val="2"/>
        <w:rPr>
          <w:rFonts w:ascii="Times New Roman" w:hAnsi="Times New Roman" w:eastAsia="黑体" w:cs="Times New Roman"/>
          <w:b/>
          <w:bCs/>
          <w:kern w:val="0"/>
          <w:szCs w:val="20"/>
          <w14:ligatures w14:val="none"/>
        </w:rPr>
      </w:pPr>
      <w:r>
        <w:rPr>
          <w:rFonts w:hint="eastAsia" w:ascii="Times New Roman" w:hAnsi="Times New Roman" w:eastAsia="黑体" w:cs="Times New Roman"/>
          <w:b/>
          <w:bCs/>
          <w:kern w:val="0"/>
          <w:szCs w:val="20"/>
          <w14:ligatures w14:val="none"/>
        </w:rPr>
        <w:t>2.4.1地理位置及周边环境</w:t>
      </w:r>
    </w:p>
    <w:p w14:paraId="678E369F">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rPr>
        <mc:AlternateContent>
          <mc:Choice Requires="wps">
            <w:drawing>
              <wp:anchor distT="0" distB="0" distL="114300" distR="114300" simplePos="0" relativeHeight="251660288" behindDoc="0" locked="0" layoutInCell="1" allowOverlap="1">
                <wp:simplePos x="0" y="0"/>
                <wp:positionH relativeFrom="column">
                  <wp:posOffset>5630545</wp:posOffset>
                </wp:positionH>
                <wp:positionV relativeFrom="paragraph">
                  <wp:posOffset>3079115</wp:posOffset>
                </wp:positionV>
                <wp:extent cx="266065" cy="371475"/>
                <wp:effectExtent l="15240" t="8890" r="23495" b="19685"/>
                <wp:wrapNone/>
                <wp:docPr id="1404096961" name="箭头: 上 178"/>
                <wp:cNvGraphicFramePr/>
                <a:graphic xmlns:a="http://schemas.openxmlformats.org/drawingml/2006/main">
                  <a:graphicData uri="http://schemas.microsoft.com/office/word/2010/wordprocessingShape">
                    <wps:wsp>
                      <wps:cNvSpPr/>
                      <wps:spPr>
                        <a:xfrm>
                          <a:off x="0" y="0"/>
                          <a:ext cx="266065" cy="371475"/>
                        </a:xfrm>
                        <a:prstGeom prst="up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箭头: 上 178" o:spid="_x0000_s1026" o:spt="68" type="#_x0000_t68" style="position:absolute;left:0pt;margin-left:443.35pt;margin-top:242.45pt;height:29.25pt;width:20.95pt;z-index:251660288;v-text-anchor:middle;mso-width-relative:page;mso-height-relative:page;" fillcolor="#FFFFFF [3201]" filled="t" stroked="t" coordsize="21600,21600" o:gfxdata="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LVtpXzbAAAACwEAAA8AAAAAAAAA&#10;AQAgAAAAIgAAAGRycy9kb3ducmV2LnhtbFBLAQIUABQAAAAIAIdO4kDxwxjSgAIAAAYFAAAOAAAA&#10;AAAAAAEAIAAAACoBAABkcnMvZTJvRG9jLnhtbFBLBQYAAAAABgAGAFkBAAAcBgAAAAA=&#10;" adj="7735,5400">
                <v:fill on="t" focussize="0,0"/>
                <v:stroke weight="1pt" color="#000000 [3200]" miterlimit="8" joinstyle="miter"/>
                <v:imagedata o:title=""/>
                <o:lock v:ext="edit" aspectratio="f"/>
              </v:shape>
            </w:pict>
          </mc:Fallback>
        </mc:AlternateContent>
      </w:r>
      <w:r>
        <w:rPr>
          <w:rFonts w:hint="eastAsia" w:ascii="Times New Roman" w:hAnsi="Times New Roman" w:eastAsia="宋体" w:cs="宋体"/>
          <w:szCs w:val="28"/>
          <w:lang w:eastAsia="zh-CN" w:bidi="ar"/>
          <w14:ligatures w14:val="none"/>
        </w:rPr>
        <w:t>星火特加油站</w:t>
      </w:r>
      <w:r>
        <w:rPr>
          <w:rFonts w:ascii="Times New Roman" w:hAnsi="Times New Roman" w:eastAsia="宋体" w:cs="宋体"/>
          <w:szCs w:val="28"/>
          <w:lang w:bidi="ar"/>
          <w14:ligatures w14:val="none"/>
        </w:rPr>
        <w:t>位于</w:t>
      </w:r>
      <w:r>
        <w:rPr>
          <w:rFonts w:hint="eastAsia" w:ascii="Times New Roman" w:hAnsi="Times New Roman" w:eastAsia="宋体" w:cs="宋体"/>
          <w:szCs w:val="28"/>
          <w:lang w:eastAsia="zh-CN" w:bidi="ar"/>
          <w14:ligatures w14:val="none"/>
        </w:rPr>
        <w:t>沈阳市于洪区大兴乡孤家子村</w:t>
      </w:r>
      <w:r>
        <w:rPr>
          <w:rFonts w:hint="eastAsia" w:ascii="Times New Roman" w:hAnsi="Times New Roman" w:eastAsia="宋体" w:cs="宋体"/>
          <w:szCs w:val="28"/>
          <w:lang w:bidi="ar"/>
          <w14:ligatures w14:val="none"/>
        </w:rPr>
        <w:t>，站区</w:t>
      </w:r>
      <w:r>
        <w:rPr>
          <w:rFonts w:hint="eastAsia" w:ascii="Times New Roman" w:hAnsi="Times New Roman" w:eastAsia="宋体" w:cs="宋体"/>
          <w:szCs w:val="28"/>
          <w:lang w:val="en-US" w:eastAsia="zh-CN" w:bidi="ar"/>
          <w14:ligatures w14:val="none"/>
        </w:rPr>
        <w:t>南</w:t>
      </w:r>
      <w:r>
        <w:rPr>
          <w:rFonts w:hint="eastAsia" w:ascii="Times New Roman" w:hAnsi="Times New Roman" w:eastAsia="宋体" w:cs="宋体"/>
          <w:szCs w:val="28"/>
          <w:lang w:bidi="ar"/>
          <w14:ligatures w14:val="none"/>
        </w:rPr>
        <w:t>侧为</w:t>
      </w:r>
      <w:r>
        <w:rPr>
          <w:rFonts w:hint="eastAsia" w:ascii="Times New Roman" w:hAnsi="Times New Roman" w:eastAsia="宋体" w:cs="宋体"/>
          <w:szCs w:val="28"/>
          <w:lang w:val="en-US" w:eastAsia="zh-CN" w:bidi="ar"/>
          <w14:ligatures w14:val="none"/>
        </w:rPr>
        <w:t>木材加工厂厂房（丙类物品生产厂房）及机械加工厂厂房（丁类）；西侧为一条小路（次干路）、一条架空通讯线（</w:t>
      </w:r>
      <w:r>
        <w:rPr>
          <w:rFonts w:hint="eastAsia" w:ascii="Times New Roman" w:hAnsi="Times New Roman" w:eastAsia="宋体" w:cs="宋体"/>
          <w:szCs w:val="28"/>
          <w:lang w:bidi="ar"/>
          <w14:ligatures w14:val="none"/>
        </w:rPr>
        <w:t>H=</w:t>
      </w:r>
      <w:r>
        <w:rPr>
          <w:rFonts w:hint="eastAsia" w:ascii="Times New Roman" w:hAnsi="Times New Roman" w:eastAsia="宋体" w:cs="宋体"/>
          <w:szCs w:val="28"/>
          <w:lang w:val="en-US" w:eastAsia="zh-CN" w:bidi="ar"/>
          <w14:ligatures w14:val="none"/>
        </w:rPr>
        <w:t>6</w:t>
      </w:r>
      <w:r>
        <w:rPr>
          <w:rFonts w:hint="eastAsia" w:ascii="Times New Roman" w:hAnsi="Times New Roman" w:eastAsia="宋体" w:cs="宋体"/>
          <w:szCs w:val="28"/>
          <w:lang w:bidi="ar"/>
          <w14:ligatures w14:val="none"/>
        </w:rPr>
        <w:t>m</w:t>
      </w:r>
      <w:r>
        <w:rPr>
          <w:rFonts w:hint="eastAsia" w:ascii="Times New Roman" w:hAnsi="Times New Roman" w:eastAsia="宋体" w:cs="宋体"/>
          <w:szCs w:val="28"/>
          <w:lang w:val="en-US" w:eastAsia="zh-CN" w:bidi="ar"/>
          <w14:ligatures w14:val="none"/>
        </w:rPr>
        <w:t>）及物流中心的丙类仓库；北侧为红兴路（主干路）、一条架空电力线（</w:t>
      </w:r>
      <w:r>
        <w:rPr>
          <w:rFonts w:hint="eastAsia" w:ascii="Times New Roman" w:hAnsi="Times New Roman" w:eastAsia="宋体" w:cs="宋体"/>
          <w:szCs w:val="28"/>
          <w:lang w:bidi="ar"/>
          <w14:ligatures w14:val="none"/>
        </w:rPr>
        <w:t>H=</w:t>
      </w:r>
      <w:r>
        <w:rPr>
          <w:rFonts w:hint="eastAsia" w:ascii="Times New Roman" w:hAnsi="Times New Roman" w:eastAsia="宋体" w:cs="宋体"/>
          <w:szCs w:val="28"/>
          <w:lang w:val="en-US" w:eastAsia="zh-CN" w:bidi="ar"/>
          <w14:ligatures w14:val="none"/>
        </w:rPr>
        <w:t>8</w:t>
      </w:r>
      <w:r>
        <w:rPr>
          <w:rFonts w:hint="eastAsia" w:ascii="Times New Roman" w:hAnsi="Times New Roman" w:eastAsia="宋体" w:cs="宋体"/>
          <w:szCs w:val="28"/>
          <w:lang w:bidi="ar"/>
          <w14:ligatures w14:val="none"/>
        </w:rPr>
        <w:t>m</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有绝缘层）、一条架空通讯线（</w:t>
      </w:r>
      <w:r>
        <w:rPr>
          <w:rFonts w:hint="eastAsia" w:ascii="Times New Roman" w:hAnsi="Times New Roman" w:eastAsia="宋体" w:cs="宋体"/>
          <w:szCs w:val="28"/>
          <w:lang w:bidi="ar"/>
          <w14:ligatures w14:val="none"/>
        </w:rPr>
        <w:t>H=</w:t>
      </w:r>
      <w:r>
        <w:rPr>
          <w:rFonts w:hint="eastAsia" w:ascii="Times New Roman" w:hAnsi="Times New Roman" w:eastAsia="宋体" w:cs="宋体"/>
          <w:szCs w:val="28"/>
          <w:lang w:val="en-US" w:eastAsia="zh-CN" w:bidi="ar"/>
          <w14:ligatures w14:val="none"/>
        </w:rPr>
        <w:t>8</w:t>
      </w:r>
      <w:r>
        <w:rPr>
          <w:rFonts w:hint="eastAsia" w:ascii="Times New Roman" w:hAnsi="Times New Roman" w:eastAsia="宋体" w:cs="宋体"/>
          <w:szCs w:val="28"/>
          <w:lang w:bidi="ar"/>
          <w14:ligatures w14:val="none"/>
        </w:rPr>
        <w:t>m</w:t>
      </w:r>
      <w:r>
        <w:rPr>
          <w:rFonts w:hint="eastAsia" w:ascii="Times New Roman" w:hAnsi="Times New Roman" w:eastAsia="宋体" w:cs="宋体"/>
          <w:szCs w:val="28"/>
          <w:lang w:val="en-US" w:eastAsia="zh-CN" w:bidi="ar"/>
          <w14:ligatures w14:val="none"/>
        </w:rPr>
        <w:t>）及杆式变压器（丙类物品生产厂房）；东侧为充电桩、临时办公室（三类保护物）及一台箱式变压器（丙类物品生产厂房）</w:t>
      </w:r>
      <w:r>
        <w:rPr>
          <w:rFonts w:hint="eastAsia" w:ascii="Times New Roman" w:hAnsi="Times New Roman" w:eastAsia="宋体" w:cs="宋体"/>
          <w:szCs w:val="28"/>
          <w:lang w:bidi="ar"/>
          <w14:ligatures w14:val="none"/>
        </w:rPr>
        <w:t>。该站周边无重要公共设施，交通便利，且站址所在区域内没有重点文物等保护单位、风景名胜区和珍稀动植物资源等敏感点，站区地势平坦。地理位置见图2.4-1，</w:t>
      </w:r>
      <w:r>
        <w:rPr>
          <w:rFonts w:ascii="Times New Roman" w:hAnsi="Times New Roman" w:eastAsia="宋体" w:cs="宋体"/>
          <w:szCs w:val="28"/>
          <w:lang w:bidi="ar"/>
          <w14:ligatures w14:val="none"/>
        </w:rPr>
        <w:t>周边环境及总平面布置详见图2.6-5</w:t>
      </w:r>
      <w:r>
        <w:rPr>
          <w:rFonts w:hint="eastAsia" w:ascii="Times New Roman" w:hAnsi="Times New Roman" w:eastAsia="宋体" w:cs="宋体"/>
          <w:szCs w:val="28"/>
          <w:lang w:bidi="ar"/>
          <w14:ligatures w14:val="none"/>
        </w:rPr>
        <w:t>。</w:t>
      </w:r>
    </w:p>
    <w:p w14:paraId="5346B138">
      <w:pPr>
        <w:ind w:firstLine="0" w:firstLineChars="0"/>
        <w:rPr>
          <w:rFonts w:ascii="Times New Roman" w:hAnsi="Times New Roman" w:eastAsia="宋体" w:cs="宋体"/>
          <w:szCs w:val="28"/>
          <w:lang w:bidi="ar"/>
          <w14:ligatures w14:val="none"/>
        </w:rPr>
      </w:pPr>
      <w:r>
        <w:rPr>
          <w:rFonts w:ascii="Times New Roman" w:hAnsi="Times New Roman" w:eastAsia="宋体" w:cs="宋体"/>
          <w:szCs w:val="28"/>
          <w:lang w:bidi="ar"/>
        </w:rPr>
        <mc:AlternateContent>
          <mc:Choice Requires="wps">
            <w:drawing>
              <wp:anchor distT="0" distB="0" distL="114300" distR="114300" simplePos="0" relativeHeight="251661312" behindDoc="0" locked="0" layoutInCell="1" allowOverlap="1">
                <wp:simplePos x="0" y="0"/>
                <wp:positionH relativeFrom="column">
                  <wp:posOffset>5573395</wp:posOffset>
                </wp:positionH>
                <wp:positionV relativeFrom="paragraph">
                  <wp:posOffset>90170</wp:posOffset>
                </wp:positionV>
                <wp:extent cx="361950" cy="257175"/>
                <wp:effectExtent l="0" t="0" r="0" b="9525"/>
                <wp:wrapNone/>
                <wp:docPr id="673897292" name="文本框 32"/>
                <wp:cNvGraphicFramePr/>
                <a:graphic xmlns:a="http://schemas.openxmlformats.org/drawingml/2006/main">
                  <a:graphicData uri="http://schemas.microsoft.com/office/word/2010/wordprocessingShape">
                    <wps:wsp>
                      <wps:cNvSpPr txBox="1"/>
                      <wps:spPr>
                        <a:xfrm>
                          <a:off x="0" y="0"/>
                          <a:ext cx="361950" cy="2571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FEB1D41">
                            <w:pPr>
                              <w:pStyle w:val="43"/>
                            </w:pPr>
                            <w:r>
                              <w:rPr>
                                <w:rFonts w:hint="eastAsia"/>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2" o:spid="_x0000_s1026" o:spt="202" type="#_x0000_t202" style="position:absolute;left:0pt;margin-left:438.85pt;margin-top:7.1pt;height:20.25pt;width:28.5pt;z-index:251661312;mso-width-relative:page;mso-height-relative:page;" filled="f" stroked="f" coordsize="21600,21600" o:gfxdata="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S1Rx3XAAAACQEAAA8AAAAAAAAAAQAgAAAAIgAAAGRycy9k&#10;b3ducmV2LnhtbFBLAQIUABQAAAAIAIdO4kDU0eMNPAIAAGUEAAAOAAAAAAAAAAEAIAAAACYBAABk&#10;cnMvZTJvRG9jLnhtbFBLBQYAAAAABgAGAFkBAADUBQAAAAA=&#10;">
                <v:fill on="f" focussize="0,0"/>
                <v:stroke on="f"/>
                <v:imagedata o:title=""/>
                <o:lock v:ext="edit" aspectratio="f"/>
                <v:textbox>
                  <w:txbxContent>
                    <w:p w14:paraId="1FEB1D41">
                      <w:pPr>
                        <w:pStyle w:val="43"/>
                      </w:pPr>
                      <w:r>
                        <w:rPr>
                          <w:rFonts w:hint="eastAsia"/>
                        </w:rPr>
                        <w:t>N</w:t>
                      </w:r>
                    </w:p>
                  </w:txbxContent>
                </v:textbox>
              </v:shape>
            </w:pict>
          </mc:Fallback>
        </mc:AlternateContent>
      </w:r>
    </w:p>
    <w:p w14:paraId="534D28F9">
      <w:pPr>
        <w:pStyle w:val="43"/>
        <w:spacing w:before="156" w:beforeLines="50" w:after="156" w:afterLines="50"/>
        <w:rPr>
          <w:rFonts w:eastAsia="黑体"/>
          <w:sz w:val="24"/>
        </w:rPr>
      </w:pPr>
      <w:r>
        <w:rPr>
          <w:rFonts w:hint="eastAsia" w:eastAsia="黑体"/>
          <w:sz w:val="24"/>
        </w:rPr>
        <w:t>图2.4.1  地理位置图</w:t>
      </w:r>
    </w:p>
    <w:p w14:paraId="48273975">
      <w:pPr>
        <w:spacing w:before="156" w:beforeLines="50" w:after="156" w:afterLines="50"/>
        <w:ind w:firstLine="562"/>
        <w:outlineLvl w:val="2"/>
        <w:rPr>
          <w:rFonts w:ascii="Times New Roman" w:hAnsi="Times New Roman" w:eastAsia="黑体" w:cs="Times New Roman"/>
          <w:b/>
          <w:bCs/>
          <w:kern w:val="0"/>
          <w:szCs w:val="20"/>
          <w14:ligatures w14:val="none"/>
        </w:rPr>
      </w:pPr>
      <w:r>
        <w:rPr>
          <w:rFonts w:hint="eastAsia" w:ascii="Times New Roman" w:hAnsi="Times New Roman" w:eastAsia="黑体" w:cs="Times New Roman"/>
          <w:b/>
          <w:bCs/>
          <w:kern w:val="0"/>
          <w:szCs w:val="20"/>
          <w14:ligatures w14:val="none"/>
        </w:rPr>
        <w:t>2.4.2用地面积</w:t>
      </w:r>
    </w:p>
    <w:p w14:paraId="23D42BBA">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本项目无新增用地。该站站房占地面积为</w:t>
      </w:r>
      <w:r>
        <w:rPr>
          <w:rFonts w:hint="eastAsia" w:ascii="Times New Roman" w:hAnsi="Times New Roman" w:eastAsia="宋体" w:cs="宋体"/>
          <w:szCs w:val="28"/>
          <w:lang w:val="en-US" w:eastAsia="zh-CN" w:bidi="ar"/>
          <w14:ligatures w14:val="none"/>
        </w:rPr>
        <w:t>458.8</w:t>
      </w:r>
      <w:r>
        <w:rPr>
          <w:rFonts w:hint="eastAsia" w:ascii="Times New Roman" w:hAnsi="Times New Roman" w:eastAsia="宋体" w:cs="宋体"/>
          <w:szCs w:val="28"/>
          <w:lang w:bidi="ar"/>
          <w14:ligatures w14:val="none"/>
        </w:rPr>
        <w:t>m</w:t>
      </w:r>
      <w:r>
        <w:rPr>
          <w:rFonts w:hint="eastAsia" w:ascii="Times New Roman" w:hAnsi="Times New Roman" w:eastAsia="宋体" w:cs="宋体"/>
          <w:szCs w:val="28"/>
          <w:vertAlign w:val="superscript"/>
          <w:lang w:bidi="ar"/>
          <w14:ligatures w14:val="none"/>
        </w:rPr>
        <w:t>2</w:t>
      </w:r>
      <w:r>
        <w:rPr>
          <w:rFonts w:hint="eastAsia" w:ascii="Times New Roman" w:hAnsi="Times New Roman" w:eastAsia="宋体" w:cs="宋体"/>
          <w:szCs w:val="28"/>
          <w:lang w:bidi="ar"/>
          <w14:ligatures w14:val="none"/>
        </w:rPr>
        <w:t>，砖混结构建筑，耐火等级为二级。罩棚占地面积为799.2m</w:t>
      </w:r>
      <w:r>
        <w:rPr>
          <w:rFonts w:hint="eastAsia" w:ascii="Times New Roman" w:hAnsi="Times New Roman" w:eastAsia="宋体" w:cs="宋体"/>
          <w:szCs w:val="28"/>
          <w:vertAlign w:val="superscript"/>
          <w:lang w:bidi="ar"/>
          <w14:ligatures w14:val="none"/>
        </w:rPr>
        <w:t>2</w:t>
      </w:r>
      <w:r>
        <w:rPr>
          <w:rFonts w:hint="eastAsia" w:ascii="Times New Roman" w:hAnsi="Times New Roman" w:eastAsia="宋体" w:cs="宋体"/>
          <w:szCs w:val="28"/>
          <w:lang w:bidi="ar"/>
          <w14:ligatures w14:val="none"/>
        </w:rPr>
        <w:t>，罩棚为钢结构，耐火极限为0.25h。</w:t>
      </w:r>
    </w:p>
    <w:p w14:paraId="1D9E3977">
      <w:pPr>
        <w:keepNext/>
        <w:spacing w:before="156" w:beforeLines="50" w:after="156" w:afterLines="50"/>
        <w:ind w:firstLine="562"/>
        <w:outlineLvl w:val="2"/>
        <w:rPr>
          <w:rFonts w:ascii="Times New Roman" w:hAnsi="Times New Roman" w:eastAsia="黑体" w:cs="Times New Roman"/>
          <w:b/>
          <w:bCs/>
          <w:kern w:val="0"/>
          <w:szCs w:val="20"/>
          <w14:ligatures w14:val="none"/>
        </w:rPr>
      </w:pPr>
      <w:r>
        <w:rPr>
          <w:rFonts w:hint="eastAsia" w:ascii="Times New Roman" w:hAnsi="Times New Roman" w:eastAsia="黑体" w:cs="Times New Roman"/>
          <w:b/>
          <w:bCs/>
          <w:kern w:val="0"/>
          <w:szCs w:val="20"/>
          <w14:ligatures w14:val="none"/>
        </w:rPr>
        <w:t>2.4.3储存规模</w:t>
      </w:r>
    </w:p>
    <w:p w14:paraId="37135B32">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本项目涉及的物料是车用乙醇汽油、柴油，车用乙醇汽油、柴油采用卧式双层埋地储罐储存，车用乙醇汽油储量</w:t>
      </w:r>
      <w:r>
        <w:rPr>
          <w:rFonts w:hint="eastAsia" w:ascii="Times New Roman" w:hAnsi="Times New Roman" w:eastAsia="宋体" w:cs="宋体"/>
          <w:szCs w:val="28"/>
          <w:lang w:val="en-US" w:eastAsia="zh-CN" w:bidi="ar"/>
          <w14:ligatures w14:val="none"/>
        </w:rPr>
        <w:t>100</w:t>
      </w:r>
      <w:r>
        <w:rPr>
          <w:rFonts w:hint="eastAsia" w:ascii="Times New Roman" w:hAnsi="Times New Roman" w:eastAsia="宋体" w:cs="宋体"/>
          <w:szCs w:val="28"/>
          <w:lang w:bidi="ar"/>
          <w14:ligatures w14:val="none"/>
        </w:rPr>
        <w:t>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，折合质量</w:t>
      </w:r>
      <w:r>
        <w:rPr>
          <w:rFonts w:hint="eastAsia" w:ascii="Times New Roman" w:hAnsi="Times New Roman" w:eastAsia="宋体" w:cs="宋体"/>
          <w:szCs w:val="28"/>
          <w:lang w:val="en-US" w:eastAsia="zh-CN" w:bidi="ar"/>
          <w14:ligatures w14:val="none"/>
        </w:rPr>
        <w:t>80</w:t>
      </w:r>
      <w:r>
        <w:rPr>
          <w:rFonts w:hint="eastAsia" w:ascii="Times New Roman" w:hAnsi="Times New Roman" w:eastAsia="宋体" w:cs="宋体"/>
          <w:szCs w:val="28"/>
          <w:lang w:bidi="ar"/>
          <w14:ligatures w14:val="none"/>
        </w:rPr>
        <w:t>t；柴油储量</w:t>
      </w:r>
      <w:r>
        <w:rPr>
          <w:rFonts w:hint="eastAsia" w:ascii="Times New Roman" w:hAnsi="Times New Roman" w:eastAsia="宋体" w:cs="宋体"/>
          <w:szCs w:val="28"/>
          <w:lang w:val="en-US" w:eastAsia="zh-CN" w:bidi="ar"/>
          <w14:ligatures w14:val="none"/>
        </w:rPr>
        <w:t>10</w:t>
      </w:r>
      <w:r>
        <w:rPr>
          <w:rFonts w:hint="eastAsia" w:ascii="Times New Roman" w:hAnsi="Times New Roman" w:eastAsia="宋体" w:cs="宋体"/>
          <w:szCs w:val="28"/>
          <w:lang w:bidi="ar"/>
          <w14:ligatures w14:val="none"/>
        </w:rPr>
        <w:t>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，折合质量</w:t>
      </w:r>
      <w:r>
        <w:rPr>
          <w:rFonts w:hint="eastAsia" w:ascii="Times New Roman" w:hAnsi="Times New Roman" w:eastAsia="宋体" w:cs="宋体"/>
          <w:szCs w:val="28"/>
          <w:lang w:val="en-US" w:eastAsia="zh-CN" w:bidi="ar"/>
          <w14:ligatures w14:val="none"/>
        </w:rPr>
        <w:t>85</w:t>
      </w:r>
      <w:r>
        <w:rPr>
          <w:rFonts w:hint="eastAsia" w:ascii="Times New Roman" w:hAnsi="Times New Roman" w:eastAsia="宋体" w:cs="宋体"/>
          <w:szCs w:val="28"/>
          <w:lang w:bidi="ar"/>
          <w14:ligatures w14:val="none"/>
        </w:rPr>
        <w:t>t。</w:t>
      </w:r>
    </w:p>
    <w:p w14:paraId="2E68F27B">
      <w:pPr>
        <w:keepNext/>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24" w:name="_Toc218437731"/>
      <w:r>
        <w:rPr>
          <w:rFonts w:hint="eastAsia" w:ascii="Times New Roman" w:hAnsi="Times New Roman" w:eastAsia="楷体" w:cs="宋体"/>
          <w:b/>
          <w:bCs/>
          <w:sz w:val="32"/>
          <w:szCs w:val="28"/>
          <w:lang w:bidi="ar"/>
          <w14:ligatures w14:val="none"/>
        </w:rPr>
        <w:t>2.5涉及的主要原辅材料、产品品种名称、数量，储存</w:t>
      </w:r>
      <w:bookmarkEnd w:id="24"/>
    </w:p>
    <w:p w14:paraId="0B2B19E0">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本项目主要涉及的材料为车用乙醇汽油、柴油，储存情况见表2.5-1。</w:t>
      </w:r>
    </w:p>
    <w:p w14:paraId="20310385">
      <w:pPr>
        <w:pStyle w:val="43"/>
        <w:keepNext/>
        <w:spacing w:before="156" w:beforeLines="50" w:after="156" w:afterLines="50"/>
        <w:ind w:firstLine="480"/>
        <w:rPr>
          <w:rFonts w:eastAsia="黑体"/>
          <w:sz w:val="24"/>
        </w:rPr>
      </w:pPr>
      <w:r>
        <w:rPr>
          <w:rFonts w:hint="eastAsia" w:eastAsia="黑体"/>
          <w:sz w:val="24"/>
        </w:rPr>
        <w:t>表2.5-1  站内储存车用乙醇汽油、柴油情况表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1545"/>
        <w:gridCol w:w="1499"/>
        <w:gridCol w:w="2127"/>
        <w:gridCol w:w="1198"/>
        <w:gridCol w:w="1808"/>
      </w:tblGrid>
      <w:tr w14:paraId="0B72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blHeader/>
          <w:jc w:val="center"/>
        </w:trPr>
        <w:tc>
          <w:tcPr>
            <w:tcW w:w="543" w:type="pct"/>
            <w:vAlign w:val="center"/>
          </w:tcPr>
          <w:p w14:paraId="4C334AA3">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名称</w:t>
            </w:r>
          </w:p>
        </w:tc>
        <w:tc>
          <w:tcPr>
            <w:tcW w:w="842" w:type="pct"/>
            <w:vAlign w:val="center"/>
          </w:tcPr>
          <w:p w14:paraId="66C33C15">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储存方式</w:t>
            </w:r>
          </w:p>
        </w:tc>
        <w:tc>
          <w:tcPr>
            <w:tcW w:w="817" w:type="pct"/>
            <w:vAlign w:val="center"/>
          </w:tcPr>
          <w:p w14:paraId="6AE4EEE8">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最大储存能力</w:t>
            </w:r>
          </w:p>
        </w:tc>
        <w:tc>
          <w:tcPr>
            <w:tcW w:w="1159" w:type="pct"/>
            <w:vAlign w:val="center"/>
          </w:tcPr>
          <w:p w14:paraId="6BAE2F18">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容积及数量</w:t>
            </w:r>
          </w:p>
        </w:tc>
        <w:tc>
          <w:tcPr>
            <w:tcW w:w="653" w:type="pct"/>
            <w:vAlign w:val="center"/>
          </w:tcPr>
          <w:p w14:paraId="14518C74">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储存位置</w:t>
            </w:r>
          </w:p>
        </w:tc>
        <w:tc>
          <w:tcPr>
            <w:tcW w:w="985" w:type="pct"/>
            <w:vAlign w:val="center"/>
          </w:tcPr>
          <w:p w14:paraId="178604CD">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备注</w:t>
            </w:r>
          </w:p>
        </w:tc>
      </w:tr>
      <w:tr w14:paraId="5411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exact"/>
          <w:jc w:val="center"/>
        </w:trPr>
        <w:tc>
          <w:tcPr>
            <w:tcW w:w="543" w:type="pct"/>
            <w:vAlign w:val="center"/>
          </w:tcPr>
          <w:p w14:paraId="52ACCBF0">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车用乙醇汽油</w:t>
            </w:r>
          </w:p>
        </w:tc>
        <w:tc>
          <w:tcPr>
            <w:tcW w:w="842" w:type="pct"/>
            <w:vAlign w:val="center"/>
          </w:tcPr>
          <w:p w14:paraId="4A189798">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埋地储罐储存</w:t>
            </w:r>
          </w:p>
        </w:tc>
        <w:tc>
          <w:tcPr>
            <w:tcW w:w="817" w:type="pct"/>
            <w:vAlign w:val="center"/>
          </w:tcPr>
          <w:p w14:paraId="2C7C8128">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80</w:t>
            </w:r>
            <w:r>
              <w:rPr>
                <w:rFonts w:ascii="Times New Roman" w:hAnsi="Times New Roman" w:eastAsia="宋体" w:cs="Times New Roman"/>
                <w:sz w:val="21"/>
                <w:szCs w:val="21"/>
                <w14:ligatures w14:val="none"/>
              </w:rPr>
              <w:t>t</w:t>
            </w:r>
          </w:p>
        </w:tc>
        <w:tc>
          <w:tcPr>
            <w:tcW w:w="1159" w:type="pct"/>
            <w:vAlign w:val="center"/>
          </w:tcPr>
          <w:p w14:paraId="500E2837">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w:t>
            </w:r>
            <w:r>
              <w:rPr>
                <w:rFonts w:hint="eastAsia" w:ascii="Times New Roman" w:hAnsi="Times New Roman" w:eastAsia="宋体" w:cs="Times New Roman"/>
                <w:sz w:val="21"/>
                <w:szCs w:val="21"/>
                <w14:ligatures w14:val="none"/>
              </w:rPr>
              <w:t>×</w:t>
            </w:r>
            <w:r>
              <w:rPr>
                <w:rFonts w:hint="eastAsia" w:ascii="Times New Roman" w:hAnsi="Times New Roman" w:eastAsia="宋体" w:cs="Times New Roman"/>
                <w:sz w:val="21"/>
                <w:szCs w:val="21"/>
                <w:lang w:val="en-US" w:eastAsia="zh-CN"/>
                <w14:ligatures w14:val="none"/>
              </w:rPr>
              <w:t>5</w:t>
            </w:r>
            <w:r>
              <w:rPr>
                <w:rFonts w:ascii="Times New Roman" w:hAnsi="Times New Roman" w:eastAsia="宋体" w:cs="Times New Roman"/>
                <w:sz w:val="21"/>
                <w:szCs w:val="21"/>
                <w14:ligatures w14:val="none"/>
              </w:rPr>
              <w:t>0m</w:t>
            </w:r>
            <w:r>
              <w:rPr>
                <w:rFonts w:hint="eastAsia" w:ascii="Times New Roman" w:hAnsi="Times New Roman" w:eastAsia="宋体" w:cs="Times New Roman"/>
                <w:sz w:val="21"/>
                <w:szCs w:val="21"/>
                <w:vertAlign w:val="superscript"/>
                <w14:ligatures w14:val="none"/>
              </w:rPr>
              <w:t>3</w:t>
            </w:r>
          </w:p>
        </w:tc>
        <w:tc>
          <w:tcPr>
            <w:tcW w:w="653" w:type="pct"/>
            <w:vAlign w:val="center"/>
          </w:tcPr>
          <w:p w14:paraId="4A29ADAE">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地下储罐</w:t>
            </w:r>
          </w:p>
        </w:tc>
        <w:tc>
          <w:tcPr>
            <w:tcW w:w="985" w:type="pct"/>
            <w:vAlign w:val="center"/>
          </w:tcPr>
          <w:p w14:paraId="3BF8D509">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重点监管危险化学品、特别管控危险化学品</w:t>
            </w:r>
          </w:p>
        </w:tc>
      </w:tr>
      <w:tr w14:paraId="02B2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43" w:type="pct"/>
            <w:vAlign w:val="center"/>
          </w:tcPr>
          <w:p w14:paraId="42156037">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柴油</w:t>
            </w:r>
          </w:p>
        </w:tc>
        <w:tc>
          <w:tcPr>
            <w:tcW w:w="842" w:type="pct"/>
            <w:vAlign w:val="center"/>
          </w:tcPr>
          <w:p w14:paraId="4918EA68">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埋地储罐储存</w:t>
            </w:r>
          </w:p>
        </w:tc>
        <w:tc>
          <w:tcPr>
            <w:tcW w:w="817" w:type="pct"/>
            <w:vAlign w:val="center"/>
          </w:tcPr>
          <w:p w14:paraId="5BE57C1C">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85</w:t>
            </w:r>
            <w:r>
              <w:rPr>
                <w:rFonts w:hint="eastAsia" w:ascii="Times New Roman" w:hAnsi="Times New Roman" w:eastAsia="宋体" w:cs="Times New Roman"/>
                <w:sz w:val="21"/>
                <w:szCs w:val="21"/>
                <w14:ligatures w14:val="none"/>
              </w:rPr>
              <w:t>t</w:t>
            </w:r>
          </w:p>
        </w:tc>
        <w:tc>
          <w:tcPr>
            <w:tcW w:w="1159" w:type="pct"/>
            <w:vAlign w:val="center"/>
          </w:tcPr>
          <w:p w14:paraId="0DD72055">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w:t>
            </w:r>
            <w:r>
              <w:rPr>
                <w:rFonts w:hint="eastAsia" w:ascii="Times New Roman" w:hAnsi="Times New Roman" w:eastAsia="宋体" w:cs="Times New Roman"/>
                <w:sz w:val="21"/>
                <w:szCs w:val="21"/>
                <w14:ligatures w14:val="none"/>
              </w:rPr>
              <w:t>×50m</w:t>
            </w:r>
            <w:r>
              <w:rPr>
                <w:rFonts w:hint="eastAsia" w:ascii="Times New Roman" w:hAnsi="Times New Roman" w:eastAsia="宋体" w:cs="Times New Roman"/>
                <w:sz w:val="21"/>
                <w:szCs w:val="21"/>
                <w:vertAlign w:val="superscript"/>
                <w14:ligatures w14:val="none"/>
              </w:rPr>
              <w:t>3</w:t>
            </w:r>
          </w:p>
        </w:tc>
        <w:tc>
          <w:tcPr>
            <w:tcW w:w="653" w:type="pct"/>
            <w:vAlign w:val="center"/>
          </w:tcPr>
          <w:p w14:paraId="11000E69">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地下储罐</w:t>
            </w:r>
          </w:p>
        </w:tc>
        <w:tc>
          <w:tcPr>
            <w:tcW w:w="985" w:type="pct"/>
            <w:vAlign w:val="center"/>
          </w:tcPr>
          <w:p w14:paraId="4A358818">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危险化学品</w:t>
            </w:r>
          </w:p>
        </w:tc>
      </w:tr>
    </w:tbl>
    <w:p w14:paraId="512B7267">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25" w:name="_Toc29833"/>
      <w:bookmarkStart w:id="26" w:name="_Toc218437732"/>
      <w:r>
        <w:rPr>
          <w:rFonts w:ascii="Times New Roman" w:hAnsi="Times New Roman" w:eastAsia="楷体" w:cs="宋体"/>
          <w:b/>
          <w:bCs/>
          <w:sz w:val="32"/>
          <w:szCs w:val="28"/>
          <w:lang w:bidi="ar"/>
          <w14:ligatures w14:val="none"/>
        </w:rPr>
        <w:t>2.6工艺流程和主要装置和设施的布局及其上下游生产装置的关系</w:t>
      </w:r>
      <w:bookmarkEnd w:id="25"/>
      <w:bookmarkEnd w:id="26"/>
    </w:p>
    <w:p w14:paraId="0AD0BCA0">
      <w:pPr>
        <w:spacing w:before="156" w:beforeLines="50" w:after="156" w:afterLines="50"/>
        <w:ind w:firstLine="562"/>
        <w:outlineLvl w:val="2"/>
        <w:rPr>
          <w:rFonts w:ascii="Times New Roman" w:hAnsi="Times New Roman" w:eastAsia="黑体" w:cs="Times New Roman"/>
          <w:b/>
          <w:bCs/>
          <w:kern w:val="0"/>
          <w:szCs w:val="20"/>
          <w14:ligatures w14:val="none"/>
        </w:rPr>
      </w:pPr>
      <w:bookmarkStart w:id="27" w:name="_Toc19365"/>
      <w:r>
        <w:rPr>
          <w:rFonts w:ascii="Times New Roman" w:hAnsi="Times New Roman" w:eastAsia="黑体" w:cs="Times New Roman"/>
          <w:b/>
          <w:bCs/>
          <w:kern w:val="0"/>
          <w:szCs w:val="20"/>
          <w14:ligatures w14:val="none"/>
        </w:rPr>
        <w:t>2.6.1工艺流程</w:t>
      </w:r>
      <w:bookmarkEnd w:id="27"/>
    </w:p>
    <w:p w14:paraId="153B6931">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加油站加油部分工艺过程主要指完成油品卸入（埋地储油罐）和油品付出（经营销售）的整个过程，其工艺过程见图2.6-1、图2.6-2、图2.6-3和图2.6-4。</w:t>
      </w:r>
    </w:p>
    <w:p w14:paraId="233F3F6A">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（1）卸油及卸油油气回收</w:t>
      </w:r>
    </w:p>
    <w:p w14:paraId="4C708B57">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卸油：加油站人员在确认油罐车（车用乙醇汽油、柴油）无油品泄漏，并检查油罐车排气管防火帽处于关闭状态，油罐车静电接地拖地带已进行接地，油罐车内无火灾情况发生后，引导油罐车进入卸油作业区，油罐车在站内车速不应大于5km/h。油罐车停于卸油停车位，熄火并拉上手刹，车轮处宜放置与最大允许总质量和车轮尺寸相匹配的轮挡，车钥匙放置指定位置管控。卸油人员将防静电跨接线连接到油罐车专用接地端，并确认接触良好。油罐车静置进行静电释放5min后，在进行卸油作业。</w:t>
      </w:r>
    </w:p>
    <w:p w14:paraId="149E6D89">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卸油作业现场设隔离警示标识。手提式灭火器摆放在距卸油口2-3m处。</w:t>
      </w:r>
    </w:p>
    <w:p w14:paraId="1CDCEDF3">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检查确认油罐计量孔密闭良好，车用乙醇汽油罐通气管上阀门处于关闭状态，安装呼吸阀的通气管上阀门处于开启状态。卸油前，计量油罐的存油量，确认有足够的剩余容量，并核对罐车单据与油罐中油品的名称、牌号是否一致。卸油人员按工艺流程将卸油软管和汽油油气回收软管与油罐车和埋地油罐紧密连接，保持卸油软管自然弯曲。</w:t>
      </w:r>
    </w:p>
    <w:p w14:paraId="62A13A33">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经双方检查确认具备开阀卸油条件后，将卸油口对应油罐进油阀门打开（卸车用乙醇汽油时先打开气路阀门），再缓慢开启油罐车卸油阀门。通过采取调节阀门开度等措施控制卸油流速不大于4.5m/s。</w:t>
      </w:r>
    </w:p>
    <w:p w14:paraId="5E4295D6">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油罐采取卸油时的防满溢措施。油料达到油罐容量的90%时，能触动高液位报警装置，</w:t>
      </w:r>
      <w:r>
        <w:rPr>
          <w:rFonts w:ascii="Times New Roman" w:hAnsi="Times New Roman" w:eastAsia="宋体" w:cs="宋体"/>
          <w:szCs w:val="28"/>
          <w:lang w:bidi="ar"/>
          <w14:ligatures w14:val="none"/>
        </w:rPr>
        <w:t>且高液位报警安装于工作人员便于觉察的地点</w:t>
      </w:r>
      <w:r>
        <w:rPr>
          <w:rFonts w:hint="eastAsia" w:ascii="Times New Roman" w:hAnsi="Times New Roman" w:eastAsia="宋体" w:cs="宋体"/>
          <w:szCs w:val="28"/>
          <w:lang w:bidi="ar"/>
          <w14:ligatures w14:val="none"/>
        </w:rPr>
        <w:t>；油料达到油罐容量95%时，能自动停止油料继续进罐。同时，油罐设置低液位报警装置，当油料不足油罐容量10%时，能触动低液位报警装置。</w:t>
      </w:r>
    </w:p>
    <w:p w14:paraId="3B7B0E61">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卸油结束后，卸油员应全面检查并确认状态正常，方可引导油罐车启动车辆、离站，并清理卸油现场，将应急器材放回原位。</w:t>
      </w:r>
    </w:p>
    <w:p w14:paraId="7AE37EB2">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卸油作业过程中有专人监护，油罐车驾驶员和押运员不应同时离开作业现场。无人监护时，应停止作业。</w:t>
      </w:r>
    </w:p>
    <w:p w14:paraId="04805C3E">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卸油时若发生油料溅溢或其他影响卸油安全情况时，应立即停止作业并及时处理。若发生事故，立即停止作业，并按应急预案进行应急处置。卸油时，不应开启计量孔，不应修理、擦洗油罐车，不应鸣笛；使用器具时要轻拿轻放；与该罐连接且无防水杂措施的加油机停止加油作业。</w:t>
      </w:r>
    </w:p>
    <w:p w14:paraId="4B5F6774">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卸油油气回收：车用乙醇汽油油罐车卸下一定数量的油品，就需吸入大致相等的气体补充到槽车内部，加油站内的埋地油罐也因注入油品而向外排出相当数量的油气。通过安装一根气相管线，将油槽车与车用乙醇汽油储罐连通，卸车过程中，油槽车内部的车用乙醇汽油通过卸车管线进入储罐，储罐的油气经过气相管线输回油罐车内，完成密闭式卸油过程。回收到油罐车内的油气，可由油罐车带回油库后，再经油库安装的油气回收设施回收处理。</w:t>
      </w:r>
    </w:p>
    <w:p w14:paraId="2A1AC090">
      <w:pPr>
        <w:ind w:firstLine="560"/>
        <w:rPr>
          <w:rFonts w:ascii="Times New Roman" w:hAnsi="Times New Roman" w:eastAsia="宋体" w:cs="Times New Roman"/>
          <w:color w:val="FF0000"/>
          <w:szCs w:val="20"/>
          <w14:ligatures w14:val="none"/>
        </w:rPr>
      </w:pPr>
      <w:r>
        <w:rPr>
          <w:rFonts w:hint="eastAsia" w:ascii="Times New Roman" w:hAnsi="Times New Roman" w:eastAsia="宋体" w:cs="宋体"/>
          <w:szCs w:val="28"/>
          <w:lang w:bidi="ar"/>
          <w14:ligatures w14:val="none"/>
        </w:rPr>
        <w:t>油罐车密闭卸油及卸油油气回收工艺流程见图2.6-1、图2.6-2：</w:t>
      </w:r>
    </w:p>
    <w:p w14:paraId="3B3515C6">
      <w:pPr>
        <w:ind w:firstLine="0" w:firstLineChars="0"/>
        <w:rPr>
          <w:rFonts w:ascii="Times New Roman" w:hAnsi="Times New Roman" w:eastAsia="宋体" w:cs="Times New Roman"/>
          <w:szCs w:val="20"/>
          <w14:ligatures w14:val="none"/>
        </w:rPr>
      </w:pPr>
      <w:r>
        <w:rPr>
          <w:rFonts w:hint="eastAsia"/>
          <w:szCs w:val="28"/>
        </w:rPr>
        <mc:AlternateContent>
          <mc:Choice Requires="wpc">
            <w:drawing>
              <wp:inline distT="0" distB="0" distL="0" distR="0">
                <wp:extent cx="5772150" cy="1049655"/>
                <wp:effectExtent l="0" t="0" r="0" b="0"/>
                <wp:docPr id="1413420609" name="画布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63638337" name="文本框 163638337"/>
                        <wps:cNvSpPr txBox="1"/>
                        <wps:spPr>
                          <a:xfrm>
                            <a:off x="204281" y="174954"/>
                            <a:ext cx="807396" cy="311429"/>
                          </a:xfrm>
                          <a:prstGeom prst="rect">
                            <a:avLst/>
                          </a:prstGeom>
                          <a:solidFill>
                            <a:sysClr val="window" lastClr="FFFFFF"/>
                          </a:solidFill>
                          <a:ln w="6350">
                            <a:solidFill>
                              <a:prstClr val="black"/>
                            </a:solidFill>
                          </a:ln>
                        </wps:spPr>
                        <wps:txbx>
                          <w:txbxContent>
                            <w:p w14:paraId="517945A3">
                              <w:pPr>
                                <w:pStyle w:val="43"/>
                              </w:pPr>
                              <w:r>
                                <w:rPr>
                                  <w:rFonts w:hint="eastAsia"/>
                                </w:rPr>
                                <w:t>油罐槽车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6987133" name="直接箭头连接符 546987133"/>
                        <wps:cNvCnPr>
                          <a:stCxn id="163638337" idx="3"/>
                        </wps:cNvCnPr>
                        <wps:spPr>
                          <a:xfrm>
                            <a:off x="1011677" y="330575"/>
                            <a:ext cx="359923" cy="165"/>
                          </a:xfrm>
                          <a:prstGeom prst="straightConnector1">
                            <a:avLst/>
                          </a:prstGeom>
                          <a:noFill/>
                          <a:ln w="6350" cap="flat" cmpd="sng" algn="ctr">
                            <a:solidFill>
                              <a:sysClr val="windowText" lastClr="000000"/>
                            </a:solidFill>
                            <a:prstDash val="solid"/>
                            <a:miter lim="800000"/>
                            <a:tailEnd type="triangle"/>
                          </a:ln>
                          <a:effectLst/>
                        </wps:spPr>
                        <wps:bodyPr/>
                      </wps:wsp>
                      <wps:wsp>
                        <wps:cNvPr id="479916164" name="文本框 1"/>
                        <wps:cNvSpPr txBox="1"/>
                        <wps:spPr>
                          <a:xfrm>
                            <a:off x="1371600" y="174955"/>
                            <a:ext cx="807085" cy="311150"/>
                          </a:xfrm>
                          <a:prstGeom prst="rect">
                            <a:avLst/>
                          </a:prstGeom>
                          <a:solidFill>
                            <a:sysClr val="window" lastClr="FFFFFF"/>
                          </a:solidFill>
                          <a:ln w="6350">
                            <a:solidFill>
                              <a:prstClr val="black"/>
                            </a:solidFill>
                          </a:ln>
                        </wps:spPr>
                        <wps:txbx>
                          <w:txbxContent>
                            <w:p w14:paraId="7E2EA184">
                              <w:pPr>
                                <w:pStyle w:val="43"/>
                                <w:rPr>
                                  <w14:ligatures w14:val="none"/>
                                </w:rPr>
                              </w:pPr>
                              <w:r>
                                <w:rPr>
                                  <w:rFonts w:hint="eastAsia"/>
                                </w:rPr>
                                <w:t>阀门</w:t>
                              </w:r>
                            </w:p>
                          </w:txbxContent>
                        </wps:txbx>
                        <wps:bodyPr rot="0" spcFirstLastPara="0" vert="horz" wrap="square" lIns="91440" tIns="45720" rIns="91440" bIns="45720" numCol="1" spcCol="0" rtlCol="0" fromWordArt="0" anchor="t" anchorCtr="0" forceAA="0" compatLnSpc="1">
                          <a:noAutofit/>
                        </wps:bodyPr>
                      </wps:wsp>
                      <wps:wsp>
                        <wps:cNvPr id="1895087391" name="直接箭头连接符 1895087391"/>
                        <wps:cNvCnPr/>
                        <wps:spPr>
                          <a:xfrm>
                            <a:off x="2178685" y="329870"/>
                            <a:ext cx="359410" cy="0"/>
                          </a:xfrm>
                          <a:prstGeom prst="straightConnector1">
                            <a:avLst/>
                          </a:prstGeom>
                          <a:noFill/>
                          <a:ln w="6350" cap="flat" cmpd="sng" algn="ctr">
                            <a:solidFill>
                              <a:sysClr val="windowText" lastClr="000000"/>
                            </a:solidFill>
                            <a:prstDash val="solid"/>
                            <a:miter lim="800000"/>
                            <a:tailEnd type="triangle"/>
                          </a:ln>
                          <a:effectLst/>
                        </wps:spPr>
                        <wps:bodyPr/>
                      </wps:wsp>
                      <wps:wsp>
                        <wps:cNvPr id="1610056150" name="文本框 1"/>
                        <wps:cNvSpPr txBox="1"/>
                        <wps:spPr>
                          <a:xfrm>
                            <a:off x="2538095" y="180000"/>
                            <a:ext cx="807085" cy="310515"/>
                          </a:xfrm>
                          <a:prstGeom prst="rect">
                            <a:avLst/>
                          </a:prstGeom>
                          <a:solidFill>
                            <a:sysClr val="window" lastClr="FFFFFF"/>
                          </a:solidFill>
                          <a:ln w="6350">
                            <a:solidFill>
                              <a:prstClr val="black"/>
                            </a:solidFill>
                          </a:ln>
                        </wps:spPr>
                        <wps:txbx>
                          <w:txbxContent>
                            <w:p w14:paraId="74556822">
                              <w:pPr>
                                <w:pStyle w:val="43"/>
                                <w:rPr>
                                  <w14:ligatures w14:val="none"/>
                                </w:rPr>
                              </w:pPr>
                              <w:r>
                                <w:rPr>
                                  <w:rFonts w:hint="eastAsia"/>
                                </w:rPr>
                                <w:t>软管</w:t>
                              </w:r>
                            </w:p>
                          </w:txbxContent>
                        </wps:txbx>
                        <wps:bodyPr rot="0" spcFirstLastPara="0" vert="horz" wrap="square" lIns="91440" tIns="45720" rIns="91440" bIns="45720" numCol="1" spcCol="0" rtlCol="0" fromWordArt="0" anchor="t" anchorCtr="0" forceAA="0" compatLnSpc="1">
                          <a:noAutofit/>
                        </wps:bodyPr>
                      </wps:wsp>
                      <wps:wsp>
                        <wps:cNvPr id="1693226375" name="直接箭头连接符 1693226375"/>
                        <wps:cNvCnPr/>
                        <wps:spPr>
                          <a:xfrm>
                            <a:off x="3345180" y="330790"/>
                            <a:ext cx="359410" cy="0"/>
                          </a:xfrm>
                          <a:prstGeom prst="straightConnector1">
                            <a:avLst/>
                          </a:prstGeom>
                          <a:noFill/>
                          <a:ln w="6350" cap="flat" cmpd="sng" algn="ctr">
                            <a:solidFill>
                              <a:sysClr val="windowText" lastClr="000000"/>
                            </a:solidFill>
                            <a:prstDash val="solid"/>
                            <a:miter lim="800000"/>
                            <a:tailEnd type="triangle"/>
                          </a:ln>
                          <a:effectLst/>
                        </wps:spPr>
                        <wps:bodyPr/>
                      </wps:wsp>
                      <wps:wsp>
                        <wps:cNvPr id="414204969" name="文本框 1"/>
                        <wps:cNvSpPr txBox="1"/>
                        <wps:spPr>
                          <a:xfrm>
                            <a:off x="3704590" y="180635"/>
                            <a:ext cx="807085" cy="309880"/>
                          </a:xfrm>
                          <a:prstGeom prst="rect">
                            <a:avLst/>
                          </a:prstGeom>
                          <a:solidFill>
                            <a:sysClr val="window" lastClr="FFFFFF"/>
                          </a:solidFill>
                          <a:ln w="6350">
                            <a:solidFill>
                              <a:prstClr val="black"/>
                            </a:solidFill>
                          </a:ln>
                        </wps:spPr>
                        <wps:txbx>
                          <w:txbxContent>
                            <w:p w14:paraId="19AEC0DB">
                              <w:pPr>
                                <w:pStyle w:val="43"/>
                                <w:rPr>
                                  <w14:ligatures w14:val="none"/>
                                </w:rPr>
                              </w:pPr>
                              <w:r>
                                <w:rPr>
                                  <w:rFonts w:hint="eastAsia"/>
                                </w:rPr>
                                <w:t>快速接头</w:t>
                              </w:r>
                            </w:p>
                          </w:txbxContent>
                        </wps:txbx>
                        <wps:bodyPr rot="0" spcFirstLastPara="0" vert="horz" wrap="square" lIns="91440" tIns="45720" rIns="91440" bIns="45720" numCol="1" spcCol="0" rtlCol="0" fromWordArt="0" anchor="t" anchorCtr="0" forceAA="0" compatLnSpc="1">
                          <a:noAutofit/>
                        </wps:bodyPr>
                      </wps:wsp>
                      <wps:wsp>
                        <wps:cNvPr id="1661986113" name="直接箭头连接符 1661986113"/>
                        <wps:cNvCnPr/>
                        <wps:spPr>
                          <a:xfrm>
                            <a:off x="4511563" y="330790"/>
                            <a:ext cx="358775" cy="0"/>
                          </a:xfrm>
                          <a:prstGeom prst="straightConnector1">
                            <a:avLst/>
                          </a:prstGeom>
                          <a:noFill/>
                          <a:ln w="6350" cap="flat" cmpd="sng" algn="ctr">
                            <a:solidFill>
                              <a:sysClr val="windowText" lastClr="000000"/>
                            </a:solidFill>
                            <a:prstDash val="solid"/>
                            <a:miter lim="800000"/>
                            <a:tailEnd type="triangle"/>
                          </a:ln>
                          <a:effectLst/>
                        </wps:spPr>
                        <wps:bodyPr/>
                      </wps:wsp>
                      <wps:wsp>
                        <wps:cNvPr id="1517343767" name="文本框 1"/>
                        <wps:cNvSpPr txBox="1"/>
                        <wps:spPr>
                          <a:xfrm>
                            <a:off x="4870329" y="180635"/>
                            <a:ext cx="806450" cy="310515"/>
                          </a:xfrm>
                          <a:prstGeom prst="rect">
                            <a:avLst/>
                          </a:prstGeom>
                          <a:solidFill>
                            <a:sysClr val="window" lastClr="FFFFFF"/>
                          </a:solidFill>
                          <a:ln w="6350">
                            <a:solidFill>
                              <a:prstClr val="black"/>
                            </a:solidFill>
                          </a:ln>
                        </wps:spPr>
                        <wps:txbx>
                          <w:txbxContent>
                            <w:p w14:paraId="2AF3D450">
                              <w:pPr>
                                <w:pStyle w:val="43"/>
                                <w:rPr>
                                  <w14:ligatures w14:val="none"/>
                                </w:rPr>
                              </w:pPr>
                              <w:r>
                                <w:rPr>
                                  <w:rFonts w:hint="eastAsia"/>
                                </w:rPr>
                                <w:t>油罐</w:t>
                              </w:r>
                            </w:p>
                          </w:txbxContent>
                        </wps:txbx>
                        <wps:bodyPr rot="0" spcFirstLastPara="0" vert="horz" wrap="square" lIns="91440" tIns="45720" rIns="91440" bIns="45720" numCol="1" spcCol="0" rtlCol="0" fromWordArt="0" anchor="t" anchorCtr="0" forceAA="0" compatLnSpc="1">
                          <a:noAutofit/>
                        </wps:bodyPr>
                      </wps:wsp>
                      <wps:wsp>
                        <wps:cNvPr id="2079457211" name="直接箭头连接符 2079457211"/>
                        <wps:cNvCnPr/>
                        <wps:spPr>
                          <a:xfrm>
                            <a:off x="5295900" y="491150"/>
                            <a:ext cx="0" cy="451825"/>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392756637" name="直接箭头连接符 1392756637"/>
                        <wps:cNvCnPr/>
                        <wps:spPr>
                          <a:xfrm flipH="1">
                            <a:off x="590415" y="942975"/>
                            <a:ext cx="4704391" cy="0"/>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138821943" name="直接箭头连接符 1138821943"/>
                        <wps:cNvCnPr/>
                        <wps:spPr>
                          <a:xfrm flipV="1">
                            <a:off x="590476" y="491150"/>
                            <a:ext cx="0" cy="451825"/>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291763743" name="文本框 1291763743"/>
                        <wps:cNvSpPr txBox="1"/>
                        <wps:spPr>
                          <a:xfrm>
                            <a:off x="2559176" y="571500"/>
                            <a:ext cx="984065" cy="285750"/>
                          </a:xfrm>
                          <a:prstGeom prst="rect">
                            <a:avLst/>
                          </a:prstGeom>
                          <a:solidFill>
                            <a:sysClr val="window" lastClr="FFFFFF"/>
                          </a:solidFill>
                          <a:ln w="6350">
                            <a:solidFill>
                              <a:prstClr val="black"/>
                            </a:solidFill>
                            <a:prstDash val="sysDot"/>
                          </a:ln>
                        </wps:spPr>
                        <wps:txbx>
                          <w:txbxContent>
                            <w:p w14:paraId="09EC18BE">
                              <w:pPr>
                                <w:pStyle w:val="43"/>
                              </w:pPr>
                              <w:r>
                                <w:rPr>
                                  <w:rFonts w:hint="eastAsia"/>
                                </w:rPr>
                                <w:t>汽油油气</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id="画布 19" o:spid="_x0000_s1026" o:spt="203" style="height:82.65pt;width:454.5pt;" coordsize="5772150,1049655" editas="canvas" o:gfxdata="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">
                <o:lock v:ext="edit" aspectratio="f"/>
                <v:shape id="画布 19" o:spid="_x0000_s1026" style="position:absolute;left:0;top:0;height:1049655;width:5772150;" fillcolor="#FFFFFF" filled="t" stroked="f" coordsize="21600,21600" o:gfxdata="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">
                  <v:fill on="t" focussize="0,0"/>
                  <v:stroke on="f"/>
                  <v:imagedata o:title=""/>
                  <o:lock v:ext="edit" aspectratio="t"/>
                </v:shape>
                <v:shape id="_x0000_s1026" o:spid="_x0000_s1026" o:spt="202" type="#_x0000_t202" style="position:absolute;left:204281;top:174954;height:311429;width:807396;" fillcolor="#FFFFFF" filled="t" stroked="t" coordsize="21600,21600" o:gfxdata="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G5zVc0gAAAAUBAAAPAAAAAAAAAAEAIAAAACIAAABkcnMvZG93bnJl&#10;di54bWxQSwECFAAUAAAACACHTuJAQq+k6HUCAADgBAAADgAAAAAAAAABACAAAAAhAQAAZHJzL2Uy&#10;b0RvYy54bWxQSwUGAAAAAAYABgBZAQAACAYAAAAA&#10;">
                  <v:fill on="t" focussize="0,0"/>
                  <v:stroke weight="0.5pt" color="#000000" joinstyle="round"/>
                  <v:imagedata o:title=""/>
                  <o:lock v:ext="edit" aspectratio="f"/>
                  <v:textbox>
                    <w:txbxContent>
                      <w:p w14:paraId="517945A3">
                        <w:pPr>
                          <w:pStyle w:val="43"/>
                        </w:pPr>
                        <w:r>
                          <w:rPr>
                            <w:rFonts w:hint="eastAsia"/>
                          </w:rPr>
                          <w:t>油罐槽车</w:t>
                        </w:r>
                      </w:p>
                    </w:txbxContent>
                  </v:textbox>
                </v:shape>
                <v:shape id="_x0000_s1026" o:spid="_x0000_s1026" o:spt="32" type="#_x0000_t32" style="position:absolute;left:1011677;top:330575;height:165;width:359923;" filled="f" stroked="t" coordsize="21600,21600" o:gfxdata="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mWY6NtMAAAAFAQAADwAAAAAAAAABACAAAAAiAAAA&#10;ZHJzL2Rvd25yZXYueG1sUEsBAhQAFAAAAAgAh07iQHJ3HFNFAgAATQQAAA4AAAAAAAAAAQAgAAAA&#10;IgEAAGRycy9lMm9Eb2MueG1sUEsFBgAAAAAGAAYAWQEAANkFAAAAAA==&#10;">
                  <v:fill on="f" focussize="0,0"/>
                  <v:stroke weight="0.5pt" color="#000000" miterlimit="8" joinstyle="miter" endarrow="block"/>
                  <v:imagedata o:title=""/>
                  <o:lock v:ext="edit" aspectratio="f"/>
                </v:shape>
                <v:shape id="文本框 1" o:spid="_x0000_s1026" o:spt="202" type="#_x0000_t202" style="position:absolute;left:1371600;top:174955;height:311150;width:807085;" fillcolor="#FFFFFF" filled="t" stroked="t" coordsize="21600,21600" o:gfxdata="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G&#10;5zVc0gAAAAUBAAAPAAAAAAAAAAEAIAAAACIAAABkcnMvZG93bnJldi54bWxQSwECFAAUAAAACACH&#10;TuJAX+3DHGMCAACpBAAADgAAAAAAAAABACAAAAAhAQAAZHJzL2Uyb0RvYy54bWxQSwUGAAAAAAYA&#10;BgBZAQAA9gUAAAAA&#10;">
                  <v:fill on="t" focussize="0,0"/>
                  <v:stroke weight="0.5pt" color="#000000" joinstyle="round"/>
                  <v:imagedata o:title=""/>
                  <o:lock v:ext="edit" aspectratio="f"/>
                  <v:textbox>
                    <w:txbxContent>
                      <w:p w14:paraId="7E2EA184">
                        <w:pPr>
                          <w:pStyle w:val="43"/>
                          <w:rPr>
                            <w14:ligatures w14:val="none"/>
                          </w:rPr>
                        </w:pPr>
                        <w:r>
                          <w:rPr>
                            <w:rFonts w:hint="eastAsia"/>
                          </w:rPr>
                          <w:t>阀门</w:t>
                        </w:r>
                      </w:p>
                    </w:txbxContent>
                  </v:textbox>
                </v:shape>
                <v:shape id="_x0000_s1026" o:spid="_x0000_s1026" o:spt="32" type="#_x0000_t32" style="position:absolute;left:2178685;top:329870;height:0;width:359410;" filled="f" stroked="t" coordsize="21600,21600" o:gfxdata="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mWY6NtMAAAAFAQAADwAAAAAAAAABACAAAAAiAAAAZHJzL2Rvd25yZXYueG1sUEsBAhQAFAAA&#10;AAgAh07iQDhNap8tAgAAHwQAAA4AAAAAAAAAAQAgAAAAIgEAAGRycy9lMm9Eb2MueG1sUEsFBgAA&#10;AAAGAAYAWQEAAMEFAAAAAA==&#10;">
                  <v:fill on="f" focussize="0,0"/>
                  <v:stroke weight="0.5pt" color="#000000" miterlimit="8" joinstyle="miter" endarrow="block"/>
                  <v:imagedata o:title=""/>
                  <o:lock v:ext="edit" aspectratio="f"/>
                </v:shape>
                <v:shape id="文本框 1" o:spid="_x0000_s1026" o:spt="202" type="#_x0000_t202" style="position:absolute;left:2538095;top:180000;height:310515;width:807085;" fillcolor="#FFFFFF" filled="t" stroked="t" coordsize="21600,21600" o:gfxdata="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G5zVc&#10;0gAAAAUBAAAPAAAAAAAAAAEAIAAAACIAAABkcnMvZG93bnJldi54bWxQSwECFAAUAAAACACHTuJA&#10;hlR2HGACAACqBAAADgAAAAAAAAABACAAAAAhAQAAZHJzL2Uyb0RvYy54bWxQSwUGAAAAAAYABgBZ&#10;AQAA8wUAAAAA&#10;">
                  <v:fill on="t" focussize="0,0"/>
                  <v:stroke weight="0.5pt" color="#000000" joinstyle="round"/>
                  <v:imagedata o:title=""/>
                  <o:lock v:ext="edit" aspectratio="f"/>
                  <v:textbox>
                    <w:txbxContent>
                      <w:p w14:paraId="74556822">
                        <w:pPr>
                          <w:pStyle w:val="43"/>
                          <w:rPr>
                            <w14:ligatures w14:val="none"/>
                          </w:rPr>
                        </w:pPr>
                        <w:r>
                          <w:rPr>
                            <w:rFonts w:hint="eastAsia"/>
                          </w:rPr>
                          <w:t>软管</w:t>
                        </w:r>
                      </w:p>
                    </w:txbxContent>
                  </v:textbox>
                </v:shape>
                <v:shape id="_x0000_s1026" o:spid="_x0000_s1026" o:spt="32" type="#_x0000_t32" style="position:absolute;left:3345180;top:330790;height:0;width:359410;" filled="f" stroked="t" coordsize="21600,21600" o:gfxdata="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mWY6NtMAAAAFAQAADwAAAAAAAAABACAAAAAiAAAAZHJzL2Rvd25yZXYueG1sUEsBAhQAFAAAAAgA&#10;h07iQD6BERUqAgAAHwQAAA4AAAAAAAAAAQAgAAAAIgEAAGRycy9lMm9Eb2MueG1sUEsFBgAAAAAG&#10;AAYAWQEAAL4FAAAAAA==&#10;">
                  <v:fill on="f" focussize="0,0"/>
                  <v:stroke weight="0.5pt" color="#000000" miterlimit="8" joinstyle="miter" endarrow="block"/>
                  <v:imagedata o:title=""/>
                  <o:lock v:ext="edit" aspectratio="f"/>
                </v:shape>
                <v:shape id="文本框 1" o:spid="_x0000_s1026" o:spt="202" type="#_x0000_t202" style="position:absolute;left:3704590;top:180635;height:309880;width:807085;" fillcolor="#FFFFFF" filled="t" stroked="t" coordsize="21600,21600" o:gfxdata="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IbnNVzSAAAABQEAAA8AAAAAAAAAAQAgAAAAIgAAAGRycy9kb3ducmV2LnhtbFBLAQIUABQAAAAI&#10;AIdO4kA8VyhbZQIAAKkEAAAOAAAAAAAAAAEAIAAAACEBAABkcnMvZTJvRG9jLnhtbFBLBQYAAAAA&#10;BgAGAFkBAAD4BQAAAAA=&#10;">
                  <v:fill on="t" focussize="0,0"/>
                  <v:stroke weight="0.5pt" color="#000000" joinstyle="round"/>
                  <v:imagedata o:title=""/>
                  <o:lock v:ext="edit" aspectratio="f"/>
                  <v:textbox>
                    <w:txbxContent>
                      <w:p w14:paraId="19AEC0DB">
                        <w:pPr>
                          <w:pStyle w:val="43"/>
                          <w:rPr>
                            <w14:ligatures w14:val="none"/>
                          </w:rPr>
                        </w:pPr>
                        <w:r>
                          <w:rPr>
                            <w:rFonts w:hint="eastAsia"/>
                          </w:rPr>
                          <w:t>快速接头</w:t>
                        </w:r>
                      </w:p>
                    </w:txbxContent>
                  </v:textbox>
                </v:shape>
                <v:shape id="_x0000_s1026" o:spid="_x0000_s1026" o:spt="32" type="#_x0000_t32" style="position:absolute;left:4511563;top:330790;height:0;width:358775;" filled="f" stroked="t" coordsize="21600,21600" o:gfxdata="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mWY6NtMAAAAFAQAADwAAAAAAAAABACAAAAAiAAAAZHJzL2Rvd25yZXYueG1sUEsBAhQAFAAA&#10;AAgAh07iQKZFkEgtAgAAHwQAAA4AAAAAAAAAAQAgAAAAIgEAAGRycy9lMm9Eb2MueG1sUEsFBgAA&#10;AAAGAAYAWQEAAMEFAAAAAA==&#10;">
                  <v:fill on="f" focussize="0,0"/>
                  <v:stroke weight="0.5pt" color="#000000" miterlimit="8" joinstyle="miter" endarrow="block"/>
                  <v:imagedata o:title=""/>
                  <o:lock v:ext="edit" aspectratio="f"/>
                </v:shape>
                <v:shape id="文本框 1" o:spid="_x0000_s1026" o:spt="202" type="#_x0000_t202" style="position:absolute;left:4870329;top:180635;height:310515;width:806450;" fillcolor="#FFFFFF" filled="t" stroked="t" coordsize="21600,21600" o:gfxdata="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G&#10;5zVc0gAAAAUBAAAPAAAAAAAAAAEAIAAAACIAAABkcnMvZG93bnJldi54bWxQSwECFAAUAAAACACH&#10;TuJAem3OLWMCAACqBAAADgAAAAAAAAABACAAAAAhAQAAZHJzL2Uyb0RvYy54bWxQSwUGAAAAAAYA&#10;BgBZAQAA9gUAAAAA&#10;">
                  <v:fill on="t" focussize="0,0"/>
                  <v:stroke weight="0.5pt" color="#000000" joinstyle="round"/>
                  <v:imagedata o:title=""/>
                  <o:lock v:ext="edit" aspectratio="f"/>
                  <v:textbox>
                    <w:txbxContent>
                      <w:p w14:paraId="2AF3D450">
                        <w:pPr>
                          <w:pStyle w:val="43"/>
                          <w:rPr>
                            <w14:ligatures w14:val="none"/>
                          </w:rPr>
                        </w:pPr>
                        <w:r>
                          <w:rPr>
                            <w:rFonts w:hint="eastAsia"/>
                          </w:rPr>
                          <w:t>油罐</w:t>
                        </w:r>
                      </w:p>
                    </w:txbxContent>
                  </v:textbox>
                </v:shape>
                <v:shape id="_x0000_s1026" o:spid="_x0000_s1026" o:spt="32" type="#_x0000_t32" style="position:absolute;left:5295900;top:491150;height:451825;width:0;" filled="f" stroked="t" coordsize="21600,21600" o:gfxdata="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MKczVrSAAAABQEAAA8AAAAAAAAAAQAgAAAAIgAAAGRycy9kb3ducmV2&#10;LnhtbFBLAQIUABQAAAAIAIdO4kBtaTU5OwIAAE0EAAAOAAAAAAAAAAEAIAAAACEBAABkcnMvZTJv&#10;RG9jLnhtbFBLBQYAAAAABgAGAFkBAADOBQAAAAA=&#10;">
                  <v:fill on="f" focussize="0,0"/>
                  <v:stroke color="#000000" joinstyle="round" dashstyle="dash" endarrow="block"/>
                  <v:imagedata o:title=""/>
                  <o:lock v:ext="edit" aspectratio="f"/>
                </v:shape>
                <v:shape id="_x0000_s1026" o:spid="_x0000_s1026" o:spt="32" type="#_x0000_t32" style="position:absolute;left:590415;top:942975;flip:x;height:0;width:4704391;" filled="f" stroked="t" coordsize="21600,21600" o:gfxdata="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3gqdONAAAAAFAQAADwAAAAAAAAABACAAAAAiAAAAZHJz&#10;L2Rvd25yZXYueG1sUEsBAhQAFAAAAAgAh07iQIGIdapFAgAAVwQAAA4AAAAAAAAAAQAgAAAAHwEA&#10;AGRycy9lMm9Eb2MueG1sUEsFBgAAAAAGAAYAWQEAANYFAAAAAA==&#10;">
                  <v:fill on="f" focussize="0,0"/>
                  <v:stroke color="#000000" joinstyle="round" dashstyle="dash" endarrow="block"/>
                  <v:imagedata o:title=""/>
                  <o:lock v:ext="edit" aspectratio="f"/>
                </v:shape>
                <v:shape id="_x0000_s1026" o:spid="_x0000_s1026" o:spt="32" type="#_x0000_t32" style="position:absolute;left:590476;top:491150;flip:y;height:451825;width:0;" filled="f" stroked="t" coordsize="21600,21600" o:gfxdata="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4KnTjQAAAABQEAAA8AAAAAAAAAAQAgAAAAIgAAAGRycy9k&#10;b3ducmV2LnhtbFBLAQIUABQAAAAIAIdO4kBiFRf/QwIAAFYEAAAOAAAAAAAAAAEAIAAAAB8BAABk&#10;cnMvZTJvRG9jLnhtbFBLBQYAAAAABgAGAFkBAADUBQAAAAA=&#10;">
                  <v:fill on="f" focussize="0,0"/>
                  <v:stroke color="#000000" joinstyle="round" dashstyle="dash" endarrow="block"/>
                  <v:imagedata o:title=""/>
                  <o:lock v:ext="edit" aspectratio="f"/>
                </v:shape>
                <v:shape id="_x0000_s1026" o:spid="_x0000_s1026" o:spt="202" type="#_x0000_t202" style="position:absolute;left:2559176;top:571500;height:285750;width:984065;" fillcolor="#FFFFFF" filled="t" stroked="t" coordsize="21600,21600" o:gfxdata="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Lbf/iHSAAAABQEAAA8AAAAAAAAAAQAgAAAAIgAA&#10;AGRycy9kb3ducmV2LnhtbFBLAQIUABQAAAAIAIdO4kBJ6Z8qgAIAAP0EAAAOAAAAAAAAAAEAIAAA&#10;ACEBAABkcnMvZTJvRG9jLnhtbFBLBQYAAAAABgAGAFkBAAATBgAAAAA=&#10;">
                  <v:fill on="t" focussize="0,0"/>
                  <v:stroke weight="0.5pt" color="#000000" joinstyle="round" dashstyle="1 1"/>
                  <v:imagedata o:title=""/>
                  <o:lock v:ext="edit" aspectratio="f"/>
                  <v:textbox>
                    <w:txbxContent>
                      <w:p w14:paraId="09EC18BE">
                        <w:pPr>
                          <w:pStyle w:val="43"/>
                        </w:pPr>
                        <w:r>
                          <w:rPr>
                            <w:rFonts w:hint="eastAsia"/>
                          </w:rPr>
                          <w:t>汽油油气</w:t>
                        </w:r>
                      </w:p>
                    </w:txbxContent>
                  </v:textbox>
                </v:shape>
                <w10:wrap type="none"/>
                <w10:anchorlock/>
              </v:group>
            </w:pict>
          </mc:Fallback>
        </mc:AlternateContent>
      </w:r>
    </w:p>
    <w:p w14:paraId="1E288831">
      <w:pPr>
        <w:pStyle w:val="43"/>
        <w:spacing w:before="156" w:beforeLines="50" w:after="156" w:afterLines="50"/>
        <w:ind w:firstLine="480"/>
        <w:rPr>
          <w:rFonts w:eastAsia="黑体"/>
          <w:sz w:val="24"/>
        </w:rPr>
      </w:pPr>
      <w:bookmarkStart w:id="28" w:name="_Toc853"/>
      <w:r>
        <w:rPr>
          <w:rFonts w:eastAsia="黑体"/>
          <w:sz w:val="24"/>
        </w:rPr>
        <w:t>图2.</w:t>
      </w:r>
      <w:r>
        <w:rPr>
          <w:rFonts w:hint="eastAsia" w:eastAsia="黑体"/>
          <w:sz w:val="24"/>
        </w:rPr>
        <w:t>6</w:t>
      </w:r>
      <w:r>
        <w:rPr>
          <w:rFonts w:eastAsia="黑体"/>
          <w:sz w:val="24"/>
        </w:rPr>
        <w:t xml:space="preserve">-1  </w:t>
      </w:r>
      <w:r>
        <w:rPr>
          <w:rFonts w:hint="eastAsia" w:eastAsia="黑体"/>
          <w:sz w:val="24"/>
        </w:rPr>
        <w:t>车用乙醇汽油</w:t>
      </w:r>
      <w:r>
        <w:rPr>
          <w:rFonts w:eastAsia="黑体"/>
          <w:sz w:val="24"/>
        </w:rPr>
        <w:t>密闭卸油工艺流程框图</w:t>
      </w:r>
      <w:r>
        <w:rPr>
          <w:rFonts w:hint="eastAsia"/>
          <w:sz w:val="24"/>
        </w:rPr>
        <mc:AlternateContent>
          <mc:Choice Requires="wpc">
            <w:drawing>
              <wp:inline distT="0" distB="0" distL="0" distR="0">
                <wp:extent cx="5753100" cy="704215"/>
                <wp:effectExtent l="0" t="0" r="0" b="635"/>
                <wp:docPr id="1292075825" name="画布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999433014" name="文本框 1"/>
                        <wps:cNvSpPr txBox="1"/>
                        <wps:spPr>
                          <a:xfrm>
                            <a:off x="180901" y="181905"/>
                            <a:ext cx="807085" cy="311150"/>
                          </a:xfrm>
                          <a:prstGeom prst="rect">
                            <a:avLst/>
                          </a:prstGeom>
                          <a:solidFill>
                            <a:sysClr val="window" lastClr="FFFFFF"/>
                          </a:solidFill>
                          <a:ln w="6350">
                            <a:solidFill>
                              <a:prstClr val="black"/>
                            </a:solidFill>
                          </a:ln>
                        </wps:spPr>
                        <wps:txbx>
                          <w:txbxContent>
                            <w:p w14:paraId="255C6323">
                              <w:pPr>
                                <w:pStyle w:val="43"/>
                                <w:rPr>
                                  <w14:ligatures w14:val="none"/>
                                </w:rPr>
                              </w:pPr>
                              <w:r>
                                <w:rPr>
                                  <w:rFonts w:hint="eastAsia"/>
                                </w:rPr>
                                <w:t>油罐槽车</w:t>
                              </w:r>
                            </w:p>
                          </w:txbxContent>
                        </wps:txbx>
                        <wps:bodyPr rot="0" spcFirstLastPara="0" vert="horz" wrap="square" lIns="91440" tIns="45720" rIns="91440" bIns="45720" numCol="1" spcCol="0" rtlCol="0" fromWordArt="0" anchor="t" anchorCtr="0" forceAA="0" compatLnSpc="1">
                          <a:noAutofit/>
                        </wps:bodyPr>
                      </wps:wsp>
                      <wps:wsp>
                        <wps:cNvPr id="597194301" name="文本框 1"/>
                        <wps:cNvSpPr txBox="1"/>
                        <wps:spPr>
                          <a:xfrm>
                            <a:off x="1342516" y="181905"/>
                            <a:ext cx="807085" cy="311150"/>
                          </a:xfrm>
                          <a:prstGeom prst="rect">
                            <a:avLst/>
                          </a:prstGeom>
                          <a:solidFill>
                            <a:sysClr val="window" lastClr="FFFFFF"/>
                          </a:solidFill>
                          <a:ln w="6350">
                            <a:solidFill>
                              <a:prstClr val="black"/>
                            </a:solidFill>
                          </a:ln>
                        </wps:spPr>
                        <wps:txbx>
                          <w:txbxContent>
                            <w:p w14:paraId="64540789">
                              <w:pPr>
                                <w:pStyle w:val="43"/>
                                <w:rPr>
                                  <w14:ligatures w14:val="none"/>
                                </w:rPr>
                              </w:pPr>
                              <w:r>
                                <w:rPr>
                                  <w:rFonts w:hint="eastAsia"/>
                                </w:rPr>
                                <w:t>阀门</w:t>
                              </w:r>
                            </w:p>
                          </w:txbxContent>
                        </wps:txbx>
                        <wps:bodyPr rot="0" spcFirstLastPara="0" vert="horz" wrap="square" lIns="91440" tIns="45720" rIns="91440" bIns="45720" numCol="1" spcCol="0" rtlCol="0" fromWordArt="0" anchor="t" anchorCtr="0" forceAA="0" compatLnSpc="1">
                          <a:noAutofit/>
                        </wps:bodyPr>
                      </wps:wsp>
                      <wps:wsp>
                        <wps:cNvPr id="182223934" name="文本框 1"/>
                        <wps:cNvSpPr txBox="1"/>
                        <wps:spPr>
                          <a:xfrm>
                            <a:off x="2504566" y="181905"/>
                            <a:ext cx="807085" cy="311150"/>
                          </a:xfrm>
                          <a:prstGeom prst="rect">
                            <a:avLst/>
                          </a:prstGeom>
                          <a:solidFill>
                            <a:sysClr val="window" lastClr="FFFFFF"/>
                          </a:solidFill>
                          <a:ln w="6350">
                            <a:solidFill>
                              <a:prstClr val="black"/>
                            </a:solidFill>
                          </a:ln>
                        </wps:spPr>
                        <wps:txbx>
                          <w:txbxContent>
                            <w:p w14:paraId="06B1FA19">
                              <w:pPr>
                                <w:pStyle w:val="43"/>
                                <w:rPr>
                                  <w14:ligatures w14:val="none"/>
                                </w:rPr>
                              </w:pPr>
                              <w:r>
                                <w:rPr>
                                  <w:rFonts w:hint="eastAsia"/>
                                </w:rPr>
                                <w:t>软管</w:t>
                              </w:r>
                            </w:p>
                          </w:txbxContent>
                        </wps:txbx>
                        <wps:bodyPr rot="0" spcFirstLastPara="0" vert="horz" wrap="square" lIns="91440" tIns="45720" rIns="91440" bIns="45720" numCol="1" spcCol="0" rtlCol="0" fromWordArt="0" anchor="t" anchorCtr="0" forceAA="0" compatLnSpc="1">
                          <a:noAutofit/>
                        </wps:bodyPr>
                      </wps:wsp>
                      <wps:wsp>
                        <wps:cNvPr id="1855064157" name="文本框 1"/>
                        <wps:cNvSpPr txBox="1"/>
                        <wps:spPr>
                          <a:xfrm>
                            <a:off x="3666616" y="181905"/>
                            <a:ext cx="807085" cy="311150"/>
                          </a:xfrm>
                          <a:prstGeom prst="rect">
                            <a:avLst/>
                          </a:prstGeom>
                          <a:solidFill>
                            <a:sysClr val="window" lastClr="FFFFFF"/>
                          </a:solidFill>
                          <a:ln w="6350">
                            <a:solidFill>
                              <a:prstClr val="black"/>
                            </a:solidFill>
                          </a:ln>
                        </wps:spPr>
                        <wps:txbx>
                          <w:txbxContent>
                            <w:p w14:paraId="74D45710">
                              <w:pPr>
                                <w:pStyle w:val="43"/>
                                <w:rPr>
                                  <w14:ligatures w14:val="none"/>
                                </w:rPr>
                              </w:pPr>
                              <w:r>
                                <w:rPr>
                                  <w:rStyle w:val="44"/>
                                  <w:rFonts w:hint="eastAsia"/>
                                </w:rPr>
                                <w:t>快速</w:t>
                              </w:r>
                              <w:r>
                                <w:rPr>
                                  <w:rFonts w:hint="eastAsia"/>
                                </w:rPr>
                                <w:t>接头</w:t>
                              </w:r>
                            </w:p>
                          </w:txbxContent>
                        </wps:txbx>
                        <wps:bodyPr rot="0" spcFirstLastPara="0" vert="horz" wrap="square" lIns="91440" tIns="45720" rIns="91440" bIns="45720" numCol="1" spcCol="0" rtlCol="0" fromWordArt="0" anchor="t" anchorCtr="0" forceAA="0" compatLnSpc="1">
                          <a:noAutofit/>
                        </wps:bodyPr>
                      </wps:wsp>
                      <wps:wsp>
                        <wps:cNvPr id="573312582" name="文本框 1"/>
                        <wps:cNvSpPr txBox="1"/>
                        <wps:spPr>
                          <a:xfrm>
                            <a:off x="4828666" y="181905"/>
                            <a:ext cx="807085" cy="311150"/>
                          </a:xfrm>
                          <a:prstGeom prst="rect">
                            <a:avLst/>
                          </a:prstGeom>
                          <a:solidFill>
                            <a:sysClr val="window" lastClr="FFFFFF"/>
                          </a:solidFill>
                          <a:ln w="6350">
                            <a:solidFill>
                              <a:prstClr val="black"/>
                            </a:solidFill>
                          </a:ln>
                        </wps:spPr>
                        <wps:txbx>
                          <w:txbxContent>
                            <w:p w14:paraId="111CF3AE">
                              <w:pPr>
                                <w:pStyle w:val="43"/>
                                <w:rPr>
                                  <w14:ligatures w14:val="none"/>
                                </w:rPr>
                              </w:pPr>
                              <w:r>
                                <w:rPr>
                                  <w:rFonts w:hint="eastAsia"/>
                                </w:rPr>
                                <w:t>油罐</w:t>
                              </w:r>
                            </w:p>
                          </w:txbxContent>
                        </wps:txbx>
                        <wps:bodyPr rot="0" spcFirstLastPara="0" vert="horz" wrap="square" lIns="91440" tIns="45720" rIns="91440" bIns="45720" numCol="1" spcCol="0" rtlCol="0" fromWordArt="0" anchor="t" anchorCtr="0" forceAA="0" compatLnSpc="1">
                          <a:noAutofit/>
                        </wps:bodyPr>
                      </wps:wsp>
                      <wps:wsp>
                        <wps:cNvPr id="1505307550" name="直接箭头连接符 1505307550"/>
                        <wps:cNvCnPr>
                          <a:stCxn id="1999433014" idx="3"/>
                        </wps:cNvCnPr>
                        <wps:spPr>
                          <a:xfrm flipV="1">
                            <a:off x="987986" y="335280"/>
                            <a:ext cx="355431" cy="2200"/>
                          </a:xfrm>
                          <a:prstGeom prst="straightConnector1">
                            <a:avLst/>
                          </a:prstGeom>
                          <a:noFill/>
                          <a:ln w="6350" cap="flat" cmpd="sng" algn="ctr">
                            <a:solidFill>
                              <a:sysClr val="windowText" lastClr="000000"/>
                            </a:solidFill>
                            <a:prstDash val="solid"/>
                            <a:miter lim="800000"/>
                            <a:tailEnd type="triangle"/>
                          </a:ln>
                          <a:effectLst/>
                        </wps:spPr>
                        <wps:bodyPr/>
                      </wps:wsp>
                      <wps:wsp>
                        <wps:cNvPr id="1456129097" name="直接箭头连接符 1456129097"/>
                        <wps:cNvCnPr/>
                        <wps:spPr>
                          <a:xfrm flipV="1">
                            <a:off x="2149601" y="335575"/>
                            <a:ext cx="354965" cy="1905"/>
                          </a:xfrm>
                          <a:prstGeom prst="straightConnector1">
                            <a:avLst/>
                          </a:prstGeom>
                          <a:noFill/>
                          <a:ln w="6350" cap="flat" cmpd="sng" algn="ctr">
                            <a:solidFill>
                              <a:sysClr val="windowText" lastClr="000000"/>
                            </a:solidFill>
                            <a:prstDash val="solid"/>
                            <a:miter lim="800000"/>
                            <a:tailEnd type="triangle"/>
                          </a:ln>
                          <a:effectLst/>
                        </wps:spPr>
                        <wps:bodyPr/>
                      </wps:wsp>
                      <wps:wsp>
                        <wps:cNvPr id="1093364104" name="直接箭头连接符 1093364104"/>
                        <wps:cNvCnPr/>
                        <wps:spPr>
                          <a:xfrm flipV="1">
                            <a:off x="4473701" y="332695"/>
                            <a:ext cx="354965" cy="1905"/>
                          </a:xfrm>
                          <a:prstGeom prst="straightConnector1">
                            <a:avLst/>
                          </a:prstGeom>
                          <a:noFill/>
                          <a:ln w="6350" cap="flat" cmpd="sng" algn="ctr">
                            <a:solidFill>
                              <a:sysClr val="windowText" lastClr="000000"/>
                            </a:solidFill>
                            <a:prstDash val="solid"/>
                            <a:miter lim="800000"/>
                            <a:tailEnd type="triangle"/>
                          </a:ln>
                          <a:effectLst/>
                        </wps:spPr>
                        <wps:bodyPr/>
                      </wps:wsp>
                      <wps:wsp>
                        <wps:cNvPr id="442618524" name="直接箭头连接符 442618524"/>
                        <wps:cNvCnPr/>
                        <wps:spPr>
                          <a:xfrm flipV="1">
                            <a:off x="3311651" y="337480"/>
                            <a:ext cx="354965" cy="1905"/>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id="画布 20" o:spid="_x0000_s1026" o:spt="203" style="height:55.45pt;width:453pt;" coordsize="5753100,704215" editas="canvas" o:gfxdata="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">
                <o:lock v:ext="edit" aspectratio="f"/>
                <v:shape id="画布 20" o:spid="_x0000_s1026" style="position:absolute;left:0;top:0;height:704215;width:5753100;" fillcolor="#FFFFFF" filled="t" stroked="f" coordsize="21600,21600" o:gfxdata="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">
                  <v:fill on="t" focussize="0,0"/>
                  <v:stroke on="f"/>
                  <v:imagedata o:title=""/>
                  <o:lock v:ext="edit" aspectratio="t"/>
                </v:shape>
                <v:shape id="文本框 1" o:spid="_x0000_s1026" o:spt="202" type="#_x0000_t202" style="position:absolute;left:180901;top:181905;height:311150;width:807085;" fillcolor="#FFFFFF" filled="t" stroked="t" coordsize="21600,21600" o:gfxdata="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qmb3&#10;P9IAAAAFAQAADwAAAAAAAAABACAAAAAiAAAAZHJzL2Rvd25yZXYueG1sUEsBAhQAFAAAAAgAh07i&#10;QCbM11thAgAAqQQAAA4AAAAAAAAAAQAgAAAAIQEAAGRycy9lMm9Eb2MueG1sUEsFBgAAAAAGAAYA&#10;WQEAAPQFAAAAAA==&#10;">
                  <v:fill on="t" focussize="0,0"/>
                  <v:stroke weight="0.5pt" color="#000000" joinstyle="round"/>
                  <v:imagedata o:title=""/>
                  <o:lock v:ext="edit" aspectratio="f"/>
                  <v:textbox>
                    <w:txbxContent>
                      <w:p w14:paraId="255C6323">
                        <w:pPr>
                          <w:pStyle w:val="43"/>
                          <w:rPr>
                            <w14:ligatures w14:val="none"/>
                          </w:rPr>
                        </w:pPr>
                        <w:r>
                          <w:rPr>
                            <w:rFonts w:hint="eastAsia"/>
                          </w:rPr>
                          <w:t>油罐槽车</w:t>
                        </w:r>
                      </w:p>
                    </w:txbxContent>
                  </v:textbox>
                </v:shape>
                <v:shape id="文本框 1" o:spid="_x0000_s1026" o:spt="202" type="#_x0000_t202" style="position:absolute;left:1342516;top:181905;height:311150;width:807085;" fillcolor="#FFFFFF" filled="t" stroked="t" coordsize="21600,21600" o:gfxdata="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q&#10;Zvc/0gAAAAUBAAAPAAAAAAAAAAEAIAAAACIAAABkcnMvZG93bnJldi54bWxQSwECFAAUAAAACACH&#10;TuJAaYxhzWMCAACpBAAADgAAAAAAAAABACAAAAAhAQAAZHJzL2Uyb0RvYy54bWxQSwUGAAAAAAYA&#10;BgBZAQAA9gUAAAAA&#10;">
                  <v:fill on="t" focussize="0,0"/>
                  <v:stroke weight="0.5pt" color="#000000" joinstyle="round"/>
                  <v:imagedata o:title=""/>
                  <o:lock v:ext="edit" aspectratio="f"/>
                  <v:textbox>
                    <w:txbxContent>
                      <w:p w14:paraId="64540789">
                        <w:pPr>
                          <w:pStyle w:val="43"/>
                          <w:rPr>
                            <w14:ligatures w14:val="none"/>
                          </w:rPr>
                        </w:pPr>
                        <w:r>
                          <w:rPr>
                            <w:rFonts w:hint="eastAsia"/>
                          </w:rPr>
                          <w:t>阀门</w:t>
                        </w:r>
                      </w:p>
                    </w:txbxContent>
                  </v:textbox>
                </v:shape>
                <v:shape id="文本框 1" o:spid="_x0000_s1026" o:spt="202" type="#_x0000_t202" style="position:absolute;left:2504566;top:181905;height:311150;width:807085;" fillcolor="#FFFFFF" filled="t" stroked="t" coordsize="21600,21600" o:gfxdata="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q&#10;Zvc/0gAAAAUBAAAPAAAAAAAAAAEAIAAAACIAAABkcnMvZG93bnJldi54bWxQSwECFAAUAAAACACH&#10;TuJA1FYuvGMCAACpBAAADgAAAAAAAAABACAAAAAhAQAAZHJzL2Uyb0RvYy54bWxQSwUGAAAAAAYA&#10;BgBZAQAA9gUAAAAA&#10;">
                  <v:fill on="t" focussize="0,0"/>
                  <v:stroke weight="0.5pt" color="#000000" joinstyle="round"/>
                  <v:imagedata o:title=""/>
                  <o:lock v:ext="edit" aspectratio="f"/>
                  <v:textbox>
                    <w:txbxContent>
                      <w:p w14:paraId="06B1FA19">
                        <w:pPr>
                          <w:pStyle w:val="43"/>
                          <w:rPr>
                            <w14:ligatures w14:val="none"/>
                          </w:rPr>
                        </w:pPr>
                        <w:r>
                          <w:rPr>
                            <w:rFonts w:hint="eastAsia"/>
                          </w:rPr>
                          <w:t>软管</w:t>
                        </w:r>
                      </w:p>
                    </w:txbxContent>
                  </v:textbox>
                </v:shape>
                <v:shape id="文本框 1" o:spid="_x0000_s1026" o:spt="202" type="#_x0000_t202" style="position:absolute;left:3666616;top:181905;height:311150;width:807085;" fillcolor="#FFFFFF" filled="t" stroked="t" coordsize="21600,21600" o:gfxdata="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q&#10;Zvc/0gAAAAUBAAAPAAAAAAAAAAEAIAAAACIAAABkcnMvZG93bnJldi54bWxQSwECFAAUAAAACACH&#10;TuJA9LUp0mMCAACqBAAADgAAAAAAAAABACAAAAAhAQAAZHJzL2Uyb0RvYy54bWxQSwUGAAAAAAYA&#10;BgBZAQAA9gUAAAAA&#10;">
                  <v:fill on="t" focussize="0,0"/>
                  <v:stroke weight="0.5pt" color="#000000" joinstyle="round"/>
                  <v:imagedata o:title=""/>
                  <o:lock v:ext="edit" aspectratio="f"/>
                  <v:textbox>
                    <w:txbxContent>
                      <w:p w14:paraId="74D45710">
                        <w:pPr>
                          <w:pStyle w:val="43"/>
                          <w:rPr>
                            <w14:ligatures w14:val="none"/>
                          </w:rPr>
                        </w:pPr>
                        <w:r>
                          <w:rPr>
                            <w:rStyle w:val="44"/>
                            <w:rFonts w:hint="eastAsia"/>
                          </w:rPr>
                          <w:t>快速</w:t>
                        </w:r>
                        <w:r>
                          <w:rPr>
                            <w:rFonts w:hint="eastAsia"/>
                          </w:rPr>
                          <w:t>接头</w:t>
                        </w:r>
                      </w:p>
                    </w:txbxContent>
                  </v:textbox>
                </v:shape>
                <v:shape id="文本框 1" o:spid="_x0000_s1026" o:spt="202" type="#_x0000_t202" style="position:absolute;left:4828666;top:181905;height:311150;width:807085;" fillcolor="#FFFFFF" filled="t" stroked="t" coordsize="21600,21600" o:gfxdata="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qmb3P9IAAAAFAQAADwAAAAAAAAABACAAAAAiAAAAZHJzL2Rvd25yZXYueG1sUEsBAhQAFAAAAAgA&#10;h07iQJTci/5kAgAAqQQAAA4AAAAAAAAAAQAgAAAAIQEAAGRycy9lMm9Eb2MueG1sUEsFBgAAAAAG&#10;AAYAWQEAAPcFAAAAAA==&#10;">
                  <v:fill on="t" focussize="0,0"/>
                  <v:stroke weight="0.5pt" color="#000000" joinstyle="round"/>
                  <v:imagedata o:title=""/>
                  <o:lock v:ext="edit" aspectratio="f"/>
                  <v:textbox>
                    <w:txbxContent>
                      <w:p w14:paraId="111CF3AE">
                        <w:pPr>
                          <w:pStyle w:val="43"/>
                          <w:rPr>
                            <w14:ligatures w14:val="none"/>
                          </w:rPr>
                        </w:pPr>
                        <w:r>
                          <w:rPr>
                            <w:rFonts w:hint="eastAsia"/>
                          </w:rPr>
                          <w:t>油罐</w:t>
                        </w:r>
                      </w:p>
                    </w:txbxContent>
                  </v:textbox>
                </v:shape>
                <v:shape id="_x0000_s1026" o:spid="_x0000_s1026" o:spt="32" type="#_x0000_t32" style="position:absolute;left:987986;top:335280;flip:y;height:2200;width:355431;" filled="f" stroked="t" coordsize="21600,21600" o:gfxdata="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jAyFO1AAAAAUBAAAPAAAAAAAAAAEAIAAA&#10;ACIAAABkcnMvZG93bnJldi54bWxQSwECFAAUAAAACACHTuJAf5ki4UkCAABaBAAADgAAAAAAAAAB&#10;ACAAAAAjAQAAZHJzL2Uyb0RvYy54bWxQSwUGAAAAAAYABgBZAQAA3gUAAAAA&#10;">
                  <v:fill on="f" focussize="0,0"/>
                  <v:stroke weight="0.5pt" color="#000000" miterlimit="8" joinstyle="miter" endarrow="block"/>
                  <v:imagedata o:title=""/>
                  <o:lock v:ext="edit" aspectratio="f"/>
                </v:shape>
                <v:shape id="_x0000_s1026" o:spid="_x0000_s1026" o:spt="32" type="#_x0000_t32" style="position:absolute;left:2149601;top:335575;flip:y;height:1905;width:354965;" filled="f" stroked="t" coordsize="21600,21600" o:gfxdata="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jAyFO1AAAAAUBAAAPAAAAAAAAAAEAIAAAACIAAABkcnMvZG93bnJldi54&#10;bWxQSwECFAAUAAAACACHTuJAhA92uTcCAAAsBAAADgAAAAAAAAABACAAAAAjAQAAZHJzL2Uyb0Rv&#10;Yy54bWxQSwUGAAAAAAYABgBZAQAAzAUAAAAA&#10;">
                  <v:fill on="f" focussize="0,0"/>
                  <v:stroke weight="0.5pt" color="#000000" miterlimit="8" joinstyle="miter" endarrow="block"/>
                  <v:imagedata o:title=""/>
                  <o:lock v:ext="edit" aspectratio="f"/>
                </v:shape>
                <v:shape id="_x0000_s1026" o:spid="_x0000_s1026" o:spt="32" type="#_x0000_t32" style="position:absolute;left:4473701;top:332695;flip:y;height:1905;width:354965;" filled="f" stroked="t" coordsize="21600,21600" o:gfxdata="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owMhTtQAAAAFAQAADwAAAAAAAAABACAAAAAiAAAAZHJzL2Rvd25yZXYu&#10;eG1sUEsBAhQAFAAAAAgAh07iQDQU7xU4AgAALAQAAA4AAAAAAAAAAQAgAAAAIwEAAGRycy9lMm9E&#10;b2MueG1sUEsFBgAAAAAGAAYAWQEAAM0FAAAAAA==&#10;">
                  <v:fill on="f" focussize="0,0"/>
                  <v:stroke weight="0.5pt" color="#000000" miterlimit="8" joinstyle="miter" endarrow="block"/>
                  <v:imagedata o:title=""/>
                  <o:lock v:ext="edit" aspectratio="f"/>
                </v:shape>
                <v:shape id="_x0000_s1026" o:spid="_x0000_s1026" o:spt="32" type="#_x0000_t32" style="position:absolute;left:3311651;top:337480;flip:y;height:1905;width:354965;" filled="f" stroked="t" coordsize="21600,21600" o:gfxdata="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jAyFO1AAAAAUBAAAPAAAAAAAAAAEAIAAAACIAAABkcnMvZG93bnJldi54bWxQ&#10;SwECFAAUAAAACACHTuJAwRC9kDQCAAAqBAAADgAAAAAAAAABACAAAAAjAQAAZHJzL2Uyb0RvYy54&#10;bWxQSwUGAAAAAAYABgBZAQAAyQUAAAAA&#10;">
                  <v:fill on="f" focussize="0,0"/>
                  <v:stroke weight="0.5pt" color="#000000" miterlimit="8" joinstyle="miter" endarrow="block"/>
                  <v:imagedata o:title=""/>
                  <o:lock v:ext="edit" aspectratio="f"/>
                </v:shape>
                <w10:wrap type="none"/>
                <w10:anchorlock/>
              </v:group>
            </w:pict>
          </mc:Fallback>
        </mc:AlternateContent>
      </w:r>
    </w:p>
    <w:p w14:paraId="5086B0B1">
      <w:pPr>
        <w:spacing w:line="240" w:lineRule="auto"/>
        <w:ind w:firstLine="420"/>
        <w:rPr>
          <w:rFonts w:ascii="Times New Roman" w:hAnsi="Times New Roman" w:eastAsia="宋体"/>
          <w:sz w:val="21"/>
          <w:szCs w:val="21"/>
        </w:rPr>
      </w:pPr>
      <w:r>
        <w:rPr>
          <w:rFonts w:hint="eastAsia" w:ascii="Times New Roman" w:hAnsi="Times New Roman" w:eastAsia="宋体"/>
          <w:sz w:val="21"/>
          <w:szCs w:val="21"/>
        </w:rPr>
        <w:t>注：柴油无油气回收工艺流程</w:t>
      </w:r>
    </w:p>
    <w:p w14:paraId="13FD869C">
      <w:pPr>
        <w:pStyle w:val="43"/>
        <w:spacing w:before="156" w:beforeLines="50" w:after="156" w:afterLines="50"/>
        <w:ind w:firstLine="480"/>
        <w:rPr>
          <w:rFonts w:eastAsia="黑体"/>
          <w:sz w:val="24"/>
        </w:rPr>
      </w:pPr>
      <w:r>
        <w:rPr>
          <w:rFonts w:eastAsia="黑体"/>
          <w:sz w:val="24"/>
        </w:rPr>
        <w:t>图2.</w:t>
      </w:r>
      <w:r>
        <w:rPr>
          <w:rFonts w:hint="eastAsia" w:eastAsia="黑体"/>
          <w:sz w:val="24"/>
        </w:rPr>
        <w:t>6</w:t>
      </w:r>
      <w:r>
        <w:rPr>
          <w:rFonts w:eastAsia="黑体"/>
          <w:sz w:val="24"/>
        </w:rPr>
        <w:t>-2  柴油密闭卸油工艺流程框图</w:t>
      </w:r>
    </w:p>
    <w:bookmarkEnd w:id="28"/>
    <w:p w14:paraId="39EEFC52">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（2）加油及加油油气回收工艺</w:t>
      </w:r>
    </w:p>
    <w:p w14:paraId="2052B7DF">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加油：社会车辆驶入加油站时，加油员主动引导车辆进入加油位置。</w:t>
      </w:r>
    </w:p>
    <w:p w14:paraId="2064B6F0">
      <w:pPr>
        <w:ind w:firstLine="560"/>
        <w:rPr>
          <w:rFonts w:hint="eastAsia" w:eastAsia="宋体"/>
          <w:lang w:bidi="ar"/>
        </w:rPr>
      </w:pPr>
      <w:r>
        <w:rPr>
          <w:rFonts w:hint="eastAsia" w:eastAsia="宋体"/>
          <w:lang w:bidi="ar"/>
        </w:rPr>
        <w:t>加油作业前，加油员确认车辆停稳、熄火；摩托车驾驶人和乘坐人员应离开座位，并将车辆熄火、放置平稳；加油员与客户确认油品的名称和牌号等信息，并提示客户在靠近油箱口前先释放人体静电。</w:t>
      </w:r>
    </w:p>
    <w:p w14:paraId="52CACF42">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通过带有计量、计价和税控装置的</w:t>
      </w:r>
      <w:r>
        <w:rPr>
          <w:rFonts w:hint="eastAsia" w:ascii="Times New Roman" w:hAnsi="Times New Roman" w:eastAsia="宋体" w:cs="宋体"/>
          <w:szCs w:val="28"/>
          <w:lang w:val="en-US" w:eastAsia="zh-CN" w:bidi="ar"/>
          <w14:ligatures w14:val="none"/>
        </w:rPr>
        <w:t>潜油泵式</w:t>
      </w:r>
      <w:r>
        <w:rPr>
          <w:rFonts w:hint="eastAsia" w:ascii="Times New Roman" w:hAnsi="Times New Roman" w:eastAsia="宋体" w:cs="宋体"/>
          <w:szCs w:val="28"/>
          <w:lang w:bidi="ar"/>
          <w14:ligatures w14:val="none"/>
        </w:rPr>
        <w:t>加油机将储罐内的油料抽出，实现为汽车油箱充装车用乙醇汽油或柴油的付出（经营销售）作业。</w:t>
      </w:r>
    </w:p>
    <w:p w14:paraId="497DE80C">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加完油后，立即将加油枪复位于加油机。</w:t>
      </w:r>
    </w:p>
    <w:p w14:paraId="7E3C02BA">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车用乙醇汽油加油油气回收：汽车加油过程中，将原来油箱口散溢的油气，通过油气回收专用加油枪收集，利用动力设备（如真空泵）经油气回收管线输送至车用乙醇汽油储罐，实现加油与油气等体积置换。</w:t>
      </w:r>
    </w:p>
    <w:p w14:paraId="15D5070A">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加油及加油油气回收工艺流程见图2.6-3、图2.6-4：</w:t>
      </w:r>
    </w:p>
    <w:p w14:paraId="287BC933">
      <w:pPr>
        <w:ind w:firstLine="198" w:firstLineChars="71"/>
        <w:rPr>
          <w:rFonts w:ascii="Times New Roman" w:hAnsi="Times New Roman" w:eastAsia="宋体" w:cs="Times New Roman"/>
          <w:szCs w:val="20"/>
          <w14:ligatures w14:val="none"/>
        </w:rPr>
      </w:pPr>
      <w:r>
        <w:rPr>
          <w:rFonts w:hint="eastAsia" w:ascii="Times New Roman" w:hAnsi="Times New Roman" w:eastAsia="宋体"/>
          <w:szCs w:val="28"/>
        </w:rPr>
        <mc:AlternateContent>
          <mc:Choice Requires="wpc">
            <w:drawing>
              <wp:inline distT="0" distB="0" distL="0" distR="0">
                <wp:extent cx="5829300" cy="910590"/>
                <wp:effectExtent l="0" t="0" r="0" b="3810"/>
                <wp:docPr id="1885759077" name="画布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226997239" name="文本框 1226997239"/>
                        <wps:cNvSpPr txBox="1"/>
                        <wps:spPr>
                          <a:xfrm>
                            <a:off x="658528" y="359923"/>
                            <a:ext cx="818515" cy="323850"/>
                          </a:xfrm>
                          <a:prstGeom prst="rect">
                            <a:avLst/>
                          </a:prstGeom>
                          <a:solidFill>
                            <a:sysClr val="window" lastClr="FFFFFF"/>
                          </a:solidFill>
                          <a:ln w="6350">
                            <a:solidFill>
                              <a:prstClr val="black"/>
                            </a:solidFill>
                          </a:ln>
                        </wps:spPr>
                        <wps:txbx>
                          <w:txbxContent>
                            <w:p w14:paraId="360DE5DF">
                              <w:pPr>
                                <w:pStyle w:val="43"/>
                              </w:pPr>
                              <w:r>
                                <w:rPr>
                                  <w:rFonts w:hint="eastAsia"/>
                                </w:rPr>
                                <w:t>油罐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707430" name="直接箭头连接符 51707430"/>
                        <wps:cNvCnPr/>
                        <wps:spPr>
                          <a:xfrm>
                            <a:off x="1477043" y="445648"/>
                            <a:ext cx="1038225" cy="0"/>
                          </a:xfrm>
                          <a:prstGeom prst="straightConnector1">
                            <a:avLst/>
                          </a:prstGeom>
                          <a:noFill/>
                          <a:ln w="6350" cap="flat" cmpd="sng" algn="ctr">
                            <a:solidFill>
                              <a:sysClr val="windowText" lastClr="000000"/>
                            </a:solidFill>
                            <a:prstDash val="solid"/>
                            <a:miter lim="800000"/>
                            <a:tailEnd type="triangle"/>
                          </a:ln>
                          <a:effectLst/>
                        </wps:spPr>
                        <wps:bodyPr/>
                      </wps:wsp>
                      <wps:wsp>
                        <wps:cNvPr id="980786389" name="文本框 980786389"/>
                        <wps:cNvSpPr txBox="1"/>
                        <wps:spPr>
                          <a:xfrm>
                            <a:off x="1486601" y="36074"/>
                            <a:ext cx="1028667" cy="323849"/>
                          </a:xfrm>
                          <a:prstGeom prst="rect">
                            <a:avLst/>
                          </a:prstGeom>
                          <a:noFill/>
                          <a:ln>
                            <a:noFill/>
                          </a:ln>
                          <a:effectLst/>
                        </wps:spPr>
                        <wps:txbx>
                          <w:txbxContent>
                            <w:p w14:paraId="64451DF0">
                              <w:pPr>
                                <w:pStyle w:val="43"/>
                              </w:pPr>
                              <w:r>
                                <w:rPr>
                                  <w:rFonts w:hint="eastAsia"/>
                                </w:rPr>
                                <w:t>车用乙醇汽油</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627484" name="文本框 1"/>
                        <wps:cNvSpPr txBox="1"/>
                        <wps:spPr>
                          <a:xfrm>
                            <a:off x="2515268" y="350398"/>
                            <a:ext cx="819150" cy="333375"/>
                          </a:xfrm>
                          <a:prstGeom prst="rect">
                            <a:avLst/>
                          </a:prstGeom>
                          <a:solidFill>
                            <a:sysClr val="window" lastClr="FFFFFF"/>
                          </a:solidFill>
                          <a:ln w="6350">
                            <a:solidFill>
                              <a:prstClr val="black"/>
                            </a:solidFill>
                          </a:ln>
                        </wps:spPr>
                        <wps:txbx>
                          <w:txbxContent>
                            <w:p w14:paraId="221A2693">
                              <w:pPr>
                                <w:pStyle w:val="43"/>
                                <w:rPr>
                                  <w14:ligatures w14:val="none"/>
                                </w:rPr>
                              </w:pPr>
                              <w:r>
                                <w:rPr>
                                  <w:rFonts w:hint="eastAsia"/>
                                </w:rPr>
                                <w:t>加油机</w:t>
                              </w:r>
                            </w:p>
                          </w:txbxContent>
                        </wps:txbx>
                        <wps:bodyPr rot="0" spcFirstLastPara="0" vert="horz" wrap="square" lIns="91440" tIns="45720" rIns="91440" bIns="45720" numCol="1" spcCol="0" rtlCol="0" fromWordArt="0" anchor="t" anchorCtr="0" forceAA="0" compatLnSpc="1">
                          <a:noAutofit/>
                        </wps:bodyPr>
                      </wps:wsp>
                      <wps:wsp>
                        <wps:cNvPr id="214258902" name="文本框 1"/>
                        <wps:cNvSpPr txBox="1"/>
                        <wps:spPr>
                          <a:xfrm>
                            <a:off x="1666535" y="607233"/>
                            <a:ext cx="713740" cy="304165"/>
                          </a:xfrm>
                          <a:prstGeom prst="rect">
                            <a:avLst/>
                          </a:prstGeom>
                          <a:noFill/>
                          <a:ln>
                            <a:noFill/>
                          </a:ln>
                          <a:effectLst/>
                        </wps:spPr>
                        <wps:txbx>
                          <w:txbxContent>
                            <w:p w14:paraId="0F485708">
                              <w:pPr>
                                <w:pStyle w:val="43"/>
                                <w:rPr>
                                  <w14:ligatures w14:val="none"/>
                                </w:rPr>
                              </w:pPr>
                              <w:r>
                                <w:rPr>
                                  <w:rFonts w:hint="eastAsia"/>
                                </w:rPr>
                                <w:t>油气</w:t>
                              </w:r>
                            </w:p>
                          </w:txbxContent>
                        </wps:txbx>
                        <wps:bodyPr rot="0" spcFirstLastPara="0" vert="horz" wrap="square" lIns="91440" tIns="45720" rIns="91440" bIns="45720" numCol="1" spcCol="0" rtlCol="0" fromWordArt="0" anchor="t" anchorCtr="0" forceAA="0" compatLnSpc="1">
                          <a:noAutofit/>
                        </wps:bodyPr>
                      </wps:wsp>
                      <wps:wsp>
                        <wps:cNvPr id="2012640285" name="文本框 1"/>
                        <wps:cNvSpPr txBox="1"/>
                        <wps:spPr>
                          <a:xfrm>
                            <a:off x="4371295" y="359923"/>
                            <a:ext cx="753790" cy="333375"/>
                          </a:xfrm>
                          <a:prstGeom prst="rect">
                            <a:avLst/>
                          </a:prstGeom>
                          <a:solidFill>
                            <a:sysClr val="window" lastClr="FFFFFF"/>
                          </a:solidFill>
                          <a:ln w="6350">
                            <a:solidFill>
                              <a:prstClr val="black"/>
                            </a:solidFill>
                          </a:ln>
                        </wps:spPr>
                        <wps:txbx>
                          <w:txbxContent>
                            <w:p w14:paraId="50C0995C">
                              <w:pPr>
                                <w:pStyle w:val="43"/>
                                <w:rPr>
                                  <w14:ligatures w14:val="none"/>
                                </w:rPr>
                              </w:pPr>
                              <w:r>
                                <w:rPr>
                                  <w:rFonts w:hint="eastAsia"/>
                                </w:rPr>
                                <w:t>汽车</w:t>
                              </w:r>
                            </w:p>
                          </w:txbxContent>
                        </wps:txbx>
                        <wps:bodyPr rot="0" spcFirstLastPara="0" vert="horz" wrap="square" lIns="91440" tIns="45720" rIns="91440" bIns="45720" numCol="1" spcCol="0" rtlCol="0" fromWordArt="0" anchor="t" anchorCtr="0" forceAA="0" compatLnSpc="1">
                          <a:noAutofit/>
                        </wps:bodyPr>
                      </wps:wsp>
                      <wps:wsp>
                        <wps:cNvPr id="1652186312" name="直接箭头连接符 1652186312"/>
                        <wps:cNvCnPr/>
                        <wps:spPr>
                          <a:xfrm>
                            <a:off x="1477043" y="607233"/>
                            <a:ext cx="1028667" cy="0"/>
                          </a:xfrm>
                          <a:prstGeom prst="straightConnector1">
                            <a:avLst/>
                          </a:prstGeom>
                          <a:noFill/>
                          <a:ln w="6350" cap="flat" cmpd="sng" algn="ctr">
                            <a:solidFill>
                              <a:sysClr val="windowText" lastClr="000000"/>
                            </a:solidFill>
                            <a:prstDash val="solid"/>
                            <a:miter lim="800000"/>
                            <a:headEnd type="triangle" w="med" len="med"/>
                            <a:tailEnd type="none" w="med" len="med"/>
                          </a:ln>
                          <a:effectLst/>
                        </wps:spPr>
                        <wps:bodyPr/>
                      </wps:wsp>
                      <wps:wsp>
                        <wps:cNvPr id="1124604535" name="直接箭头连接符 1124604535"/>
                        <wps:cNvCnPr/>
                        <wps:spPr>
                          <a:xfrm>
                            <a:off x="3334418" y="444673"/>
                            <a:ext cx="1038225" cy="0"/>
                          </a:xfrm>
                          <a:prstGeom prst="straightConnector1">
                            <a:avLst/>
                          </a:prstGeom>
                          <a:noFill/>
                          <a:ln w="6350" cap="flat" cmpd="sng" algn="ctr">
                            <a:solidFill>
                              <a:sysClr val="windowText" lastClr="000000"/>
                            </a:solidFill>
                            <a:prstDash val="solid"/>
                            <a:miter lim="800000"/>
                            <a:tailEnd type="triangle"/>
                          </a:ln>
                          <a:effectLst/>
                        </wps:spPr>
                        <wps:bodyPr/>
                      </wps:wsp>
                      <wps:wsp>
                        <wps:cNvPr id="1418980299" name="直接箭头连接符 1418980299"/>
                        <wps:cNvCnPr/>
                        <wps:spPr>
                          <a:xfrm>
                            <a:off x="3334418" y="607233"/>
                            <a:ext cx="1028065" cy="0"/>
                          </a:xfrm>
                          <a:prstGeom prst="straightConnector1">
                            <a:avLst/>
                          </a:prstGeom>
                          <a:noFill/>
                          <a:ln w="6350" cap="flat" cmpd="sng" algn="ctr">
                            <a:solidFill>
                              <a:sysClr val="windowText" lastClr="000000"/>
                            </a:solidFill>
                            <a:prstDash val="solid"/>
                            <a:miter lim="800000"/>
                            <a:headEnd type="triangle" w="med" len="med"/>
                            <a:tailEnd type="none" w="med" len="med"/>
                          </a:ln>
                          <a:effectLst/>
                        </wps:spPr>
                        <wps:bodyPr/>
                      </wps:wsp>
                      <wps:wsp>
                        <wps:cNvPr id="2009132734" name="文本框 1"/>
                        <wps:cNvSpPr txBox="1"/>
                        <wps:spPr>
                          <a:xfrm>
                            <a:off x="3515655" y="558973"/>
                            <a:ext cx="713740" cy="304165"/>
                          </a:xfrm>
                          <a:prstGeom prst="rect">
                            <a:avLst/>
                          </a:prstGeom>
                          <a:noFill/>
                          <a:ln>
                            <a:noFill/>
                          </a:ln>
                          <a:effectLst/>
                        </wps:spPr>
                        <wps:txbx>
                          <w:txbxContent>
                            <w:p w14:paraId="26993A39">
                              <w:pPr>
                                <w:pStyle w:val="43"/>
                                <w:rPr>
                                  <w14:ligatures w14:val="none"/>
                                </w:rPr>
                              </w:pPr>
                              <w:r>
                                <w:rPr>
                                  <w:rFonts w:hint="eastAsia"/>
                                </w:rPr>
                                <w:t>油气</w:t>
                              </w:r>
                            </w:p>
                          </w:txbxContent>
                        </wps:txbx>
                        <wps:bodyPr rot="0" spcFirstLastPara="0" vert="horz" wrap="square" lIns="91440" tIns="45720" rIns="91440" bIns="45720" numCol="1" spcCol="0" rtlCol="0" fromWordArt="0" anchor="t" anchorCtr="0" forceAA="0" compatLnSpc="1">
                          <a:noAutofit/>
                        </wps:bodyPr>
                      </wps:wsp>
                      <wps:wsp>
                        <wps:cNvPr id="1168347615" name="文本框 1"/>
                        <wps:cNvSpPr txBox="1"/>
                        <wps:spPr>
                          <a:xfrm>
                            <a:off x="3324475" y="36073"/>
                            <a:ext cx="1028065" cy="314325"/>
                          </a:xfrm>
                          <a:prstGeom prst="rect">
                            <a:avLst/>
                          </a:prstGeom>
                          <a:noFill/>
                          <a:ln>
                            <a:noFill/>
                          </a:ln>
                          <a:effectLst/>
                        </wps:spPr>
                        <wps:txbx>
                          <w:txbxContent>
                            <w:p w14:paraId="4DF4A32D">
                              <w:pPr>
                                <w:pStyle w:val="43"/>
                                <w:rPr>
                                  <w14:ligatures w14:val="none"/>
                                </w:rPr>
                              </w:pPr>
                              <w:r>
                                <w:rPr>
                                  <w:rFonts w:hint="eastAsia"/>
                                </w:rPr>
                                <w:t>车用乙醇汽油</w:t>
                              </w:r>
                            </w:p>
                          </w:txbxContent>
                        </wps:txbx>
                        <wps:bodyPr rot="0" spcFirstLastPara="0" vert="horz" wrap="square" lIns="91440" tIns="45720" rIns="91440" bIns="45720" numCol="1" spcCol="0" rtlCol="0" fromWordArt="0" anchor="t" anchorCtr="0" forceAA="0" compatLnSpc="1">
                          <a:noAutofit/>
                        </wps:bodyPr>
                      </wps:wsp>
                    </wpc:wpc>
                  </a:graphicData>
                </a:graphic>
              </wp:inline>
            </w:drawing>
          </mc:Choice>
          <mc:Fallback>
            <w:pict>
              <v:group id="画布 21" o:spid="_x0000_s1026" o:spt="203" style="height:71.7pt;width:459pt;" coordsize="5829300,910590" editas="canvas" o:gfxdata="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">
                <o:lock v:ext="edit" aspectratio="f"/>
                <v:shape id="画布 21" o:spid="_x0000_s1026" style="position:absolute;left:0;top:0;height:910590;width:5829300;" fillcolor="#FFFFFF" filled="t" stroked="f" coordsize="21600,21600" o:gfxdata="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">
                  <v:fill on="t" focussize="0,0"/>
                  <v:stroke on="f"/>
                  <v:imagedata o:title=""/>
                  <o:lock v:ext="edit" aspectratio="t"/>
                </v:shape>
                <v:shape id="_x0000_s1026" o:spid="_x0000_s1026" o:spt="202" type="#_x0000_t202" style="position:absolute;left:658528;top:359923;height:323850;width:818515;" fillcolor="#FFFFFF" filled="t" stroked="t" coordsize="21600,21600" o:gfxdata="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ScqLKdIAAAAFAQAADwAAAAAAAAABACAAAAAiAAAAZHJzL2Rvd25y&#10;ZXYueG1sUEsBAhQAFAAAAAgAh07iQAB7X1Z2AgAA4gQAAA4AAAAAAAAAAQAgAAAAIQEAAGRycy9l&#10;Mm9Eb2MueG1sUEsFBgAAAAAGAAYAWQEAAAkGAAAAAA==&#10;">
                  <v:fill on="t" focussize="0,0"/>
                  <v:stroke weight="0.5pt" color="#000000" joinstyle="round"/>
                  <v:imagedata o:title=""/>
                  <o:lock v:ext="edit" aspectratio="f"/>
                  <v:textbox>
                    <w:txbxContent>
                      <w:p w14:paraId="360DE5DF">
                        <w:pPr>
                          <w:pStyle w:val="43"/>
                        </w:pPr>
                        <w:r>
                          <w:rPr>
                            <w:rFonts w:hint="eastAsia"/>
                          </w:rPr>
                          <w:t>油罐</w:t>
                        </w:r>
                      </w:p>
                    </w:txbxContent>
                  </v:textbox>
                </v:shape>
                <v:shape id="_x0000_s1026" o:spid="_x0000_s1026" o:spt="32" type="#_x0000_t32" style="position:absolute;left:1477043;top:445648;height:0;width:1038225;" filled="f" stroked="t" coordsize="21600,21600" o:gfxdata="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FZLhEPTAAAABQEAAA8AAAAAAAAAAQAgAAAAIgAAAGRycy9kb3ducmV2LnhtbFBLAQIUABQAAAAI&#10;AIdO4kD9oxDCKwIAABwEAAAOAAAAAAAAAAEAIAAAACIBAABkcnMvZTJvRG9jLnhtbFBLBQYAAAAA&#10;BgAGAFkBAAC/BQAAAAA=&#10;">
                  <v:fill on="f" focussize="0,0"/>
                  <v:stroke weight="0.5pt" color="#000000" miterlimit="8" joinstyle="miter" endarrow="block"/>
                  <v:imagedata o:title=""/>
                  <o:lock v:ext="edit" aspectratio="f"/>
                </v:shape>
                <v:shape id="_x0000_s1026" o:spid="_x0000_s1026" o:spt="202" type="#_x0000_t202" style="position:absolute;left:1486601;top:36074;height:323849;width:1028667;" filled="f" stroked="f" coordsize="21600,21600" o:gfxdata="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Rrd5z0wAAAAUBAAAPAAAAAAAAAAEAIAAA&#10;ACIAAABkcnMvZG93bnJldi54bWxQSwECFAAUAAAACACHTuJAX+BCxEoCAACFBAAADgAAAAAAAAAB&#10;ACAAAAAiAQAAZHJzL2Uyb0RvYy54bWxQSwUGAAAAAAYABgBZAQAA3gUAAAAA&#10;">
                  <v:fill on="f" focussize="0,0"/>
                  <v:stroke on="f"/>
                  <v:imagedata o:title=""/>
                  <o:lock v:ext="edit" aspectratio="f"/>
                  <v:textbox>
                    <w:txbxContent>
                      <w:p w14:paraId="64451DF0">
                        <w:pPr>
                          <w:pStyle w:val="43"/>
                        </w:pPr>
                        <w:r>
                          <w:rPr>
                            <w:rFonts w:hint="eastAsia"/>
                          </w:rPr>
                          <w:t>车用乙醇汽油</w:t>
                        </w:r>
                      </w:p>
                    </w:txbxContent>
                  </v:textbox>
                </v:shape>
                <v:shape id="文本框 1" o:spid="_x0000_s1026" o:spt="202" type="#_x0000_t202" style="position:absolute;left:2515268;top:350398;height:333375;width:819150;" fillcolor="#FFFFFF" filled="t" stroked="t" coordsize="21600,21600" o:gfxdata="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ScqLKdIA&#10;AAAFAQAADwAAAAAAAAABACAAAAAiAAAAZHJzL2Rvd25yZXYueG1sUEsBAhQAFAAAAAgAh07iQBO0&#10;3XVeAgAAqAQAAA4AAAAAAAAAAQAgAAAAIQEAAGRycy9lMm9Eb2MueG1sUEsFBgAAAAAGAAYAWQEA&#10;APEFAAAAAA==&#10;">
                  <v:fill on="t" focussize="0,0"/>
                  <v:stroke weight="0.5pt" color="#000000" joinstyle="round"/>
                  <v:imagedata o:title=""/>
                  <o:lock v:ext="edit" aspectratio="f"/>
                  <v:textbox>
                    <w:txbxContent>
                      <w:p w14:paraId="221A2693">
                        <w:pPr>
                          <w:pStyle w:val="43"/>
                          <w:rPr>
                            <w14:ligatures w14:val="none"/>
                          </w:rPr>
                        </w:pPr>
                        <w:r>
                          <w:rPr>
                            <w:rFonts w:hint="eastAsia"/>
                          </w:rPr>
                          <w:t>加油机</w:t>
                        </w:r>
                      </w:p>
                    </w:txbxContent>
                  </v:textbox>
                </v:shape>
                <v:shape id="文本框 1" o:spid="_x0000_s1026" o:spt="202" type="#_x0000_t202" style="position:absolute;left:1666535;top:607233;height:304165;width:713740;" filled="f" stroked="f" coordsize="21600,21600" o:gfxdata="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Rrd5z0wAAAAUBAAAPAAAAAAAAAAEAIAAAACIAAABkcnMvZG93bnJldi54&#10;bWxQSwECFAAUAAAACACHTuJAMiy8+jgCAABNBAAADgAAAAAAAAABACAAAAAiAQAAZHJzL2Uyb0Rv&#10;Yy54bWxQSwUGAAAAAAYABgBZAQAAzAUAAAAA&#10;">
                  <v:fill on="f" focussize="0,0"/>
                  <v:stroke on="f"/>
                  <v:imagedata o:title=""/>
                  <o:lock v:ext="edit" aspectratio="f"/>
                  <v:textbox>
                    <w:txbxContent>
                      <w:p w14:paraId="0F485708">
                        <w:pPr>
                          <w:pStyle w:val="43"/>
                          <w:rPr>
                            <w14:ligatures w14:val="none"/>
                          </w:rPr>
                        </w:pPr>
                        <w:r>
                          <w:rPr>
                            <w:rFonts w:hint="eastAsia"/>
                          </w:rPr>
                          <w:t>油气</w:t>
                        </w:r>
                      </w:p>
                    </w:txbxContent>
                  </v:textbox>
                </v:shape>
                <v:shape id="文本框 1" o:spid="_x0000_s1026" o:spt="202" type="#_x0000_t202" style="position:absolute;left:4371295;top:359923;height:333375;width:753790;" fillcolor="#FFFFFF" filled="t" stroked="t" coordsize="21600,21600" o:gfxdata="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EnK&#10;iynSAAAABQEAAA8AAAAAAAAAAQAgAAAAIgAAAGRycy9kb3ducmV2LnhtbFBLAQIUABQAAAAIAIdO&#10;4kBzPeRyYgIAAKoEAAAOAAAAAAAAAAEAIAAAACEBAABkcnMvZTJvRG9jLnhtbFBLBQYAAAAABgAG&#10;AFkBAAD1BQAAAAA=&#10;">
                  <v:fill on="t" focussize="0,0"/>
                  <v:stroke weight="0.5pt" color="#000000" joinstyle="round"/>
                  <v:imagedata o:title=""/>
                  <o:lock v:ext="edit" aspectratio="f"/>
                  <v:textbox>
                    <w:txbxContent>
                      <w:p w14:paraId="50C0995C">
                        <w:pPr>
                          <w:pStyle w:val="43"/>
                          <w:rPr>
                            <w14:ligatures w14:val="none"/>
                          </w:rPr>
                        </w:pPr>
                        <w:r>
                          <w:rPr>
                            <w:rFonts w:hint="eastAsia"/>
                          </w:rPr>
                          <w:t>汽车</w:t>
                        </w:r>
                      </w:p>
                    </w:txbxContent>
                  </v:textbox>
                </v:shape>
                <v:shape id="_x0000_s1026" o:spid="_x0000_s1026" o:spt="32" type="#_x0000_t32" style="position:absolute;left:1477043;top:607233;height:0;width:1028667;" filled="f" stroked="t" coordsize="21600,21600" o:gfxdata="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bNoO/NYAAAAFAQAADwAAAAAAAAABACAAAAAi&#10;AAAAZHJzL2Rvd25yZXYueG1sUEsBAhQAFAAAAAgAh07iQNMhNoFFAgAAXAQAAA4AAAAAAAAAAQAg&#10;AAAAJQEAAGRycy9lMm9Eb2MueG1sUEsFBgAAAAAGAAYAWQEAANwFAAAAAA==&#10;">
                  <v:fill on="f" focussize="0,0"/>
                  <v:stroke weight="0.5pt" color="#000000" miterlimit="8" joinstyle="miter" startarrow="block"/>
                  <v:imagedata o:title=""/>
                  <o:lock v:ext="edit" aspectratio="f"/>
                </v:shape>
                <v:shape id="_x0000_s1026" o:spid="_x0000_s1026" o:spt="32" type="#_x0000_t32" style="position:absolute;left:3334418;top:444673;height:0;width:1038225;" filled="f" stroked="t" coordsize="21600,21600" o:gfxdata="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WS4RD0wAAAAUBAAAPAAAAAAAAAAEAIAAAACIAAABkcnMvZG93bnJldi54bWxQSwECFAAU&#10;AAAACACHTuJAYsKJKC8CAAAgBAAADgAAAAAAAAABACAAAAAiAQAAZHJzL2Uyb0RvYy54bWxQSwUG&#10;AAAAAAYABgBZAQAAwwUAAAAA&#10;">
                  <v:fill on="f" focussize="0,0"/>
                  <v:stroke weight="0.5pt" color="#000000" miterlimit="8" joinstyle="miter" endarrow="block"/>
                  <v:imagedata o:title=""/>
                  <o:lock v:ext="edit" aspectratio="f"/>
                </v:shape>
                <v:shape id="_x0000_s1026" o:spid="_x0000_s1026" o:spt="32" type="#_x0000_t32" style="position:absolute;left:3334418;top:607233;height:0;width:1028065;" filled="f" stroked="t" coordsize="21600,21600" o:gfxdata="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zaDvzWAAAABQEAAA8AAAAAAAAAAQAgAAAA&#10;IgAAAGRycy9kb3ducmV2LnhtbFBLAQIUABQAAAAIAIdO4kBT6jSURgIAAFwEAAAOAAAAAAAAAAEA&#10;IAAAACUBAABkcnMvZTJvRG9jLnhtbFBLBQYAAAAABgAGAFkBAADdBQAAAAA=&#10;">
                  <v:fill on="f" focussize="0,0"/>
                  <v:stroke weight="0.5pt" color="#000000" miterlimit="8" joinstyle="miter" startarrow="block"/>
                  <v:imagedata o:title=""/>
                  <o:lock v:ext="edit" aspectratio="f"/>
                </v:shape>
                <v:shape id="文本框 1" o:spid="_x0000_s1026" o:spt="202" type="#_x0000_t202" style="position:absolute;left:3515655;top:558973;height:304165;width:713740;" filled="f" stroked="f" coordsize="21600,21600" o:gfxdata="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0a3ec9MAAAAFAQAADwAAAAAAAAABACAAAAAiAAAAZHJzL2Rvd25yZXYu&#10;eG1sUEsBAhQAFAAAAAgAh07iQCZ3A2M5AgAATgQAAA4AAAAAAAAAAQAgAAAAIgEAAGRycy9lMm9E&#10;b2MueG1sUEsFBgAAAAAGAAYAWQEAAM0FAAAAAA==&#10;">
                  <v:fill on="f" focussize="0,0"/>
                  <v:stroke on="f"/>
                  <v:imagedata o:title=""/>
                  <o:lock v:ext="edit" aspectratio="f"/>
                  <v:textbox>
                    <w:txbxContent>
                      <w:p w14:paraId="26993A39">
                        <w:pPr>
                          <w:pStyle w:val="43"/>
                          <w:rPr>
                            <w14:ligatures w14:val="none"/>
                          </w:rPr>
                        </w:pPr>
                        <w:r>
                          <w:rPr>
                            <w:rFonts w:hint="eastAsia"/>
                          </w:rPr>
                          <w:t>油气</w:t>
                        </w:r>
                      </w:p>
                    </w:txbxContent>
                  </v:textbox>
                </v:shape>
                <v:shape id="文本框 1" o:spid="_x0000_s1026" o:spt="202" type="#_x0000_t202" style="position:absolute;left:3324475;top:36073;height:314325;width:1028065;" filled="f" stroked="f" coordsize="21600,21600" o:gfxdata="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Rrd5z0wAAAAUBAAAPAAAAAAAAAAEAIAAAACIAAABkcnMvZG93bnJldi54&#10;bWxQSwECFAAUAAAACACHTuJAhLAZszgCAABOBAAADgAAAAAAAAABACAAAAAiAQAAZHJzL2Uyb0Rv&#10;Yy54bWxQSwUGAAAAAAYABgBZAQAAzAUAAAAA&#10;">
                  <v:fill on="f" focussize="0,0"/>
                  <v:stroke on="f"/>
                  <v:imagedata o:title=""/>
                  <o:lock v:ext="edit" aspectratio="f"/>
                  <v:textbox>
                    <w:txbxContent>
                      <w:p w14:paraId="4DF4A32D">
                        <w:pPr>
                          <w:pStyle w:val="43"/>
                          <w:rPr>
                            <w14:ligatures w14:val="none"/>
                          </w:rPr>
                        </w:pPr>
                        <w:r>
                          <w:rPr>
                            <w:rFonts w:hint="eastAsia"/>
                          </w:rPr>
                          <w:t>车用乙醇汽油</w:t>
                        </w:r>
                      </w:p>
                    </w:txbxContent>
                  </v:textbox>
                </v:shape>
                <w10:wrap type="none"/>
                <w10:anchorlock/>
              </v:group>
            </w:pict>
          </mc:Fallback>
        </mc:AlternateContent>
      </w:r>
    </w:p>
    <w:p w14:paraId="2FE276B4">
      <w:pPr>
        <w:pStyle w:val="43"/>
        <w:spacing w:before="156" w:beforeLines="50" w:after="156" w:afterLines="50"/>
        <w:ind w:firstLine="480"/>
        <w:rPr>
          <w:rFonts w:eastAsia="黑体"/>
          <w:sz w:val="24"/>
        </w:rPr>
      </w:pPr>
      <w:bookmarkStart w:id="29" w:name="_Toc5911"/>
      <w:r>
        <w:rPr>
          <w:rFonts w:eastAsia="黑体"/>
          <w:sz w:val="24"/>
        </w:rPr>
        <w:t>图2.</w:t>
      </w:r>
      <w:r>
        <w:rPr>
          <w:rFonts w:hint="eastAsia" w:eastAsia="黑体"/>
          <w:sz w:val="24"/>
        </w:rPr>
        <w:t>6</w:t>
      </w:r>
      <w:r>
        <w:rPr>
          <w:rFonts w:eastAsia="黑体"/>
          <w:sz w:val="24"/>
        </w:rPr>
        <w:t xml:space="preserve">-3  </w:t>
      </w:r>
      <w:r>
        <w:rPr>
          <w:rFonts w:hint="eastAsia" w:eastAsia="黑体"/>
          <w:sz w:val="24"/>
        </w:rPr>
        <w:t>车用乙醇汽油</w:t>
      </w:r>
      <w:r>
        <w:rPr>
          <w:rFonts w:eastAsia="黑体"/>
          <w:sz w:val="24"/>
        </w:rPr>
        <w:t>加油工艺流程框图</w:t>
      </w:r>
    </w:p>
    <w:p w14:paraId="1DF0B4AE">
      <w:pPr>
        <w:spacing w:line="240" w:lineRule="auto"/>
        <w:ind w:firstLine="199" w:firstLineChars="83"/>
        <w:rPr>
          <w:rFonts w:ascii="Times New Roman" w:hAnsi="Times New Roman" w:eastAsia="宋体" w:cs="Times New Roman"/>
          <w:szCs w:val="28"/>
          <w14:ligatures w14:val="none"/>
        </w:rPr>
      </w:pPr>
      <w:r>
        <w:rPr>
          <w:rFonts w:hint="eastAsia" w:ascii="Times New Roman" w:hAnsi="Times New Roman" w:eastAsia="宋体"/>
          <w:sz w:val="24"/>
        </w:rPr>
        <mc:AlternateContent>
          <mc:Choice Requires="wpc">
            <w:drawing>
              <wp:inline distT="0" distB="0" distL="0" distR="0">
                <wp:extent cx="5829300" cy="866775"/>
                <wp:effectExtent l="0" t="0" r="0" b="9525"/>
                <wp:docPr id="2135779368" name="画布 5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45574553" name="文本框 45574553"/>
                        <wps:cNvSpPr txBox="1"/>
                        <wps:spPr>
                          <a:xfrm>
                            <a:off x="1027724" y="314325"/>
                            <a:ext cx="847725" cy="314325"/>
                          </a:xfrm>
                          <a:prstGeom prst="rect">
                            <a:avLst/>
                          </a:prstGeom>
                          <a:solidFill>
                            <a:sysClr val="window" lastClr="FFFFFF"/>
                          </a:solidFill>
                          <a:ln w="6350">
                            <a:solidFill>
                              <a:prstClr val="black"/>
                            </a:solidFill>
                          </a:ln>
                        </wps:spPr>
                        <wps:txbx>
                          <w:txbxContent>
                            <w:p w14:paraId="7BD240AD">
                              <w:pPr>
                                <w:pStyle w:val="43"/>
                              </w:pPr>
                              <w:r>
                                <w:rPr>
                                  <w:rFonts w:hint="eastAsia"/>
                                </w:rPr>
                                <w:t>油罐</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91162706" name="直接连接符 391162706"/>
                        <wps:cNvCnPr/>
                        <wps:spPr>
                          <a:xfrm>
                            <a:off x="1885949" y="466725"/>
                            <a:ext cx="694350" cy="0"/>
                          </a:xfrm>
                          <a:prstGeom prst="line">
                            <a:avLst/>
                          </a:prstGeom>
                          <a:noFill/>
                          <a:ln w="6350" cap="flat" cmpd="sng" algn="ctr">
                            <a:solidFill>
                              <a:sysClr val="windowText" lastClr="000000"/>
                            </a:solidFill>
                            <a:prstDash val="solid"/>
                            <a:miter lim="800000"/>
                            <a:headEnd type="none" w="med" len="med"/>
                            <a:tailEnd type="triangle" w="med" len="med"/>
                          </a:ln>
                          <a:effectLst/>
                        </wps:spPr>
                        <wps:bodyPr/>
                      </wps:wsp>
                      <wps:wsp>
                        <wps:cNvPr id="1331799200" name="文本框 1"/>
                        <wps:cNvSpPr txBox="1"/>
                        <wps:spPr>
                          <a:xfrm>
                            <a:off x="1865924" y="172085"/>
                            <a:ext cx="714375" cy="304165"/>
                          </a:xfrm>
                          <a:prstGeom prst="rect">
                            <a:avLst/>
                          </a:prstGeom>
                          <a:noFill/>
                          <a:ln>
                            <a:noFill/>
                          </a:ln>
                          <a:effectLst/>
                        </wps:spPr>
                        <wps:txbx>
                          <w:txbxContent>
                            <w:p w14:paraId="72502B0C">
                              <w:pPr>
                                <w:pStyle w:val="43"/>
                                <w:rPr>
                                  <w14:ligatures w14:val="none"/>
                                </w:rPr>
                              </w:pPr>
                              <w:r>
                                <w:rPr>
                                  <w:rFonts w:hint="eastAsia"/>
                                </w:rPr>
                                <w:t>柴油</w:t>
                              </w:r>
                            </w:p>
                          </w:txbxContent>
                        </wps:txbx>
                        <wps:bodyPr rot="0" spcFirstLastPara="0" vert="horz" wrap="square" lIns="91440" tIns="45720" rIns="91440" bIns="45720" numCol="1" spcCol="0" rtlCol="0" fromWordArt="0" anchor="t" anchorCtr="0" forceAA="0" compatLnSpc="1">
                          <a:noAutofit/>
                        </wps:bodyPr>
                      </wps:wsp>
                      <wps:wsp>
                        <wps:cNvPr id="1275235505" name="文本框 1"/>
                        <wps:cNvSpPr txBox="1"/>
                        <wps:spPr>
                          <a:xfrm>
                            <a:off x="3428024" y="161245"/>
                            <a:ext cx="714375" cy="304165"/>
                          </a:xfrm>
                          <a:prstGeom prst="rect">
                            <a:avLst/>
                          </a:prstGeom>
                          <a:noFill/>
                          <a:ln>
                            <a:noFill/>
                          </a:ln>
                          <a:effectLst/>
                        </wps:spPr>
                        <wps:txbx>
                          <w:txbxContent>
                            <w:p w14:paraId="276CE5C8">
                              <w:pPr>
                                <w:pStyle w:val="43"/>
                                <w:rPr>
                                  <w14:ligatures w14:val="none"/>
                                </w:rPr>
                              </w:pPr>
                              <w:r>
                                <w:rPr>
                                  <w:rFonts w:hint="eastAsia"/>
                                </w:rPr>
                                <w:t>柴油</w:t>
                              </w:r>
                            </w:p>
                          </w:txbxContent>
                        </wps:txbx>
                        <wps:bodyPr rot="0" spcFirstLastPara="0" vert="horz" wrap="square" lIns="91440" tIns="45720" rIns="91440" bIns="45720" numCol="1" spcCol="0" rtlCol="0" fromWordArt="0" anchor="t" anchorCtr="0" forceAA="0" compatLnSpc="1">
                          <a:noAutofit/>
                        </wps:bodyPr>
                      </wps:wsp>
                      <wps:wsp>
                        <wps:cNvPr id="523418446" name="文本框 1"/>
                        <wps:cNvSpPr txBox="1"/>
                        <wps:spPr>
                          <a:xfrm>
                            <a:off x="2589824" y="304800"/>
                            <a:ext cx="838200" cy="314325"/>
                          </a:xfrm>
                          <a:prstGeom prst="rect">
                            <a:avLst/>
                          </a:prstGeom>
                          <a:solidFill>
                            <a:sysClr val="window" lastClr="FFFFFF"/>
                          </a:solidFill>
                          <a:ln w="6350">
                            <a:solidFill>
                              <a:prstClr val="black"/>
                            </a:solidFill>
                          </a:ln>
                        </wps:spPr>
                        <wps:txbx>
                          <w:txbxContent>
                            <w:p w14:paraId="08C7182F">
                              <w:pPr>
                                <w:pStyle w:val="43"/>
                                <w:rPr>
                                  <w:rFonts w:hint="eastAsia" w:ascii="宋体" w:hAnsi="宋体"/>
                                  <w:szCs w:val="21"/>
                                  <w14:ligatures w14:val="none"/>
                                </w:rPr>
                              </w:pPr>
                              <w:r>
                                <w:rPr>
                                  <w:rStyle w:val="44"/>
                                  <w:rFonts w:hint="eastAsia"/>
                                </w:rPr>
                                <w:t>加油</w:t>
                              </w:r>
                              <w:r>
                                <w:rPr>
                                  <w:rFonts w:hint="eastAsia" w:ascii="宋体" w:hAnsi="宋体"/>
                                  <w:szCs w:val="21"/>
                                </w:rPr>
                                <w:t>机</w:t>
                              </w:r>
                            </w:p>
                          </w:txbxContent>
                        </wps:txbx>
                        <wps:bodyPr rot="0" spcFirstLastPara="0" vert="horz" wrap="square" lIns="91440" tIns="45720" rIns="91440" bIns="45720" numCol="1" spcCol="0" rtlCol="0" fromWordArt="0" anchor="t" anchorCtr="0" forceAA="0" compatLnSpc="1">
                          <a:noAutofit/>
                        </wps:bodyPr>
                      </wps:wsp>
                      <wps:wsp>
                        <wps:cNvPr id="1025682064" name="文本框 1"/>
                        <wps:cNvSpPr txBox="1"/>
                        <wps:spPr>
                          <a:xfrm>
                            <a:off x="4122079" y="304800"/>
                            <a:ext cx="847725" cy="314325"/>
                          </a:xfrm>
                          <a:prstGeom prst="rect">
                            <a:avLst/>
                          </a:prstGeom>
                          <a:solidFill>
                            <a:sysClr val="window" lastClr="FFFFFF"/>
                          </a:solidFill>
                          <a:ln w="6350">
                            <a:solidFill>
                              <a:prstClr val="black"/>
                            </a:solidFill>
                          </a:ln>
                        </wps:spPr>
                        <wps:txbx>
                          <w:txbxContent>
                            <w:p w14:paraId="292FA986">
                              <w:pPr>
                                <w:pStyle w:val="43"/>
                                <w:rPr>
                                  <w14:ligatures w14:val="none"/>
                                </w:rPr>
                              </w:pPr>
                              <w:r>
                                <w:rPr>
                                  <w:rFonts w:hint="eastAsia"/>
                                </w:rPr>
                                <w:t>汽车</w:t>
                              </w:r>
                            </w:p>
                          </w:txbxContent>
                        </wps:txbx>
                        <wps:bodyPr rot="0" spcFirstLastPara="0" vert="horz" wrap="square" lIns="91440" tIns="45720" rIns="91440" bIns="45720" numCol="1" spcCol="0" rtlCol="0" fromWordArt="0" anchor="t" anchorCtr="0" forceAA="0" compatLnSpc="1">
                          <a:noAutofit/>
                        </wps:bodyPr>
                      </wps:wsp>
                      <wps:wsp>
                        <wps:cNvPr id="832753051" name="直接连接符 832753051"/>
                        <wps:cNvCnPr/>
                        <wps:spPr>
                          <a:xfrm>
                            <a:off x="3428024" y="466725"/>
                            <a:ext cx="694055" cy="0"/>
                          </a:xfrm>
                          <a:prstGeom prst="line">
                            <a:avLst/>
                          </a:prstGeom>
                          <a:noFill/>
                          <a:ln w="6350" cap="flat" cmpd="sng" algn="ctr">
                            <a:solidFill>
                              <a:sysClr val="windowText" lastClr="000000"/>
                            </a:solidFill>
                            <a:prstDash val="solid"/>
                            <a:miter lim="800000"/>
                            <a:headEnd type="none" w="med" len="med"/>
                            <a:tailEnd type="triangle" w="med" len="med"/>
                          </a:ln>
                          <a:effectLst/>
                        </wps:spPr>
                        <wps:bodyPr/>
                      </wps:wsp>
                    </wpc:wpc>
                  </a:graphicData>
                </a:graphic>
              </wp:inline>
            </w:drawing>
          </mc:Choice>
          <mc:Fallback>
            <w:pict>
              <v:group id="画布 57" o:spid="_x0000_s1026" o:spt="203" style="height:68.25pt;width:459pt;" coordsize="5829300,866775" editas="canvas" o:gfxdata="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">
                <o:lock v:ext="edit" aspectratio="f"/>
                <v:shape id="画布 57" o:spid="_x0000_s1026" style="position:absolute;left:0;top:0;height:866775;width:5829300;" fillcolor="#FFFFFF" filled="t" stroked="f" coordsize="21600,21600" o:gfxdata="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">
                  <v:fill on="t" focussize="0,0"/>
                  <v:stroke on="f"/>
                  <v:imagedata o:title=""/>
                  <o:lock v:ext="edit" aspectratio="t"/>
                </v:shape>
                <v:shape id="_x0000_s1026" o:spid="_x0000_s1026" o:spt="202" type="#_x0000_t202" style="position:absolute;left:1027724;top:314325;height:314325;width:847725;" fillcolor="#FFFFFF" filled="t" stroked="t" coordsize="21600,21600" o:gfxdata="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VhwEvNIAAAAFAQAADwAAAAAAAAABACAAAAAiAAAAZHJzL2Rvd25yZXYueG1s&#10;UEsBAhQAFAAAAAgAh07iQNJB45FwAgAA3wQAAA4AAAAAAAAAAQAgAAAAIQEAAGRycy9lMm9Eb2Mu&#10;eG1sUEsFBgAAAAAGAAYAWQEAAAMGAAAAAA==&#10;">
                  <v:fill on="t" focussize="0,0"/>
                  <v:stroke weight="0.5pt" color="#000000" joinstyle="round"/>
                  <v:imagedata o:title=""/>
                  <o:lock v:ext="edit" aspectratio="f"/>
                  <v:textbox>
                    <w:txbxContent>
                      <w:p w14:paraId="7BD240AD">
                        <w:pPr>
                          <w:pStyle w:val="43"/>
                        </w:pPr>
                        <w:r>
                          <w:rPr>
                            <w:rFonts w:hint="eastAsia"/>
                          </w:rPr>
                          <w:t>油罐</w:t>
                        </w:r>
                      </w:p>
                    </w:txbxContent>
                  </v:textbox>
                </v:shape>
                <v:line id="_x0000_s1026" o:spid="_x0000_s1026" o:spt="20" style="position:absolute;left:1885949;top:466725;height:0;width:694350;" filled="f" stroked="t" coordsize="21600,21600" o:gfxdata="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JnH0M1AAAAAUBAAAPAAAAAAAAAAEAIAAAACIAAABkcnMvZG93bnJldi54bWxQSwEC&#10;FAAUAAAACACHTuJAlKcVgjECAABFBAAADgAAAAAAAAABACAAAAAjAQAAZHJzL2Uyb0RvYy54bWxQ&#10;SwUGAAAAAAYABgBZAQAAxgUAAAAA&#10;">
                  <v:fill on="f" focussize="0,0"/>
                  <v:stroke weight="0.5pt" color="#000000" miterlimit="8" joinstyle="miter" endarrow="block"/>
                  <v:imagedata o:title=""/>
                  <o:lock v:ext="edit" aspectratio="f"/>
                </v:line>
                <v:shape id="文本框 1" o:spid="_x0000_s1026" o:spt="202" type="#_x0000_t202" style="position:absolute;left:1865924;top:172085;height:304165;width:714375;" filled="f" stroked="f" coordsize="21600,21600" o:gfxdata="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zntR5tMAAAAFAQAADwAAAAAAAAABACAAAAAiAAAAZHJzL2Rvd25yZXYu&#10;eG1sUEsBAhQAFAAAAAgAh07iQFtn/xI5AgAATgQAAA4AAAAAAAAAAQAgAAAAIgEAAGRycy9lMm9E&#10;b2MueG1sUEsFBgAAAAAGAAYAWQEAAM0FAAAAAA==&#10;">
                  <v:fill on="f" focussize="0,0"/>
                  <v:stroke on="f"/>
                  <v:imagedata o:title=""/>
                  <o:lock v:ext="edit" aspectratio="f"/>
                  <v:textbox>
                    <w:txbxContent>
                      <w:p w14:paraId="72502B0C">
                        <w:pPr>
                          <w:pStyle w:val="43"/>
                          <w:rPr>
                            <w14:ligatures w14:val="none"/>
                          </w:rPr>
                        </w:pPr>
                        <w:r>
                          <w:rPr>
                            <w:rFonts w:hint="eastAsia"/>
                          </w:rPr>
                          <w:t>柴油</w:t>
                        </w:r>
                      </w:p>
                    </w:txbxContent>
                  </v:textbox>
                </v:shape>
                <v:shape id="文本框 1" o:spid="_x0000_s1026" o:spt="202" type="#_x0000_t202" style="position:absolute;left:3428024;top:161245;height:304165;width:714375;" filled="f" stroked="f" coordsize="21600,21600" o:gfxdata="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M57UebTAAAABQEAAA8AAAAAAAAAAQAgAAAAIgAAAGRycy9kb3ducmV2&#10;LnhtbFBLAQIUABQAAAAIAIdO4kDy7jXAOgIAAE4EAAAOAAAAAAAAAAEAIAAAACIBAABkcnMvZTJv&#10;RG9jLnhtbFBLBQYAAAAABgAGAFkBAADOBQAAAAA=&#10;">
                  <v:fill on="f" focussize="0,0"/>
                  <v:stroke on="f"/>
                  <v:imagedata o:title=""/>
                  <o:lock v:ext="edit" aspectratio="f"/>
                  <v:textbox>
                    <w:txbxContent>
                      <w:p w14:paraId="276CE5C8">
                        <w:pPr>
                          <w:pStyle w:val="43"/>
                          <w:rPr>
                            <w14:ligatures w14:val="none"/>
                          </w:rPr>
                        </w:pPr>
                        <w:r>
                          <w:rPr>
                            <w:rFonts w:hint="eastAsia"/>
                          </w:rPr>
                          <w:t>柴油</w:t>
                        </w:r>
                      </w:p>
                    </w:txbxContent>
                  </v:textbox>
                </v:shape>
                <v:shape id="文本框 1" o:spid="_x0000_s1026" o:spt="202" type="#_x0000_t202" style="position:absolute;left:2589824;top:304800;height:314325;width:838200;" fillcolor="#FFFFFF" filled="t" stroked="t" coordsize="21600,21600" o:gfxdata="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Yc&#10;BLzSAAAABQEAAA8AAAAAAAAAAQAgAAAAIgAAAGRycy9kb3ducmV2LnhtbFBLAQIUABQAAAAIAIdO&#10;4kA96k31YgIAAKkEAAAOAAAAAAAAAAEAIAAAACEBAABkcnMvZTJvRG9jLnhtbFBLBQYAAAAABgAG&#10;AFkBAAD1BQAAAAA=&#10;">
                  <v:fill on="t" focussize="0,0"/>
                  <v:stroke weight="0.5pt" color="#000000" joinstyle="round"/>
                  <v:imagedata o:title=""/>
                  <o:lock v:ext="edit" aspectratio="f"/>
                  <v:textbox>
                    <w:txbxContent>
                      <w:p w14:paraId="08C7182F">
                        <w:pPr>
                          <w:pStyle w:val="43"/>
                          <w:rPr>
                            <w:rFonts w:hint="eastAsia" w:ascii="宋体" w:hAnsi="宋体"/>
                            <w:szCs w:val="21"/>
                            <w14:ligatures w14:val="none"/>
                          </w:rPr>
                        </w:pPr>
                        <w:r>
                          <w:rPr>
                            <w:rStyle w:val="44"/>
                            <w:rFonts w:hint="eastAsia"/>
                          </w:rPr>
                          <w:t>加油</w:t>
                        </w:r>
                        <w:r>
                          <w:rPr>
                            <w:rFonts w:hint="eastAsia" w:ascii="宋体" w:hAnsi="宋体"/>
                            <w:szCs w:val="21"/>
                          </w:rPr>
                          <w:t>机</w:t>
                        </w:r>
                      </w:p>
                    </w:txbxContent>
                  </v:textbox>
                </v:shape>
                <v:shape id="文本框 1" o:spid="_x0000_s1026" o:spt="202" type="#_x0000_t202" style="position:absolute;left:4122079;top:304800;height:314325;width:847725;" fillcolor="#FFFFFF" filled="t" stroked="t" coordsize="21600,21600" o:gfxdata="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Yc&#10;BLzSAAAABQEAAA8AAAAAAAAAAQAgAAAAIgAAAGRycy9kb3ducmV2LnhtbFBLAQIUABQAAAAIAIdO&#10;4kDphnyIYgIAAKoEAAAOAAAAAAAAAAEAIAAAACEBAABkcnMvZTJvRG9jLnhtbFBLBQYAAAAABgAG&#10;AFkBAAD1BQAAAAA=&#10;">
                  <v:fill on="t" focussize="0,0"/>
                  <v:stroke weight="0.5pt" color="#000000" joinstyle="round"/>
                  <v:imagedata o:title=""/>
                  <o:lock v:ext="edit" aspectratio="f"/>
                  <v:textbox>
                    <w:txbxContent>
                      <w:p w14:paraId="292FA986">
                        <w:pPr>
                          <w:pStyle w:val="43"/>
                          <w:rPr>
                            <w14:ligatures w14:val="none"/>
                          </w:rPr>
                        </w:pPr>
                        <w:r>
                          <w:rPr>
                            <w:rFonts w:hint="eastAsia"/>
                          </w:rPr>
                          <w:t>汽车</w:t>
                        </w:r>
                      </w:p>
                    </w:txbxContent>
                  </v:textbox>
                </v:shape>
                <v:line id="_x0000_s1026" o:spid="_x0000_s1026" o:spt="20" style="position:absolute;left:3428024;top:466725;height:0;width:694055;" filled="f" stroked="t" coordsize="21600,21600" o:gfxdata="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mcfQzUAAAABQEAAA8AAAAAAAAAAQAgAAAAIgAAAGRycy9kb3ducmV2LnhtbFBL&#10;AQIUABQAAAAIAIdO4kCrkkPtMwIAAEUEAAAOAAAAAAAAAAEAIAAAACMBAABkcnMvZTJvRG9jLnht&#10;bFBLBQYAAAAABgAGAFkBAADIBQAAAAA=&#10;">
                  <v:fill on="f" focussize="0,0"/>
                  <v:stroke weight="0.5pt" color="#000000" miterlimit="8" joinstyle="miter" endarrow="block"/>
                  <v:imagedata o:title=""/>
                  <o:lock v:ext="edit" aspectratio="f"/>
                </v:line>
                <w10:wrap type="none"/>
                <w10:anchorlock/>
              </v:group>
            </w:pict>
          </mc:Fallback>
        </mc:AlternateContent>
      </w:r>
    </w:p>
    <w:p w14:paraId="4F96F50E">
      <w:pPr>
        <w:adjustRightInd/>
        <w:snapToGrid/>
        <w:spacing w:line="240" w:lineRule="auto"/>
        <w:ind w:firstLine="0" w:firstLineChars="0"/>
        <w:jc w:val="left"/>
        <w:rPr>
          <w:rFonts w:ascii="Times New Roman" w:hAnsi="Times New Roman" w:eastAsia="宋体"/>
          <w:sz w:val="21"/>
          <w:szCs w:val="21"/>
        </w:rPr>
      </w:pPr>
      <w:r>
        <w:rPr>
          <w:rFonts w:hint="eastAsia" w:ascii="Times New Roman" w:hAnsi="Times New Roman" w:eastAsia="宋体"/>
          <w:sz w:val="21"/>
          <w:szCs w:val="21"/>
        </w:rPr>
        <w:t>注：柴油无油气回收工艺流程</w:t>
      </w:r>
    </w:p>
    <w:p w14:paraId="36503028">
      <w:pPr>
        <w:pStyle w:val="43"/>
        <w:spacing w:before="156" w:beforeLines="50" w:after="156" w:afterLines="50"/>
        <w:ind w:firstLine="480"/>
        <w:rPr>
          <w:rFonts w:eastAsia="黑体"/>
          <w:sz w:val="24"/>
        </w:rPr>
      </w:pPr>
      <w:r>
        <w:rPr>
          <w:rFonts w:eastAsia="黑体"/>
          <w:sz w:val="24"/>
        </w:rPr>
        <w:t>图2.</w:t>
      </w:r>
      <w:r>
        <w:rPr>
          <w:rFonts w:hint="eastAsia" w:eastAsia="黑体"/>
          <w:sz w:val="24"/>
        </w:rPr>
        <w:t>6</w:t>
      </w:r>
      <w:r>
        <w:rPr>
          <w:rFonts w:eastAsia="黑体"/>
          <w:sz w:val="24"/>
        </w:rPr>
        <w:t>-4  柴油加油工艺流程框图</w:t>
      </w:r>
    </w:p>
    <w:bookmarkEnd w:id="29"/>
    <w:p w14:paraId="20F84AD5">
      <w:pPr>
        <w:keepNext/>
        <w:spacing w:before="156" w:beforeLines="50" w:after="156" w:afterLines="50"/>
        <w:ind w:firstLine="562"/>
        <w:outlineLvl w:val="2"/>
        <w:rPr>
          <w:rFonts w:ascii="Times New Roman" w:hAnsi="Times New Roman" w:eastAsia="黑体" w:cs="Times New Roman"/>
          <w:b/>
          <w:bCs/>
          <w:kern w:val="0"/>
          <w:szCs w:val="20"/>
          <w14:ligatures w14:val="none"/>
        </w:rPr>
      </w:pPr>
      <w:r>
        <w:rPr>
          <w:rFonts w:ascii="Times New Roman" w:hAnsi="Times New Roman" w:eastAsia="黑体" w:cs="Times New Roman"/>
          <w:b/>
          <w:bCs/>
          <w:kern w:val="0"/>
          <w:szCs w:val="20"/>
          <w14:ligatures w14:val="none"/>
        </w:rPr>
        <w:t>2.6.2主要设备及设施的布局及其上下游生产装置的关系</w:t>
      </w:r>
    </w:p>
    <w:p w14:paraId="1F288171">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本项目</w:t>
      </w:r>
      <w:r>
        <w:rPr>
          <w:rFonts w:ascii="Times New Roman" w:hAnsi="Times New Roman" w:eastAsia="宋体" w:cs="宋体"/>
          <w:szCs w:val="28"/>
          <w:lang w:bidi="ar"/>
          <w14:ligatures w14:val="none"/>
        </w:rPr>
        <w:t>在总平面布置上进行功能分区，分为加油作业区、储罐区和辅助服务区。加油作业区为加油场地，辅助服务区为站房</w:t>
      </w:r>
      <w:r>
        <w:rPr>
          <w:rFonts w:hint="eastAsia" w:ascii="Times New Roman" w:hAnsi="Times New Roman" w:eastAsia="宋体" w:cs="宋体"/>
          <w:szCs w:val="28"/>
          <w:lang w:bidi="ar"/>
          <w14:ligatures w14:val="none"/>
        </w:rPr>
        <w:t>、</w:t>
      </w:r>
      <w:r>
        <w:rPr>
          <w:rFonts w:hint="eastAsia" w:ascii="Times New Roman" w:hAnsi="Times New Roman" w:eastAsia="宋体" w:cs="宋体"/>
          <w:szCs w:val="28"/>
          <w:lang w:val="en-US" w:eastAsia="zh-CN" w:bidi="ar"/>
          <w14:ligatures w14:val="none"/>
        </w:rPr>
        <w:t>洗车房、辅助用房、地磅房</w:t>
      </w:r>
      <w:r>
        <w:rPr>
          <w:rFonts w:ascii="Times New Roman" w:hAnsi="Times New Roman" w:eastAsia="宋体" w:cs="宋体"/>
          <w:szCs w:val="28"/>
          <w:lang w:bidi="ar"/>
          <w14:ligatures w14:val="none"/>
        </w:rPr>
        <w:t>。</w:t>
      </w:r>
    </w:p>
    <w:p w14:paraId="6FFA9EEB">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站房位于站区</w:t>
      </w:r>
      <w:r>
        <w:rPr>
          <w:rFonts w:hint="eastAsia" w:ascii="Times New Roman" w:hAnsi="Times New Roman" w:eastAsia="宋体" w:cs="宋体"/>
          <w:szCs w:val="28"/>
          <w:lang w:val="en-US" w:eastAsia="zh-CN" w:bidi="ar"/>
          <w14:ligatures w14:val="none"/>
        </w:rPr>
        <w:t>南</w:t>
      </w:r>
      <w:r>
        <w:rPr>
          <w:rFonts w:ascii="Times New Roman" w:hAnsi="Times New Roman" w:eastAsia="宋体" w:cs="宋体"/>
          <w:szCs w:val="28"/>
          <w:lang w:bidi="ar"/>
          <w14:ligatures w14:val="none"/>
        </w:rPr>
        <w:t>侧，内部设办公室、营业厅等功能间</w:t>
      </w:r>
      <w:r>
        <w:rPr>
          <w:rFonts w:hint="eastAsia" w:ascii="Times New Roman" w:hAnsi="Times New Roman" w:eastAsia="宋体" w:cs="宋体"/>
          <w:szCs w:val="28"/>
          <w:lang w:bidi="ar"/>
          <w14:ligatures w14:val="none"/>
        </w:rPr>
        <w:t>；</w:t>
      </w:r>
      <w:r>
        <w:rPr>
          <w:rFonts w:hint="eastAsia" w:ascii="Times New Roman" w:hAnsi="Times New Roman" w:eastAsia="宋体" w:cs="宋体"/>
          <w:szCs w:val="28"/>
          <w:lang w:val="en-US" w:eastAsia="zh-CN" w:bidi="ar"/>
          <w14:ligatures w14:val="none"/>
        </w:rPr>
        <w:t>洗车房、辅助用房及地磅房</w:t>
      </w:r>
      <w:r>
        <w:rPr>
          <w:rFonts w:hint="eastAsia" w:ascii="Times New Roman" w:hAnsi="Times New Roman" w:eastAsia="宋体" w:cs="宋体"/>
          <w:szCs w:val="28"/>
          <w:lang w:bidi="ar"/>
          <w14:ligatures w14:val="none"/>
        </w:rPr>
        <w:t>位于站房</w:t>
      </w:r>
      <w:r>
        <w:rPr>
          <w:rFonts w:hint="eastAsia" w:ascii="Times New Roman" w:hAnsi="Times New Roman" w:eastAsia="宋体" w:cs="宋体"/>
          <w:szCs w:val="28"/>
          <w:lang w:val="en-US" w:eastAsia="zh-CN" w:bidi="ar"/>
          <w14:ligatures w14:val="none"/>
        </w:rPr>
        <w:t>南</w:t>
      </w:r>
      <w:r>
        <w:rPr>
          <w:rFonts w:hint="eastAsia" w:ascii="Times New Roman" w:hAnsi="Times New Roman" w:eastAsia="宋体" w:cs="宋体"/>
          <w:szCs w:val="28"/>
          <w:lang w:bidi="ar"/>
          <w14:ligatures w14:val="none"/>
        </w:rPr>
        <w:t>侧。</w:t>
      </w:r>
    </w:p>
    <w:p w14:paraId="7CAF9986">
      <w:pPr>
        <w:ind w:firstLine="560"/>
        <w:rPr>
          <w:rFonts w:ascii="Times New Roman" w:hAnsi="Times New Roman" w:eastAsia="宋体" w:cs="宋体"/>
          <w:szCs w:val="28"/>
          <w:highlight w:val="none"/>
          <w:lang w:bidi="ar"/>
          <w14:ligatures w14:val="none"/>
        </w:rPr>
      </w:pPr>
      <w:r>
        <w:rPr>
          <w:rFonts w:ascii="Times New Roman" w:hAnsi="Times New Roman" w:eastAsia="宋体" w:cs="宋体"/>
          <w:szCs w:val="28"/>
          <w:highlight w:val="none"/>
          <w:lang w:bidi="ar"/>
          <w14:ligatures w14:val="none"/>
        </w:rPr>
        <w:t>加油作业区布置在站房</w:t>
      </w:r>
      <w:r>
        <w:rPr>
          <w:rFonts w:hint="eastAsia" w:ascii="Times New Roman" w:hAnsi="Times New Roman" w:eastAsia="宋体" w:cs="宋体"/>
          <w:szCs w:val="28"/>
          <w:highlight w:val="none"/>
          <w:lang w:val="en-US" w:eastAsia="zh-CN" w:bidi="ar"/>
          <w14:ligatures w14:val="none"/>
        </w:rPr>
        <w:t>北</w:t>
      </w:r>
      <w:r>
        <w:rPr>
          <w:rFonts w:ascii="Times New Roman" w:hAnsi="Times New Roman" w:eastAsia="宋体" w:cs="宋体"/>
          <w:szCs w:val="28"/>
          <w:highlight w:val="none"/>
          <w:lang w:bidi="ar"/>
          <w14:ligatures w14:val="none"/>
        </w:rPr>
        <w:t>侧，加油场地设加油罩棚，罩棚下设</w:t>
      </w:r>
      <w:r>
        <w:rPr>
          <w:rFonts w:hint="eastAsia" w:ascii="Times New Roman" w:hAnsi="Times New Roman" w:eastAsia="宋体" w:cs="宋体"/>
          <w:szCs w:val="28"/>
          <w:highlight w:val="none"/>
          <w:lang w:val="en-US" w:eastAsia="zh-CN" w:bidi="ar"/>
          <w14:ligatures w14:val="none"/>
        </w:rPr>
        <w:t>5</w:t>
      </w:r>
      <w:r>
        <w:rPr>
          <w:rFonts w:ascii="Times New Roman" w:hAnsi="Times New Roman" w:eastAsia="宋体" w:cs="宋体"/>
          <w:szCs w:val="28"/>
          <w:highlight w:val="none"/>
          <w:lang w:bidi="ar"/>
          <w14:ligatures w14:val="none"/>
        </w:rPr>
        <w:t>座加油岛，</w:t>
      </w:r>
      <w:r>
        <w:rPr>
          <w:rFonts w:hint="eastAsia" w:ascii="Times New Roman" w:hAnsi="Times New Roman" w:eastAsia="宋体" w:cs="宋体"/>
          <w:szCs w:val="28"/>
          <w:highlight w:val="none"/>
          <w:lang w:val="en-US" w:eastAsia="zh-CN" w:bidi="ar"/>
          <w14:ligatures w14:val="none"/>
        </w:rPr>
        <w:t>三排</w:t>
      </w:r>
      <w:r>
        <w:rPr>
          <w:rFonts w:ascii="Times New Roman" w:hAnsi="Times New Roman" w:eastAsia="宋体" w:cs="宋体"/>
          <w:szCs w:val="28"/>
          <w:highlight w:val="none"/>
          <w:lang w:bidi="ar"/>
          <w14:ligatures w14:val="none"/>
        </w:rPr>
        <w:t>布置</w:t>
      </w:r>
      <w:r>
        <w:rPr>
          <w:rFonts w:hint="eastAsia" w:ascii="Times New Roman" w:hAnsi="Times New Roman" w:eastAsia="宋体" w:cs="宋体"/>
          <w:szCs w:val="28"/>
          <w:highlight w:val="none"/>
          <w:lang w:val="en-US" w:eastAsia="zh-CN" w:bidi="ar"/>
          <w14:ligatures w14:val="none"/>
        </w:rPr>
        <w:t>3</w:t>
      </w:r>
      <w:r>
        <w:rPr>
          <w:rFonts w:ascii="Times New Roman" w:hAnsi="Times New Roman" w:eastAsia="宋体" w:cs="宋体"/>
          <w:szCs w:val="28"/>
          <w:highlight w:val="none"/>
          <w:lang w:bidi="ar"/>
          <w14:ligatures w14:val="none"/>
        </w:rPr>
        <w:t>台</w:t>
      </w:r>
      <w:r>
        <w:rPr>
          <w:rFonts w:hint="eastAsia" w:ascii="Times New Roman" w:hAnsi="Times New Roman" w:eastAsia="宋体" w:cs="宋体"/>
          <w:szCs w:val="28"/>
          <w:highlight w:val="none"/>
          <w:lang w:bidi="ar"/>
          <w14:ligatures w14:val="none"/>
        </w:rPr>
        <w:t>双</w:t>
      </w:r>
      <w:r>
        <w:rPr>
          <w:rFonts w:ascii="Times New Roman" w:hAnsi="Times New Roman" w:eastAsia="宋体" w:cs="宋体"/>
          <w:szCs w:val="28"/>
          <w:highlight w:val="none"/>
          <w:lang w:bidi="ar"/>
          <w14:ligatures w14:val="none"/>
        </w:rPr>
        <w:t>枪</w:t>
      </w:r>
      <w:r>
        <w:rPr>
          <w:rFonts w:hint="eastAsia" w:ascii="Times New Roman" w:hAnsi="Times New Roman" w:eastAsia="宋体" w:cs="宋体"/>
          <w:szCs w:val="28"/>
          <w:highlight w:val="none"/>
          <w:lang w:val="en-US" w:eastAsia="zh-CN" w:bidi="ar"/>
          <w14:ligatures w14:val="none"/>
        </w:rPr>
        <w:t>潜油泵</w:t>
      </w:r>
      <w:r>
        <w:rPr>
          <w:rFonts w:ascii="Times New Roman" w:hAnsi="Times New Roman" w:eastAsia="宋体" w:cs="宋体"/>
          <w:szCs w:val="28"/>
          <w:highlight w:val="none"/>
          <w:lang w:bidi="ar"/>
          <w14:ligatures w14:val="none"/>
        </w:rPr>
        <w:t>式</w:t>
      </w:r>
      <w:r>
        <w:rPr>
          <w:rFonts w:hint="eastAsia" w:ascii="Times New Roman" w:hAnsi="Times New Roman" w:eastAsia="宋体" w:cs="宋体"/>
          <w:szCs w:val="28"/>
          <w:highlight w:val="none"/>
          <w:lang w:val="en-US" w:eastAsia="zh-CN" w:bidi="ar"/>
          <w14:ligatures w14:val="none"/>
        </w:rPr>
        <w:t>柴油</w:t>
      </w:r>
      <w:r>
        <w:rPr>
          <w:rFonts w:ascii="Times New Roman" w:hAnsi="Times New Roman" w:eastAsia="宋体" w:cs="宋体"/>
          <w:szCs w:val="28"/>
          <w:highlight w:val="none"/>
          <w:lang w:bidi="ar"/>
          <w14:ligatures w14:val="none"/>
        </w:rPr>
        <w:t>加油机</w:t>
      </w:r>
      <w:r>
        <w:rPr>
          <w:rFonts w:hint="eastAsia" w:ascii="Times New Roman" w:hAnsi="Times New Roman" w:eastAsia="宋体" w:cs="宋体"/>
          <w:szCs w:val="28"/>
          <w:highlight w:val="none"/>
          <w:lang w:eastAsia="zh-CN" w:bidi="ar"/>
          <w14:ligatures w14:val="none"/>
        </w:rPr>
        <w:t>、</w:t>
      </w:r>
      <w:r>
        <w:rPr>
          <w:rFonts w:hint="eastAsia" w:ascii="Times New Roman" w:hAnsi="Times New Roman" w:eastAsia="宋体" w:cs="宋体"/>
          <w:szCs w:val="28"/>
          <w:highlight w:val="none"/>
          <w:lang w:val="en-US" w:eastAsia="zh-CN" w:bidi="ar"/>
          <w14:ligatures w14:val="none"/>
        </w:rPr>
        <w:t>1</w:t>
      </w:r>
      <w:r>
        <w:rPr>
          <w:rFonts w:ascii="Times New Roman" w:hAnsi="Times New Roman" w:eastAsia="宋体" w:cs="宋体"/>
          <w:szCs w:val="28"/>
          <w:highlight w:val="none"/>
          <w:lang w:bidi="ar"/>
          <w14:ligatures w14:val="none"/>
        </w:rPr>
        <w:t>台</w:t>
      </w:r>
      <w:r>
        <w:rPr>
          <w:rFonts w:hint="eastAsia" w:ascii="Times New Roman" w:hAnsi="Times New Roman" w:eastAsia="宋体" w:cs="宋体"/>
          <w:szCs w:val="28"/>
          <w:highlight w:val="none"/>
          <w:lang w:val="en-US" w:eastAsia="zh-CN" w:bidi="ar"/>
          <w14:ligatures w14:val="none"/>
        </w:rPr>
        <w:t>四</w:t>
      </w:r>
      <w:r>
        <w:rPr>
          <w:rFonts w:ascii="Times New Roman" w:hAnsi="Times New Roman" w:eastAsia="宋体" w:cs="宋体"/>
          <w:szCs w:val="28"/>
          <w:highlight w:val="none"/>
          <w:lang w:bidi="ar"/>
          <w14:ligatures w14:val="none"/>
        </w:rPr>
        <w:t>枪</w:t>
      </w:r>
      <w:r>
        <w:rPr>
          <w:rFonts w:hint="eastAsia" w:ascii="Times New Roman" w:hAnsi="Times New Roman" w:eastAsia="宋体" w:cs="宋体"/>
          <w:szCs w:val="28"/>
          <w:highlight w:val="none"/>
          <w:lang w:val="en-US" w:eastAsia="zh-CN" w:bidi="ar"/>
          <w14:ligatures w14:val="none"/>
        </w:rPr>
        <w:t>潜油泵</w:t>
      </w:r>
      <w:r>
        <w:rPr>
          <w:rFonts w:ascii="Times New Roman" w:hAnsi="Times New Roman" w:eastAsia="宋体" w:cs="宋体"/>
          <w:szCs w:val="28"/>
          <w:highlight w:val="none"/>
          <w:lang w:bidi="ar"/>
          <w14:ligatures w14:val="none"/>
        </w:rPr>
        <w:t>式</w:t>
      </w:r>
      <w:r>
        <w:rPr>
          <w:rFonts w:hint="eastAsia" w:ascii="Times New Roman" w:hAnsi="Times New Roman" w:eastAsia="宋体" w:cs="宋体"/>
          <w:szCs w:val="28"/>
          <w:highlight w:val="none"/>
          <w:lang w:val="en-US" w:eastAsia="zh-CN" w:bidi="ar"/>
          <w14:ligatures w14:val="none"/>
        </w:rPr>
        <w:t>车用乙醇汽</w:t>
      </w:r>
      <w:r>
        <w:rPr>
          <w:rFonts w:ascii="Times New Roman" w:hAnsi="Times New Roman" w:eastAsia="宋体" w:cs="宋体"/>
          <w:szCs w:val="28"/>
          <w:highlight w:val="none"/>
          <w:lang w:bidi="ar"/>
          <w14:ligatures w14:val="none"/>
        </w:rPr>
        <w:t>油加油机</w:t>
      </w:r>
      <w:r>
        <w:rPr>
          <w:rFonts w:hint="eastAsia" w:ascii="Times New Roman" w:hAnsi="Times New Roman" w:eastAsia="宋体" w:cs="宋体"/>
          <w:szCs w:val="28"/>
          <w:highlight w:val="none"/>
          <w:lang w:eastAsia="zh-CN" w:bidi="ar"/>
          <w14:ligatures w14:val="none"/>
        </w:rPr>
        <w:t>、</w:t>
      </w:r>
      <w:r>
        <w:rPr>
          <w:rFonts w:hint="eastAsia" w:ascii="Times New Roman" w:hAnsi="Times New Roman" w:eastAsia="宋体" w:cs="宋体"/>
          <w:szCs w:val="28"/>
          <w:highlight w:val="none"/>
          <w:lang w:val="en-US" w:eastAsia="zh-CN" w:bidi="ar"/>
          <w14:ligatures w14:val="none"/>
        </w:rPr>
        <w:t>3</w:t>
      </w:r>
      <w:r>
        <w:rPr>
          <w:rFonts w:ascii="Times New Roman" w:hAnsi="Times New Roman" w:eastAsia="宋体" w:cs="宋体"/>
          <w:szCs w:val="28"/>
          <w:highlight w:val="none"/>
          <w:lang w:bidi="ar"/>
          <w14:ligatures w14:val="none"/>
        </w:rPr>
        <w:t>台</w:t>
      </w:r>
      <w:r>
        <w:rPr>
          <w:rFonts w:hint="eastAsia" w:ascii="Times New Roman" w:hAnsi="Times New Roman" w:eastAsia="宋体" w:cs="宋体"/>
          <w:szCs w:val="28"/>
          <w:highlight w:val="none"/>
          <w:lang w:val="en-US" w:eastAsia="zh-CN" w:bidi="ar"/>
          <w14:ligatures w14:val="none"/>
        </w:rPr>
        <w:t>双</w:t>
      </w:r>
      <w:r>
        <w:rPr>
          <w:rFonts w:ascii="Times New Roman" w:hAnsi="Times New Roman" w:eastAsia="宋体" w:cs="宋体"/>
          <w:szCs w:val="28"/>
          <w:highlight w:val="none"/>
          <w:lang w:bidi="ar"/>
          <w14:ligatures w14:val="none"/>
        </w:rPr>
        <w:t>枪</w:t>
      </w:r>
      <w:r>
        <w:rPr>
          <w:rFonts w:hint="eastAsia" w:ascii="Times New Roman" w:hAnsi="Times New Roman" w:eastAsia="宋体" w:cs="宋体"/>
          <w:szCs w:val="28"/>
          <w:highlight w:val="none"/>
          <w:lang w:val="en-US" w:eastAsia="zh-CN" w:bidi="ar"/>
          <w14:ligatures w14:val="none"/>
        </w:rPr>
        <w:t>潜油泵</w:t>
      </w:r>
      <w:r>
        <w:rPr>
          <w:rFonts w:ascii="Times New Roman" w:hAnsi="Times New Roman" w:eastAsia="宋体" w:cs="宋体"/>
          <w:szCs w:val="28"/>
          <w:highlight w:val="none"/>
          <w:lang w:bidi="ar"/>
          <w14:ligatures w14:val="none"/>
        </w:rPr>
        <w:t>式</w:t>
      </w:r>
      <w:r>
        <w:rPr>
          <w:rFonts w:hint="eastAsia" w:ascii="Times New Roman" w:hAnsi="Times New Roman" w:eastAsia="宋体" w:cs="宋体"/>
          <w:szCs w:val="28"/>
          <w:highlight w:val="none"/>
          <w:lang w:val="en-US" w:eastAsia="zh-CN" w:bidi="ar"/>
          <w14:ligatures w14:val="none"/>
        </w:rPr>
        <w:t>车用乙醇汽油</w:t>
      </w:r>
      <w:r>
        <w:rPr>
          <w:rFonts w:ascii="Times New Roman" w:hAnsi="Times New Roman" w:eastAsia="宋体" w:cs="宋体"/>
          <w:szCs w:val="28"/>
          <w:highlight w:val="none"/>
          <w:lang w:bidi="ar"/>
          <w14:ligatures w14:val="none"/>
        </w:rPr>
        <w:t>加油机。</w:t>
      </w:r>
    </w:p>
    <w:p w14:paraId="77A1A921">
      <w:pPr>
        <w:ind w:firstLine="560"/>
        <w:rPr>
          <w:rFonts w:hint="eastAsia" w:ascii="Times New Roman" w:hAnsi="Times New Roman" w:eastAsia="宋体" w:cs="宋体"/>
          <w:szCs w:val="28"/>
          <w:lang w:eastAsia="zh-CN" w:bidi="ar"/>
          <w14:ligatures w14:val="none"/>
        </w:rPr>
      </w:pPr>
      <w:r>
        <w:rPr>
          <w:rFonts w:ascii="Times New Roman" w:hAnsi="Times New Roman" w:eastAsia="宋体" w:cs="宋体"/>
          <w:szCs w:val="28"/>
          <w:lang w:bidi="ar"/>
          <w14:ligatures w14:val="none"/>
        </w:rPr>
        <w:t>储罐区布置在</w:t>
      </w:r>
      <w:r>
        <w:rPr>
          <w:rFonts w:hint="eastAsia" w:ascii="Times New Roman" w:hAnsi="Times New Roman" w:eastAsia="宋体" w:cs="宋体"/>
          <w:szCs w:val="28"/>
          <w:lang w:bidi="ar"/>
          <w14:ligatures w14:val="none"/>
        </w:rPr>
        <w:t>站房</w:t>
      </w:r>
      <w:r>
        <w:rPr>
          <w:rFonts w:hint="eastAsia" w:ascii="Times New Roman" w:hAnsi="Times New Roman" w:eastAsia="宋体" w:cs="宋体"/>
          <w:szCs w:val="28"/>
          <w:lang w:val="en-US" w:eastAsia="zh-CN" w:bidi="ar"/>
          <w14:ligatures w14:val="none"/>
        </w:rPr>
        <w:t>北</w:t>
      </w:r>
      <w:r>
        <w:rPr>
          <w:rFonts w:hint="eastAsia" w:ascii="Times New Roman" w:hAnsi="Times New Roman" w:eastAsia="宋体" w:cs="宋体"/>
          <w:szCs w:val="28"/>
          <w:lang w:bidi="ar"/>
          <w14:ligatures w14:val="none"/>
        </w:rPr>
        <w:t>侧</w:t>
      </w:r>
      <w:r>
        <w:rPr>
          <w:rFonts w:ascii="Times New Roman" w:hAnsi="Times New Roman" w:eastAsia="宋体" w:cs="宋体"/>
          <w:szCs w:val="28"/>
          <w:lang w:bidi="ar"/>
          <w14:ligatures w14:val="none"/>
        </w:rPr>
        <w:t>，设</w:t>
      </w:r>
      <w:r>
        <w:rPr>
          <w:rFonts w:hint="eastAsia" w:ascii="Times New Roman" w:hAnsi="Times New Roman" w:eastAsia="宋体" w:cs="宋体"/>
          <w:szCs w:val="28"/>
          <w:lang w:val="en-US" w:eastAsia="zh-CN" w:bidi="ar"/>
          <w14:ligatures w14:val="none"/>
        </w:rPr>
        <w:t>4</w:t>
      </w:r>
      <w:r>
        <w:rPr>
          <w:rFonts w:ascii="Times New Roman" w:hAnsi="Times New Roman" w:eastAsia="宋体" w:cs="宋体"/>
          <w:szCs w:val="28"/>
          <w:lang w:bidi="ar"/>
          <w14:ligatures w14:val="none"/>
        </w:rPr>
        <w:t>座埋地双层罐，由</w:t>
      </w:r>
      <w:r>
        <w:rPr>
          <w:rFonts w:hint="eastAsia" w:ascii="Times New Roman" w:hAnsi="Times New Roman" w:eastAsia="宋体" w:cs="宋体"/>
          <w:szCs w:val="28"/>
          <w:lang w:val="en-US" w:eastAsia="zh-CN" w:bidi="ar"/>
          <w14:ligatures w14:val="none"/>
        </w:rPr>
        <w:t>西</w:t>
      </w:r>
      <w:r>
        <w:rPr>
          <w:rFonts w:ascii="Times New Roman" w:hAnsi="Times New Roman" w:eastAsia="宋体" w:cs="宋体"/>
          <w:szCs w:val="28"/>
          <w:lang w:bidi="ar"/>
          <w14:ligatures w14:val="none"/>
        </w:rPr>
        <w:t>向</w:t>
      </w:r>
      <w:r>
        <w:rPr>
          <w:rFonts w:hint="eastAsia" w:ascii="Times New Roman" w:hAnsi="Times New Roman" w:eastAsia="宋体" w:cs="宋体"/>
          <w:szCs w:val="28"/>
          <w:lang w:val="en-US" w:eastAsia="zh-CN" w:bidi="ar"/>
          <w14:ligatures w14:val="none"/>
        </w:rPr>
        <w:t>东</w:t>
      </w:r>
      <w:r>
        <w:rPr>
          <w:rFonts w:ascii="Times New Roman" w:hAnsi="Times New Roman" w:eastAsia="宋体" w:cs="宋体"/>
          <w:szCs w:val="28"/>
          <w:lang w:bidi="ar"/>
          <w14:ligatures w14:val="none"/>
        </w:rPr>
        <w:t>依次布置为</w:t>
      </w:r>
      <w:r>
        <w:rPr>
          <w:rFonts w:hint="eastAsia" w:ascii="Times New Roman" w:hAnsi="Times New Roman" w:eastAsia="宋体" w:cs="宋体"/>
          <w:szCs w:val="28"/>
          <w:lang w:bidi="ar"/>
          <w14:ligatures w14:val="none"/>
        </w:rPr>
        <w:t>1</w:t>
      </w:r>
      <w:r>
        <w:rPr>
          <w:rFonts w:ascii="Times New Roman" w:hAnsi="Times New Roman" w:eastAsia="宋体" w:cs="宋体"/>
          <w:szCs w:val="28"/>
          <w:lang w:bidi="ar"/>
          <w14:ligatures w14:val="none"/>
        </w:rPr>
        <w:t>座</w:t>
      </w:r>
      <w:r>
        <w:rPr>
          <w:rFonts w:hint="eastAsia" w:ascii="Times New Roman" w:hAnsi="Times New Roman" w:eastAsia="宋体" w:cs="宋体"/>
          <w:szCs w:val="28"/>
          <w:lang w:val="en-US" w:eastAsia="zh-CN" w:bidi="ar"/>
          <w14:ligatures w14:val="none"/>
        </w:rPr>
        <w:t>5</w:t>
      </w:r>
      <w:r>
        <w:rPr>
          <w:rFonts w:ascii="Times New Roman" w:hAnsi="Times New Roman" w:eastAsia="宋体" w:cs="宋体"/>
          <w:szCs w:val="28"/>
          <w:lang w:bidi="ar"/>
          <w14:ligatures w14:val="none"/>
        </w:rPr>
        <w:t>0m</w:t>
      </w:r>
      <w:r>
        <w:rPr>
          <w:rFonts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车用乙醇汽油</w:t>
      </w:r>
      <w:r>
        <w:rPr>
          <w:rFonts w:ascii="Times New Roman" w:hAnsi="Times New Roman" w:eastAsia="宋体" w:cs="宋体"/>
          <w:szCs w:val="28"/>
          <w:lang w:bidi="ar"/>
          <w14:ligatures w14:val="none"/>
        </w:rPr>
        <w:t>储罐</w:t>
      </w:r>
      <w:r>
        <w:rPr>
          <w:rFonts w:hint="eastAsia" w:ascii="Times New Roman" w:hAnsi="Times New Roman" w:eastAsia="宋体" w:cs="宋体"/>
          <w:szCs w:val="28"/>
          <w:lang w:bidi="ar"/>
          <w14:ligatures w14:val="none"/>
        </w:rPr>
        <w:t>（V</w:t>
      </w:r>
      <w:r>
        <w:rPr>
          <w:rFonts w:hint="eastAsia" w:ascii="Times New Roman" w:hAnsi="Times New Roman" w:eastAsia="宋体" w:cs="宋体"/>
          <w:szCs w:val="28"/>
          <w:lang w:val="en-US" w:eastAsia="zh-CN" w:bidi="ar"/>
          <w14:ligatures w14:val="none"/>
        </w:rPr>
        <w:t>1</w:t>
      </w:r>
      <w:r>
        <w:rPr>
          <w:rFonts w:hint="eastAsia" w:ascii="Times New Roman" w:hAnsi="Times New Roman" w:eastAsia="宋体" w:cs="宋体"/>
          <w:szCs w:val="28"/>
          <w:lang w:bidi="ar"/>
          <w14:ligatures w14:val="none"/>
        </w:rPr>
        <w:t>01）、1座</w:t>
      </w:r>
      <w:r>
        <w:rPr>
          <w:rFonts w:hint="eastAsia" w:ascii="Times New Roman" w:hAnsi="Times New Roman" w:eastAsia="宋体" w:cs="宋体"/>
          <w:szCs w:val="28"/>
          <w:lang w:val="en-US" w:eastAsia="zh-CN" w:bidi="ar"/>
          <w14:ligatures w14:val="none"/>
        </w:rPr>
        <w:t>5</w:t>
      </w:r>
      <w:r>
        <w:rPr>
          <w:rFonts w:hint="eastAsia" w:ascii="Times New Roman" w:hAnsi="Times New Roman" w:eastAsia="宋体" w:cs="宋体"/>
          <w:szCs w:val="28"/>
          <w:lang w:bidi="ar"/>
          <w14:ligatures w14:val="none"/>
        </w:rPr>
        <w:t>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车用乙醇汽油储罐（V</w:t>
      </w:r>
      <w:r>
        <w:rPr>
          <w:rFonts w:hint="eastAsia" w:ascii="Times New Roman" w:hAnsi="Times New Roman" w:eastAsia="宋体" w:cs="宋体"/>
          <w:szCs w:val="28"/>
          <w:lang w:val="en-US" w:eastAsia="zh-CN" w:bidi="ar"/>
          <w14:ligatures w14:val="none"/>
        </w:rPr>
        <w:t>1</w:t>
      </w:r>
      <w:r>
        <w:rPr>
          <w:rFonts w:hint="eastAsia" w:ascii="Times New Roman" w:hAnsi="Times New Roman" w:eastAsia="宋体" w:cs="宋体"/>
          <w:szCs w:val="28"/>
          <w:lang w:bidi="ar"/>
          <w14:ligatures w14:val="none"/>
        </w:rPr>
        <w:t>02</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带隔仓</w:t>
      </w:r>
      <w:r>
        <w:rPr>
          <w:rFonts w:hint="eastAsia" w:ascii="Times New Roman" w:hAnsi="Times New Roman" w:eastAsia="宋体" w:cs="宋体"/>
          <w:szCs w:val="28"/>
          <w:lang w:bidi="ar"/>
          <w14:ligatures w14:val="none"/>
        </w:rPr>
        <w:t>）、</w:t>
      </w:r>
      <w:r>
        <w:rPr>
          <w:rFonts w:hint="eastAsia" w:ascii="Times New Roman" w:hAnsi="Times New Roman" w:eastAsia="宋体" w:cs="宋体"/>
          <w:szCs w:val="28"/>
          <w:lang w:val="en-US" w:eastAsia="zh-CN" w:bidi="ar"/>
          <w14:ligatures w14:val="none"/>
        </w:rPr>
        <w:t>1</w:t>
      </w:r>
      <w:r>
        <w:rPr>
          <w:rFonts w:hint="eastAsia" w:ascii="Times New Roman" w:hAnsi="Times New Roman" w:eastAsia="宋体" w:cs="宋体"/>
          <w:szCs w:val="28"/>
          <w:lang w:bidi="ar"/>
          <w14:ligatures w14:val="none"/>
        </w:rPr>
        <w:t>座</w:t>
      </w:r>
      <w:r>
        <w:rPr>
          <w:rFonts w:hint="eastAsia" w:ascii="Times New Roman" w:hAnsi="Times New Roman" w:eastAsia="宋体" w:cs="宋体"/>
          <w:szCs w:val="28"/>
          <w:lang w:val="en-US" w:eastAsia="zh-CN" w:bidi="ar"/>
          <w14:ligatures w14:val="none"/>
        </w:rPr>
        <w:t>5</w:t>
      </w:r>
      <w:r>
        <w:rPr>
          <w:rFonts w:hint="eastAsia" w:ascii="Times New Roman" w:hAnsi="Times New Roman" w:eastAsia="宋体" w:cs="宋体"/>
          <w:szCs w:val="28"/>
          <w:lang w:bidi="ar"/>
          <w14:ligatures w14:val="none"/>
        </w:rPr>
        <w:t>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柴油储罐（V</w:t>
      </w:r>
      <w:r>
        <w:rPr>
          <w:rFonts w:hint="eastAsia" w:ascii="Times New Roman" w:hAnsi="Times New Roman" w:eastAsia="宋体" w:cs="宋体"/>
          <w:szCs w:val="28"/>
          <w:lang w:val="en-US" w:eastAsia="zh-CN" w:bidi="ar"/>
          <w14:ligatures w14:val="none"/>
        </w:rPr>
        <w:t>1</w:t>
      </w:r>
      <w:r>
        <w:rPr>
          <w:rFonts w:hint="eastAsia" w:ascii="Times New Roman" w:hAnsi="Times New Roman" w:eastAsia="宋体" w:cs="宋体"/>
          <w:szCs w:val="28"/>
          <w:lang w:bidi="ar"/>
          <w14:ligatures w14:val="none"/>
        </w:rPr>
        <w:t>03</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带隔仓）、1</w:t>
      </w:r>
      <w:r>
        <w:rPr>
          <w:rFonts w:hint="eastAsia" w:ascii="Times New Roman" w:hAnsi="Times New Roman" w:eastAsia="宋体" w:cs="宋体"/>
          <w:szCs w:val="28"/>
          <w:lang w:bidi="ar"/>
          <w14:ligatures w14:val="none"/>
        </w:rPr>
        <w:t>座</w:t>
      </w:r>
      <w:r>
        <w:rPr>
          <w:rFonts w:hint="eastAsia" w:ascii="Times New Roman" w:hAnsi="Times New Roman" w:eastAsia="宋体" w:cs="宋体"/>
          <w:szCs w:val="28"/>
          <w:lang w:val="en-US" w:eastAsia="zh-CN" w:bidi="ar"/>
          <w14:ligatures w14:val="none"/>
        </w:rPr>
        <w:t>5</w:t>
      </w:r>
      <w:r>
        <w:rPr>
          <w:rFonts w:hint="eastAsia" w:ascii="Times New Roman" w:hAnsi="Times New Roman" w:eastAsia="宋体" w:cs="宋体"/>
          <w:szCs w:val="28"/>
          <w:lang w:bidi="ar"/>
          <w14:ligatures w14:val="none"/>
        </w:rPr>
        <w:t>0m</w:t>
      </w:r>
      <w:r>
        <w:rPr>
          <w:rFonts w:hint="eastAsia" w:ascii="Times New Roman" w:hAnsi="Times New Roman" w:eastAsia="宋体" w:cs="宋体"/>
          <w:szCs w:val="28"/>
          <w:vertAlign w:val="superscript"/>
          <w:lang w:bidi="ar"/>
          <w14:ligatures w14:val="none"/>
        </w:rPr>
        <w:t>3</w:t>
      </w:r>
      <w:r>
        <w:rPr>
          <w:rFonts w:hint="eastAsia" w:ascii="Times New Roman" w:hAnsi="Times New Roman" w:eastAsia="宋体" w:cs="宋体"/>
          <w:szCs w:val="28"/>
          <w:lang w:bidi="ar"/>
          <w14:ligatures w14:val="none"/>
        </w:rPr>
        <w:t>柴油储罐（V</w:t>
      </w:r>
      <w:r>
        <w:rPr>
          <w:rFonts w:hint="eastAsia" w:ascii="Times New Roman" w:hAnsi="Times New Roman" w:eastAsia="宋体" w:cs="宋体"/>
          <w:szCs w:val="28"/>
          <w:lang w:val="en-US" w:eastAsia="zh-CN" w:bidi="ar"/>
          <w14:ligatures w14:val="none"/>
        </w:rPr>
        <w:t>1</w:t>
      </w:r>
      <w:r>
        <w:rPr>
          <w:rFonts w:hint="eastAsia" w:ascii="Times New Roman" w:hAnsi="Times New Roman" w:eastAsia="宋体" w:cs="宋体"/>
          <w:szCs w:val="28"/>
          <w:lang w:bidi="ar"/>
          <w14:ligatures w14:val="none"/>
        </w:rPr>
        <w:t>0</w:t>
      </w:r>
      <w:r>
        <w:rPr>
          <w:rFonts w:hint="eastAsia" w:ascii="Times New Roman" w:hAnsi="Times New Roman" w:eastAsia="宋体" w:cs="宋体"/>
          <w:szCs w:val="28"/>
          <w:lang w:val="en-US" w:eastAsia="zh-CN" w:bidi="ar"/>
          <w14:ligatures w14:val="none"/>
        </w:rPr>
        <w:t>4</w:t>
      </w:r>
      <w:r>
        <w:rPr>
          <w:rFonts w:hint="eastAsia" w:ascii="Times New Roman" w:hAnsi="Times New Roman" w:eastAsia="宋体" w:cs="宋体"/>
          <w:szCs w:val="28"/>
          <w:lang w:eastAsia="zh-CN" w:bidi="ar"/>
          <w14:ligatures w14:val="none"/>
        </w:rPr>
        <w:t>）</w:t>
      </w:r>
    </w:p>
    <w:p w14:paraId="0FE25625">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车用乙醇汽油和柴油通气管口分开设置，设有</w:t>
      </w:r>
      <w:r>
        <w:rPr>
          <w:rFonts w:hint="eastAsia" w:ascii="Times New Roman" w:hAnsi="Times New Roman" w:eastAsia="宋体" w:cs="宋体"/>
          <w:szCs w:val="28"/>
          <w:lang w:bidi="ar"/>
          <w14:ligatures w14:val="none"/>
        </w:rPr>
        <w:t>2</w:t>
      </w:r>
      <w:r>
        <w:rPr>
          <w:rFonts w:ascii="Times New Roman" w:hAnsi="Times New Roman" w:eastAsia="宋体" w:cs="宋体"/>
          <w:szCs w:val="28"/>
          <w:lang w:bidi="ar"/>
          <w14:ligatures w14:val="none"/>
        </w:rPr>
        <w:t>根车用乙醇汽油通气管和</w:t>
      </w:r>
      <w:r>
        <w:rPr>
          <w:rFonts w:hint="eastAsia" w:ascii="Times New Roman" w:hAnsi="Times New Roman" w:eastAsia="宋体" w:cs="宋体"/>
          <w:szCs w:val="28"/>
          <w:lang w:val="en-US" w:eastAsia="zh-CN" w:bidi="ar"/>
          <w14:ligatures w14:val="none"/>
        </w:rPr>
        <w:t>2</w:t>
      </w:r>
      <w:r>
        <w:rPr>
          <w:rFonts w:ascii="Times New Roman" w:hAnsi="Times New Roman" w:eastAsia="宋体" w:cs="宋体"/>
          <w:szCs w:val="28"/>
          <w:lang w:bidi="ar"/>
          <w14:ligatures w14:val="none"/>
        </w:rPr>
        <w:t>根柴油通气管，柴油通气管口</w:t>
      </w:r>
      <w:r>
        <w:rPr>
          <w:rFonts w:hint="eastAsia" w:ascii="Times New Roman" w:hAnsi="Times New Roman" w:eastAsia="宋体" w:cs="宋体"/>
          <w:szCs w:val="28"/>
          <w:lang w:bidi="ar"/>
          <w14:ligatures w14:val="none"/>
        </w:rPr>
        <w:t>和车用乙醇通气管口均</w:t>
      </w:r>
      <w:r>
        <w:rPr>
          <w:rFonts w:ascii="Times New Roman" w:hAnsi="Times New Roman" w:eastAsia="宋体" w:cs="宋体"/>
          <w:szCs w:val="28"/>
          <w:lang w:bidi="ar"/>
          <w14:ligatures w14:val="none"/>
        </w:rPr>
        <w:t>设有</w:t>
      </w:r>
      <w:r>
        <w:rPr>
          <w:rFonts w:hint="eastAsia" w:ascii="Times New Roman" w:hAnsi="Times New Roman" w:eastAsia="宋体" w:cs="宋体"/>
          <w:szCs w:val="28"/>
          <w:lang w:bidi="ar"/>
          <w14:ligatures w14:val="none"/>
        </w:rPr>
        <w:t>防雨型</w:t>
      </w:r>
      <w:r>
        <w:rPr>
          <w:rFonts w:ascii="Times New Roman" w:hAnsi="Times New Roman" w:eastAsia="宋体" w:cs="宋体"/>
          <w:szCs w:val="28"/>
          <w:lang w:bidi="ar"/>
          <w14:ligatures w14:val="none"/>
        </w:rPr>
        <w:t>阻火器，</w:t>
      </w:r>
      <w:r>
        <w:rPr>
          <w:rFonts w:hint="eastAsia" w:ascii="Times New Roman" w:hAnsi="Times New Roman" w:eastAsia="宋体" w:cs="宋体"/>
          <w:szCs w:val="28"/>
          <w:lang w:bidi="ar"/>
          <w14:ligatures w14:val="none"/>
        </w:rPr>
        <w:t>其中1根</w:t>
      </w:r>
      <w:r>
        <w:rPr>
          <w:rFonts w:ascii="Times New Roman" w:hAnsi="Times New Roman" w:eastAsia="宋体" w:cs="宋体"/>
          <w:szCs w:val="28"/>
          <w:lang w:bidi="ar"/>
          <w14:ligatures w14:val="none"/>
        </w:rPr>
        <w:t>车用乙醇汽油通气管口设带阻火器</w:t>
      </w:r>
      <w:r>
        <w:rPr>
          <w:rFonts w:hint="eastAsia" w:ascii="Times New Roman" w:hAnsi="Times New Roman" w:eastAsia="宋体" w:cs="宋体"/>
          <w:szCs w:val="28"/>
          <w:lang w:bidi="ar"/>
          <w14:ligatures w14:val="none"/>
        </w:rPr>
        <w:t>功能</w:t>
      </w:r>
      <w:r>
        <w:rPr>
          <w:rFonts w:ascii="Times New Roman" w:hAnsi="Times New Roman" w:eastAsia="宋体" w:cs="宋体"/>
          <w:szCs w:val="28"/>
          <w:lang w:bidi="ar"/>
          <w14:ligatures w14:val="none"/>
        </w:rPr>
        <w:t>的</w:t>
      </w:r>
      <w:r>
        <w:rPr>
          <w:rFonts w:hint="eastAsia" w:ascii="Times New Roman" w:hAnsi="Times New Roman" w:eastAsia="宋体" w:cs="宋体"/>
          <w:szCs w:val="28"/>
          <w:lang w:bidi="ar"/>
          <w14:ligatures w14:val="none"/>
        </w:rPr>
        <w:t>机械</w:t>
      </w:r>
      <w:r>
        <w:rPr>
          <w:rFonts w:ascii="Times New Roman" w:hAnsi="Times New Roman" w:eastAsia="宋体" w:cs="宋体"/>
          <w:szCs w:val="28"/>
          <w:lang w:bidi="ar"/>
          <w14:ligatures w14:val="none"/>
        </w:rPr>
        <w:t>呼吸阀。油品卸车位和密闭卸油</w:t>
      </w:r>
      <w:r>
        <w:rPr>
          <w:rFonts w:hint="eastAsia" w:ascii="Times New Roman" w:hAnsi="Times New Roman" w:eastAsia="宋体" w:cs="宋体"/>
          <w:szCs w:val="28"/>
          <w:lang w:bidi="ar"/>
          <w14:ligatures w14:val="none"/>
        </w:rPr>
        <w:t>点</w:t>
      </w:r>
      <w:r>
        <w:rPr>
          <w:rFonts w:ascii="Times New Roman" w:hAnsi="Times New Roman" w:eastAsia="宋体" w:cs="宋体"/>
          <w:szCs w:val="28"/>
          <w:lang w:bidi="ar"/>
          <w14:ligatures w14:val="none"/>
        </w:rPr>
        <w:t>布置在</w:t>
      </w:r>
      <w:r>
        <w:rPr>
          <w:rFonts w:hint="eastAsia" w:ascii="Times New Roman" w:hAnsi="Times New Roman" w:eastAsia="宋体" w:cs="宋体"/>
          <w:szCs w:val="28"/>
          <w:lang w:bidi="ar"/>
          <w14:ligatures w14:val="none"/>
        </w:rPr>
        <w:t>储罐区</w:t>
      </w:r>
      <w:r>
        <w:rPr>
          <w:rFonts w:hint="eastAsia" w:ascii="Times New Roman" w:hAnsi="Times New Roman" w:eastAsia="宋体" w:cs="宋体"/>
          <w:szCs w:val="28"/>
          <w:lang w:val="en-US" w:eastAsia="zh-CN" w:bidi="ar"/>
          <w14:ligatures w14:val="none"/>
        </w:rPr>
        <w:t>西</w:t>
      </w:r>
      <w:r>
        <w:rPr>
          <w:rFonts w:ascii="Times New Roman" w:hAnsi="Times New Roman" w:eastAsia="宋体" w:cs="宋体"/>
          <w:szCs w:val="28"/>
          <w:lang w:bidi="ar"/>
          <w14:ligatures w14:val="none"/>
        </w:rPr>
        <w:t>侧，密闭卸油口内设</w:t>
      </w:r>
      <w:r>
        <w:rPr>
          <w:rFonts w:hint="eastAsia" w:ascii="Times New Roman" w:hAnsi="Times New Roman" w:eastAsia="宋体" w:cs="宋体"/>
          <w:szCs w:val="28"/>
          <w:lang w:val="en-US" w:eastAsia="zh-CN" w:bidi="ar"/>
          <w14:ligatures w14:val="none"/>
        </w:rPr>
        <w:t>3</w:t>
      </w:r>
      <w:r>
        <w:rPr>
          <w:rFonts w:ascii="Times New Roman" w:hAnsi="Times New Roman" w:eastAsia="宋体" w:cs="宋体"/>
          <w:szCs w:val="28"/>
          <w:lang w:bidi="ar"/>
          <w14:ligatures w14:val="none"/>
        </w:rPr>
        <w:t>个车用乙醇汽油卸油口、</w:t>
      </w:r>
      <w:r>
        <w:rPr>
          <w:rFonts w:hint="eastAsia" w:ascii="Times New Roman" w:hAnsi="Times New Roman" w:eastAsia="宋体" w:cs="宋体"/>
          <w:szCs w:val="28"/>
          <w:lang w:val="en-US" w:eastAsia="zh-CN" w:bidi="ar"/>
          <w14:ligatures w14:val="none"/>
        </w:rPr>
        <w:t>3</w:t>
      </w:r>
      <w:r>
        <w:rPr>
          <w:rFonts w:ascii="Times New Roman" w:hAnsi="Times New Roman" w:eastAsia="宋体" w:cs="宋体"/>
          <w:szCs w:val="28"/>
          <w:lang w:bidi="ar"/>
          <w14:ligatures w14:val="none"/>
        </w:rPr>
        <w:t>个柴油卸油口以及1个油气回收口。</w:t>
      </w:r>
    </w:p>
    <w:p w14:paraId="6AE59C77">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加油站</w:t>
      </w:r>
      <w:r>
        <w:rPr>
          <w:rFonts w:hint="eastAsia" w:ascii="Times New Roman" w:hAnsi="Times New Roman" w:eastAsia="宋体" w:cs="宋体"/>
          <w:szCs w:val="28"/>
          <w:lang w:val="en-US" w:eastAsia="zh-CN" w:bidi="ar"/>
          <w14:ligatures w14:val="none"/>
        </w:rPr>
        <w:t>西</w:t>
      </w:r>
      <w:r>
        <w:rPr>
          <w:rFonts w:ascii="Times New Roman" w:hAnsi="Times New Roman" w:eastAsia="宋体" w:cs="宋体"/>
          <w:szCs w:val="28"/>
          <w:lang w:bidi="ar"/>
          <w14:ligatures w14:val="none"/>
        </w:rPr>
        <w:t>侧</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南侧设有实体围墙，进口、出口分别与</w:t>
      </w:r>
      <w:r>
        <w:rPr>
          <w:rFonts w:hint="eastAsia" w:ascii="Times New Roman" w:hAnsi="Times New Roman" w:eastAsia="宋体" w:cs="宋体"/>
          <w:szCs w:val="28"/>
          <w:lang w:bidi="ar"/>
          <w14:ligatures w14:val="none"/>
        </w:rPr>
        <w:t>站外</w:t>
      </w:r>
      <w:r>
        <w:rPr>
          <w:rFonts w:hint="eastAsia" w:ascii="Times New Roman" w:hAnsi="Times New Roman" w:eastAsia="宋体" w:cs="宋体"/>
          <w:szCs w:val="28"/>
          <w:lang w:val="en-US" w:eastAsia="zh-CN" w:bidi="ar"/>
          <w14:ligatures w14:val="none"/>
        </w:rPr>
        <w:t>红兴路</w:t>
      </w:r>
      <w:r>
        <w:rPr>
          <w:rFonts w:ascii="Times New Roman" w:hAnsi="Times New Roman" w:eastAsia="宋体" w:cs="宋体"/>
          <w:szCs w:val="28"/>
          <w:lang w:bidi="ar"/>
          <w14:ligatures w14:val="none"/>
        </w:rPr>
        <w:t>相连，面向进出、口道路的一侧敞开布置，站区内部形成顺畅的加油车辆作业通道，道路为贯通式。加油站</w:t>
      </w:r>
      <w:r>
        <w:rPr>
          <w:rFonts w:hint="eastAsia" w:ascii="Times New Roman" w:hAnsi="Times New Roman" w:eastAsia="宋体" w:cs="宋体"/>
          <w:szCs w:val="28"/>
          <w:lang w:bidi="ar"/>
          <w14:ligatures w14:val="none"/>
        </w:rPr>
        <w:t>周边环境及</w:t>
      </w:r>
      <w:r>
        <w:rPr>
          <w:rFonts w:ascii="Times New Roman" w:hAnsi="Times New Roman" w:eastAsia="宋体" w:cs="宋体"/>
          <w:szCs w:val="28"/>
          <w:lang w:bidi="ar"/>
          <w14:ligatures w14:val="none"/>
        </w:rPr>
        <w:t>总平面布置详见图2.</w:t>
      </w:r>
      <w:r>
        <w:rPr>
          <w:rFonts w:hint="eastAsia" w:ascii="Times New Roman" w:hAnsi="Times New Roman" w:eastAsia="宋体" w:cs="宋体"/>
          <w:szCs w:val="28"/>
          <w:lang w:bidi="ar"/>
          <w14:ligatures w14:val="none"/>
        </w:rPr>
        <w:t>6</w:t>
      </w:r>
      <w:r>
        <w:rPr>
          <w:rFonts w:ascii="Times New Roman" w:hAnsi="Times New Roman" w:eastAsia="宋体" w:cs="宋体"/>
          <w:szCs w:val="28"/>
          <w:lang w:bidi="ar"/>
          <w14:ligatures w14:val="none"/>
        </w:rPr>
        <w:t>-5。</w:t>
      </w:r>
    </w:p>
    <w:p w14:paraId="1344E33F">
      <w:pPr>
        <w:ind w:firstLine="560"/>
        <w:rPr>
          <w:rFonts w:ascii="Times New Roman" w:hAnsi="Times New Roman" w:eastAsia="宋体" w:cs="宋体"/>
          <w:szCs w:val="28"/>
          <w:lang w:bidi="ar"/>
          <w14:ligatures w14:val="none"/>
        </w:rPr>
      </w:pPr>
    </w:p>
    <w:p w14:paraId="3B981CA5">
      <w:pPr>
        <w:ind w:firstLine="560"/>
        <w:rPr>
          <w:rFonts w:hint="eastAsia" w:ascii="Times New Roman" w:hAnsi="Times New Roman" w:eastAsia="宋体" w:cs="宋体"/>
          <w:szCs w:val="28"/>
          <w:lang w:eastAsia="zh-CN" w:bidi="ar"/>
          <w14:ligatures w14:val="none"/>
        </w:rPr>
        <w:sectPr>
          <w:pgSz w:w="11906" w:h="16838"/>
          <w:pgMar w:top="1418" w:right="1134" w:bottom="1134" w:left="1588" w:header="851" w:footer="992" w:gutter="0"/>
          <w:cols w:space="425" w:num="1"/>
          <w:docGrid w:type="lines" w:linePitch="312" w:charSpace="0"/>
        </w:sectPr>
      </w:pPr>
      <w:r>
        <w:rPr>
          <w:sz w:val="28"/>
        </w:rPr>
        <mc:AlternateContent>
          <mc:Choice Requires="wps">
            <w:drawing>
              <wp:anchor distT="0" distB="0" distL="114300" distR="114300" simplePos="0" relativeHeight="251663360" behindDoc="0" locked="0" layoutInCell="1" allowOverlap="1">
                <wp:simplePos x="0" y="0"/>
                <wp:positionH relativeFrom="column">
                  <wp:posOffset>5956935</wp:posOffset>
                </wp:positionH>
                <wp:positionV relativeFrom="paragraph">
                  <wp:posOffset>1994535</wp:posOffset>
                </wp:positionV>
                <wp:extent cx="274320" cy="2453640"/>
                <wp:effectExtent l="6350" t="6350" r="8890" b="8890"/>
                <wp:wrapNone/>
                <wp:docPr id="179" name="矩形 179"/>
                <wp:cNvGraphicFramePr/>
                <a:graphic xmlns:a="http://schemas.openxmlformats.org/drawingml/2006/main">
                  <a:graphicData uri="http://schemas.microsoft.com/office/word/2010/wordprocessingShape">
                    <wps:wsp>
                      <wps:cNvSpPr/>
                      <wps:spPr>
                        <a:xfrm>
                          <a:off x="7056755" y="4577080"/>
                          <a:ext cx="274320" cy="2453640"/>
                        </a:xfrm>
                        <a:prstGeom prst="rect">
                          <a:avLst/>
                        </a:prstGeom>
                      </wps:spPr>
                      <wps:style>
                        <a:lnRef idx="2">
                          <a:prstClr val="black"/>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9.05pt;margin-top:157.05pt;height:193.2pt;width:21.6pt;z-index:251663360;v-text-anchor:middle;mso-width-relative:page;mso-height-relative:page;" filled="f" stroked="t" coordsize="21600,21600" o:gfxdata="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N/BcRtoAAAALAQAADwAAAAAAAAABACAAAAAiAAAA&#10;ZHJzL2Rvd25yZXYueG1sUEsBAhQAFAAAAAgAh07iQJsyK0Z3AgAA2gQAAA4AAAAAAAAAAQAgAAAA&#10;KQEAAGRycy9lMm9Eb2MueG1sUEsFBgAAAAAGAAYAWQEAABIGAAAAAA==&#10;">
                <v:fill on="f" focussize="0,0"/>
                <v:stroke weight="1pt" color="#000000" miterlimit="8" joinstyle="miter"/>
                <v:imagedata o:title=""/>
                <o:lock v:ext="edit" aspectratio="f"/>
              </v:rect>
            </w:pict>
          </mc:Fallback>
        </mc:AlternateContent>
      </w:r>
      <w:r>
        <w:rPr>
          <w:sz w:val="28"/>
        </w:rPr>
        <mc:AlternateContent>
          <mc:Choice Requires="wps">
            <w:drawing>
              <wp:anchor distT="0" distB="0" distL="114300" distR="114300" simplePos="0" relativeHeight="251662336" behindDoc="0" locked="0" layoutInCell="1" allowOverlap="1">
                <wp:simplePos x="0" y="0"/>
                <wp:positionH relativeFrom="column">
                  <wp:posOffset>5073015</wp:posOffset>
                </wp:positionH>
                <wp:positionV relativeFrom="paragraph">
                  <wp:posOffset>3629025</wp:posOffset>
                </wp:positionV>
                <wp:extent cx="350520" cy="548640"/>
                <wp:effectExtent l="6350" t="6350" r="8890" b="8890"/>
                <wp:wrapNone/>
                <wp:docPr id="172" name="矩形 172"/>
                <wp:cNvGraphicFramePr/>
                <a:graphic xmlns:a="http://schemas.openxmlformats.org/drawingml/2006/main">
                  <a:graphicData uri="http://schemas.microsoft.com/office/word/2010/wordprocessingShape">
                    <wps:wsp>
                      <wps:cNvSpPr/>
                      <wps:spPr>
                        <a:xfrm>
                          <a:off x="6081395" y="6219190"/>
                          <a:ext cx="350520" cy="548640"/>
                        </a:xfrm>
                        <a:prstGeom prst="rect">
                          <a:avLst/>
                        </a:prstGeom>
                      </wps:spPr>
                      <wps:style>
                        <a:lnRef idx="2">
                          <a:prstClr val="black"/>
                        </a:lnRef>
                        <a:fillRef idx="0">
                          <a:srgbClr val="FFFFFF"/>
                        </a:fillRef>
                        <a:effectRef idx="0">
                          <a:srgbClr val="FFFFFF"/>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9.45pt;margin-top:285.75pt;height:43.2pt;width:27.6pt;z-index:251662336;v-text-anchor:middle;mso-width-relative:page;mso-height-relative:page;" filled="f" stroked="t" coordsize="21600,21600" o:gfxdata="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&#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nxmx2gAAAAsBAAAPAAAAAAAAAAEAIAAAACIAAABk&#10;cnMvZG93bnJldi54bWxQSwECFAAUAAAACACHTuJAJ0B0PXYCAADZBAAADgAAAAAAAAABACAAAAAp&#10;AQAAZHJzL2Uyb0RvYy54bWxQSwUGAAAAAAYABgBZAQAAEQYAAAAA&#10;">
                <v:fill on="f" focussize="0,0"/>
                <v:stroke weight="1pt" color="#000000" miterlimit="8" joinstyle="miter"/>
                <v:imagedata o:title=""/>
                <o:lock v:ext="edit" aspectratio="f"/>
              </v:rect>
            </w:pict>
          </mc:Fallback>
        </mc:AlternateContent>
      </w:r>
    </w:p>
    <w:p w14:paraId="071F2EB0">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该站主要建（构）筑物如表2.6-1所示。</w:t>
      </w:r>
    </w:p>
    <w:p w14:paraId="0D4C4496">
      <w:pPr>
        <w:pStyle w:val="43"/>
        <w:keepNext/>
        <w:spacing w:before="156" w:beforeLines="50" w:after="156" w:afterLines="50"/>
        <w:ind w:firstLine="480"/>
        <w:rPr>
          <w:rFonts w:eastAsia="黑体"/>
          <w:sz w:val="24"/>
        </w:rPr>
      </w:pPr>
      <w:r>
        <w:rPr>
          <w:rFonts w:eastAsia="黑体"/>
          <w:sz w:val="24"/>
        </w:rPr>
        <w:t>表2.6-1  主要建（构）筑物一览表</w:t>
      </w:r>
    </w:p>
    <w:tbl>
      <w:tblPr>
        <w:tblStyle w:val="33"/>
        <w:tblW w:w="49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62"/>
        <w:gridCol w:w="706"/>
        <w:gridCol w:w="1127"/>
        <w:gridCol w:w="1092"/>
        <w:gridCol w:w="943"/>
        <w:gridCol w:w="804"/>
        <w:gridCol w:w="934"/>
        <w:gridCol w:w="768"/>
        <w:gridCol w:w="1446"/>
      </w:tblGrid>
      <w:tr w14:paraId="58BA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 w:type="pct"/>
            <w:vAlign w:val="center"/>
          </w:tcPr>
          <w:p w14:paraId="41EFF5AD">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序号</w:t>
            </w:r>
          </w:p>
        </w:tc>
        <w:tc>
          <w:tcPr>
            <w:tcW w:w="473" w:type="pct"/>
            <w:vAlign w:val="center"/>
          </w:tcPr>
          <w:p w14:paraId="2DB0B6C1">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名称</w:t>
            </w:r>
          </w:p>
        </w:tc>
        <w:tc>
          <w:tcPr>
            <w:tcW w:w="387" w:type="pct"/>
            <w:vAlign w:val="center"/>
          </w:tcPr>
          <w:p w14:paraId="6F5FD9D6">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层数</w:t>
            </w:r>
          </w:p>
        </w:tc>
        <w:tc>
          <w:tcPr>
            <w:tcW w:w="618" w:type="pct"/>
            <w:vAlign w:val="center"/>
          </w:tcPr>
          <w:p w14:paraId="4B34CAC5">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hint="eastAsia" w:ascii="Times New Roman" w:hAnsi="Times New Roman" w:eastAsia="宋体" w:cs="Times New Roman"/>
                <w:bCs/>
                <w:sz w:val="21"/>
                <w:szCs w:val="21"/>
                <w14:ligatures w14:val="none"/>
              </w:rPr>
              <w:t>占地</w:t>
            </w:r>
            <w:r>
              <w:rPr>
                <w:rFonts w:ascii="Times New Roman" w:hAnsi="Times New Roman" w:eastAsia="宋体" w:cs="Times New Roman"/>
                <w:bCs/>
                <w:sz w:val="21"/>
                <w:szCs w:val="21"/>
                <w14:ligatures w14:val="none"/>
              </w:rPr>
              <w:t>面积（m</w:t>
            </w:r>
            <w:r>
              <w:rPr>
                <w:rFonts w:ascii="Times New Roman" w:hAnsi="Times New Roman" w:eastAsia="宋体" w:cs="Times New Roman"/>
                <w:bCs/>
                <w:sz w:val="21"/>
                <w:szCs w:val="21"/>
                <w:vertAlign w:val="superscript"/>
                <w14:ligatures w14:val="none"/>
              </w:rPr>
              <w:t>2</w:t>
            </w:r>
            <w:r>
              <w:rPr>
                <w:rFonts w:ascii="Times New Roman" w:hAnsi="Times New Roman" w:eastAsia="宋体" w:cs="Times New Roman"/>
                <w:bCs/>
                <w:sz w:val="21"/>
                <w:szCs w:val="21"/>
                <w14:ligatures w14:val="none"/>
              </w:rPr>
              <w:t>）</w:t>
            </w:r>
          </w:p>
        </w:tc>
        <w:tc>
          <w:tcPr>
            <w:tcW w:w="599" w:type="pct"/>
            <w:vAlign w:val="center"/>
          </w:tcPr>
          <w:p w14:paraId="4353D44A">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建筑面积（m</w:t>
            </w:r>
            <w:r>
              <w:rPr>
                <w:rFonts w:ascii="Times New Roman" w:hAnsi="Times New Roman" w:eastAsia="宋体" w:cs="Times New Roman"/>
                <w:bCs/>
                <w:sz w:val="21"/>
                <w:szCs w:val="21"/>
                <w:vertAlign w:val="superscript"/>
                <w14:ligatures w14:val="none"/>
              </w:rPr>
              <w:t>2</w:t>
            </w:r>
            <w:r>
              <w:rPr>
                <w:rFonts w:ascii="Times New Roman" w:hAnsi="Times New Roman" w:eastAsia="宋体" w:cs="Times New Roman"/>
                <w:bCs/>
                <w:sz w:val="21"/>
                <w:szCs w:val="21"/>
                <w14:ligatures w14:val="none"/>
              </w:rPr>
              <w:t>）</w:t>
            </w:r>
          </w:p>
        </w:tc>
        <w:tc>
          <w:tcPr>
            <w:tcW w:w="517" w:type="pct"/>
            <w:vAlign w:val="center"/>
          </w:tcPr>
          <w:p w14:paraId="5E4106BA">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hint="eastAsia" w:ascii="Times New Roman" w:hAnsi="Times New Roman" w:eastAsia="宋体" w:cs="Times New Roman"/>
                <w:bCs/>
                <w:sz w:val="21"/>
                <w:szCs w:val="21"/>
                <w14:ligatures w14:val="none"/>
              </w:rPr>
              <w:t>高度（m）</w:t>
            </w:r>
          </w:p>
        </w:tc>
        <w:tc>
          <w:tcPr>
            <w:tcW w:w="441" w:type="pct"/>
            <w:vAlign w:val="center"/>
          </w:tcPr>
          <w:p w14:paraId="0203E3DE">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结构形式</w:t>
            </w:r>
          </w:p>
        </w:tc>
        <w:tc>
          <w:tcPr>
            <w:tcW w:w="512" w:type="pct"/>
            <w:vAlign w:val="center"/>
          </w:tcPr>
          <w:p w14:paraId="6A496BFA">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火灾危险性</w:t>
            </w:r>
          </w:p>
        </w:tc>
        <w:tc>
          <w:tcPr>
            <w:tcW w:w="421" w:type="pct"/>
            <w:vAlign w:val="center"/>
          </w:tcPr>
          <w:p w14:paraId="1DC035BC">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耐火等级</w:t>
            </w:r>
          </w:p>
        </w:tc>
        <w:tc>
          <w:tcPr>
            <w:tcW w:w="793" w:type="pct"/>
            <w:vAlign w:val="center"/>
          </w:tcPr>
          <w:p w14:paraId="71DA2497">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备注</w:t>
            </w:r>
          </w:p>
        </w:tc>
      </w:tr>
      <w:tr w14:paraId="5C66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 w:type="pct"/>
            <w:vAlign w:val="center"/>
          </w:tcPr>
          <w:p w14:paraId="0E0B8ED6">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w:t>
            </w:r>
          </w:p>
        </w:tc>
        <w:tc>
          <w:tcPr>
            <w:tcW w:w="473" w:type="pct"/>
            <w:vAlign w:val="center"/>
          </w:tcPr>
          <w:p w14:paraId="6C7369AD">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站房</w:t>
            </w:r>
          </w:p>
        </w:tc>
        <w:tc>
          <w:tcPr>
            <w:tcW w:w="387" w:type="pct"/>
            <w:vAlign w:val="center"/>
          </w:tcPr>
          <w:p w14:paraId="22AA0C0F">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单层</w:t>
            </w:r>
          </w:p>
        </w:tc>
        <w:tc>
          <w:tcPr>
            <w:tcW w:w="618" w:type="pct"/>
            <w:vAlign w:val="center"/>
          </w:tcPr>
          <w:p w14:paraId="709D58D0">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458.8</w:t>
            </w:r>
          </w:p>
        </w:tc>
        <w:tc>
          <w:tcPr>
            <w:tcW w:w="599" w:type="pct"/>
            <w:vAlign w:val="center"/>
          </w:tcPr>
          <w:p w14:paraId="5F651AB2">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458.8</w:t>
            </w:r>
          </w:p>
        </w:tc>
        <w:tc>
          <w:tcPr>
            <w:tcW w:w="517" w:type="pct"/>
            <w:vAlign w:val="center"/>
          </w:tcPr>
          <w:p w14:paraId="04D31681">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4.2</w:t>
            </w:r>
          </w:p>
        </w:tc>
        <w:tc>
          <w:tcPr>
            <w:tcW w:w="441" w:type="pct"/>
            <w:vAlign w:val="center"/>
          </w:tcPr>
          <w:p w14:paraId="44BE17AC">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砖混</w:t>
            </w:r>
          </w:p>
        </w:tc>
        <w:tc>
          <w:tcPr>
            <w:tcW w:w="512" w:type="pct"/>
            <w:vAlign w:val="center"/>
          </w:tcPr>
          <w:p w14:paraId="4B9F08BC">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民建</w:t>
            </w:r>
          </w:p>
        </w:tc>
        <w:tc>
          <w:tcPr>
            <w:tcW w:w="421" w:type="pct"/>
            <w:vAlign w:val="center"/>
          </w:tcPr>
          <w:p w14:paraId="2F1EF9AD">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二级</w:t>
            </w:r>
          </w:p>
        </w:tc>
        <w:tc>
          <w:tcPr>
            <w:tcW w:w="793" w:type="pct"/>
            <w:vAlign w:val="center"/>
          </w:tcPr>
          <w:p w14:paraId="525D3278">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利旧</w:t>
            </w:r>
          </w:p>
        </w:tc>
      </w:tr>
      <w:tr w14:paraId="531D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 w:type="pct"/>
            <w:vAlign w:val="center"/>
          </w:tcPr>
          <w:p w14:paraId="52947982">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2</w:t>
            </w:r>
          </w:p>
        </w:tc>
        <w:tc>
          <w:tcPr>
            <w:tcW w:w="473" w:type="pct"/>
            <w:vAlign w:val="center"/>
          </w:tcPr>
          <w:p w14:paraId="25065D19">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罩棚</w:t>
            </w:r>
          </w:p>
        </w:tc>
        <w:tc>
          <w:tcPr>
            <w:tcW w:w="387" w:type="pct"/>
            <w:vAlign w:val="center"/>
          </w:tcPr>
          <w:p w14:paraId="002E5F01">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618" w:type="pct"/>
            <w:vAlign w:val="center"/>
          </w:tcPr>
          <w:p w14:paraId="0DFF5174">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799.2</w:t>
            </w:r>
          </w:p>
        </w:tc>
        <w:tc>
          <w:tcPr>
            <w:tcW w:w="599" w:type="pct"/>
            <w:vAlign w:val="center"/>
          </w:tcPr>
          <w:p w14:paraId="16E48970">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399.6</w:t>
            </w:r>
          </w:p>
        </w:tc>
        <w:tc>
          <w:tcPr>
            <w:tcW w:w="517" w:type="pct"/>
            <w:vAlign w:val="center"/>
          </w:tcPr>
          <w:p w14:paraId="407CD993">
            <w:pPr>
              <w:spacing w:line="240" w:lineRule="auto"/>
              <w:ind w:firstLine="0" w:firstLineChars="0"/>
              <w:jc w:val="center"/>
              <w:rPr>
                <w:rFonts w:hint="eastAsia" w:ascii="Times New Roman" w:hAnsi="Times New Roman" w:eastAsia="宋体" w:cs="Times New Roman"/>
                <w:sz w:val="21"/>
                <w:szCs w:val="21"/>
                <w:lang w:eastAsia="zh-CN"/>
                <w14:ligatures w14:val="none"/>
              </w:rPr>
            </w:pPr>
            <w:r>
              <w:rPr>
                <w:rFonts w:hint="eastAsia" w:ascii="Times New Roman" w:hAnsi="Times New Roman" w:eastAsia="宋体" w:cs="Times New Roman"/>
                <w:sz w:val="21"/>
                <w:szCs w:val="21"/>
                <w:lang w:val="en-US" w:eastAsia="zh-CN"/>
                <w14:ligatures w14:val="none"/>
              </w:rPr>
              <w:t>9</w:t>
            </w:r>
          </w:p>
        </w:tc>
        <w:tc>
          <w:tcPr>
            <w:tcW w:w="441" w:type="pct"/>
            <w:vAlign w:val="center"/>
          </w:tcPr>
          <w:p w14:paraId="58795BAB">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网架结构</w:t>
            </w:r>
          </w:p>
        </w:tc>
        <w:tc>
          <w:tcPr>
            <w:tcW w:w="512" w:type="pct"/>
            <w:vAlign w:val="center"/>
          </w:tcPr>
          <w:p w14:paraId="42BE942E">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甲类</w:t>
            </w:r>
          </w:p>
        </w:tc>
        <w:tc>
          <w:tcPr>
            <w:tcW w:w="421" w:type="pct"/>
            <w:vAlign w:val="center"/>
          </w:tcPr>
          <w:p w14:paraId="24478BB1">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不燃烧体</w:t>
            </w:r>
          </w:p>
        </w:tc>
        <w:tc>
          <w:tcPr>
            <w:tcW w:w="793" w:type="pct"/>
            <w:vAlign w:val="center"/>
          </w:tcPr>
          <w:p w14:paraId="67C6DD1D">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利旧</w:t>
            </w:r>
          </w:p>
        </w:tc>
      </w:tr>
      <w:tr w14:paraId="232D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 w:type="pct"/>
            <w:vAlign w:val="center"/>
          </w:tcPr>
          <w:p w14:paraId="753A6245">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3</w:t>
            </w:r>
          </w:p>
        </w:tc>
        <w:tc>
          <w:tcPr>
            <w:tcW w:w="473" w:type="pct"/>
            <w:vAlign w:val="center"/>
          </w:tcPr>
          <w:p w14:paraId="5BD8F8FC">
            <w:pPr>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洗车房</w:t>
            </w:r>
          </w:p>
        </w:tc>
        <w:tc>
          <w:tcPr>
            <w:tcW w:w="387" w:type="pct"/>
            <w:vAlign w:val="center"/>
          </w:tcPr>
          <w:p w14:paraId="2DD4C892">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单层</w:t>
            </w:r>
          </w:p>
        </w:tc>
        <w:tc>
          <w:tcPr>
            <w:tcW w:w="618" w:type="pct"/>
            <w:vAlign w:val="center"/>
          </w:tcPr>
          <w:p w14:paraId="571F4787">
            <w:pPr>
              <w:spacing w:line="240" w:lineRule="auto"/>
              <w:ind w:firstLine="0" w:firstLineChars="0"/>
              <w:jc w:val="center"/>
              <w:rPr>
                <w:rFonts w:hint="default" w:ascii="Times New Roman" w:hAnsi="Times New Roman" w:eastAsia="宋体" w:cs="Times New Roman"/>
                <w:sz w:val="21"/>
                <w:szCs w:val="21"/>
                <w:highlight w:val="none"/>
                <w:lang w:val="en-US" w:eastAsia="zh-CN"/>
                <w14:ligatures w14:val="none"/>
              </w:rPr>
            </w:pPr>
            <w:r>
              <w:rPr>
                <w:rFonts w:hint="eastAsia" w:ascii="Times New Roman" w:hAnsi="Times New Roman" w:eastAsia="宋体" w:cs="Times New Roman"/>
                <w:sz w:val="21"/>
                <w:szCs w:val="21"/>
                <w:highlight w:val="none"/>
                <w:lang w:val="en-US" w:eastAsia="zh-CN"/>
                <w14:ligatures w14:val="none"/>
              </w:rPr>
              <w:t>170.17</w:t>
            </w:r>
          </w:p>
        </w:tc>
        <w:tc>
          <w:tcPr>
            <w:tcW w:w="599" w:type="pct"/>
            <w:vAlign w:val="center"/>
          </w:tcPr>
          <w:p w14:paraId="6607F29D">
            <w:pPr>
              <w:spacing w:line="240" w:lineRule="auto"/>
              <w:ind w:firstLine="0" w:firstLineChars="0"/>
              <w:jc w:val="center"/>
              <w:rPr>
                <w:rFonts w:hint="default" w:ascii="Times New Roman" w:hAnsi="Times New Roman" w:eastAsia="宋体" w:cs="Times New Roman"/>
                <w:sz w:val="21"/>
                <w:szCs w:val="21"/>
                <w:highlight w:val="none"/>
                <w:lang w:val="en-US" w:eastAsia="zh-CN"/>
                <w14:ligatures w14:val="none"/>
              </w:rPr>
            </w:pPr>
            <w:r>
              <w:rPr>
                <w:rFonts w:hint="eastAsia" w:ascii="Times New Roman" w:hAnsi="Times New Roman" w:eastAsia="宋体" w:cs="Times New Roman"/>
                <w:sz w:val="21"/>
                <w:szCs w:val="21"/>
                <w:highlight w:val="none"/>
                <w:lang w:val="en-US" w:eastAsia="zh-CN"/>
                <w14:ligatures w14:val="none"/>
              </w:rPr>
              <w:t>170.17</w:t>
            </w:r>
          </w:p>
        </w:tc>
        <w:tc>
          <w:tcPr>
            <w:tcW w:w="517" w:type="pct"/>
            <w:vAlign w:val="center"/>
          </w:tcPr>
          <w:p w14:paraId="59F35271">
            <w:pPr>
              <w:spacing w:line="240" w:lineRule="auto"/>
              <w:ind w:firstLine="0" w:firstLineChars="0"/>
              <w:jc w:val="center"/>
              <w:rPr>
                <w:rFonts w:hint="default" w:ascii="Times New Roman" w:hAnsi="Times New Roman" w:eastAsia="宋体" w:cs="Times New Roman"/>
                <w:sz w:val="21"/>
                <w:szCs w:val="21"/>
                <w:highlight w:val="yellow"/>
                <w:lang w:val="en-US" w:eastAsia="zh-CN"/>
                <w14:ligatures w14:val="none"/>
              </w:rPr>
            </w:pPr>
            <w:r>
              <w:rPr>
                <w:rFonts w:hint="eastAsia" w:ascii="Times New Roman" w:hAnsi="Times New Roman" w:eastAsia="宋体" w:cs="Times New Roman"/>
                <w:sz w:val="21"/>
                <w:szCs w:val="21"/>
                <w:highlight w:val="none"/>
                <w:lang w:val="en-US" w:eastAsia="zh-CN"/>
                <w14:ligatures w14:val="none"/>
              </w:rPr>
              <w:t>4.2</w:t>
            </w:r>
          </w:p>
        </w:tc>
        <w:tc>
          <w:tcPr>
            <w:tcW w:w="441" w:type="pct"/>
            <w:vAlign w:val="center"/>
          </w:tcPr>
          <w:p w14:paraId="66AE97FC">
            <w:pPr>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砖混</w:t>
            </w:r>
          </w:p>
        </w:tc>
        <w:tc>
          <w:tcPr>
            <w:tcW w:w="512" w:type="pct"/>
            <w:vAlign w:val="center"/>
          </w:tcPr>
          <w:p w14:paraId="53097DB4">
            <w:pPr>
              <w:overflowPunct w:val="0"/>
              <w:adjustRightInd/>
              <w:snapToGrid/>
              <w:spacing w:line="240" w:lineRule="auto"/>
              <w:ind w:firstLine="0" w:firstLineChars="0"/>
              <w:jc w:val="center"/>
              <w:rPr>
                <w:rFonts w:hint="eastAsia" w:ascii="Times New Roman" w:hAnsi="Times New Roman" w:eastAsia="宋体" w:cs="Times New Roman"/>
                <w:sz w:val="21"/>
                <w:szCs w:val="21"/>
                <w:lang w:eastAsia="zh-CN"/>
                <w14:ligatures w14:val="none"/>
              </w:rPr>
            </w:pPr>
            <w:r>
              <w:rPr>
                <w:rFonts w:hint="eastAsia" w:ascii="Times New Roman" w:hAnsi="Times New Roman" w:eastAsia="宋体" w:cs="Times New Roman"/>
                <w:sz w:val="21"/>
                <w:szCs w:val="21"/>
                <w:lang w:val="en-US" w:eastAsia="zh-CN"/>
                <w14:ligatures w14:val="none"/>
              </w:rPr>
              <w:t>民建</w:t>
            </w:r>
          </w:p>
        </w:tc>
        <w:tc>
          <w:tcPr>
            <w:tcW w:w="421" w:type="pct"/>
            <w:vAlign w:val="center"/>
          </w:tcPr>
          <w:p w14:paraId="2E285675">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二</w:t>
            </w:r>
            <w:r>
              <w:rPr>
                <w:rFonts w:hint="eastAsia" w:ascii="Times New Roman" w:hAnsi="Times New Roman" w:eastAsia="宋体" w:cs="Times New Roman"/>
                <w:sz w:val="21"/>
                <w:szCs w:val="21"/>
                <w14:ligatures w14:val="none"/>
              </w:rPr>
              <w:t>级</w:t>
            </w:r>
          </w:p>
        </w:tc>
        <w:tc>
          <w:tcPr>
            <w:tcW w:w="793" w:type="pct"/>
            <w:vAlign w:val="center"/>
          </w:tcPr>
          <w:p w14:paraId="5C8987D7">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14:ligatures w14:val="none"/>
              </w:rPr>
              <w:t>利旧</w:t>
            </w:r>
          </w:p>
        </w:tc>
      </w:tr>
      <w:tr w14:paraId="2FAA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 w:type="pct"/>
            <w:vAlign w:val="center"/>
          </w:tcPr>
          <w:p w14:paraId="2F332899">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4</w:t>
            </w:r>
          </w:p>
        </w:tc>
        <w:tc>
          <w:tcPr>
            <w:tcW w:w="473" w:type="pct"/>
            <w:vAlign w:val="center"/>
          </w:tcPr>
          <w:p w14:paraId="44246D6D">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辅助用房</w:t>
            </w:r>
          </w:p>
        </w:tc>
        <w:tc>
          <w:tcPr>
            <w:tcW w:w="387" w:type="pct"/>
            <w:vAlign w:val="center"/>
          </w:tcPr>
          <w:p w14:paraId="197E49E0">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单层</w:t>
            </w:r>
          </w:p>
        </w:tc>
        <w:tc>
          <w:tcPr>
            <w:tcW w:w="618" w:type="pct"/>
            <w:vAlign w:val="center"/>
          </w:tcPr>
          <w:p w14:paraId="2581B463">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42.57</w:t>
            </w:r>
          </w:p>
        </w:tc>
        <w:tc>
          <w:tcPr>
            <w:tcW w:w="599" w:type="pct"/>
            <w:vAlign w:val="center"/>
          </w:tcPr>
          <w:p w14:paraId="582F3361">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42.57</w:t>
            </w:r>
          </w:p>
        </w:tc>
        <w:tc>
          <w:tcPr>
            <w:tcW w:w="517" w:type="pct"/>
            <w:vAlign w:val="center"/>
          </w:tcPr>
          <w:p w14:paraId="0BD1C698">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2.6</w:t>
            </w:r>
          </w:p>
        </w:tc>
        <w:tc>
          <w:tcPr>
            <w:tcW w:w="441" w:type="pct"/>
            <w:vAlign w:val="center"/>
          </w:tcPr>
          <w:p w14:paraId="6663252B">
            <w:pPr>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砖混</w:t>
            </w:r>
          </w:p>
        </w:tc>
        <w:tc>
          <w:tcPr>
            <w:tcW w:w="512" w:type="pct"/>
            <w:vAlign w:val="center"/>
          </w:tcPr>
          <w:p w14:paraId="4284F313">
            <w:pPr>
              <w:overflowPunct w:val="0"/>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民建</w:t>
            </w:r>
          </w:p>
        </w:tc>
        <w:tc>
          <w:tcPr>
            <w:tcW w:w="421" w:type="pct"/>
            <w:vAlign w:val="center"/>
          </w:tcPr>
          <w:p w14:paraId="3CF6E33C">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二级</w:t>
            </w:r>
          </w:p>
        </w:tc>
        <w:tc>
          <w:tcPr>
            <w:tcW w:w="793" w:type="pct"/>
            <w:vAlign w:val="center"/>
          </w:tcPr>
          <w:p w14:paraId="3E128539">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利旧</w:t>
            </w:r>
          </w:p>
        </w:tc>
      </w:tr>
      <w:tr w14:paraId="41D6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 w:type="pct"/>
            <w:vAlign w:val="center"/>
          </w:tcPr>
          <w:p w14:paraId="4732B111">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5</w:t>
            </w:r>
          </w:p>
        </w:tc>
        <w:tc>
          <w:tcPr>
            <w:tcW w:w="473" w:type="pct"/>
            <w:vAlign w:val="center"/>
          </w:tcPr>
          <w:p w14:paraId="108BC849">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地磅房</w:t>
            </w:r>
          </w:p>
        </w:tc>
        <w:tc>
          <w:tcPr>
            <w:tcW w:w="706" w:type="dxa"/>
            <w:vAlign w:val="center"/>
          </w:tcPr>
          <w:p w14:paraId="21ABF1DE">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单层</w:t>
            </w:r>
          </w:p>
        </w:tc>
        <w:tc>
          <w:tcPr>
            <w:tcW w:w="1127" w:type="dxa"/>
            <w:vAlign w:val="center"/>
          </w:tcPr>
          <w:p w14:paraId="4E41FB3D">
            <w:pPr>
              <w:spacing w:line="240" w:lineRule="auto"/>
              <w:ind w:firstLine="0" w:firstLineChars="0"/>
              <w:jc w:val="center"/>
              <w:rPr>
                <w:rFonts w:hint="default" w:ascii="Times New Roman" w:hAnsi="Times New Roman" w:eastAsia="宋体" w:cs="Times New Roman"/>
                <w:sz w:val="21"/>
                <w:szCs w:val="21"/>
                <w:highlight w:val="none"/>
                <w:lang w:val="en-US" w:eastAsia="zh-CN"/>
                <w14:ligatures w14:val="none"/>
              </w:rPr>
            </w:pPr>
            <w:r>
              <w:rPr>
                <w:rFonts w:hint="eastAsia" w:ascii="Times New Roman" w:hAnsi="Times New Roman" w:eastAsia="宋体" w:cs="Times New Roman"/>
                <w:sz w:val="21"/>
                <w:szCs w:val="21"/>
                <w:highlight w:val="none"/>
                <w:lang w:val="en-US" w:eastAsia="zh-CN"/>
                <w14:ligatures w14:val="none"/>
              </w:rPr>
              <w:t>5.11</w:t>
            </w:r>
          </w:p>
        </w:tc>
        <w:tc>
          <w:tcPr>
            <w:tcW w:w="1092" w:type="dxa"/>
            <w:vAlign w:val="center"/>
          </w:tcPr>
          <w:p w14:paraId="5965E36A">
            <w:pPr>
              <w:spacing w:line="240" w:lineRule="auto"/>
              <w:ind w:firstLine="0" w:firstLineChars="0"/>
              <w:jc w:val="center"/>
              <w:rPr>
                <w:rFonts w:hint="default" w:ascii="Times New Roman" w:hAnsi="Times New Roman" w:eastAsia="宋体" w:cs="Times New Roman"/>
                <w:sz w:val="21"/>
                <w:szCs w:val="21"/>
                <w:highlight w:val="none"/>
                <w:lang w:val="en-US" w:eastAsia="zh-CN"/>
                <w14:ligatures w14:val="none"/>
              </w:rPr>
            </w:pPr>
            <w:r>
              <w:rPr>
                <w:rFonts w:hint="eastAsia" w:ascii="Times New Roman" w:hAnsi="Times New Roman" w:eastAsia="宋体" w:cs="Times New Roman"/>
                <w:sz w:val="21"/>
                <w:szCs w:val="21"/>
                <w:highlight w:val="none"/>
                <w:lang w:val="en-US" w:eastAsia="zh-CN"/>
                <w14:ligatures w14:val="none"/>
              </w:rPr>
              <w:t>5.11</w:t>
            </w:r>
          </w:p>
        </w:tc>
        <w:tc>
          <w:tcPr>
            <w:tcW w:w="943" w:type="dxa"/>
            <w:vAlign w:val="center"/>
          </w:tcPr>
          <w:p w14:paraId="41C5F26D">
            <w:pPr>
              <w:spacing w:line="240" w:lineRule="auto"/>
              <w:ind w:firstLine="0" w:firstLineChars="0"/>
              <w:jc w:val="center"/>
              <w:rPr>
                <w:rFonts w:hint="default" w:ascii="Times New Roman" w:hAnsi="Times New Roman" w:eastAsia="宋体" w:cs="Times New Roman"/>
                <w:sz w:val="21"/>
                <w:szCs w:val="21"/>
                <w:highlight w:val="none"/>
                <w:lang w:val="en-US" w:eastAsia="zh-CN"/>
                <w14:ligatures w14:val="none"/>
              </w:rPr>
            </w:pPr>
            <w:r>
              <w:rPr>
                <w:rFonts w:hint="eastAsia" w:ascii="Times New Roman" w:hAnsi="Times New Roman" w:eastAsia="宋体" w:cs="Times New Roman"/>
                <w:sz w:val="21"/>
                <w:szCs w:val="21"/>
                <w:highlight w:val="none"/>
                <w:lang w:val="en-US" w:eastAsia="zh-CN"/>
                <w14:ligatures w14:val="none"/>
              </w:rPr>
              <w:t>2.3</w:t>
            </w:r>
          </w:p>
        </w:tc>
        <w:tc>
          <w:tcPr>
            <w:tcW w:w="804" w:type="dxa"/>
            <w:vAlign w:val="center"/>
          </w:tcPr>
          <w:p w14:paraId="6E853E37">
            <w:pPr>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砖混</w:t>
            </w:r>
          </w:p>
        </w:tc>
        <w:tc>
          <w:tcPr>
            <w:tcW w:w="934" w:type="dxa"/>
            <w:vAlign w:val="center"/>
          </w:tcPr>
          <w:p w14:paraId="25097F79">
            <w:pPr>
              <w:overflowPunct w:val="0"/>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民建</w:t>
            </w:r>
          </w:p>
        </w:tc>
        <w:tc>
          <w:tcPr>
            <w:tcW w:w="768" w:type="dxa"/>
            <w:vAlign w:val="center"/>
          </w:tcPr>
          <w:p w14:paraId="72ACE3FA">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二级</w:t>
            </w:r>
          </w:p>
        </w:tc>
        <w:tc>
          <w:tcPr>
            <w:tcW w:w="793" w:type="pct"/>
            <w:vAlign w:val="center"/>
          </w:tcPr>
          <w:p w14:paraId="1CF47FB3">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利旧</w:t>
            </w:r>
          </w:p>
        </w:tc>
      </w:tr>
      <w:tr w14:paraId="5E7A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3" w:type="pct"/>
            <w:vAlign w:val="center"/>
          </w:tcPr>
          <w:p w14:paraId="20425A17">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6</w:t>
            </w:r>
          </w:p>
        </w:tc>
        <w:tc>
          <w:tcPr>
            <w:tcW w:w="473" w:type="pct"/>
            <w:vAlign w:val="center"/>
          </w:tcPr>
          <w:p w14:paraId="2C86DCC7">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罐区</w:t>
            </w:r>
          </w:p>
        </w:tc>
        <w:tc>
          <w:tcPr>
            <w:tcW w:w="387" w:type="pct"/>
            <w:vAlign w:val="center"/>
          </w:tcPr>
          <w:p w14:paraId="4CD08F84">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618" w:type="pct"/>
            <w:vAlign w:val="center"/>
          </w:tcPr>
          <w:p w14:paraId="781E90E5">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134.32</w:t>
            </w:r>
          </w:p>
        </w:tc>
        <w:tc>
          <w:tcPr>
            <w:tcW w:w="599" w:type="pct"/>
            <w:vAlign w:val="center"/>
          </w:tcPr>
          <w:p w14:paraId="47A98825">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517" w:type="pct"/>
            <w:vAlign w:val="center"/>
          </w:tcPr>
          <w:p w14:paraId="4DD8BD18">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441" w:type="pct"/>
            <w:vAlign w:val="center"/>
          </w:tcPr>
          <w:p w14:paraId="0EDB30C4">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512" w:type="pct"/>
            <w:vAlign w:val="center"/>
          </w:tcPr>
          <w:p w14:paraId="09EA8A07">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甲类</w:t>
            </w:r>
          </w:p>
        </w:tc>
        <w:tc>
          <w:tcPr>
            <w:tcW w:w="421" w:type="pct"/>
            <w:vAlign w:val="center"/>
          </w:tcPr>
          <w:p w14:paraId="05BDD236">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793" w:type="pct"/>
            <w:vAlign w:val="center"/>
          </w:tcPr>
          <w:p w14:paraId="5E3626C6">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新建</w:t>
            </w:r>
          </w:p>
        </w:tc>
      </w:tr>
    </w:tbl>
    <w:p w14:paraId="45E648C5">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30" w:name="_Toc10046"/>
      <w:bookmarkStart w:id="31" w:name="_Toc218437733"/>
      <w:r>
        <w:rPr>
          <w:rFonts w:ascii="Times New Roman" w:hAnsi="Times New Roman" w:eastAsia="楷体" w:cs="宋体"/>
          <w:b/>
          <w:bCs/>
          <w:sz w:val="32"/>
          <w:szCs w:val="28"/>
          <w:lang w:bidi="ar"/>
          <w14:ligatures w14:val="none"/>
        </w:rPr>
        <w:t>2.7配套和辅助工程</w:t>
      </w:r>
      <w:bookmarkEnd w:id="30"/>
      <w:bookmarkEnd w:id="31"/>
    </w:p>
    <w:p w14:paraId="76A07A33">
      <w:pPr>
        <w:spacing w:before="156" w:beforeLines="50" w:after="156" w:afterLines="50"/>
        <w:ind w:firstLine="562"/>
        <w:outlineLvl w:val="2"/>
        <w:rPr>
          <w:rFonts w:ascii="Times New Roman" w:hAnsi="Times New Roman" w:eastAsia="黑体" w:cs="Times New Roman"/>
          <w:b/>
          <w:bCs/>
          <w:kern w:val="0"/>
          <w:szCs w:val="20"/>
          <w14:ligatures w14:val="none"/>
        </w:rPr>
      </w:pPr>
      <w:bookmarkStart w:id="32" w:name="_Toc2526"/>
      <w:bookmarkStart w:id="33" w:name="_Toc20315"/>
      <w:r>
        <w:rPr>
          <w:rFonts w:ascii="Times New Roman" w:hAnsi="Times New Roman" w:eastAsia="黑体" w:cs="Times New Roman"/>
          <w:b/>
          <w:bCs/>
          <w:kern w:val="0"/>
          <w:szCs w:val="20"/>
          <w14:ligatures w14:val="none"/>
        </w:rPr>
        <w:t>2.7.</w:t>
      </w:r>
      <w:r>
        <w:rPr>
          <w:rFonts w:hint="eastAsia" w:ascii="Times New Roman" w:hAnsi="Times New Roman" w:eastAsia="黑体" w:cs="Times New Roman"/>
          <w:b/>
          <w:bCs/>
          <w:kern w:val="0"/>
          <w:szCs w:val="20"/>
          <w14:ligatures w14:val="none"/>
        </w:rPr>
        <w:t>1</w:t>
      </w:r>
      <w:r>
        <w:rPr>
          <w:rFonts w:ascii="Times New Roman" w:hAnsi="Times New Roman" w:eastAsia="黑体" w:cs="Times New Roman"/>
          <w:b/>
          <w:bCs/>
          <w:kern w:val="0"/>
          <w:szCs w:val="20"/>
          <w14:ligatures w14:val="none"/>
        </w:rPr>
        <w:t>给排水</w:t>
      </w:r>
      <w:bookmarkEnd w:id="32"/>
    </w:p>
    <w:p w14:paraId="057CED38">
      <w:pPr>
        <w:ind w:firstLine="560"/>
        <w:rPr>
          <w:rFonts w:ascii="Times New Roman" w:hAnsi="Times New Roman" w:eastAsia="宋体" w:cs="宋体"/>
          <w:szCs w:val="28"/>
          <w:lang w:bidi="ar"/>
          <w14:ligatures w14:val="none"/>
        </w:rPr>
      </w:pPr>
      <w:bookmarkStart w:id="34" w:name="_Toc32464"/>
      <w:r>
        <w:rPr>
          <w:rFonts w:hint="eastAsia" w:ascii="Times New Roman" w:hAnsi="Times New Roman" w:eastAsia="宋体" w:cs="宋体"/>
          <w:szCs w:val="28"/>
          <w:lang w:bidi="ar"/>
          <w14:ligatures w14:val="none"/>
        </w:rPr>
        <w:t>（1）给</w:t>
      </w:r>
      <w:r>
        <w:rPr>
          <w:rFonts w:ascii="Times New Roman" w:hAnsi="Times New Roman" w:eastAsia="宋体" w:cs="宋体"/>
          <w:szCs w:val="28"/>
          <w:lang w:bidi="ar"/>
          <w14:ligatures w14:val="none"/>
        </w:rPr>
        <w:t>水</w:t>
      </w:r>
      <w:bookmarkEnd w:id="34"/>
    </w:p>
    <w:p w14:paraId="36F3F596">
      <w:pPr>
        <w:ind w:firstLine="560"/>
        <w:rPr>
          <w:rFonts w:hint="eastAsia" w:ascii="Times New Roman" w:hAnsi="Times New Roman" w:eastAsia="宋体" w:cs="宋体"/>
          <w:szCs w:val="28"/>
          <w:lang w:val="en-US" w:eastAsia="zh-CN" w:bidi="ar"/>
          <w14:ligatures w14:val="none"/>
        </w:rPr>
      </w:pPr>
      <w:bookmarkStart w:id="35" w:name="_Toc7395"/>
      <w:r>
        <w:rPr>
          <w:rFonts w:ascii="Times New Roman" w:hAnsi="Times New Roman" w:eastAsia="宋体" w:cs="宋体"/>
          <w:szCs w:val="28"/>
          <w:lang w:bidi="ar"/>
          <w14:ligatures w14:val="none"/>
        </w:rPr>
        <w:t>站内</w:t>
      </w:r>
      <w:r>
        <w:rPr>
          <w:rFonts w:hint="eastAsia" w:ascii="Times New Roman" w:hAnsi="Times New Roman" w:eastAsia="宋体" w:cs="宋体"/>
          <w:szCs w:val="28"/>
          <w:lang w:val="en-US" w:eastAsia="zh-CN" w:bidi="ar"/>
          <w14:ligatures w14:val="none"/>
        </w:rPr>
        <w:t>用水主要是生活用水及洗车用水。</w:t>
      </w:r>
    </w:p>
    <w:p w14:paraId="24A52608">
      <w:pPr>
        <w:ind w:firstLine="560"/>
        <w:rPr>
          <w:rFonts w:hint="default" w:ascii="Times New Roman" w:hAnsi="Times New Roman" w:eastAsia="宋体" w:cs="宋体"/>
          <w:szCs w:val="28"/>
          <w:lang w:val="en-US" w:eastAsia="zh-CN" w:bidi="ar"/>
          <w14:ligatures w14:val="none"/>
        </w:rPr>
      </w:pPr>
      <w:r>
        <w:rPr>
          <w:rFonts w:hint="eastAsia" w:ascii="Times New Roman" w:hAnsi="Times New Roman" w:eastAsia="宋体" w:cs="宋体"/>
          <w:szCs w:val="28"/>
          <w:lang w:val="en-US" w:eastAsia="zh-CN" w:bidi="ar"/>
          <w14:ligatures w14:val="none"/>
        </w:rPr>
        <w:t>生活用水（除饮用水外）和洗车用水来自站内</w:t>
      </w:r>
      <w:r>
        <w:rPr>
          <w:rFonts w:ascii="Times New Roman" w:hAnsi="Times New Roman" w:eastAsia="宋体" w:cs="宋体"/>
          <w:szCs w:val="28"/>
          <w:lang w:bidi="ar"/>
          <w14:ligatures w14:val="none"/>
        </w:rPr>
        <w:t>自备水井，</w:t>
      </w:r>
      <w:r>
        <w:rPr>
          <w:rFonts w:hint="eastAsia" w:ascii="Times New Roman" w:hAnsi="Times New Roman" w:eastAsia="宋体" w:cs="宋体"/>
          <w:szCs w:val="28"/>
          <w:lang w:bidi="ar"/>
          <w14:ligatures w14:val="none"/>
        </w:rPr>
        <w:t>供水水量满足站内需要</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站内饮用水为外购桶装水，根据站内需求采购，满足用水需要。</w:t>
      </w:r>
    </w:p>
    <w:p w14:paraId="6EB0CC95">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（2）</w:t>
      </w:r>
      <w:r>
        <w:rPr>
          <w:rFonts w:ascii="Times New Roman" w:hAnsi="Times New Roman" w:eastAsia="宋体" w:cs="宋体"/>
          <w:szCs w:val="28"/>
          <w:lang w:bidi="ar"/>
          <w14:ligatures w14:val="none"/>
        </w:rPr>
        <w:t>排水</w:t>
      </w:r>
      <w:bookmarkEnd w:id="35"/>
    </w:p>
    <w:p w14:paraId="0FA55B81">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排水系统包括生产污水系统</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雨水系统及生活污水系统。</w:t>
      </w:r>
    </w:p>
    <w:p w14:paraId="4FA126C8">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生产污水主要源自储罐清洗（一般为每5年清洗一次）</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清洗油罐时采用活动式回收桶回收，并用车运至</w:t>
      </w:r>
      <w:r>
        <w:rPr>
          <w:rFonts w:hint="eastAsia" w:ascii="Times New Roman" w:hAnsi="Times New Roman" w:eastAsia="宋体" w:cs="宋体"/>
          <w:szCs w:val="28"/>
          <w:lang w:val="en-US" w:eastAsia="zh-CN" w:bidi="ar"/>
          <w14:ligatures w14:val="none"/>
        </w:rPr>
        <w:t>具备资质单位</w:t>
      </w:r>
      <w:r>
        <w:rPr>
          <w:rFonts w:ascii="Times New Roman" w:hAnsi="Times New Roman" w:eastAsia="宋体" w:cs="宋体"/>
          <w:szCs w:val="28"/>
          <w:lang w:bidi="ar"/>
          <w14:ligatures w14:val="none"/>
        </w:rPr>
        <w:t>处理</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站内雨水散排</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收集的生活污水排入</w:t>
      </w:r>
      <w:r>
        <w:rPr>
          <w:rFonts w:hint="eastAsia" w:ascii="Times New Roman" w:hAnsi="Times New Roman" w:eastAsia="宋体" w:cs="宋体"/>
          <w:szCs w:val="28"/>
          <w:lang w:val="en-US" w:eastAsia="zh-CN" w:bidi="ar"/>
          <w14:ligatures w14:val="none"/>
        </w:rPr>
        <w:t>自有排污罐，并定期清掏</w:t>
      </w:r>
      <w:r>
        <w:rPr>
          <w:rFonts w:ascii="Times New Roman" w:hAnsi="Times New Roman" w:eastAsia="宋体" w:cs="宋体"/>
          <w:szCs w:val="28"/>
          <w:lang w:bidi="ar"/>
          <w14:ligatures w14:val="none"/>
        </w:rPr>
        <w:t>。</w:t>
      </w:r>
    </w:p>
    <w:p w14:paraId="2E827713">
      <w:pPr>
        <w:spacing w:before="156" w:beforeLines="50" w:after="156" w:afterLines="50"/>
        <w:ind w:firstLine="562"/>
        <w:outlineLvl w:val="2"/>
        <w:rPr>
          <w:rFonts w:ascii="Times New Roman" w:hAnsi="Times New Roman" w:eastAsia="黑体" w:cs="Times New Roman"/>
          <w:b/>
          <w:bCs/>
          <w:kern w:val="0"/>
          <w:szCs w:val="20"/>
          <w14:ligatures w14:val="none"/>
        </w:rPr>
      </w:pPr>
      <w:r>
        <w:rPr>
          <w:rFonts w:ascii="Times New Roman" w:hAnsi="Times New Roman" w:eastAsia="黑体" w:cs="Times New Roman"/>
          <w:b/>
          <w:bCs/>
          <w:kern w:val="0"/>
          <w:szCs w:val="20"/>
          <w14:ligatures w14:val="none"/>
        </w:rPr>
        <w:t>2.7.</w:t>
      </w:r>
      <w:bookmarkEnd w:id="33"/>
      <w:r>
        <w:rPr>
          <w:rFonts w:hint="eastAsia" w:ascii="Times New Roman" w:hAnsi="Times New Roman" w:eastAsia="黑体" w:cs="Times New Roman"/>
          <w:b/>
          <w:bCs/>
          <w:kern w:val="0"/>
          <w:szCs w:val="20"/>
          <w14:ligatures w14:val="none"/>
        </w:rPr>
        <w:t>2</w:t>
      </w:r>
      <w:r>
        <w:rPr>
          <w:rFonts w:ascii="Times New Roman" w:hAnsi="Times New Roman" w:eastAsia="黑体" w:cs="Times New Roman"/>
          <w:b/>
          <w:bCs/>
          <w:kern w:val="0"/>
          <w:szCs w:val="20"/>
          <w14:ligatures w14:val="none"/>
        </w:rPr>
        <w:t>供电</w:t>
      </w:r>
    </w:p>
    <w:p w14:paraId="5E1ECEA5">
      <w:pPr>
        <w:ind w:firstLine="560"/>
        <w:rPr>
          <w:rFonts w:ascii="Times New Roman" w:hAnsi="Times New Roman" w:eastAsia="宋体" w:cs="宋体"/>
          <w:szCs w:val="28"/>
          <w:lang w:bidi="ar"/>
          <w14:ligatures w14:val="none"/>
        </w:rPr>
      </w:pPr>
      <w:bookmarkStart w:id="36" w:name="_Toc310"/>
      <w:r>
        <w:rPr>
          <w:rFonts w:hint="eastAsia" w:ascii="Times New Roman" w:hAnsi="Times New Roman" w:eastAsia="宋体" w:cs="宋体"/>
          <w:szCs w:val="28"/>
          <w:lang w:bidi="ar"/>
          <w14:ligatures w14:val="none"/>
        </w:rPr>
        <w:t>（1）</w:t>
      </w:r>
      <w:r>
        <w:rPr>
          <w:rFonts w:ascii="Times New Roman" w:hAnsi="Times New Roman" w:eastAsia="宋体" w:cs="宋体"/>
          <w:szCs w:val="28"/>
          <w:lang w:bidi="ar"/>
          <w14:ligatures w14:val="none"/>
        </w:rPr>
        <w:t>供电</w:t>
      </w:r>
      <w:bookmarkEnd w:id="36"/>
      <w:r>
        <w:rPr>
          <w:rFonts w:hint="eastAsia" w:ascii="Times New Roman" w:hAnsi="Times New Roman" w:eastAsia="宋体" w:cs="宋体"/>
          <w:szCs w:val="28"/>
          <w:lang w:bidi="ar"/>
          <w14:ligatures w14:val="none"/>
        </w:rPr>
        <w:t>方案及用电负荷</w:t>
      </w:r>
    </w:p>
    <w:p w14:paraId="5851117C">
      <w:pPr>
        <w:ind w:firstLine="560"/>
        <w:rPr>
          <w:rFonts w:ascii="Times New Roman" w:hAnsi="Times New Roman" w:eastAsia="宋体" w:cs="宋体"/>
          <w:szCs w:val="28"/>
          <w:lang w:bidi="ar"/>
          <w14:ligatures w14:val="none"/>
        </w:rPr>
      </w:pPr>
      <w:bookmarkStart w:id="37" w:name="_Toc22757"/>
      <w:r>
        <w:rPr>
          <w:rFonts w:hint="eastAsia" w:ascii="Times New Roman" w:hAnsi="Times New Roman" w:eastAsia="宋体" w:cs="宋体"/>
          <w:szCs w:val="28"/>
          <w:lang w:bidi="ar"/>
          <w14:ligatures w14:val="none"/>
        </w:rPr>
        <w:t>供电方案：</w:t>
      </w:r>
      <w:r>
        <w:rPr>
          <w:rFonts w:ascii="Times New Roman" w:hAnsi="Times New Roman" w:eastAsia="宋体" w:cs="宋体"/>
          <w:szCs w:val="28"/>
          <w:lang w:bidi="ar"/>
          <w14:ligatures w14:val="none"/>
        </w:rPr>
        <w:t>该站用电由市政供电，主电源电压380/220V，</w:t>
      </w:r>
      <w:r>
        <w:rPr>
          <w:rFonts w:hint="eastAsia" w:ascii="Times New Roman" w:hAnsi="Times New Roman" w:eastAsia="宋体" w:cs="宋体"/>
          <w:szCs w:val="28"/>
          <w:lang w:bidi="ar"/>
          <w14:ligatures w14:val="none"/>
        </w:rPr>
        <w:t>电缆</w:t>
      </w:r>
      <w:r>
        <w:rPr>
          <w:rFonts w:ascii="Times New Roman" w:hAnsi="Times New Roman" w:eastAsia="宋体" w:cs="宋体"/>
          <w:szCs w:val="28"/>
          <w:lang w:bidi="ar"/>
          <w14:ligatures w14:val="none"/>
        </w:rPr>
        <w:t>埋地敷设至该站</w:t>
      </w:r>
      <w:r>
        <w:rPr>
          <w:rFonts w:hint="eastAsia" w:ascii="Times New Roman" w:hAnsi="Times New Roman" w:eastAsia="宋体" w:cs="宋体"/>
          <w:szCs w:val="28"/>
          <w:lang w:bidi="ar"/>
          <w14:ligatures w14:val="none"/>
        </w:rPr>
        <w:t>站房内配电柜</w:t>
      </w:r>
      <w:r>
        <w:rPr>
          <w:rFonts w:ascii="Times New Roman" w:hAnsi="Times New Roman" w:eastAsia="宋体" w:cs="宋体"/>
          <w:szCs w:val="28"/>
          <w:lang w:bidi="ar"/>
          <w14:ligatures w14:val="none"/>
        </w:rPr>
        <w:t>，用电设备的额定电压为交流380/220V，供电系统采用TN-S系统。单相负荷均匀分布在三相上。</w:t>
      </w:r>
    </w:p>
    <w:p w14:paraId="2F6C44DF">
      <w:pPr>
        <w:ind w:firstLine="560"/>
        <w:rPr>
          <w:rFonts w:hint="eastAsia" w:ascii="Times New Roman" w:hAnsi="Times New Roman" w:eastAsia="宋体" w:cs="宋体"/>
          <w:szCs w:val="28"/>
          <w:lang w:val="en-US" w:eastAsia="zh-CN" w:bidi="ar"/>
          <w14:ligatures w14:val="none"/>
        </w:rPr>
      </w:pPr>
      <w:r>
        <w:rPr>
          <w:rFonts w:hint="eastAsia" w:ascii="Times New Roman" w:hAnsi="Times New Roman" w:eastAsia="宋体" w:cs="宋体"/>
          <w:szCs w:val="28"/>
          <w:lang w:bidi="ar"/>
          <w14:ligatures w14:val="none"/>
        </w:rPr>
        <w:t>用电负荷：</w:t>
      </w:r>
      <w:r>
        <w:rPr>
          <w:rFonts w:ascii="Times New Roman" w:hAnsi="Times New Roman" w:eastAsia="宋体" w:cs="宋体"/>
          <w:szCs w:val="28"/>
          <w:lang w:bidi="ar"/>
          <w14:ligatures w14:val="none"/>
        </w:rPr>
        <w:t>该站</w:t>
      </w:r>
      <w:r>
        <w:rPr>
          <w:rFonts w:hint="eastAsia" w:ascii="Times New Roman" w:hAnsi="Times New Roman" w:eastAsia="宋体" w:cs="宋体"/>
          <w:szCs w:val="28"/>
          <w:lang w:bidi="ar"/>
          <w14:ligatures w14:val="none"/>
        </w:rPr>
        <w:t>用</w:t>
      </w:r>
      <w:r>
        <w:rPr>
          <w:rFonts w:ascii="Times New Roman" w:hAnsi="Times New Roman" w:eastAsia="宋体" w:cs="宋体"/>
          <w:szCs w:val="28"/>
          <w:lang w:bidi="ar"/>
          <w14:ligatures w14:val="none"/>
        </w:rPr>
        <w:t>电负荷等级为三级，无新增用电负荷。</w:t>
      </w:r>
      <w:r>
        <w:rPr>
          <w:rFonts w:hint="eastAsia" w:ascii="Times New Roman" w:hAnsi="Times New Roman" w:eastAsia="宋体" w:cs="宋体"/>
          <w:szCs w:val="28"/>
          <w:lang w:val="en-US" w:eastAsia="zh-CN" w:bidi="ar"/>
          <w14:ligatures w14:val="none"/>
        </w:rPr>
        <w:t>能够满足加油站用电要求。</w:t>
      </w:r>
    </w:p>
    <w:p w14:paraId="2AF91EA2">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该站罩棚、营业厅</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配电室</w:t>
      </w:r>
      <w:r>
        <w:rPr>
          <w:rFonts w:ascii="Times New Roman" w:hAnsi="Times New Roman" w:eastAsia="宋体" w:cs="宋体"/>
          <w:szCs w:val="28"/>
          <w:lang w:bidi="ar"/>
          <w14:ligatures w14:val="none"/>
        </w:rPr>
        <w:t>及主要疏散通道处</w:t>
      </w:r>
      <w:r>
        <w:rPr>
          <w:rFonts w:hint="eastAsia" w:ascii="Times New Roman" w:hAnsi="Times New Roman" w:eastAsia="宋体" w:cs="宋体"/>
          <w:szCs w:val="28"/>
          <w:lang w:bidi="ar"/>
          <w14:ligatures w14:val="none"/>
        </w:rPr>
        <w:t>均</w:t>
      </w:r>
      <w:r>
        <w:rPr>
          <w:rFonts w:ascii="Times New Roman" w:hAnsi="Times New Roman" w:eastAsia="宋体" w:cs="宋体"/>
          <w:szCs w:val="28"/>
          <w:lang w:bidi="ar"/>
          <w14:ligatures w14:val="none"/>
        </w:rPr>
        <w:t>设置应急照明。</w:t>
      </w:r>
    </w:p>
    <w:p w14:paraId="643ED46D">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该加油站信息系统采用UPS不间断电源，供电时间不小于</w:t>
      </w:r>
      <w:r>
        <w:rPr>
          <w:rFonts w:hint="eastAsia" w:ascii="Times New Roman" w:hAnsi="Times New Roman" w:eastAsia="宋体" w:cs="宋体"/>
          <w:szCs w:val="28"/>
          <w:lang w:bidi="ar"/>
          <w14:ligatures w14:val="none"/>
        </w:rPr>
        <w:t>90min</w:t>
      </w:r>
      <w:r>
        <w:rPr>
          <w:rFonts w:ascii="Times New Roman" w:hAnsi="Times New Roman" w:eastAsia="宋体" w:cs="宋体"/>
          <w:szCs w:val="28"/>
          <w:lang w:bidi="ar"/>
          <w14:ligatures w14:val="none"/>
        </w:rPr>
        <w:t>。</w:t>
      </w:r>
    </w:p>
    <w:p w14:paraId="736A87A0">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罩棚</w:t>
      </w:r>
      <w:r>
        <w:rPr>
          <w:rFonts w:hint="eastAsia" w:ascii="Times New Roman" w:hAnsi="Times New Roman" w:eastAsia="宋体" w:cs="宋体"/>
          <w:szCs w:val="28"/>
          <w:lang w:bidi="ar"/>
          <w14:ligatures w14:val="none"/>
        </w:rPr>
        <w:t>的</w:t>
      </w:r>
      <w:r>
        <w:rPr>
          <w:rFonts w:ascii="Times New Roman" w:hAnsi="Times New Roman" w:eastAsia="宋体" w:cs="宋体"/>
          <w:szCs w:val="28"/>
          <w:lang w:bidi="ar"/>
          <w14:ligatures w14:val="none"/>
        </w:rPr>
        <w:t>照明灯具，选用防爆型，站房等建构筑物的照明灯具，选用非防爆型。</w:t>
      </w:r>
    </w:p>
    <w:bookmarkEnd w:id="37"/>
    <w:p w14:paraId="59684C29">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（2）</w:t>
      </w:r>
      <w:r>
        <w:rPr>
          <w:rFonts w:ascii="Times New Roman" w:hAnsi="Times New Roman" w:eastAsia="宋体" w:cs="宋体"/>
          <w:szCs w:val="28"/>
          <w:lang w:bidi="ar"/>
          <w14:ligatures w14:val="none"/>
        </w:rPr>
        <w:t>防雷、防静电及接地</w:t>
      </w:r>
    </w:p>
    <w:p w14:paraId="302F0FD4">
      <w:pPr>
        <w:ind w:firstLine="560"/>
        <w:rPr>
          <w:rFonts w:hint="eastAsia" w:ascii="Times New Roman" w:hAnsi="Times New Roman" w:eastAsia="宋体" w:cs="宋体"/>
          <w:szCs w:val="28"/>
          <w:lang w:eastAsia="zh-CN" w:bidi="ar"/>
          <w14:ligatures w14:val="none"/>
        </w:rPr>
      </w:pPr>
      <w:r>
        <w:rPr>
          <w:rFonts w:ascii="Times New Roman" w:hAnsi="Times New Roman" w:eastAsia="宋体" w:cs="宋体"/>
          <w:szCs w:val="28"/>
          <w:lang w:bidi="ar"/>
          <w14:ligatures w14:val="none"/>
        </w:rPr>
        <w:t>该</w:t>
      </w:r>
      <w:r>
        <w:rPr>
          <w:rFonts w:hint="eastAsia" w:ascii="Times New Roman" w:hAnsi="Times New Roman" w:eastAsia="宋体" w:cs="宋体"/>
          <w:szCs w:val="28"/>
          <w:lang w:bidi="ar"/>
          <w14:ligatures w14:val="none"/>
        </w:rPr>
        <w:t>站</w:t>
      </w:r>
      <w:r>
        <w:rPr>
          <w:rFonts w:ascii="Times New Roman" w:hAnsi="Times New Roman" w:eastAsia="宋体" w:cs="宋体"/>
          <w:szCs w:val="28"/>
          <w:lang w:bidi="ar"/>
          <w14:ligatures w14:val="none"/>
        </w:rPr>
        <w:t>埋地储罐区按照二类防雷建筑物进行设防</w:t>
      </w:r>
      <w:r>
        <w:rPr>
          <w:rFonts w:hint="eastAsia" w:ascii="Times New Roman" w:hAnsi="Times New Roman" w:eastAsia="宋体" w:cs="宋体"/>
          <w:szCs w:val="28"/>
          <w:lang w:eastAsia="zh-CN" w:bidi="ar"/>
          <w14:ligatures w14:val="none"/>
        </w:rPr>
        <w:t>。</w:t>
      </w:r>
    </w:p>
    <w:p w14:paraId="301D9217">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防雷接地、防静电接地、电气设备的工作接地、保护接地及信息系统的接地采用共用接地装置，接地电阻不应大于4Ω。</w:t>
      </w:r>
    </w:p>
    <w:p w14:paraId="5532D498">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装有阻火器的通气管与接地装置可靠连接；卸油场地设有卸车静电接地报警器和本安型人体导除静电装置。</w:t>
      </w:r>
    </w:p>
    <w:p w14:paraId="4C98A3F4">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对金属管道的法兰等的连接处采取导线跨接；在供配电系统的电源端安装与设备耐压水平相适应的过电压（电涌）保护器。</w:t>
      </w:r>
    </w:p>
    <w:p w14:paraId="2DF31FBB">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防雷</w:t>
      </w:r>
      <w:r>
        <w:rPr>
          <w:rFonts w:ascii="Times New Roman" w:hAnsi="Times New Roman" w:eastAsia="宋体" w:cs="宋体"/>
          <w:szCs w:val="28"/>
          <w:lang w:bidi="ar"/>
          <w14:ligatures w14:val="none"/>
        </w:rPr>
        <w:t>装置经过</w:t>
      </w:r>
      <w:r>
        <w:rPr>
          <w:rFonts w:hint="eastAsia" w:ascii="Times New Roman" w:hAnsi="Times New Roman" w:eastAsia="宋体" w:cs="宋体"/>
          <w:szCs w:val="28"/>
          <w:lang w:val="en-US" w:eastAsia="zh-CN" w:bidi="ar"/>
          <w14:ligatures w14:val="none"/>
        </w:rPr>
        <w:t>辽宁华云检测有限公司</w:t>
      </w:r>
      <w:r>
        <w:rPr>
          <w:rFonts w:ascii="Times New Roman" w:hAnsi="Times New Roman" w:eastAsia="宋体" w:cs="宋体"/>
          <w:szCs w:val="28"/>
          <w:lang w:bidi="ar"/>
          <w14:ligatures w14:val="none"/>
        </w:rPr>
        <w:t>检测合格，</w:t>
      </w:r>
      <w:r>
        <w:rPr>
          <w:rFonts w:hint="eastAsia" w:ascii="Times New Roman" w:hAnsi="Times New Roman" w:eastAsia="宋体" w:cs="宋体"/>
          <w:szCs w:val="28"/>
          <w:lang w:bidi="ar"/>
          <w14:ligatures w14:val="none"/>
        </w:rPr>
        <w:t>报告</w:t>
      </w:r>
      <w:r>
        <w:rPr>
          <w:rFonts w:ascii="Times New Roman" w:hAnsi="Times New Roman" w:eastAsia="宋体" w:cs="宋体"/>
          <w:szCs w:val="28"/>
          <w:lang w:bidi="ar"/>
          <w14:ligatures w14:val="none"/>
        </w:rPr>
        <w:t>编号：</w:t>
      </w:r>
      <w:r>
        <w:rPr>
          <w:rFonts w:hint="eastAsia" w:ascii="Times New Roman" w:hAnsi="Times New Roman" w:eastAsia="宋体" w:cs="宋体"/>
          <w:szCs w:val="28"/>
          <w:lang w:val="en-US" w:eastAsia="zh-CN" w:bidi="ar"/>
          <w14:ligatures w14:val="none"/>
        </w:rPr>
        <w:t>1062022002[2026]sy20033</w:t>
      </w:r>
      <w:r>
        <w:rPr>
          <w:rFonts w:ascii="Times New Roman" w:hAnsi="Times New Roman" w:eastAsia="宋体" w:cs="宋体"/>
          <w:szCs w:val="28"/>
          <w:lang w:bidi="ar"/>
          <w14:ligatures w14:val="none"/>
        </w:rPr>
        <w:t>，</w:t>
      </w:r>
      <w:r>
        <w:rPr>
          <w:rFonts w:hint="eastAsia" w:ascii="Times New Roman" w:hAnsi="Times New Roman" w:eastAsia="宋体" w:cs="宋体"/>
          <w:szCs w:val="28"/>
          <w:lang w:bidi="ar"/>
          <w14:ligatures w14:val="none"/>
        </w:rPr>
        <w:t>所检雷电防护装置全部符合技术标准要求，整体雷电防护装置综合评定为符合标准要求。相关文件详见附件。</w:t>
      </w:r>
    </w:p>
    <w:p w14:paraId="3DA1E53D">
      <w:pPr>
        <w:keepNext/>
        <w:spacing w:before="156" w:beforeLines="50" w:after="156" w:afterLines="50"/>
        <w:ind w:firstLine="562"/>
        <w:outlineLvl w:val="2"/>
        <w:rPr>
          <w:rFonts w:ascii="Times New Roman" w:hAnsi="Times New Roman" w:eastAsia="黑体" w:cs="Times New Roman"/>
          <w:b/>
          <w:bCs/>
          <w:kern w:val="0"/>
          <w:szCs w:val="20"/>
          <w14:ligatures w14:val="none"/>
        </w:rPr>
      </w:pPr>
      <w:bookmarkStart w:id="38" w:name="_Toc24162"/>
      <w:r>
        <w:rPr>
          <w:rFonts w:ascii="Times New Roman" w:hAnsi="Times New Roman" w:eastAsia="黑体" w:cs="Times New Roman"/>
          <w:b/>
          <w:bCs/>
          <w:kern w:val="0"/>
          <w:szCs w:val="20"/>
          <w14:ligatures w14:val="none"/>
        </w:rPr>
        <w:t>2.7.3</w:t>
      </w:r>
      <w:bookmarkEnd w:id="38"/>
      <w:bookmarkStart w:id="39" w:name="_Toc11233"/>
      <w:r>
        <w:rPr>
          <w:rFonts w:ascii="Times New Roman" w:hAnsi="Times New Roman" w:eastAsia="黑体" w:cs="Times New Roman"/>
          <w:b/>
          <w:bCs/>
          <w:kern w:val="0"/>
          <w:szCs w:val="20"/>
          <w14:ligatures w14:val="none"/>
        </w:rPr>
        <w:t>消防</w:t>
      </w:r>
      <w:bookmarkEnd w:id="39"/>
    </w:p>
    <w:p w14:paraId="06E41FDE">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根据《汽车加油加气加氢站技术标准》（GB50156-2021）第12.2.3条规定，</w:t>
      </w: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可不设消防</w:t>
      </w:r>
      <w:r>
        <w:rPr>
          <w:rFonts w:hint="eastAsia" w:ascii="Times New Roman" w:hAnsi="Times New Roman" w:eastAsia="宋体" w:cs="宋体"/>
          <w:szCs w:val="28"/>
          <w:lang w:bidi="ar"/>
          <w14:ligatures w14:val="none"/>
        </w:rPr>
        <w:t>给水系统</w:t>
      </w:r>
      <w:r>
        <w:rPr>
          <w:rFonts w:ascii="Times New Roman" w:hAnsi="Times New Roman" w:eastAsia="宋体" w:cs="宋体"/>
          <w:szCs w:val="28"/>
          <w:lang w:bidi="ar"/>
          <w14:ligatures w14:val="none"/>
        </w:rPr>
        <w:t>。站</w:t>
      </w:r>
      <w:r>
        <w:rPr>
          <w:rFonts w:hint="eastAsia" w:ascii="Times New Roman" w:hAnsi="Times New Roman" w:eastAsia="宋体" w:cs="宋体"/>
          <w:szCs w:val="28"/>
          <w:lang w:bidi="ar"/>
          <w14:ligatures w14:val="none"/>
        </w:rPr>
        <w:t>内</w:t>
      </w:r>
      <w:r>
        <w:rPr>
          <w:rFonts w:ascii="Times New Roman" w:hAnsi="Times New Roman" w:eastAsia="宋体" w:cs="宋体"/>
          <w:szCs w:val="28"/>
          <w:lang w:bidi="ar"/>
          <w14:ligatures w14:val="none"/>
        </w:rPr>
        <w:t>消防救援器材详见表2.7-1。</w:t>
      </w:r>
    </w:p>
    <w:p w14:paraId="78A73ECB">
      <w:pPr>
        <w:pStyle w:val="43"/>
        <w:keepNext/>
        <w:spacing w:before="156" w:beforeLines="50" w:after="156" w:afterLines="50"/>
        <w:ind w:firstLine="480"/>
        <w:rPr>
          <w:rFonts w:hint="eastAsia" w:eastAsia="黑体"/>
          <w:sz w:val="24"/>
          <w:lang w:eastAsia="zh-CN"/>
        </w:rPr>
      </w:pPr>
      <w:bookmarkStart w:id="40" w:name="_Hlk218519096"/>
      <w:r>
        <w:rPr>
          <w:rFonts w:eastAsia="黑体"/>
          <w:sz w:val="24"/>
        </w:rPr>
        <w:t>表2.7-1  消防救援器材一览表</w:t>
      </w:r>
      <w:r>
        <w:rPr>
          <w:rFonts w:hint="eastAsia" w:eastAsia="黑体"/>
          <w:sz w:val="24"/>
          <w:lang w:eastAsia="zh-CN"/>
        </w:rPr>
        <w:t>（</w:t>
      </w:r>
      <w:r>
        <w:rPr>
          <w:rFonts w:hint="eastAsia" w:eastAsia="黑体"/>
          <w:sz w:val="24"/>
          <w:lang w:val="en-US" w:eastAsia="zh-CN"/>
        </w:rPr>
        <w:t>二级加油站</w:t>
      </w:r>
      <w:r>
        <w:rPr>
          <w:rFonts w:hint="eastAsia" w:eastAsia="黑体"/>
          <w:sz w:val="24"/>
          <w:lang w:eastAsia="zh-CN"/>
        </w:rPr>
        <w:t>）</w:t>
      </w:r>
    </w:p>
    <w:tbl>
      <w:tblPr>
        <w:tblStyle w:val="33"/>
        <w:tblW w:w="934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6"/>
        <w:gridCol w:w="3050"/>
        <w:gridCol w:w="1261"/>
        <w:gridCol w:w="1985"/>
        <w:gridCol w:w="2231"/>
      </w:tblGrid>
      <w:tr w14:paraId="216B6D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816" w:type="dxa"/>
            <w:vAlign w:val="center"/>
          </w:tcPr>
          <w:p w14:paraId="4320E5F6">
            <w:pPr>
              <w:adjustRightInd/>
              <w:snapToGrid/>
              <w:spacing w:line="240" w:lineRule="auto"/>
              <w:ind w:firstLine="0" w:firstLineChars="0"/>
              <w:jc w:val="center"/>
              <w:rPr>
                <w:rFonts w:ascii="Times New Roman" w:hAnsi="Times New Roman" w:eastAsia="宋体" w:cs="Times New Roman"/>
                <w:sz w:val="21"/>
                <w:szCs w:val="21"/>
                <w14:ligatures w14:val="none"/>
              </w:rPr>
            </w:pPr>
            <w:bookmarkStart w:id="41" w:name="_Toc7344"/>
            <w:r>
              <w:rPr>
                <w:rFonts w:ascii="Times New Roman" w:hAnsi="Times New Roman" w:eastAsia="宋体" w:cs="Times New Roman"/>
                <w:sz w:val="21"/>
                <w:szCs w:val="21"/>
                <w14:ligatures w14:val="none"/>
              </w:rPr>
              <w:t>序号</w:t>
            </w:r>
          </w:p>
        </w:tc>
        <w:tc>
          <w:tcPr>
            <w:tcW w:w="3050" w:type="dxa"/>
            <w:vAlign w:val="center"/>
          </w:tcPr>
          <w:p w14:paraId="6022DDB7">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消防器材类型</w:t>
            </w:r>
          </w:p>
        </w:tc>
        <w:tc>
          <w:tcPr>
            <w:tcW w:w="1261" w:type="dxa"/>
            <w:vAlign w:val="center"/>
          </w:tcPr>
          <w:p w14:paraId="34A09D08">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数量</w:t>
            </w:r>
          </w:p>
        </w:tc>
        <w:tc>
          <w:tcPr>
            <w:tcW w:w="1985" w:type="dxa"/>
            <w:vAlign w:val="center"/>
          </w:tcPr>
          <w:p w14:paraId="10B516CC">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规格</w:t>
            </w:r>
          </w:p>
        </w:tc>
        <w:tc>
          <w:tcPr>
            <w:tcW w:w="2231" w:type="dxa"/>
            <w:vAlign w:val="center"/>
          </w:tcPr>
          <w:p w14:paraId="0E385040">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放置地点</w:t>
            </w:r>
          </w:p>
        </w:tc>
      </w:tr>
      <w:tr w14:paraId="3FC22A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vAlign w:val="center"/>
          </w:tcPr>
          <w:p w14:paraId="314D432C">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w:t>
            </w:r>
          </w:p>
        </w:tc>
        <w:tc>
          <w:tcPr>
            <w:tcW w:w="3050" w:type="dxa"/>
            <w:vAlign w:val="center"/>
          </w:tcPr>
          <w:p w14:paraId="7C16AFCB">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推车式干粉灭火器</w:t>
            </w:r>
          </w:p>
        </w:tc>
        <w:tc>
          <w:tcPr>
            <w:tcW w:w="1261" w:type="dxa"/>
            <w:vAlign w:val="center"/>
          </w:tcPr>
          <w:p w14:paraId="0D630386">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1</w:t>
            </w:r>
            <w:r>
              <w:rPr>
                <w:rFonts w:ascii="Times New Roman" w:hAnsi="Times New Roman" w:eastAsia="宋体" w:cs="Times New Roman"/>
                <w:sz w:val="21"/>
                <w:szCs w:val="21"/>
                <w14:ligatures w14:val="none"/>
              </w:rPr>
              <w:t>具</w:t>
            </w:r>
          </w:p>
        </w:tc>
        <w:tc>
          <w:tcPr>
            <w:tcW w:w="1985" w:type="dxa"/>
            <w:vAlign w:val="center"/>
          </w:tcPr>
          <w:p w14:paraId="2A8ADA10">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35kg</w:t>
            </w:r>
          </w:p>
        </w:tc>
        <w:tc>
          <w:tcPr>
            <w:tcW w:w="2231" w:type="dxa"/>
            <w:vAlign w:val="center"/>
          </w:tcPr>
          <w:p w14:paraId="2BDC5C00">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储罐区</w:t>
            </w:r>
          </w:p>
        </w:tc>
      </w:tr>
      <w:tr w14:paraId="42B67F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vAlign w:val="center"/>
          </w:tcPr>
          <w:p w14:paraId="4C0CB298">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2</w:t>
            </w:r>
          </w:p>
        </w:tc>
        <w:tc>
          <w:tcPr>
            <w:tcW w:w="3050" w:type="dxa"/>
            <w:vAlign w:val="center"/>
          </w:tcPr>
          <w:p w14:paraId="4F1D9ED6">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手提式干粉灭火器</w:t>
            </w:r>
          </w:p>
        </w:tc>
        <w:tc>
          <w:tcPr>
            <w:tcW w:w="1261" w:type="dxa"/>
            <w:vAlign w:val="center"/>
          </w:tcPr>
          <w:p w14:paraId="02D2257F">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2</w:t>
            </w:r>
            <w:r>
              <w:rPr>
                <w:rFonts w:ascii="Times New Roman" w:hAnsi="Times New Roman" w:eastAsia="宋体" w:cs="Times New Roman"/>
                <w:sz w:val="21"/>
                <w:szCs w:val="21"/>
                <w14:ligatures w14:val="none"/>
              </w:rPr>
              <w:t>具</w:t>
            </w:r>
          </w:p>
        </w:tc>
        <w:tc>
          <w:tcPr>
            <w:tcW w:w="1985" w:type="dxa"/>
            <w:vAlign w:val="center"/>
          </w:tcPr>
          <w:p w14:paraId="6CBD0C40">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8</w:t>
            </w:r>
            <w:r>
              <w:rPr>
                <w:rFonts w:ascii="Times New Roman" w:hAnsi="Times New Roman" w:eastAsia="宋体" w:cs="Times New Roman"/>
                <w:sz w:val="21"/>
                <w:szCs w:val="21"/>
                <w14:ligatures w14:val="none"/>
              </w:rPr>
              <w:t>kg</w:t>
            </w:r>
          </w:p>
        </w:tc>
        <w:tc>
          <w:tcPr>
            <w:tcW w:w="2231" w:type="dxa"/>
            <w:vAlign w:val="center"/>
          </w:tcPr>
          <w:p w14:paraId="667E9A4F">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三次油气回收装置旁</w:t>
            </w:r>
          </w:p>
        </w:tc>
      </w:tr>
      <w:tr w14:paraId="4FE5D2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vAlign w:val="center"/>
          </w:tcPr>
          <w:p w14:paraId="16ED8999">
            <w:pPr>
              <w:adjustRightInd/>
              <w:snapToGrid/>
              <w:spacing w:line="240" w:lineRule="auto"/>
              <w:ind w:firstLine="0" w:firstLineChars="0"/>
              <w:jc w:val="center"/>
              <w:rPr>
                <w:rFonts w:hint="eastAsia" w:ascii="Times New Roman" w:hAnsi="Times New Roman" w:eastAsia="宋体" w:cs="Times New Roman"/>
                <w:sz w:val="21"/>
                <w:szCs w:val="21"/>
                <w:lang w:eastAsia="zh-CN"/>
                <w14:ligatures w14:val="none"/>
              </w:rPr>
            </w:pPr>
            <w:r>
              <w:rPr>
                <w:rFonts w:hint="eastAsia" w:ascii="Times New Roman" w:hAnsi="Times New Roman" w:eastAsia="宋体" w:cs="Times New Roman"/>
                <w:sz w:val="21"/>
                <w:szCs w:val="21"/>
                <w:lang w:val="en-US" w:eastAsia="zh-CN"/>
                <w14:ligatures w14:val="none"/>
              </w:rPr>
              <w:t>3</w:t>
            </w:r>
          </w:p>
        </w:tc>
        <w:tc>
          <w:tcPr>
            <w:tcW w:w="3050" w:type="dxa"/>
            <w:vAlign w:val="center"/>
          </w:tcPr>
          <w:p w14:paraId="31C46143">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手提式干粉灭火器</w:t>
            </w:r>
          </w:p>
        </w:tc>
        <w:tc>
          <w:tcPr>
            <w:tcW w:w="1261" w:type="dxa"/>
            <w:vAlign w:val="center"/>
          </w:tcPr>
          <w:p w14:paraId="55D42766">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20</w:t>
            </w:r>
            <w:r>
              <w:rPr>
                <w:rFonts w:ascii="Times New Roman" w:hAnsi="Times New Roman" w:eastAsia="宋体" w:cs="Times New Roman"/>
                <w:sz w:val="21"/>
                <w:szCs w:val="21"/>
                <w14:ligatures w14:val="none"/>
              </w:rPr>
              <w:t>具</w:t>
            </w:r>
          </w:p>
        </w:tc>
        <w:tc>
          <w:tcPr>
            <w:tcW w:w="1985" w:type="dxa"/>
            <w:vAlign w:val="center"/>
          </w:tcPr>
          <w:p w14:paraId="46F848A6">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5kg</w:t>
            </w:r>
          </w:p>
        </w:tc>
        <w:tc>
          <w:tcPr>
            <w:tcW w:w="2231" w:type="dxa"/>
            <w:vAlign w:val="center"/>
          </w:tcPr>
          <w:p w14:paraId="3E07E4EB">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加油区</w:t>
            </w:r>
            <w:r>
              <w:rPr>
                <w:rFonts w:hint="eastAsia" w:ascii="Times New Roman" w:hAnsi="Times New Roman" w:eastAsia="宋体" w:cs="Times New Roman"/>
                <w:sz w:val="21"/>
                <w:szCs w:val="21"/>
                <w14:ligatures w14:val="none"/>
              </w:rPr>
              <w:t>、站房内</w:t>
            </w:r>
          </w:p>
        </w:tc>
      </w:tr>
      <w:tr w14:paraId="64E88C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vAlign w:val="center"/>
          </w:tcPr>
          <w:p w14:paraId="35E6A382">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4</w:t>
            </w:r>
          </w:p>
        </w:tc>
        <w:tc>
          <w:tcPr>
            <w:tcW w:w="3050" w:type="dxa"/>
            <w:vAlign w:val="center"/>
          </w:tcPr>
          <w:p w14:paraId="5E165D05">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手提式干粉灭火器</w:t>
            </w:r>
          </w:p>
        </w:tc>
        <w:tc>
          <w:tcPr>
            <w:tcW w:w="1261" w:type="dxa"/>
            <w:vAlign w:val="center"/>
          </w:tcPr>
          <w:p w14:paraId="6A5CC12D">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2</w:t>
            </w:r>
            <w:r>
              <w:rPr>
                <w:rFonts w:ascii="Times New Roman" w:hAnsi="Times New Roman" w:eastAsia="宋体" w:cs="Times New Roman"/>
                <w:sz w:val="21"/>
                <w:szCs w:val="21"/>
                <w14:ligatures w14:val="none"/>
              </w:rPr>
              <w:t>具</w:t>
            </w:r>
          </w:p>
        </w:tc>
        <w:tc>
          <w:tcPr>
            <w:tcW w:w="1985" w:type="dxa"/>
            <w:vAlign w:val="center"/>
          </w:tcPr>
          <w:p w14:paraId="6AFFCACB">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5kg</w:t>
            </w:r>
          </w:p>
        </w:tc>
        <w:tc>
          <w:tcPr>
            <w:tcW w:w="2231" w:type="dxa"/>
            <w:vAlign w:val="center"/>
          </w:tcPr>
          <w:p w14:paraId="710EAD1A">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洗车房</w:t>
            </w:r>
          </w:p>
        </w:tc>
      </w:tr>
      <w:tr w14:paraId="1E6F7E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54" w:hRule="atLeast"/>
          <w:jc w:val="center"/>
        </w:trPr>
        <w:tc>
          <w:tcPr>
            <w:tcW w:w="816" w:type="dxa"/>
            <w:vAlign w:val="center"/>
          </w:tcPr>
          <w:p w14:paraId="701C4BDD">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5</w:t>
            </w:r>
          </w:p>
        </w:tc>
        <w:tc>
          <w:tcPr>
            <w:tcW w:w="3050" w:type="dxa"/>
            <w:vAlign w:val="center"/>
          </w:tcPr>
          <w:p w14:paraId="08976309">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手提式二氧化碳灭火器</w:t>
            </w:r>
          </w:p>
        </w:tc>
        <w:tc>
          <w:tcPr>
            <w:tcW w:w="1261" w:type="dxa"/>
            <w:vAlign w:val="center"/>
          </w:tcPr>
          <w:p w14:paraId="32BF0C97">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w:t>
            </w:r>
            <w:r>
              <w:rPr>
                <w:rFonts w:hint="eastAsia" w:ascii="Times New Roman" w:hAnsi="Times New Roman" w:eastAsia="宋体" w:cs="Times New Roman"/>
                <w:sz w:val="21"/>
                <w:szCs w:val="21"/>
                <w14:ligatures w14:val="none"/>
              </w:rPr>
              <w:t>具</w:t>
            </w:r>
          </w:p>
        </w:tc>
        <w:tc>
          <w:tcPr>
            <w:tcW w:w="1985" w:type="dxa"/>
            <w:vAlign w:val="center"/>
          </w:tcPr>
          <w:p w14:paraId="6652B8CC">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w:t>
            </w:r>
            <w:r>
              <w:rPr>
                <w:rFonts w:hint="eastAsia" w:ascii="Times New Roman" w:hAnsi="Times New Roman" w:eastAsia="宋体" w:cs="Times New Roman"/>
                <w:sz w:val="21"/>
                <w:szCs w:val="21"/>
                <w14:ligatures w14:val="none"/>
              </w:rPr>
              <w:t>kg</w:t>
            </w:r>
          </w:p>
        </w:tc>
        <w:tc>
          <w:tcPr>
            <w:tcW w:w="2231" w:type="dxa"/>
            <w:vAlign w:val="center"/>
          </w:tcPr>
          <w:p w14:paraId="0E884FF1">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配电室内</w:t>
            </w:r>
          </w:p>
        </w:tc>
      </w:tr>
      <w:tr w14:paraId="3923CC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vAlign w:val="center"/>
          </w:tcPr>
          <w:p w14:paraId="37196C37">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6</w:t>
            </w:r>
          </w:p>
        </w:tc>
        <w:tc>
          <w:tcPr>
            <w:tcW w:w="3050" w:type="dxa"/>
            <w:vAlign w:val="center"/>
          </w:tcPr>
          <w:p w14:paraId="65594655">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灭火毯</w:t>
            </w:r>
          </w:p>
        </w:tc>
        <w:tc>
          <w:tcPr>
            <w:tcW w:w="1261" w:type="dxa"/>
            <w:vAlign w:val="center"/>
          </w:tcPr>
          <w:p w14:paraId="2CEC083E">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6</w:t>
            </w:r>
            <w:r>
              <w:rPr>
                <w:rFonts w:ascii="Times New Roman" w:hAnsi="Times New Roman" w:eastAsia="宋体" w:cs="Times New Roman"/>
                <w:sz w:val="21"/>
                <w:szCs w:val="21"/>
                <w14:ligatures w14:val="none"/>
              </w:rPr>
              <w:t>块</w:t>
            </w:r>
          </w:p>
        </w:tc>
        <w:tc>
          <w:tcPr>
            <w:tcW w:w="1985" w:type="dxa"/>
            <w:vAlign w:val="center"/>
          </w:tcPr>
          <w:p w14:paraId="7604F26F">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2231" w:type="dxa"/>
            <w:vAlign w:val="center"/>
          </w:tcPr>
          <w:p w14:paraId="36D58A34">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加油机旁</w:t>
            </w:r>
          </w:p>
        </w:tc>
      </w:tr>
      <w:tr w14:paraId="0B6F4C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816" w:type="dxa"/>
            <w:vAlign w:val="center"/>
          </w:tcPr>
          <w:p w14:paraId="2D71BB43">
            <w:pPr>
              <w:adjustRightInd/>
              <w:snapToGrid/>
              <w:spacing w:line="240" w:lineRule="auto"/>
              <w:ind w:firstLine="0" w:firstLineChars="0"/>
              <w:jc w:val="center"/>
              <w:rPr>
                <w:rFonts w:hint="eastAsia" w:ascii="Times New Roman" w:hAnsi="Times New Roman" w:eastAsia="宋体" w:cs="Times New Roman"/>
                <w:sz w:val="21"/>
                <w:szCs w:val="21"/>
                <w:lang w:eastAsia="zh-CN"/>
                <w14:ligatures w14:val="none"/>
              </w:rPr>
            </w:pPr>
            <w:r>
              <w:rPr>
                <w:rFonts w:hint="eastAsia" w:ascii="Times New Roman" w:hAnsi="Times New Roman" w:eastAsia="宋体" w:cs="Times New Roman"/>
                <w:sz w:val="21"/>
                <w:szCs w:val="21"/>
                <w:lang w:val="en-US" w:eastAsia="zh-CN"/>
                <w14:ligatures w14:val="none"/>
              </w:rPr>
              <w:t>7</w:t>
            </w:r>
          </w:p>
        </w:tc>
        <w:tc>
          <w:tcPr>
            <w:tcW w:w="3050" w:type="dxa"/>
            <w:vAlign w:val="center"/>
          </w:tcPr>
          <w:p w14:paraId="7F29BBF3">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消防沙</w:t>
            </w:r>
          </w:p>
        </w:tc>
        <w:tc>
          <w:tcPr>
            <w:tcW w:w="1261" w:type="dxa"/>
            <w:vAlign w:val="center"/>
          </w:tcPr>
          <w:p w14:paraId="7F1C4578">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2m</w:t>
            </w:r>
            <w:r>
              <w:rPr>
                <w:rFonts w:ascii="Times New Roman" w:hAnsi="Times New Roman" w:eastAsia="宋体" w:cs="Times New Roman"/>
                <w:sz w:val="21"/>
                <w:szCs w:val="21"/>
                <w:vertAlign w:val="superscript"/>
                <w14:ligatures w14:val="none"/>
              </w:rPr>
              <w:t>3</w:t>
            </w:r>
          </w:p>
        </w:tc>
        <w:tc>
          <w:tcPr>
            <w:tcW w:w="1985" w:type="dxa"/>
            <w:vAlign w:val="center"/>
          </w:tcPr>
          <w:p w14:paraId="7AA217E2">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2231" w:type="dxa"/>
            <w:vAlign w:val="center"/>
          </w:tcPr>
          <w:p w14:paraId="377B2CB7">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消防沙箱内</w:t>
            </w:r>
          </w:p>
        </w:tc>
      </w:tr>
      <w:bookmarkEnd w:id="40"/>
      <w:bookmarkEnd w:id="41"/>
    </w:tbl>
    <w:p w14:paraId="5BD2D48F">
      <w:pPr>
        <w:spacing w:before="156" w:beforeLines="50" w:after="156" w:afterLines="50"/>
        <w:ind w:firstLine="562"/>
        <w:outlineLvl w:val="2"/>
        <w:rPr>
          <w:rFonts w:ascii="Times New Roman" w:hAnsi="Times New Roman" w:eastAsia="黑体" w:cs="Times New Roman"/>
          <w:b/>
          <w:bCs/>
          <w:kern w:val="0"/>
          <w:szCs w:val="20"/>
          <w14:ligatures w14:val="none"/>
        </w:rPr>
      </w:pPr>
      <w:bookmarkStart w:id="42" w:name="_Toc20238"/>
      <w:r>
        <w:rPr>
          <w:rFonts w:ascii="Times New Roman" w:hAnsi="Times New Roman" w:eastAsia="黑体" w:cs="Times New Roman"/>
          <w:b/>
          <w:bCs/>
          <w:kern w:val="0"/>
          <w:szCs w:val="20"/>
          <w14:ligatures w14:val="none"/>
        </w:rPr>
        <w:t>2.7.</w:t>
      </w:r>
      <w:r>
        <w:rPr>
          <w:rFonts w:hint="eastAsia" w:ascii="Times New Roman" w:hAnsi="Times New Roman" w:eastAsia="黑体" w:cs="Times New Roman"/>
          <w:b/>
          <w:bCs/>
          <w:kern w:val="0"/>
          <w:szCs w:val="20"/>
          <w14:ligatures w14:val="none"/>
        </w:rPr>
        <w:t>4</w:t>
      </w:r>
      <w:r>
        <w:rPr>
          <w:rFonts w:ascii="Times New Roman" w:hAnsi="Times New Roman" w:eastAsia="黑体" w:cs="Times New Roman"/>
          <w:b/>
          <w:bCs/>
          <w:kern w:val="0"/>
          <w:szCs w:val="20"/>
          <w14:ligatures w14:val="none"/>
        </w:rPr>
        <w:t>采暖</w:t>
      </w:r>
      <w:bookmarkEnd w:id="42"/>
      <w:r>
        <w:rPr>
          <w:rFonts w:hint="eastAsia" w:ascii="Times New Roman" w:hAnsi="Times New Roman" w:eastAsia="黑体" w:cs="Times New Roman"/>
          <w:b/>
          <w:bCs/>
          <w:kern w:val="0"/>
          <w:szCs w:val="20"/>
          <w14:ligatures w14:val="none"/>
        </w:rPr>
        <w:t>、通风</w:t>
      </w:r>
    </w:p>
    <w:p w14:paraId="423150A9">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站房</w:t>
      </w:r>
      <w:r>
        <w:rPr>
          <w:rFonts w:hint="eastAsia" w:ascii="Times New Roman" w:hAnsi="Times New Roman" w:eastAsia="宋体" w:cs="宋体"/>
          <w:szCs w:val="28"/>
          <w:lang w:val="en-US" w:eastAsia="zh-CN" w:bidi="ar"/>
          <w14:ligatures w14:val="none"/>
        </w:rPr>
        <w:t>冬</w:t>
      </w:r>
      <w:r>
        <w:rPr>
          <w:rFonts w:hint="eastAsia" w:ascii="Times New Roman" w:hAnsi="Times New Roman" w:eastAsia="宋体" w:cs="宋体"/>
          <w:szCs w:val="28"/>
          <w:lang w:bidi="ar"/>
          <w14:ligatures w14:val="none"/>
        </w:rPr>
        <w:t>季</w:t>
      </w:r>
      <w:r>
        <w:rPr>
          <w:rFonts w:hint="eastAsia" w:ascii="Times New Roman" w:hAnsi="Times New Roman" w:eastAsia="宋体" w:cs="宋体"/>
          <w:szCs w:val="28"/>
          <w:lang w:val="en-US" w:eastAsia="zh-CN" w:bidi="ar"/>
          <w14:ligatures w14:val="none"/>
        </w:rPr>
        <w:t>由市政集中供暖</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通风采用自然通风。</w:t>
      </w:r>
    </w:p>
    <w:p w14:paraId="6A37E3DF">
      <w:pPr>
        <w:spacing w:before="156" w:beforeLines="50" w:after="156" w:afterLines="50"/>
        <w:ind w:firstLine="562"/>
        <w:outlineLvl w:val="2"/>
        <w:rPr>
          <w:rFonts w:ascii="Times New Roman" w:hAnsi="Times New Roman" w:eastAsia="黑体" w:cs="Times New Roman"/>
          <w:b/>
          <w:bCs/>
          <w:kern w:val="0"/>
          <w:szCs w:val="20"/>
          <w14:ligatures w14:val="none"/>
        </w:rPr>
      </w:pPr>
      <w:bookmarkStart w:id="43" w:name="_Toc14211"/>
      <w:bookmarkStart w:id="44" w:name="_Toc1392"/>
      <w:r>
        <w:rPr>
          <w:rFonts w:ascii="Times New Roman" w:hAnsi="Times New Roman" w:eastAsia="黑体" w:cs="Times New Roman"/>
          <w:b/>
          <w:bCs/>
          <w:kern w:val="0"/>
          <w:szCs w:val="20"/>
          <w14:ligatures w14:val="none"/>
        </w:rPr>
        <w:t>2.7.</w:t>
      </w:r>
      <w:r>
        <w:rPr>
          <w:rFonts w:hint="eastAsia" w:ascii="Times New Roman" w:hAnsi="Times New Roman" w:eastAsia="黑体" w:cs="Times New Roman"/>
          <w:b/>
          <w:bCs/>
          <w:kern w:val="0"/>
          <w:szCs w:val="20"/>
          <w14:ligatures w14:val="none"/>
        </w:rPr>
        <w:t>5</w:t>
      </w:r>
      <w:r>
        <w:rPr>
          <w:rFonts w:ascii="Times New Roman" w:hAnsi="Times New Roman" w:eastAsia="黑体" w:cs="Times New Roman"/>
          <w:b/>
          <w:bCs/>
          <w:kern w:val="0"/>
          <w:szCs w:val="20"/>
          <w14:ligatures w14:val="none"/>
        </w:rPr>
        <w:t>自动化</w:t>
      </w:r>
      <w:bookmarkEnd w:id="43"/>
      <w:bookmarkEnd w:id="44"/>
      <w:r>
        <w:rPr>
          <w:rFonts w:ascii="Times New Roman" w:hAnsi="Times New Roman" w:eastAsia="黑体" w:cs="Times New Roman"/>
          <w:b/>
          <w:bCs/>
          <w:kern w:val="0"/>
          <w:szCs w:val="20"/>
          <w14:ligatures w14:val="none"/>
        </w:rPr>
        <w:t>控制</w:t>
      </w:r>
    </w:p>
    <w:p w14:paraId="1C5A08CB">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该</w:t>
      </w:r>
      <w:r>
        <w:rPr>
          <w:rFonts w:hint="eastAsia" w:ascii="Times New Roman" w:hAnsi="Times New Roman" w:eastAsia="宋体" w:cs="宋体"/>
          <w:szCs w:val="28"/>
          <w:lang w:bidi="ar"/>
          <w14:ligatures w14:val="none"/>
        </w:rPr>
        <w:t>站</w:t>
      </w:r>
      <w:r>
        <w:rPr>
          <w:rFonts w:ascii="Times New Roman" w:hAnsi="Times New Roman" w:eastAsia="宋体" w:cs="宋体"/>
          <w:szCs w:val="28"/>
          <w:lang w:bidi="ar"/>
          <w14:ligatures w14:val="none"/>
        </w:rPr>
        <w:t>设置生产监测及信息管理系统。包括油罐液位监测系统、防渗检测装置、紧急切断</w:t>
      </w:r>
      <w:r>
        <w:rPr>
          <w:rFonts w:hint="eastAsia" w:ascii="Times New Roman" w:hAnsi="Times New Roman" w:eastAsia="宋体" w:cs="宋体"/>
          <w:szCs w:val="28"/>
          <w:lang w:bidi="ar"/>
          <w14:ligatures w14:val="none"/>
        </w:rPr>
        <w:t>系统、视频监控系统及可燃气体报警系统</w:t>
      </w:r>
      <w:r>
        <w:rPr>
          <w:rFonts w:ascii="Times New Roman" w:hAnsi="Times New Roman" w:eastAsia="宋体" w:cs="宋体"/>
          <w:szCs w:val="28"/>
          <w:lang w:bidi="ar"/>
          <w14:ligatures w14:val="none"/>
        </w:rPr>
        <w:t>。</w:t>
      </w:r>
    </w:p>
    <w:p w14:paraId="451014EF">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（1）油罐液位监测系统</w:t>
      </w:r>
    </w:p>
    <w:p w14:paraId="4257731C">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设置油罐液位监测系统，由磁致伸缩液位计、液位监控仪、声光报警器等组成</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油罐内装设防爆型磁致伸缩液位探棒（精度不低于±0.5mm）及卸油防溢阀，磁致伸缩液位计上传的数据在液位监控界面进行连续监视以及超限集中报警</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油品达到油罐容量的90%时，</w:t>
      </w:r>
      <w:r>
        <w:rPr>
          <w:rFonts w:hint="eastAsia" w:ascii="Times New Roman" w:hAnsi="Times New Roman" w:eastAsia="宋体" w:cs="宋体"/>
          <w:szCs w:val="28"/>
          <w:lang w:bidi="ar"/>
          <w14:ligatures w14:val="none"/>
        </w:rPr>
        <w:t>触</w:t>
      </w:r>
      <w:r>
        <w:rPr>
          <w:rFonts w:ascii="Times New Roman" w:hAnsi="Times New Roman" w:eastAsia="宋体" w:cs="宋体"/>
          <w:szCs w:val="28"/>
          <w:lang w:bidi="ar"/>
          <w14:ligatures w14:val="none"/>
        </w:rPr>
        <w:t>动高液位报警装置，油品达到油罐容量的95%时，</w:t>
      </w:r>
      <w:r>
        <w:rPr>
          <w:rFonts w:hint="eastAsia" w:ascii="Times New Roman" w:hAnsi="Times New Roman" w:eastAsia="宋体" w:cs="宋体"/>
          <w:szCs w:val="28"/>
          <w:lang w:bidi="ar"/>
          <w14:ligatures w14:val="none"/>
        </w:rPr>
        <w:t>卸油</w:t>
      </w:r>
      <w:r>
        <w:rPr>
          <w:rFonts w:ascii="Times New Roman" w:hAnsi="Times New Roman" w:eastAsia="宋体" w:cs="宋体"/>
          <w:szCs w:val="28"/>
          <w:lang w:bidi="ar"/>
          <w14:ligatures w14:val="none"/>
        </w:rPr>
        <w:t>防溢阀开启停止油料继续进罐。</w:t>
      </w:r>
    </w:p>
    <w:p w14:paraId="14FFEFB7">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在站房内安装液位仪控制器，监测每个油罐的实时库存数据变化（总体积、液位、水位、温偿体积、油品温度）。</w:t>
      </w:r>
    </w:p>
    <w:p w14:paraId="30AA3CD2">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（2）渗</w:t>
      </w:r>
      <w:r>
        <w:rPr>
          <w:rFonts w:hint="eastAsia" w:ascii="Times New Roman" w:hAnsi="Times New Roman" w:eastAsia="宋体" w:cs="宋体"/>
          <w:szCs w:val="28"/>
          <w:lang w:bidi="ar"/>
          <w14:ligatures w14:val="none"/>
        </w:rPr>
        <w:t>漏</w:t>
      </w:r>
      <w:r>
        <w:rPr>
          <w:rFonts w:ascii="Times New Roman" w:hAnsi="Times New Roman" w:eastAsia="宋体" w:cs="宋体"/>
          <w:szCs w:val="28"/>
          <w:lang w:bidi="ar"/>
          <w14:ligatures w14:val="none"/>
        </w:rPr>
        <w:t>检测系统</w:t>
      </w:r>
    </w:p>
    <w:p w14:paraId="043B4497">
      <w:pPr>
        <w:ind w:firstLine="560"/>
        <w:rPr>
          <w:rFonts w:hint="eastAsia" w:ascii="Times New Roman" w:hAnsi="Times New Roman" w:eastAsia="宋体" w:cs="宋体"/>
          <w:szCs w:val="28"/>
          <w:lang w:eastAsia="zh-CN" w:bidi="ar"/>
          <w14:ligatures w14:val="none"/>
        </w:rPr>
      </w:pPr>
      <w:r>
        <w:rPr>
          <w:rFonts w:ascii="Times New Roman" w:hAnsi="Times New Roman" w:eastAsia="宋体" w:cs="宋体"/>
          <w:szCs w:val="28"/>
          <w:lang w:bidi="ar"/>
          <w14:ligatures w14:val="none"/>
        </w:rPr>
        <w:t>双层油罐设置渗漏检测立管，并设置在线监测系统。保证油罐内、外壁任何部位出现渗漏均能被发现。双层管道系统的最低点设置检漏点，并设置在线检测系统，保证内、外层管任何部位出现泄漏均能在检漏点处被发现</w:t>
      </w:r>
      <w:r>
        <w:rPr>
          <w:rFonts w:hint="eastAsia" w:ascii="Times New Roman" w:hAnsi="Times New Roman" w:eastAsia="宋体" w:cs="宋体"/>
          <w:szCs w:val="28"/>
          <w:lang w:eastAsia="zh-CN" w:bidi="ar"/>
          <w14:ligatures w14:val="none"/>
        </w:rPr>
        <w:t>。</w:t>
      </w:r>
    </w:p>
    <w:p w14:paraId="5C2FF902">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w:t>
      </w:r>
      <w:r>
        <w:rPr>
          <w:rFonts w:hint="eastAsia" w:ascii="Times New Roman" w:hAnsi="Times New Roman" w:eastAsia="宋体" w:cs="宋体"/>
          <w:szCs w:val="28"/>
          <w:lang w:bidi="ar"/>
          <w14:ligatures w14:val="none"/>
        </w:rPr>
        <w:t>3</w:t>
      </w:r>
      <w:r>
        <w:rPr>
          <w:rFonts w:ascii="Times New Roman" w:hAnsi="Times New Roman" w:eastAsia="宋体" w:cs="宋体"/>
          <w:szCs w:val="28"/>
          <w:lang w:bidi="ar"/>
          <w14:ligatures w14:val="none"/>
        </w:rPr>
        <w:t>）紧急切断系统</w:t>
      </w:r>
    </w:p>
    <w:p w14:paraId="5BA3716E">
      <w:pPr>
        <w:ind w:firstLine="560"/>
        <w:rPr>
          <w:rFonts w:hint="eastAsia" w:ascii="Times New Roman" w:hAnsi="Times New Roman" w:eastAsia="宋体" w:cs="宋体"/>
          <w:szCs w:val="28"/>
          <w:lang w:eastAsia="zh-CN" w:bidi="ar"/>
          <w14:ligatures w14:val="none"/>
        </w:rPr>
      </w:pPr>
      <w:r>
        <w:rPr>
          <w:rFonts w:ascii="Times New Roman" w:hAnsi="Times New Roman" w:eastAsia="宋体" w:cs="宋体"/>
          <w:szCs w:val="28"/>
          <w:lang w:bidi="ar"/>
          <w14:ligatures w14:val="none"/>
        </w:rPr>
        <w:t>该</w:t>
      </w:r>
      <w:r>
        <w:rPr>
          <w:rFonts w:hint="eastAsia" w:ascii="Times New Roman" w:hAnsi="Times New Roman" w:eastAsia="宋体" w:cs="宋体"/>
          <w:szCs w:val="28"/>
          <w:lang w:bidi="ar"/>
          <w14:ligatures w14:val="none"/>
        </w:rPr>
        <w:t>站利旧原有紧急切断系统，该</w:t>
      </w:r>
      <w:r>
        <w:rPr>
          <w:rFonts w:ascii="Times New Roman" w:hAnsi="Times New Roman" w:eastAsia="宋体" w:cs="宋体"/>
          <w:szCs w:val="28"/>
          <w:lang w:bidi="ar"/>
          <w14:ligatures w14:val="none"/>
        </w:rPr>
        <w:t>系统在事故状态下迅速切断配电系统电源，紧急切断系统具有失效保护功能，紧急切断系统只能手动复位</w:t>
      </w:r>
      <w:r>
        <w:rPr>
          <w:rFonts w:hint="eastAsia" w:ascii="Times New Roman" w:hAnsi="Times New Roman" w:eastAsia="宋体" w:cs="宋体"/>
          <w:szCs w:val="28"/>
          <w:lang w:eastAsia="zh-CN" w:bidi="ar"/>
          <w14:ligatures w14:val="none"/>
        </w:rPr>
        <w:t>。</w:t>
      </w:r>
    </w:p>
    <w:p w14:paraId="788DDE81">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w:t>
      </w:r>
      <w:r>
        <w:rPr>
          <w:rFonts w:hint="eastAsia" w:ascii="Times New Roman" w:hAnsi="Times New Roman" w:eastAsia="宋体" w:cs="宋体"/>
          <w:szCs w:val="28"/>
          <w:lang w:bidi="ar"/>
          <w14:ligatures w14:val="none"/>
        </w:rPr>
        <w:t>4</w:t>
      </w:r>
      <w:r>
        <w:rPr>
          <w:rFonts w:ascii="Times New Roman" w:hAnsi="Times New Roman" w:eastAsia="宋体" w:cs="宋体"/>
          <w:szCs w:val="28"/>
          <w:lang w:bidi="ar"/>
          <w14:ligatures w14:val="none"/>
        </w:rPr>
        <w:t>）</w:t>
      </w:r>
      <w:r>
        <w:rPr>
          <w:rFonts w:hint="eastAsia" w:ascii="Times New Roman" w:hAnsi="Times New Roman" w:eastAsia="宋体" w:cs="宋体"/>
          <w:szCs w:val="28"/>
          <w:lang w:bidi="ar"/>
          <w14:ligatures w14:val="none"/>
        </w:rPr>
        <w:t>视频监控系统</w:t>
      </w:r>
    </w:p>
    <w:p w14:paraId="156C8802">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该站利旧原有视频监控系统，监控范围可覆盖储罐区</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加油作业区</w:t>
      </w:r>
      <w:r>
        <w:rPr>
          <w:rFonts w:ascii="Times New Roman" w:hAnsi="Times New Roman" w:eastAsia="宋体" w:cs="宋体"/>
          <w:szCs w:val="28"/>
          <w:lang w:bidi="ar"/>
          <w14:ligatures w14:val="none"/>
        </w:rPr>
        <w:t>及油品装卸区。录像存储时间不少于</w:t>
      </w:r>
      <w:r>
        <w:rPr>
          <w:rFonts w:hint="eastAsia" w:ascii="Times New Roman" w:hAnsi="Times New Roman" w:eastAsia="宋体" w:cs="宋体"/>
          <w:szCs w:val="28"/>
          <w:lang w:bidi="ar"/>
          <w14:ligatures w14:val="none"/>
        </w:rPr>
        <w:t>6</w:t>
      </w:r>
      <w:r>
        <w:rPr>
          <w:rFonts w:ascii="Times New Roman" w:hAnsi="Times New Roman" w:eastAsia="宋体" w:cs="宋体"/>
          <w:szCs w:val="28"/>
          <w:lang w:bidi="ar"/>
          <w14:ligatures w14:val="none"/>
        </w:rPr>
        <w:t>0d。</w:t>
      </w:r>
    </w:p>
    <w:p w14:paraId="01D302EE">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（5）可燃气体报警系统</w:t>
      </w:r>
    </w:p>
    <w:p w14:paraId="708E3A91">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该站利旧原有可燃气体报警系统。车用乙醇汽油加油机附近设置2台可燃气体探测器（</w:t>
      </w:r>
      <w:r>
        <w:rPr>
          <w:rFonts w:hint="eastAsia" w:ascii="Times New Roman" w:hAnsi="Times New Roman" w:eastAsia="宋体" w:cs="宋体"/>
          <w:szCs w:val="28"/>
          <w:lang w:val="en-US" w:eastAsia="zh-CN" w:bidi="ar"/>
          <w14:ligatures w14:val="none"/>
        </w:rPr>
        <w:t>利旧</w:t>
      </w:r>
      <w:r>
        <w:rPr>
          <w:rFonts w:hint="eastAsia" w:ascii="Times New Roman" w:hAnsi="Times New Roman" w:eastAsia="宋体" w:cs="宋体"/>
          <w:szCs w:val="28"/>
          <w:lang w:bidi="ar"/>
          <w14:ligatures w14:val="none"/>
        </w:rPr>
        <w:t>）</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柴油发电机间设置1台可燃气体报警器（利旧），三次油气回收装置旁设置1台可燃气体报警器（新增）</w:t>
      </w:r>
      <w:r>
        <w:rPr>
          <w:rFonts w:ascii="Times New Roman" w:hAnsi="Times New Roman" w:eastAsia="宋体" w:cs="宋体"/>
          <w:szCs w:val="28"/>
          <w:lang w:bidi="ar"/>
          <w14:ligatures w14:val="none"/>
        </w:rPr>
        <w:t>。可燃气体探测器的安装高度为0.</w:t>
      </w:r>
      <w:r>
        <w:rPr>
          <w:rFonts w:hint="eastAsia" w:ascii="Times New Roman" w:hAnsi="Times New Roman" w:eastAsia="宋体" w:cs="宋体"/>
          <w:szCs w:val="28"/>
          <w:lang w:val="en-US" w:eastAsia="zh-CN" w:bidi="ar"/>
          <w14:ligatures w14:val="none"/>
        </w:rPr>
        <w:t>5</w:t>
      </w:r>
      <w:r>
        <w:rPr>
          <w:rFonts w:ascii="Times New Roman" w:hAnsi="Times New Roman" w:eastAsia="宋体" w:cs="宋体"/>
          <w:szCs w:val="28"/>
          <w:lang w:bidi="ar"/>
          <w14:ligatures w14:val="none"/>
        </w:rPr>
        <w:t>m。可燃气体浓度高报警值为</w:t>
      </w:r>
      <w:r>
        <w:rPr>
          <w:rFonts w:hint="eastAsia" w:ascii="Times New Roman" w:hAnsi="Times New Roman" w:eastAsia="宋体" w:cs="宋体"/>
          <w:szCs w:val="28"/>
          <w:lang w:bidi="ar"/>
          <w14:ligatures w14:val="none"/>
        </w:rPr>
        <w:t>2</w:t>
      </w:r>
      <w:r>
        <w:rPr>
          <w:rFonts w:hint="eastAsia" w:ascii="Times New Roman" w:hAnsi="Times New Roman" w:eastAsia="宋体" w:cs="宋体"/>
          <w:szCs w:val="28"/>
          <w:lang w:val="en-US" w:eastAsia="zh-CN" w:bidi="ar"/>
          <w14:ligatures w14:val="none"/>
        </w:rPr>
        <w:t>0</w:t>
      </w:r>
      <w:r>
        <w:rPr>
          <w:rFonts w:ascii="Times New Roman" w:hAnsi="Times New Roman" w:eastAsia="宋体" w:cs="宋体"/>
          <w:szCs w:val="28"/>
          <w:lang w:bidi="ar"/>
          <w14:ligatures w14:val="none"/>
        </w:rPr>
        <w:t>％LEL；可燃气体浓度高高报警值为</w:t>
      </w:r>
      <w:r>
        <w:rPr>
          <w:rFonts w:hint="eastAsia" w:ascii="Times New Roman" w:hAnsi="Times New Roman" w:eastAsia="宋体" w:cs="宋体"/>
          <w:szCs w:val="28"/>
          <w:lang w:val="en-US" w:eastAsia="zh-CN" w:bidi="ar"/>
          <w14:ligatures w14:val="none"/>
        </w:rPr>
        <w:t>4</w:t>
      </w:r>
      <w:r>
        <w:rPr>
          <w:rFonts w:hint="eastAsia" w:ascii="Times New Roman" w:hAnsi="Times New Roman" w:eastAsia="宋体" w:cs="宋体"/>
          <w:szCs w:val="28"/>
          <w:lang w:bidi="ar"/>
          <w14:ligatures w14:val="none"/>
        </w:rPr>
        <w:t>0</w:t>
      </w:r>
      <w:r>
        <w:rPr>
          <w:rFonts w:ascii="Times New Roman" w:hAnsi="Times New Roman" w:eastAsia="宋体" w:cs="宋体"/>
          <w:szCs w:val="28"/>
          <w:lang w:bidi="ar"/>
          <w14:ligatures w14:val="none"/>
        </w:rPr>
        <w:t>％LEL。当现场报警器报警时，立即停止使用手机和停止加油相关作业。</w:t>
      </w:r>
    </w:p>
    <w:p w14:paraId="7FAA8379">
      <w:pPr>
        <w:spacing w:before="156" w:beforeLines="50" w:after="156" w:afterLines="50"/>
        <w:ind w:firstLine="562"/>
        <w:outlineLvl w:val="2"/>
        <w:rPr>
          <w:rFonts w:ascii="Times New Roman" w:hAnsi="Times New Roman" w:eastAsia="黑体" w:cs="Times New Roman"/>
          <w:b/>
          <w:bCs/>
          <w:kern w:val="0"/>
          <w:szCs w:val="20"/>
          <w14:ligatures w14:val="none"/>
        </w:rPr>
      </w:pPr>
      <w:r>
        <w:rPr>
          <w:rFonts w:ascii="Times New Roman" w:hAnsi="Times New Roman" w:eastAsia="黑体" w:cs="Times New Roman"/>
          <w:b/>
          <w:bCs/>
          <w:kern w:val="0"/>
          <w:szCs w:val="20"/>
          <w14:ligatures w14:val="none"/>
        </w:rPr>
        <w:t>2.7.</w:t>
      </w:r>
      <w:r>
        <w:rPr>
          <w:rFonts w:hint="eastAsia" w:ascii="Times New Roman" w:hAnsi="Times New Roman" w:eastAsia="黑体" w:cs="Times New Roman"/>
          <w:b/>
          <w:bCs/>
          <w:kern w:val="0"/>
          <w:szCs w:val="20"/>
          <w14:ligatures w14:val="none"/>
        </w:rPr>
        <w:t>6运输</w:t>
      </w:r>
    </w:p>
    <w:p w14:paraId="4B82B57D">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不负责所经营的</w:t>
      </w:r>
      <w:r>
        <w:rPr>
          <w:rFonts w:hint="eastAsia" w:ascii="Times New Roman" w:hAnsi="Times New Roman" w:eastAsia="宋体" w:cs="宋体"/>
          <w:szCs w:val="28"/>
          <w:lang w:bidi="ar"/>
          <w14:ligatures w14:val="none"/>
        </w:rPr>
        <w:t>车用乙醇</w:t>
      </w:r>
      <w:r>
        <w:rPr>
          <w:rFonts w:ascii="Times New Roman" w:hAnsi="Times New Roman" w:eastAsia="宋体" w:cs="宋体"/>
          <w:szCs w:val="28"/>
          <w:lang w:bidi="ar"/>
          <w14:ligatures w14:val="none"/>
        </w:rPr>
        <w:t>汽油、柴油运输，委托有危险化学品运输资质的企业负责运输。</w:t>
      </w:r>
    </w:p>
    <w:p w14:paraId="314FB9DF">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45" w:name="_Toc218437734"/>
      <w:r>
        <w:rPr>
          <w:rFonts w:ascii="Times New Roman" w:hAnsi="Times New Roman" w:eastAsia="楷体" w:cs="宋体"/>
          <w:b/>
          <w:bCs/>
          <w:sz w:val="32"/>
          <w:szCs w:val="28"/>
          <w:lang w:bidi="ar"/>
          <w14:ligatures w14:val="none"/>
        </w:rPr>
        <w:t>2.8主要装置（设备）和设施</w:t>
      </w:r>
      <w:bookmarkEnd w:id="45"/>
    </w:p>
    <w:p w14:paraId="5A9A6C96">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站内涉及的主要设备详见表2.8-1，站内不涉及特种设备。</w:t>
      </w:r>
    </w:p>
    <w:p w14:paraId="7CE7719B">
      <w:pPr>
        <w:pStyle w:val="43"/>
        <w:keepNext/>
        <w:spacing w:before="156" w:beforeLines="50" w:after="156" w:afterLines="50"/>
        <w:ind w:firstLine="480"/>
        <w:rPr>
          <w:rFonts w:eastAsia="黑体"/>
          <w:sz w:val="24"/>
          <w:highlight w:val="none"/>
        </w:rPr>
      </w:pPr>
      <w:r>
        <w:rPr>
          <w:rFonts w:eastAsia="黑体"/>
          <w:sz w:val="24"/>
          <w:highlight w:val="none"/>
        </w:rPr>
        <w:t>表2.8-1  主要设备一览表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7"/>
        <w:gridCol w:w="1842"/>
        <w:gridCol w:w="1704"/>
        <w:gridCol w:w="1985"/>
        <w:gridCol w:w="707"/>
        <w:gridCol w:w="2379"/>
      </w:tblGrid>
      <w:tr w14:paraId="0E0A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blHeader/>
          <w:jc w:val="center"/>
        </w:trPr>
        <w:tc>
          <w:tcPr>
            <w:tcW w:w="304" w:type="pct"/>
            <w:vAlign w:val="center"/>
          </w:tcPr>
          <w:p w14:paraId="1A8DFEA1">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序号</w:t>
            </w:r>
          </w:p>
        </w:tc>
        <w:tc>
          <w:tcPr>
            <w:tcW w:w="1003" w:type="pct"/>
            <w:vAlign w:val="center"/>
          </w:tcPr>
          <w:p w14:paraId="546E1B3D">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设备名称</w:t>
            </w:r>
          </w:p>
        </w:tc>
        <w:tc>
          <w:tcPr>
            <w:tcW w:w="928" w:type="pct"/>
            <w:vAlign w:val="center"/>
          </w:tcPr>
          <w:p w14:paraId="1F17C835">
            <w:pPr>
              <w:overflowPunct w:val="0"/>
              <w:spacing w:line="240" w:lineRule="auto"/>
              <w:ind w:firstLine="0" w:firstLineChars="0"/>
              <w:jc w:val="center"/>
              <w:rPr>
                <w:rFonts w:ascii="Times New Roman" w:hAnsi="Times New Roman" w:eastAsia="宋体" w:cs="Times New Roman"/>
                <w:kern w:val="28"/>
                <w:sz w:val="21"/>
                <w:szCs w:val="21"/>
                <w:vertAlign w:val="superscript"/>
                <w14:ligatures w14:val="none"/>
              </w:rPr>
            </w:pPr>
            <w:r>
              <w:rPr>
                <w:rFonts w:ascii="Times New Roman" w:hAnsi="Times New Roman" w:eastAsia="宋体" w:cs="Times New Roman"/>
                <w:kern w:val="28"/>
                <w:sz w:val="21"/>
                <w:szCs w:val="21"/>
                <w14:ligatures w14:val="none"/>
              </w:rPr>
              <w:t>规格型号</w:t>
            </w:r>
          </w:p>
        </w:tc>
        <w:tc>
          <w:tcPr>
            <w:tcW w:w="1081" w:type="pct"/>
            <w:vAlign w:val="center"/>
          </w:tcPr>
          <w:p w14:paraId="6E6852F2">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材质</w:t>
            </w:r>
          </w:p>
        </w:tc>
        <w:tc>
          <w:tcPr>
            <w:tcW w:w="385" w:type="pct"/>
            <w:vAlign w:val="center"/>
          </w:tcPr>
          <w:p w14:paraId="334308DF">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数量</w:t>
            </w:r>
          </w:p>
        </w:tc>
        <w:tc>
          <w:tcPr>
            <w:tcW w:w="1296" w:type="pct"/>
            <w:vAlign w:val="center"/>
          </w:tcPr>
          <w:p w14:paraId="2DB82FB3">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备注</w:t>
            </w:r>
          </w:p>
        </w:tc>
      </w:tr>
      <w:tr w14:paraId="33BD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4BA66DE2">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4AD25390">
            <w:pPr>
              <w:autoSpaceDE w:val="0"/>
              <w:autoSpaceDN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color w:val="000000"/>
                <w:kern w:val="0"/>
                <w:sz w:val="21"/>
                <w:szCs w:val="21"/>
                <w14:ligatures w14:val="none"/>
              </w:rPr>
              <w:t>柴油埋地油罐</w:t>
            </w:r>
          </w:p>
        </w:tc>
        <w:tc>
          <w:tcPr>
            <w:tcW w:w="928" w:type="pct"/>
            <w:vAlign w:val="center"/>
          </w:tcPr>
          <w:p w14:paraId="01DC9AB3">
            <w:pPr>
              <w:autoSpaceDE w:val="0"/>
              <w:autoSpaceDN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color w:val="000000"/>
                <w:kern w:val="0"/>
                <w:sz w:val="21"/>
                <w:szCs w:val="21"/>
                <w:lang w:val="en-US" w:eastAsia="zh-CN"/>
                <w14:ligatures w14:val="none"/>
              </w:rPr>
              <w:t>5</w:t>
            </w:r>
            <w:r>
              <w:rPr>
                <w:rFonts w:ascii="Times New Roman" w:hAnsi="Times New Roman" w:eastAsia="宋体" w:cs="Times New Roman"/>
                <w:color w:val="000000"/>
                <w:kern w:val="0"/>
                <w:sz w:val="21"/>
                <w:szCs w:val="21"/>
                <w14:ligatures w14:val="none"/>
              </w:rPr>
              <w:t>0m</w:t>
            </w:r>
            <w:r>
              <w:rPr>
                <w:rFonts w:ascii="Times New Roman" w:hAnsi="Times New Roman" w:eastAsia="宋体" w:cs="Times New Roman"/>
                <w:color w:val="000000"/>
                <w:kern w:val="0"/>
                <w:sz w:val="21"/>
                <w:szCs w:val="21"/>
                <w:vertAlign w:val="superscript"/>
                <w14:ligatures w14:val="none"/>
              </w:rPr>
              <w:t>3</w:t>
            </w:r>
            <w:r>
              <w:rPr>
                <w:rFonts w:ascii="Times New Roman" w:hAnsi="Times New Roman" w:eastAsia="宋体" w:cs="Times New Roman"/>
                <w:color w:val="000000"/>
                <w:kern w:val="0"/>
                <w:sz w:val="21"/>
                <w:szCs w:val="21"/>
                <w14:ligatures w14:val="none"/>
              </w:rPr>
              <w:t>、卧式、SF双层</w:t>
            </w:r>
          </w:p>
        </w:tc>
        <w:tc>
          <w:tcPr>
            <w:tcW w:w="1081" w:type="pct"/>
            <w:vAlign w:val="center"/>
          </w:tcPr>
          <w:p w14:paraId="07278146">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内层钢外玻璃纤维增强塑料（SF）</w:t>
            </w:r>
          </w:p>
        </w:tc>
        <w:tc>
          <w:tcPr>
            <w:tcW w:w="385" w:type="pct"/>
            <w:vAlign w:val="center"/>
          </w:tcPr>
          <w:p w14:paraId="11970F69">
            <w:pPr>
              <w:autoSpaceDE w:val="0"/>
              <w:autoSpaceDN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color w:val="000000"/>
                <w:kern w:val="0"/>
                <w:sz w:val="21"/>
                <w:szCs w:val="21"/>
                <w:lang w:val="en-US" w:eastAsia="zh-CN"/>
                <w14:ligatures w14:val="none"/>
              </w:rPr>
              <w:t>2</w:t>
            </w:r>
            <w:r>
              <w:rPr>
                <w:rFonts w:ascii="Times New Roman" w:hAnsi="Times New Roman" w:eastAsia="宋体" w:cs="Times New Roman"/>
                <w:color w:val="000000"/>
                <w:kern w:val="0"/>
                <w:sz w:val="21"/>
                <w:szCs w:val="21"/>
                <w14:ligatures w14:val="none"/>
              </w:rPr>
              <w:t>座</w:t>
            </w:r>
          </w:p>
        </w:tc>
        <w:tc>
          <w:tcPr>
            <w:tcW w:w="1296" w:type="pct"/>
            <w:vAlign w:val="center"/>
          </w:tcPr>
          <w:p w14:paraId="6B36E35C">
            <w:pPr>
              <w:autoSpaceDE w:val="0"/>
              <w:autoSpaceDN w:val="0"/>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新建、V103为隔仓罐，每个隔仓容量为25m</w:t>
            </w:r>
            <w:r>
              <w:rPr>
                <w:rFonts w:hint="eastAsia" w:ascii="Times New Roman" w:hAnsi="Times New Roman" w:eastAsia="宋体" w:cs="Times New Roman"/>
                <w:sz w:val="21"/>
                <w:szCs w:val="21"/>
                <w:vertAlign w:val="superscript"/>
                <w:lang w:val="en-US" w:eastAsia="zh-CN"/>
                <w14:ligatures w14:val="none"/>
              </w:rPr>
              <w:t>3</w:t>
            </w:r>
          </w:p>
        </w:tc>
      </w:tr>
      <w:tr w14:paraId="2AD6D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10188D6F">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18F68C8E">
            <w:pPr>
              <w:autoSpaceDE w:val="0"/>
              <w:autoSpaceDN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color w:val="000000"/>
                <w:kern w:val="0"/>
                <w:sz w:val="21"/>
                <w:szCs w:val="21"/>
                <w14:ligatures w14:val="none"/>
              </w:rPr>
              <w:t>车用乙醇汽油</w:t>
            </w:r>
            <w:r>
              <w:rPr>
                <w:rFonts w:ascii="Times New Roman" w:hAnsi="Times New Roman" w:eastAsia="宋体" w:cs="Times New Roman"/>
                <w:color w:val="000000"/>
                <w:kern w:val="0"/>
                <w:sz w:val="21"/>
                <w:szCs w:val="21"/>
                <w14:ligatures w14:val="none"/>
              </w:rPr>
              <w:t>埋地油罐</w:t>
            </w:r>
          </w:p>
        </w:tc>
        <w:tc>
          <w:tcPr>
            <w:tcW w:w="928" w:type="pct"/>
            <w:vAlign w:val="center"/>
          </w:tcPr>
          <w:p w14:paraId="457AE406">
            <w:pPr>
              <w:autoSpaceDE w:val="0"/>
              <w:autoSpaceDN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color w:val="000000"/>
                <w:kern w:val="0"/>
                <w:sz w:val="21"/>
                <w:szCs w:val="21"/>
                <w:lang w:val="en-US" w:eastAsia="zh-CN"/>
                <w14:ligatures w14:val="none"/>
              </w:rPr>
              <w:t>5</w:t>
            </w:r>
            <w:r>
              <w:rPr>
                <w:rFonts w:ascii="Times New Roman" w:hAnsi="Times New Roman" w:eastAsia="宋体" w:cs="Times New Roman"/>
                <w:color w:val="000000"/>
                <w:kern w:val="0"/>
                <w:sz w:val="21"/>
                <w:szCs w:val="21"/>
                <w14:ligatures w14:val="none"/>
              </w:rPr>
              <w:t>0m</w:t>
            </w:r>
            <w:r>
              <w:rPr>
                <w:rFonts w:ascii="Times New Roman" w:hAnsi="Times New Roman" w:eastAsia="宋体" w:cs="Times New Roman"/>
                <w:color w:val="000000"/>
                <w:kern w:val="0"/>
                <w:sz w:val="21"/>
                <w:szCs w:val="21"/>
                <w:vertAlign w:val="superscript"/>
                <w14:ligatures w14:val="none"/>
              </w:rPr>
              <w:t>3</w:t>
            </w:r>
            <w:r>
              <w:rPr>
                <w:rFonts w:ascii="Times New Roman" w:hAnsi="Times New Roman" w:eastAsia="宋体" w:cs="Times New Roman"/>
                <w:color w:val="000000"/>
                <w:kern w:val="0"/>
                <w:sz w:val="21"/>
                <w:szCs w:val="21"/>
                <w14:ligatures w14:val="none"/>
              </w:rPr>
              <w:t>、卧式、SF双层</w:t>
            </w:r>
          </w:p>
        </w:tc>
        <w:tc>
          <w:tcPr>
            <w:tcW w:w="1081" w:type="pct"/>
            <w:vAlign w:val="center"/>
          </w:tcPr>
          <w:p w14:paraId="168A9C1D">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内层钢外玻璃纤维增强塑料（SF）</w:t>
            </w:r>
          </w:p>
        </w:tc>
        <w:tc>
          <w:tcPr>
            <w:tcW w:w="385" w:type="pct"/>
            <w:vAlign w:val="center"/>
          </w:tcPr>
          <w:p w14:paraId="5E93C785">
            <w:pPr>
              <w:autoSpaceDE w:val="0"/>
              <w:autoSpaceDN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color w:val="000000"/>
                <w:kern w:val="0"/>
                <w:sz w:val="21"/>
                <w:szCs w:val="21"/>
                <w:lang w:val="en-US" w:eastAsia="zh-CN"/>
                <w14:ligatures w14:val="none"/>
              </w:rPr>
              <w:t>2</w:t>
            </w:r>
            <w:r>
              <w:rPr>
                <w:rFonts w:ascii="Times New Roman" w:hAnsi="Times New Roman" w:eastAsia="宋体" w:cs="Times New Roman"/>
                <w:color w:val="000000"/>
                <w:kern w:val="0"/>
                <w:sz w:val="21"/>
                <w:szCs w:val="21"/>
                <w14:ligatures w14:val="none"/>
              </w:rPr>
              <w:t>座</w:t>
            </w:r>
          </w:p>
        </w:tc>
        <w:tc>
          <w:tcPr>
            <w:tcW w:w="1296" w:type="pct"/>
            <w:vAlign w:val="center"/>
          </w:tcPr>
          <w:p w14:paraId="665A21FD">
            <w:pPr>
              <w:autoSpaceDE w:val="0"/>
              <w:autoSpaceDN w:val="0"/>
              <w:adjustRightInd/>
              <w:snapToGrid/>
              <w:spacing w:line="240" w:lineRule="auto"/>
              <w:ind w:firstLine="0" w:firstLineChars="0"/>
              <w:jc w:val="center"/>
              <w:rPr>
                <w:rFonts w:hint="eastAsia" w:ascii="Times New Roman" w:hAnsi="Times New Roman" w:eastAsia="宋体" w:cs="Times New Roman"/>
                <w:sz w:val="21"/>
                <w:szCs w:val="21"/>
                <w:lang w:eastAsia="zh-CN"/>
                <w14:ligatures w14:val="none"/>
              </w:rPr>
            </w:pPr>
            <w:r>
              <w:rPr>
                <w:rFonts w:hint="eastAsia" w:ascii="Times New Roman" w:hAnsi="Times New Roman" w:eastAsia="宋体" w:cs="Times New Roman"/>
                <w:sz w:val="21"/>
                <w:szCs w:val="21"/>
                <w:lang w:val="en-US" w:eastAsia="zh-CN"/>
                <w14:ligatures w14:val="none"/>
              </w:rPr>
              <w:t>新建、V102为隔仓罐，每个隔仓容量为25m</w:t>
            </w:r>
            <w:r>
              <w:rPr>
                <w:rFonts w:hint="eastAsia" w:ascii="Times New Roman" w:hAnsi="Times New Roman" w:eastAsia="宋体" w:cs="Times New Roman"/>
                <w:sz w:val="21"/>
                <w:szCs w:val="21"/>
                <w:vertAlign w:val="superscript"/>
                <w:lang w:val="en-US" w:eastAsia="zh-CN"/>
                <w14:ligatures w14:val="none"/>
              </w:rPr>
              <w:t>3</w:t>
            </w:r>
          </w:p>
        </w:tc>
      </w:tr>
      <w:tr w14:paraId="28E8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100005A2">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6BE4E387">
            <w:pPr>
              <w:autoSpaceDE w:val="0"/>
              <w:autoSpaceDN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color w:val="000000"/>
                <w:kern w:val="0"/>
                <w:sz w:val="21"/>
                <w:szCs w:val="21"/>
                <w14:ligatures w14:val="none"/>
              </w:rPr>
              <w:t>车用乙醇汽油加油机</w:t>
            </w:r>
          </w:p>
        </w:tc>
        <w:tc>
          <w:tcPr>
            <w:tcW w:w="928" w:type="pct"/>
            <w:vAlign w:val="center"/>
          </w:tcPr>
          <w:p w14:paraId="46F99D6A">
            <w:pPr>
              <w:autoSpaceDE w:val="0"/>
              <w:autoSpaceDN w:val="0"/>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双枪潜油泵式</w:t>
            </w:r>
          </w:p>
        </w:tc>
        <w:tc>
          <w:tcPr>
            <w:tcW w:w="1081" w:type="pct"/>
            <w:vAlign w:val="center"/>
          </w:tcPr>
          <w:p w14:paraId="7118D095">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14:ligatures w14:val="none"/>
              </w:rPr>
              <w:t>-</w:t>
            </w:r>
          </w:p>
        </w:tc>
        <w:tc>
          <w:tcPr>
            <w:tcW w:w="385" w:type="pct"/>
            <w:vAlign w:val="center"/>
          </w:tcPr>
          <w:p w14:paraId="6006E59A">
            <w:pPr>
              <w:autoSpaceDE w:val="0"/>
              <w:autoSpaceDN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color w:val="000000"/>
                <w:kern w:val="0"/>
                <w:sz w:val="21"/>
                <w:szCs w:val="21"/>
                <w:lang w:val="en-US" w:eastAsia="zh-CN"/>
                <w14:ligatures w14:val="none"/>
              </w:rPr>
              <w:t>3</w:t>
            </w:r>
            <w:r>
              <w:rPr>
                <w:rFonts w:ascii="Times New Roman" w:hAnsi="Times New Roman" w:eastAsia="宋体" w:cs="Times New Roman"/>
                <w:color w:val="000000"/>
                <w:kern w:val="0"/>
                <w:sz w:val="21"/>
                <w:szCs w:val="21"/>
                <w14:ligatures w14:val="none"/>
              </w:rPr>
              <w:t>台</w:t>
            </w:r>
          </w:p>
        </w:tc>
        <w:tc>
          <w:tcPr>
            <w:tcW w:w="1296" w:type="pct"/>
            <w:vAlign w:val="center"/>
          </w:tcPr>
          <w:p w14:paraId="03A3405B">
            <w:pPr>
              <w:autoSpaceDE w:val="0"/>
              <w:autoSpaceDN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利旧</w:t>
            </w:r>
          </w:p>
        </w:tc>
      </w:tr>
      <w:tr w14:paraId="55D8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41956F11">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686A8DF3">
            <w:pPr>
              <w:autoSpaceDE w:val="0"/>
              <w:autoSpaceDN w:val="0"/>
              <w:adjustRightInd/>
              <w:snapToGrid/>
              <w:spacing w:line="240" w:lineRule="auto"/>
              <w:ind w:firstLine="0" w:firstLineChars="0"/>
              <w:jc w:val="center"/>
              <w:rPr>
                <w:rFonts w:hint="eastAsia"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14:ligatures w14:val="none"/>
              </w:rPr>
              <w:t>车用乙醇汽油加油机</w:t>
            </w:r>
          </w:p>
        </w:tc>
        <w:tc>
          <w:tcPr>
            <w:tcW w:w="928" w:type="pct"/>
            <w:vAlign w:val="center"/>
          </w:tcPr>
          <w:p w14:paraId="09A53DEE">
            <w:pPr>
              <w:autoSpaceDE w:val="0"/>
              <w:autoSpaceDN w:val="0"/>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四枪潜油泵式</w:t>
            </w:r>
          </w:p>
        </w:tc>
        <w:tc>
          <w:tcPr>
            <w:tcW w:w="1081" w:type="pct"/>
            <w:vAlign w:val="center"/>
          </w:tcPr>
          <w:p w14:paraId="420287CB">
            <w:pPr>
              <w:overflowPunct w:val="0"/>
              <w:spacing w:line="240" w:lineRule="auto"/>
              <w:ind w:firstLine="0" w:firstLineChars="0"/>
              <w:jc w:val="center"/>
              <w:rPr>
                <w:rFonts w:hint="eastAsia"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14:ligatures w14:val="none"/>
              </w:rPr>
              <w:t>-</w:t>
            </w:r>
          </w:p>
        </w:tc>
        <w:tc>
          <w:tcPr>
            <w:tcW w:w="385" w:type="pct"/>
            <w:vAlign w:val="center"/>
          </w:tcPr>
          <w:p w14:paraId="0F174F28">
            <w:pPr>
              <w:autoSpaceDE w:val="0"/>
              <w:autoSpaceDN w:val="0"/>
              <w:adjustRightInd/>
              <w:snapToGrid/>
              <w:spacing w:line="240" w:lineRule="auto"/>
              <w:ind w:firstLine="0" w:firstLineChars="0"/>
              <w:jc w:val="center"/>
              <w:rPr>
                <w:rFonts w:hint="eastAsia"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14:ligatures w14:val="none"/>
              </w:rPr>
              <w:t>1</w:t>
            </w:r>
            <w:r>
              <w:rPr>
                <w:rFonts w:ascii="Times New Roman" w:hAnsi="Times New Roman" w:eastAsia="宋体" w:cs="Times New Roman"/>
                <w:color w:val="000000"/>
                <w:kern w:val="0"/>
                <w:sz w:val="21"/>
                <w:szCs w:val="21"/>
                <w14:ligatures w14:val="none"/>
              </w:rPr>
              <w:t>台</w:t>
            </w:r>
          </w:p>
        </w:tc>
        <w:tc>
          <w:tcPr>
            <w:tcW w:w="1296" w:type="pct"/>
            <w:vAlign w:val="center"/>
          </w:tcPr>
          <w:p w14:paraId="1E653B8D">
            <w:pPr>
              <w:autoSpaceDE w:val="0"/>
              <w:autoSpaceDN w:val="0"/>
              <w:adjustRightInd/>
              <w:snapToGrid/>
              <w:spacing w:line="240" w:lineRule="auto"/>
              <w:ind w:firstLine="0" w:firstLineChars="0"/>
              <w:jc w:val="center"/>
              <w:rPr>
                <w:rFonts w:hint="eastAsia"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利旧</w:t>
            </w:r>
          </w:p>
        </w:tc>
      </w:tr>
      <w:tr w14:paraId="0858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6353B552">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5D1F8CBA">
            <w:pPr>
              <w:autoSpaceDE w:val="0"/>
              <w:autoSpaceDN w:val="0"/>
              <w:adjustRightInd/>
              <w:snapToGrid/>
              <w:spacing w:line="240" w:lineRule="auto"/>
              <w:ind w:firstLine="0" w:firstLineChars="0"/>
              <w:jc w:val="center"/>
              <w:rPr>
                <w:rFonts w:ascii="Times New Roman" w:hAnsi="Times New Roman" w:eastAsia="宋体" w:cs="Times New Roman"/>
                <w:color w:val="000000"/>
                <w:kern w:val="0"/>
                <w:sz w:val="21"/>
                <w:szCs w:val="21"/>
                <w14:ligatures w14:val="none"/>
              </w:rPr>
            </w:pPr>
            <w:r>
              <w:rPr>
                <w:rFonts w:ascii="Times New Roman" w:hAnsi="Times New Roman" w:eastAsia="宋体" w:cs="Times New Roman"/>
                <w:color w:val="000000"/>
                <w:kern w:val="0"/>
                <w:sz w:val="21"/>
                <w:szCs w:val="21"/>
                <w14:ligatures w14:val="none"/>
              </w:rPr>
              <w:t>柴油加油机</w:t>
            </w:r>
          </w:p>
        </w:tc>
        <w:tc>
          <w:tcPr>
            <w:tcW w:w="928" w:type="pct"/>
            <w:vAlign w:val="center"/>
          </w:tcPr>
          <w:p w14:paraId="1E66AFB6">
            <w:pPr>
              <w:autoSpaceDE w:val="0"/>
              <w:autoSpaceDN w:val="0"/>
              <w:adjustRightInd/>
              <w:snapToGrid/>
              <w:spacing w:line="240" w:lineRule="auto"/>
              <w:ind w:firstLine="0" w:firstLineChars="0"/>
              <w:jc w:val="center"/>
              <w:rPr>
                <w:rFonts w:ascii="Times New Roman" w:hAnsi="Times New Roman" w:eastAsia="宋体" w:cs="Times New Roman"/>
                <w:kern w:val="0"/>
                <w:sz w:val="21"/>
                <w:szCs w:val="21"/>
                <w14:ligatures w14:val="none"/>
              </w:rPr>
            </w:pPr>
            <w:r>
              <w:rPr>
                <w:rFonts w:ascii="Times New Roman" w:hAnsi="Times New Roman" w:eastAsia="宋体" w:cs="Times New Roman"/>
                <w:kern w:val="0"/>
                <w:sz w:val="21"/>
                <w:szCs w:val="21"/>
                <w14:ligatures w14:val="none"/>
              </w:rPr>
              <w:t>双枪</w:t>
            </w:r>
            <w:r>
              <w:rPr>
                <w:rFonts w:hint="eastAsia" w:ascii="Times New Roman" w:hAnsi="Times New Roman" w:eastAsia="宋体" w:cs="Times New Roman"/>
                <w:kern w:val="0"/>
                <w:sz w:val="21"/>
                <w:szCs w:val="21"/>
                <w:lang w:val="en-US" w:eastAsia="zh-CN"/>
                <w14:ligatures w14:val="none"/>
              </w:rPr>
              <w:t>潜油泵</w:t>
            </w:r>
            <w:r>
              <w:rPr>
                <w:rFonts w:hint="eastAsia" w:ascii="Times New Roman" w:hAnsi="Times New Roman" w:eastAsia="宋体" w:cs="Times New Roman"/>
                <w:kern w:val="0"/>
                <w:sz w:val="21"/>
                <w:szCs w:val="21"/>
                <w14:ligatures w14:val="none"/>
              </w:rPr>
              <w:t>式</w:t>
            </w:r>
          </w:p>
        </w:tc>
        <w:tc>
          <w:tcPr>
            <w:tcW w:w="1081" w:type="pct"/>
            <w:vAlign w:val="center"/>
          </w:tcPr>
          <w:p w14:paraId="646FA16C">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14:ligatures w14:val="none"/>
              </w:rPr>
              <w:t>-</w:t>
            </w:r>
          </w:p>
        </w:tc>
        <w:tc>
          <w:tcPr>
            <w:tcW w:w="385" w:type="pct"/>
            <w:vAlign w:val="center"/>
          </w:tcPr>
          <w:p w14:paraId="299090F1">
            <w:pPr>
              <w:autoSpaceDE w:val="0"/>
              <w:autoSpaceDN w:val="0"/>
              <w:adjustRightInd/>
              <w:snapToGrid/>
              <w:spacing w:line="240" w:lineRule="auto"/>
              <w:ind w:firstLine="0" w:firstLineChars="0"/>
              <w:jc w:val="center"/>
              <w:rPr>
                <w:rFonts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lang w:val="en-US" w:eastAsia="zh-CN"/>
                <w14:ligatures w14:val="none"/>
              </w:rPr>
              <w:t>3</w:t>
            </w:r>
            <w:r>
              <w:rPr>
                <w:rFonts w:ascii="Times New Roman" w:hAnsi="Times New Roman" w:eastAsia="宋体" w:cs="Times New Roman"/>
                <w:color w:val="000000"/>
                <w:kern w:val="0"/>
                <w:sz w:val="21"/>
                <w:szCs w:val="21"/>
                <w14:ligatures w14:val="none"/>
              </w:rPr>
              <w:t>台</w:t>
            </w:r>
          </w:p>
        </w:tc>
        <w:tc>
          <w:tcPr>
            <w:tcW w:w="1296" w:type="pct"/>
            <w:vAlign w:val="center"/>
          </w:tcPr>
          <w:p w14:paraId="2A1525D3">
            <w:pPr>
              <w:autoSpaceDE w:val="0"/>
              <w:autoSpaceDN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利旧</w:t>
            </w:r>
          </w:p>
        </w:tc>
      </w:tr>
      <w:tr w14:paraId="453A3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5AE18C6A">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1EB3D111">
            <w:pPr>
              <w:autoSpaceDE w:val="0"/>
              <w:autoSpaceDN w:val="0"/>
              <w:adjustRightInd/>
              <w:snapToGrid/>
              <w:spacing w:line="240" w:lineRule="auto"/>
              <w:ind w:firstLine="0" w:firstLineChars="0"/>
              <w:jc w:val="center"/>
              <w:rPr>
                <w:rFonts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14:ligatures w14:val="none"/>
              </w:rPr>
              <w:t>车用乙醇汽油通气管</w:t>
            </w:r>
          </w:p>
        </w:tc>
        <w:tc>
          <w:tcPr>
            <w:tcW w:w="928" w:type="pct"/>
            <w:vAlign w:val="center"/>
          </w:tcPr>
          <w:p w14:paraId="73682B73">
            <w:pPr>
              <w:autoSpaceDE w:val="0"/>
              <w:autoSpaceDN w:val="0"/>
              <w:adjustRightInd/>
              <w:snapToGrid/>
              <w:spacing w:line="240" w:lineRule="auto"/>
              <w:ind w:firstLine="0" w:firstLineChars="0"/>
              <w:jc w:val="center"/>
              <w:rPr>
                <w:rFonts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14:ligatures w14:val="none"/>
              </w:rPr>
              <w:t>-</w:t>
            </w:r>
          </w:p>
        </w:tc>
        <w:tc>
          <w:tcPr>
            <w:tcW w:w="1081" w:type="pct"/>
            <w:vAlign w:val="center"/>
          </w:tcPr>
          <w:p w14:paraId="7E57D668">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0AC948E6">
            <w:pPr>
              <w:autoSpaceDE w:val="0"/>
              <w:autoSpaceDN w:val="0"/>
              <w:adjustRightInd/>
              <w:snapToGrid/>
              <w:spacing w:line="240" w:lineRule="auto"/>
              <w:ind w:firstLine="0" w:firstLineChars="0"/>
              <w:jc w:val="center"/>
              <w:rPr>
                <w:rFonts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14:ligatures w14:val="none"/>
              </w:rPr>
              <w:t>2根</w:t>
            </w:r>
          </w:p>
        </w:tc>
        <w:tc>
          <w:tcPr>
            <w:tcW w:w="1296" w:type="pct"/>
            <w:vAlign w:val="center"/>
          </w:tcPr>
          <w:p w14:paraId="66FE4F6F">
            <w:pPr>
              <w:autoSpaceDE w:val="0"/>
              <w:autoSpaceDN w:val="0"/>
              <w:adjustRightInd/>
              <w:snapToGrid/>
              <w:spacing w:line="240" w:lineRule="auto"/>
              <w:ind w:firstLine="0" w:firstLineChars="0"/>
              <w:jc w:val="center"/>
              <w:rPr>
                <w:rFonts w:hint="eastAsia" w:ascii="Times New Roman" w:hAnsi="Times New Roman" w:eastAsia="宋体" w:cs="Times New Roman"/>
                <w:color w:val="000000"/>
                <w:kern w:val="0"/>
                <w:sz w:val="21"/>
                <w:szCs w:val="21"/>
                <w:lang w:eastAsia="zh-CN"/>
                <w14:ligatures w14:val="none"/>
              </w:rPr>
            </w:pPr>
            <w:r>
              <w:rPr>
                <w:rFonts w:hint="eastAsia" w:ascii="Times New Roman" w:hAnsi="Times New Roman" w:eastAsia="宋体" w:cs="Times New Roman"/>
                <w:color w:val="000000"/>
                <w:kern w:val="0"/>
                <w:sz w:val="21"/>
                <w:szCs w:val="21"/>
                <w14:ligatures w14:val="none"/>
              </w:rPr>
              <w:t>新增</w:t>
            </w:r>
          </w:p>
        </w:tc>
      </w:tr>
      <w:tr w14:paraId="1E366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6AF579F0">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6653E92B">
            <w:pPr>
              <w:autoSpaceDE w:val="0"/>
              <w:autoSpaceDN w:val="0"/>
              <w:adjustRightInd/>
              <w:snapToGrid/>
              <w:spacing w:line="240" w:lineRule="auto"/>
              <w:ind w:firstLine="0" w:firstLineChars="0"/>
              <w:jc w:val="center"/>
              <w:rPr>
                <w:rFonts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14:ligatures w14:val="none"/>
              </w:rPr>
              <w:t>柴油通气管</w:t>
            </w:r>
          </w:p>
        </w:tc>
        <w:tc>
          <w:tcPr>
            <w:tcW w:w="928" w:type="pct"/>
            <w:vAlign w:val="center"/>
          </w:tcPr>
          <w:p w14:paraId="3C24FB1A">
            <w:pPr>
              <w:autoSpaceDE w:val="0"/>
              <w:autoSpaceDN w:val="0"/>
              <w:adjustRightInd/>
              <w:snapToGrid/>
              <w:spacing w:line="240" w:lineRule="auto"/>
              <w:ind w:firstLine="0" w:firstLineChars="0"/>
              <w:jc w:val="center"/>
              <w:rPr>
                <w:rFonts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14:ligatures w14:val="none"/>
              </w:rPr>
              <w:t>-</w:t>
            </w:r>
          </w:p>
        </w:tc>
        <w:tc>
          <w:tcPr>
            <w:tcW w:w="1081" w:type="pct"/>
            <w:vAlign w:val="center"/>
          </w:tcPr>
          <w:p w14:paraId="71C1DE2C">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357533FF">
            <w:pPr>
              <w:autoSpaceDE w:val="0"/>
              <w:autoSpaceDN w:val="0"/>
              <w:adjustRightInd/>
              <w:snapToGrid/>
              <w:spacing w:line="240" w:lineRule="auto"/>
              <w:ind w:firstLine="0" w:firstLineChars="0"/>
              <w:jc w:val="center"/>
              <w:rPr>
                <w:rFonts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lang w:val="en-US" w:eastAsia="zh-CN"/>
                <w14:ligatures w14:val="none"/>
              </w:rPr>
              <w:t>2</w:t>
            </w:r>
            <w:r>
              <w:rPr>
                <w:rFonts w:hint="eastAsia" w:ascii="Times New Roman" w:hAnsi="Times New Roman" w:eastAsia="宋体" w:cs="Times New Roman"/>
                <w:color w:val="000000"/>
                <w:kern w:val="0"/>
                <w:sz w:val="21"/>
                <w:szCs w:val="21"/>
                <w14:ligatures w14:val="none"/>
              </w:rPr>
              <w:t>根</w:t>
            </w:r>
          </w:p>
        </w:tc>
        <w:tc>
          <w:tcPr>
            <w:tcW w:w="1296" w:type="pct"/>
            <w:vAlign w:val="center"/>
          </w:tcPr>
          <w:p w14:paraId="6C589AC5">
            <w:pPr>
              <w:autoSpaceDE w:val="0"/>
              <w:autoSpaceDN w:val="0"/>
              <w:adjustRightInd/>
              <w:snapToGrid/>
              <w:spacing w:line="240" w:lineRule="auto"/>
              <w:ind w:firstLine="0" w:firstLineChars="0"/>
              <w:jc w:val="center"/>
              <w:rPr>
                <w:rFonts w:ascii="Times New Roman" w:hAnsi="Times New Roman" w:eastAsia="宋体" w:cs="Times New Roman"/>
                <w:color w:val="000000"/>
                <w:kern w:val="0"/>
                <w:sz w:val="21"/>
                <w:szCs w:val="21"/>
                <w14:ligatures w14:val="none"/>
              </w:rPr>
            </w:pPr>
            <w:r>
              <w:rPr>
                <w:rFonts w:hint="eastAsia" w:ascii="Times New Roman" w:hAnsi="Times New Roman" w:eastAsia="宋体" w:cs="Times New Roman"/>
                <w:color w:val="000000"/>
                <w:kern w:val="0"/>
                <w:sz w:val="21"/>
                <w:szCs w:val="21"/>
                <w14:ligatures w14:val="none"/>
              </w:rPr>
              <w:t>新增</w:t>
            </w:r>
          </w:p>
        </w:tc>
      </w:tr>
      <w:tr w14:paraId="28DF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304" w:type="pct"/>
            <w:vAlign w:val="center"/>
          </w:tcPr>
          <w:p w14:paraId="5D2861F5">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7142DCFA">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紧急切断</w:t>
            </w:r>
            <w:r>
              <w:rPr>
                <w:rFonts w:hint="eastAsia" w:ascii="Times New Roman" w:hAnsi="Times New Roman" w:eastAsia="宋体" w:cs="Times New Roman"/>
                <w:kern w:val="28"/>
                <w:sz w:val="21"/>
                <w:szCs w:val="21"/>
                <w14:ligatures w14:val="none"/>
              </w:rPr>
              <w:t>系统</w:t>
            </w:r>
          </w:p>
        </w:tc>
        <w:tc>
          <w:tcPr>
            <w:tcW w:w="928" w:type="pct"/>
            <w:vAlign w:val="center"/>
          </w:tcPr>
          <w:p w14:paraId="2D244F05">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14:ligatures w14:val="none"/>
              </w:rPr>
              <w:t>-</w:t>
            </w:r>
          </w:p>
        </w:tc>
        <w:tc>
          <w:tcPr>
            <w:tcW w:w="1081" w:type="pct"/>
            <w:vAlign w:val="center"/>
          </w:tcPr>
          <w:p w14:paraId="64F83161">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208B49C8">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lang w:val="en-US" w:eastAsia="zh-CN"/>
                <w14:ligatures w14:val="none"/>
              </w:rPr>
              <w:t>1</w:t>
            </w:r>
            <w:r>
              <w:rPr>
                <w:rFonts w:ascii="Times New Roman" w:hAnsi="Times New Roman" w:eastAsia="宋体" w:cs="Times New Roman"/>
                <w:kern w:val="28"/>
                <w:sz w:val="21"/>
                <w:szCs w:val="21"/>
                <w14:ligatures w14:val="none"/>
              </w:rPr>
              <w:t>套</w:t>
            </w:r>
          </w:p>
        </w:tc>
        <w:tc>
          <w:tcPr>
            <w:tcW w:w="1296" w:type="pct"/>
            <w:vAlign w:val="center"/>
          </w:tcPr>
          <w:p w14:paraId="1A9A3495">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利旧</w:t>
            </w:r>
          </w:p>
        </w:tc>
      </w:tr>
      <w:tr w14:paraId="0ACB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3230418A">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004F2A98">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油罐液位监测系统</w:t>
            </w:r>
          </w:p>
        </w:tc>
        <w:tc>
          <w:tcPr>
            <w:tcW w:w="928" w:type="pct"/>
            <w:vAlign w:val="center"/>
          </w:tcPr>
          <w:p w14:paraId="7821CC6D">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14:ligatures w14:val="none"/>
              </w:rPr>
              <w:t>-</w:t>
            </w:r>
          </w:p>
        </w:tc>
        <w:tc>
          <w:tcPr>
            <w:tcW w:w="1081" w:type="pct"/>
            <w:vAlign w:val="center"/>
          </w:tcPr>
          <w:p w14:paraId="43AC6F2E">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49320A0F">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1</w:t>
            </w:r>
            <w:r>
              <w:rPr>
                <w:rFonts w:hint="eastAsia" w:ascii="Times New Roman" w:hAnsi="Times New Roman" w:eastAsia="宋体" w:cs="Times New Roman"/>
                <w:kern w:val="28"/>
                <w:sz w:val="21"/>
                <w:szCs w:val="21"/>
                <w14:ligatures w14:val="none"/>
              </w:rPr>
              <w:t>套</w:t>
            </w:r>
          </w:p>
        </w:tc>
        <w:tc>
          <w:tcPr>
            <w:tcW w:w="1296" w:type="pct"/>
            <w:vAlign w:val="center"/>
          </w:tcPr>
          <w:p w14:paraId="1FB8ACD4">
            <w:pPr>
              <w:overflowPunct w:val="0"/>
              <w:adjustRightInd/>
              <w:snapToGrid/>
              <w:spacing w:line="240" w:lineRule="auto"/>
              <w:ind w:firstLine="0" w:firstLineChars="0"/>
              <w:jc w:val="center"/>
              <w:rPr>
                <w:rFonts w:hint="eastAsia" w:ascii="Times New Roman" w:hAnsi="Times New Roman" w:eastAsia="宋体" w:cs="Times New Roman"/>
                <w:sz w:val="21"/>
                <w:szCs w:val="21"/>
                <w:lang w:eastAsia="zh-CN"/>
                <w14:ligatures w14:val="none"/>
              </w:rPr>
            </w:pPr>
            <w:r>
              <w:rPr>
                <w:rFonts w:hint="eastAsia" w:ascii="Times New Roman" w:hAnsi="Times New Roman" w:eastAsia="宋体" w:cs="Times New Roman"/>
                <w:sz w:val="21"/>
                <w:szCs w:val="21"/>
                <w:lang w:val="en-US" w:eastAsia="zh-CN"/>
                <w14:ligatures w14:val="none"/>
              </w:rPr>
              <w:t>新增</w:t>
            </w:r>
          </w:p>
        </w:tc>
      </w:tr>
      <w:tr w14:paraId="73EF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2B456714">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20903CEA">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油罐渗漏检测系统</w:t>
            </w:r>
          </w:p>
        </w:tc>
        <w:tc>
          <w:tcPr>
            <w:tcW w:w="928" w:type="pct"/>
            <w:vAlign w:val="center"/>
          </w:tcPr>
          <w:p w14:paraId="587D9DE5">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14:ligatures w14:val="none"/>
              </w:rPr>
              <w:t>-</w:t>
            </w:r>
          </w:p>
        </w:tc>
        <w:tc>
          <w:tcPr>
            <w:tcW w:w="1081" w:type="pct"/>
            <w:vAlign w:val="center"/>
          </w:tcPr>
          <w:p w14:paraId="661F3F91">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57D694A9">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14:ligatures w14:val="none"/>
              </w:rPr>
              <w:t>1套</w:t>
            </w:r>
          </w:p>
        </w:tc>
        <w:tc>
          <w:tcPr>
            <w:tcW w:w="1296" w:type="pct"/>
            <w:vAlign w:val="center"/>
          </w:tcPr>
          <w:p w14:paraId="5E120251">
            <w:pPr>
              <w:overflowPunct w:val="0"/>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新增</w:t>
            </w:r>
          </w:p>
        </w:tc>
      </w:tr>
      <w:tr w14:paraId="3239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68B0EB4C">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663FA7B0">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14:ligatures w14:val="none"/>
              </w:rPr>
              <w:t>双层管道渗漏检测系统</w:t>
            </w:r>
          </w:p>
        </w:tc>
        <w:tc>
          <w:tcPr>
            <w:tcW w:w="928" w:type="pct"/>
            <w:vAlign w:val="center"/>
          </w:tcPr>
          <w:p w14:paraId="3310E60D">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14:ligatures w14:val="none"/>
              </w:rPr>
              <w:t>-</w:t>
            </w:r>
          </w:p>
        </w:tc>
        <w:tc>
          <w:tcPr>
            <w:tcW w:w="1081" w:type="pct"/>
            <w:vAlign w:val="center"/>
          </w:tcPr>
          <w:p w14:paraId="2A5655C5">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4D252043">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14:ligatures w14:val="none"/>
              </w:rPr>
              <w:t>1套</w:t>
            </w:r>
          </w:p>
        </w:tc>
        <w:tc>
          <w:tcPr>
            <w:tcW w:w="1296" w:type="pct"/>
            <w:vAlign w:val="center"/>
          </w:tcPr>
          <w:p w14:paraId="24537EF0">
            <w:pPr>
              <w:overflowPunct w:val="0"/>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新增</w:t>
            </w:r>
          </w:p>
        </w:tc>
      </w:tr>
      <w:tr w14:paraId="4623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304" w:type="pct"/>
            <w:vAlign w:val="center"/>
          </w:tcPr>
          <w:p w14:paraId="4F7E900E">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45694014">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ascii="Times New Roman" w:hAnsi="Times New Roman" w:eastAsia="宋体" w:cs="Times New Roman"/>
                <w:kern w:val="28"/>
                <w:sz w:val="21"/>
                <w:szCs w:val="21"/>
                <w14:ligatures w14:val="none"/>
              </w:rPr>
              <w:t>UPS电源</w:t>
            </w:r>
          </w:p>
        </w:tc>
        <w:tc>
          <w:tcPr>
            <w:tcW w:w="928" w:type="pct"/>
            <w:vAlign w:val="center"/>
          </w:tcPr>
          <w:p w14:paraId="71CC14AE">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lang w:val="en-US" w:eastAsia="zh-CN"/>
                <w14:ligatures w14:val="none"/>
              </w:rPr>
              <w:t>4</w:t>
            </w:r>
            <w:r>
              <w:rPr>
                <w:rFonts w:hint="eastAsia" w:ascii="Times New Roman" w:hAnsi="Times New Roman" w:eastAsia="宋体" w:cs="Times New Roman"/>
                <w:kern w:val="28"/>
                <w:sz w:val="21"/>
                <w:szCs w:val="21"/>
                <w14:ligatures w14:val="none"/>
              </w:rPr>
              <w:t>kVA</w:t>
            </w:r>
          </w:p>
        </w:tc>
        <w:tc>
          <w:tcPr>
            <w:tcW w:w="1081" w:type="pct"/>
            <w:vAlign w:val="center"/>
          </w:tcPr>
          <w:p w14:paraId="3D425A1C">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3587CA9A">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Times New Roman"/>
                <w:kern w:val="28"/>
                <w:sz w:val="21"/>
                <w:szCs w:val="21"/>
                <w:lang w:val="en-US" w:eastAsia="zh-CN"/>
                <w14:ligatures w14:val="none"/>
              </w:rPr>
              <w:t>2</w:t>
            </w:r>
            <w:r>
              <w:rPr>
                <w:rFonts w:ascii="Times New Roman" w:hAnsi="Times New Roman" w:eastAsia="宋体" w:cs="Times New Roman"/>
                <w:kern w:val="28"/>
                <w:sz w:val="21"/>
                <w:szCs w:val="21"/>
                <w14:ligatures w14:val="none"/>
              </w:rPr>
              <w:t>台</w:t>
            </w:r>
          </w:p>
        </w:tc>
        <w:tc>
          <w:tcPr>
            <w:tcW w:w="1296" w:type="pct"/>
            <w:vAlign w:val="center"/>
          </w:tcPr>
          <w:p w14:paraId="35743509">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供电时间不小于</w:t>
            </w:r>
            <w:r>
              <w:rPr>
                <w:rFonts w:hint="eastAsia" w:ascii="Times New Roman" w:hAnsi="Times New Roman" w:eastAsia="宋体" w:cs="Times New Roman"/>
                <w:sz w:val="21"/>
                <w:szCs w:val="21"/>
                <w14:ligatures w14:val="none"/>
              </w:rPr>
              <w:t>90</w:t>
            </w:r>
            <w:r>
              <w:rPr>
                <w:rFonts w:ascii="Times New Roman" w:hAnsi="Times New Roman" w:eastAsia="宋体" w:cs="Times New Roman"/>
                <w:sz w:val="21"/>
                <w:szCs w:val="21"/>
                <w14:ligatures w14:val="none"/>
              </w:rPr>
              <w:t>min</w:t>
            </w:r>
          </w:p>
        </w:tc>
      </w:tr>
      <w:tr w14:paraId="53181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1BE2BA4F">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64122E4E">
            <w:pPr>
              <w:overflowPunct w:val="0"/>
              <w:spacing w:line="240" w:lineRule="auto"/>
              <w:ind w:firstLine="0" w:firstLineChars="0"/>
              <w:jc w:val="center"/>
              <w:rPr>
                <w:rFonts w:ascii="Times New Roman" w:hAnsi="Times New Roman" w:eastAsia="宋体" w:cs="Times New Roman"/>
                <w:kern w:val="28"/>
                <w:sz w:val="21"/>
                <w:szCs w:val="21"/>
                <w14:ligatures w14:val="none"/>
              </w:rPr>
            </w:pPr>
            <w:r>
              <w:rPr>
                <w:rFonts w:hint="eastAsia" w:ascii="Times New Roman" w:hAnsi="Times New Roman" w:eastAsia="宋体" w:cs="宋体"/>
                <w:kern w:val="28"/>
                <w:sz w:val="21"/>
                <w:szCs w:val="21"/>
                <w14:ligatures w14:val="none"/>
              </w:rPr>
              <w:t>油气回收系统</w:t>
            </w:r>
          </w:p>
        </w:tc>
        <w:tc>
          <w:tcPr>
            <w:tcW w:w="928" w:type="pct"/>
            <w:vAlign w:val="center"/>
          </w:tcPr>
          <w:p w14:paraId="28875CB9">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1081" w:type="pct"/>
            <w:vAlign w:val="center"/>
          </w:tcPr>
          <w:p w14:paraId="6BFCFEBE">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63C5C18C">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1套</w:t>
            </w:r>
          </w:p>
        </w:tc>
        <w:tc>
          <w:tcPr>
            <w:tcW w:w="1296" w:type="pct"/>
            <w:vAlign w:val="center"/>
          </w:tcPr>
          <w:p w14:paraId="349F01E2">
            <w:pPr>
              <w:overflowPunct w:val="0"/>
              <w:adjustRightInd/>
              <w:snapToGrid/>
              <w:spacing w:line="240" w:lineRule="auto"/>
              <w:ind w:firstLine="0" w:firstLineChars="0"/>
              <w:jc w:val="center"/>
              <w:rPr>
                <w:rFonts w:ascii="Times New Roman" w:hAnsi="Times New Roman" w:eastAsia="宋体" w:cs="宋体"/>
                <w:kern w:val="0"/>
                <w:sz w:val="21"/>
                <w:szCs w:val="21"/>
                <w14:ligatures w14:val="none"/>
              </w:rPr>
            </w:pPr>
            <w:r>
              <w:rPr>
                <w:rFonts w:hint="eastAsia" w:ascii="Times New Roman" w:hAnsi="Times New Roman" w:eastAsia="宋体" w:cs="宋体"/>
                <w:kern w:val="0"/>
                <w:sz w:val="21"/>
                <w:szCs w:val="21"/>
                <w14:ligatures w14:val="none"/>
              </w:rPr>
              <w:t>利旧</w:t>
            </w:r>
          </w:p>
        </w:tc>
      </w:tr>
      <w:tr w14:paraId="6D38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1EC99356">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3626158C">
            <w:pPr>
              <w:overflowPunct w:val="0"/>
              <w:spacing w:line="240" w:lineRule="auto"/>
              <w:ind w:firstLine="0" w:firstLineChars="0"/>
              <w:jc w:val="center"/>
              <w:rPr>
                <w:rFonts w:ascii="Times New Roman" w:hAnsi="Times New Roman" w:eastAsia="宋体" w:cs="宋体"/>
                <w:kern w:val="28"/>
                <w:sz w:val="21"/>
                <w:szCs w:val="21"/>
                <w14:ligatures w14:val="none"/>
              </w:rPr>
            </w:pPr>
            <w:r>
              <w:rPr>
                <w:rFonts w:hint="eastAsia" w:ascii="Times New Roman" w:hAnsi="Times New Roman" w:eastAsia="宋体" w:cs="宋体"/>
                <w:kern w:val="28"/>
                <w:sz w:val="21"/>
                <w:szCs w:val="21"/>
                <w14:ligatures w14:val="none"/>
              </w:rPr>
              <w:t>视频监控系统</w:t>
            </w:r>
          </w:p>
        </w:tc>
        <w:tc>
          <w:tcPr>
            <w:tcW w:w="928" w:type="pct"/>
            <w:vAlign w:val="center"/>
          </w:tcPr>
          <w:p w14:paraId="6E156463">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1081" w:type="pct"/>
            <w:vAlign w:val="center"/>
          </w:tcPr>
          <w:p w14:paraId="45B92393">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6A9690BF">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1套</w:t>
            </w:r>
          </w:p>
        </w:tc>
        <w:tc>
          <w:tcPr>
            <w:tcW w:w="1296" w:type="pct"/>
            <w:vAlign w:val="center"/>
          </w:tcPr>
          <w:p w14:paraId="2D3BE121">
            <w:pPr>
              <w:overflowPunct w:val="0"/>
              <w:adjustRightInd/>
              <w:snapToGrid/>
              <w:spacing w:line="240" w:lineRule="auto"/>
              <w:ind w:firstLine="0" w:firstLineChars="0"/>
              <w:jc w:val="center"/>
              <w:rPr>
                <w:rFonts w:ascii="Times New Roman" w:hAnsi="Times New Roman" w:eastAsia="宋体" w:cs="宋体"/>
                <w:kern w:val="0"/>
                <w:sz w:val="21"/>
                <w:szCs w:val="21"/>
                <w14:ligatures w14:val="none"/>
              </w:rPr>
            </w:pPr>
            <w:r>
              <w:rPr>
                <w:rFonts w:hint="eastAsia" w:ascii="Times New Roman" w:hAnsi="Times New Roman" w:eastAsia="宋体" w:cs="宋体"/>
                <w:kern w:val="0"/>
                <w:sz w:val="21"/>
                <w:szCs w:val="21"/>
                <w14:ligatures w14:val="none"/>
              </w:rPr>
              <w:t>利旧</w:t>
            </w:r>
          </w:p>
        </w:tc>
      </w:tr>
      <w:tr w14:paraId="0C36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1570DB80">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25A18103">
            <w:pPr>
              <w:widowControl/>
              <w:spacing w:line="240" w:lineRule="auto"/>
              <w:ind w:firstLine="0" w:firstLineChars="0"/>
              <w:jc w:val="center"/>
              <w:rPr>
                <w:rFonts w:ascii="Times New Roman" w:hAnsi="Times New Roman" w:eastAsia="宋体" w:cs="宋体"/>
                <w:kern w:val="0"/>
                <w:sz w:val="21"/>
                <w:szCs w:val="21"/>
                <w14:ligatures w14:val="none"/>
              </w:rPr>
            </w:pPr>
            <w:r>
              <w:rPr>
                <w:rFonts w:ascii="Times New Roman" w:hAnsi="Times New Roman" w:eastAsia="宋体" w:cs="Times New Roman"/>
                <w:sz w:val="21"/>
                <w:szCs w:val="21"/>
                <w14:ligatures w14:val="none"/>
              </w:rPr>
              <w:t>静电接地报警仪</w:t>
            </w:r>
          </w:p>
        </w:tc>
        <w:tc>
          <w:tcPr>
            <w:tcW w:w="928" w:type="pct"/>
            <w:vAlign w:val="center"/>
          </w:tcPr>
          <w:p w14:paraId="3FDF1CD1">
            <w:pPr>
              <w:overflowPunct w:val="0"/>
              <w:adjustRightInd/>
              <w:snapToGrid/>
              <w:spacing w:line="240" w:lineRule="auto"/>
              <w:ind w:firstLine="0" w:firstLineChars="0"/>
              <w:jc w:val="center"/>
              <w:rPr>
                <w:rFonts w:ascii="Times New Roman" w:hAnsi="Times New Roman" w:eastAsia="宋体" w:cs="宋体"/>
                <w:kern w:val="0"/>
                <w:sz w:val="21"/>
                <w:szCs w:val="21"/>
                <w14:ligatures w14:val="none"/>
              </w:rPr>
            </w:pPr>
            <w:r>
              <w:rPr>
                <w:rFonts w:hint="eastAsia" w:ascii="Times New Roman" w:hAnsi="Times New Roman" w:eastAsia="宋体" w:cs="Times New Roman"/>
                <w:sz w:val="21"/>
                <w:szCs w:val="21"/>
                <w14:ligatures w14:val="none"/>
              </w:rPr>
              <w:t>-</w:t>
            </w:r>
          </w:p>
        </w:tc>
        <w:tc>
          <w:tcPr>
            <w:tcW w:w="1081" w:type="pct"/>
            <w:vAlign w:val="center"/>
          </w:tcPr>
          <w:p w14:paraId="6D6157C3">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4A70CBE0">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宋体"/>
                <w:kern w:val="0"/>
                <w:sz w:val="21"/>
                <w:szCs w:val="21"/>
                <w14:ligatures w14:val="none"/>
              </w:rPr>
              <w:t>1台</w:t>
            </w:r>
          </w:p>
        </w:tc>
        <w:tc>
          <w:tcPr>
            <w:tcW w:w="1296" w:type="pct"/>
            <w:vAlign w:val="center"/>
          </w:tcPr>
          <w:p w14:paraId="644A29EA">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利旧</w:t>
            </w:r>
          </w:p>
        </w:tc>
      </w:tr>
      <w:tr w14:paraId="08F9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2E29A57F">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0EBEC5DE">
            <w:pPr>
              <w:widowControl/>
              <w:spacing w:line="240" w:lineRule="auto"/>
              <w:ind w:firstLine="0" w:firstLineChars="0"/>
              <w:jc w:val="center"/>
              <w:rPr>
                <w:rFonts w:ascii="Times New Roman" w:hAnsi="Times New Roman" w:eastAsia="宋体" w:cs="宋体"/>
                <w:kern w:val="0"/>
                <w:sz w:val="21"/>
                <w:szCs w:val="21"/>
                <w14:ligatures w14:val="none"/>
              </w:rPr>
            </w:pPr>
            <w:r>
              <w:rPr>
                <w:rFonts w:hint="eastAsia" w:ascii="Times New Roman" w:hAnsi="Times New Roman" w:eastAsia="宋体" w:cs="Times New Roman"/>
                <w:sz w:val="21"/>
                <w:szCs w:val="21"/>
                <w14:ligatures w14:val="none"/>
              </w:rPr>
              <w:t>本安型人体静电消除器</w:t>
            </w:r>
          </w:p>
        </w:tc>
        <w:tc>
          <w:tcPr>
            <w:tcW w:w="928" w:type="pct"/>
            <w:vAlign w:val="center"/>
          </w:tcPr>
          <w:p w14:paraId="47B98920">
            <w:pPr>
              <w:widowControl/>
              <w:spacing w:line="240" w:lineRule="auto"/>
              <w:ind w:firstLine="0" w:firstLineChars="0"/>
              <w:jc w:val="center"/>
              <w:rPr>
                <w:rFonts w:hint="default" w:ascii="Times New Roman" w:hAnsi="Times New Roman" w:eastAsia="宋体" w:cs="宋体"/>
                <w:kern w:val="0"/>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YH-RTS-2A</w:t>
            </w:r>
          </w:p>
        </w:tc>
        <w:tc>
          <w:tcPr>
            <w:tcW w:w="1081" w:type="pct"/>
            <w:vAlign w:val="center"/>
          </w:tcPr>
          <w:p w14:paraId="33CE624C">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0F9DD701">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宋体"/>
                <w:kern w:val="0"/>
                <w:sz w:val="21"/>
                <w:szCs w:val="21"/>
                <w14:ligatures w14:val="none"/>
              </w:rPr>
              <w:t>1台</w:t>
            </w:r>
          </w:p>
        </w:tc>
        <w:tc>
          <w:tcPr>
            <w:tcW w:w="1296" w:type="pct"/>
            <w:vAlign w:val="center"/>
          </w:tcPr>
          <w:p w14:paraId="354DE93A">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利旧</w:t>
            </w:r>
          </w:p>
        </w:tc>
      </w:tr>
      <w:tr w14:paraId="5B1B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4DF6BBF8">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0D95E812">
            <w:pPr>
              <w:widowControl/>
              <w:spacing w:line="240" w:lineRule="auto"/>
              <w:ind w:firstLine="0" w:firstLineChars="0"/>
              <w:jc w:val="center"/>
              <w:rPr>
                <w:rFonts w:ascii="Times New Roman" w:hAnsi="Times New Roman" w:eastAsia="宋体" w:cs="宋体"/>
                <w:kern w:val="0"/>
                <w:sz w:val="21"/>
                <w:szCs w:val="21"/>
                <w14:ligatures w14:val="none"/>
              </w:rPr>
            </w:pPr>
            <w:r>
              <w:rPr>
                <w:rFonts w:hint="eastAsia" w:ascii="Times New Roman" w:hAnsi="Times New Roman" w:eastAsia="宋体" w:cs="宋体"/>
                <w:kern w:val="0"/>
                <w:sz w:val="21"/>
                <w:szCs w:val="21"/>
                <w14:ligatures w14:val="none"/>
              </w:rPr>
              <w:t>防爆型磁致伸缩液位探棒</w:t>
            </w:r>
          </w:p>
        </w:tc>
        <w:tc>
          <w:tcPr>
            <w:tcW w:w="928" w:type="pct"/>
            <w:vAlign w:val="center"/>
          </w:tcPr>
          <w:p w14:paraId="4AF4BF3F">
            <w:pPr>
              <w:overflowPunct w:val="0"/>
              <w:adjustRightInd/>
              <w:snapToGrid/>
              <w:spacing w:line="240" w:lineRule="auto"/>
              <w:ind w:firstLine="0" w:firstLineChars="0"/>
              <w:jc w:val="center"/>
              <w:rPr>
                <w:rFonts w:ascii="Times New Roman" w:hAnsi="Times New Roman" w:eastAsia="宋体" w:cs="宋体"/>
                <w:kern w:val="0"/>
                <w:sz w:val="21"/>
                <w:szCs w:val="21"/>
                <w14:ligatures w14:val="none"/>
              </w:rPr>
            </w:pPr>
            <w:r>
              <w:rPr>
                <w:rFonts w:hint="eastAsia" w:ascii="Times New Roman" w:hAnsi="Times New Roman" w:eastAsia="宋体" w:cs="Times New Roman"/>
                <w:sz w:val="21"/>
                <w:szCs w:val="21"/>
                <w14:ligatures w14:val="none"/>
              </w:rPr>
              <w:t>-</w:t>
            </w:r>
          </w:p>
        </w:tc>
        <w:tc>
          <w:tcPr>
            <w:tcW w:w="1081" w:type="pct"/>
            <w:vAlign w:val="center"/>
          </w:tcPr>
          <w:p w14:paraId="2A59C362">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50A944DE">
            <w:pPr>
              <w:widowControl/>
              <w:spacing w:line="240" w:lineRule="auto"/>
              <w:ind w:firstLine="0" w:firstLineChars="0"/>
              <w:jc w:val="center"/>
              <w:rPr>
                <w:rFonts w:ascii="Times New Roman" w:hAnsi="Times New Roman" w:eastAsia="宋体" w:cs="宋体"/>
                <w:kern w:val="0"/>
                <w:sz w:val="21"/>
                <w:szCs w:val="21"/>
                <w14:ligatures w14:val="none"/>
              </w:rPr>
            </w:pPr>
            <w:r>
              <w:rPr>
                <w:rFonts w:hint="eastAsia" w:ascii="Times New Roman" w:hAnsi="Times New Roman" w:eastAsia="宋体" w:cs="Times New Roman"/>
                <w:sz w:val="21"/>
                <w:szCs w:val="21"/>
                <w:lang w:val="en-US" w:eastAsia="zh-CN"/>
                <w14:ligatures w14:val="none"/>
              </w:rPr>
              <w:t>6</w:t>
            </w:r>
            <w:r>
              <w:rPr>
                <w:rFonts w:hint="eastAsia" w:ascii="Times New Roman" w:hAnsi="Times New Roman" w:eastAsia="宋体" w:cs="Times New Roman"/>
                <w:sz w:val="21"/>
                <w:szCs w:val="21"/>
                <w14:ligatures w14:val="none"/>
              </w:rPr>
              <w:t>套</w:t>
            </w:r>
          </w:p>
        </w:tc>
        <w:tc>
          <w:tcPr>
            <w:tcW w:w="1296" w:type="pct"/>
            <w:vAlign w:val="center"/>
          </w:tcPr>
          <w:p w14:paraId="08C3D051">
            <w:pPr>
              <w:widowControl/>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新增</w:t>
            </w:r>
          </w:p>
        </w:tc>
      </w:tr>
      <w:tr w14:paraId="7154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6EEED7DC">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5BDBFC45">
            <w:pPr>
              <w:widowControl/>
              <w:spacing w:line="240" w:lineRule="auto"/>
              <w:ind w:firstLine="0" w:firstLineChars="0"/>
              <w:jc w:val="center"/>
              <w:rPr>
                <w:rFonts w:ascii="Times New Roman" w:hAnsi="Times New Roman" w:eastAsia="宋体" w:cs="宋体"/>
                <w:kern w:val="0"/>
                <w:sz w:val="21"/>
                <w:szCs w:val="21"/>
                <w14:ligatures w14:val="none"/>
              </w:rPr>
            </w:pPr>
            <w:r>
              <w:rPr>
                <w:rFonts w:hint="eastAsia" w:ascii="Times New Roman" w:hAnsi="Times New Roman" w:eastAsia="宋体" w:cs="宋体"/>
                <w:kern w:val="0"/>
                <w:sz w:val="21"/>
                <w:szCs w:val="21"/>
                <w14:ligatures w14:val="none"/>
              </w:rPr>
              <w:t>卸油防溢阀</w:t>
            </w:r>
          </w:p>
        </w:tc>
        <w:tc>
          <w:tcPr>
            <w:tcW w:w="928" w:type="pct"/>
            <w:vAlign w:val="center"/>
          </w:tcPr>
          <w:p w14:paraId="2169CBE5">
            <w:pPr>
              <w:overflowPunct w:val="0"/>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1081" w:type="pct"/>
            <w:vAlign w:val="center"/>
          </w:tcPr>
          <w:p w14:paraId="72BFC816">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385" w:type="pct"/>
            <w:vAlign w:val="center"/>
          </w:tcPr>
          <w:p w14:paraId="426BE12A">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6</w:t>
            </w:r>
            <w:r>
              <w:rPr>
                <w:rFonts w:hint="eastAsia" w:ascii="Times New Roman" w:hAnsi="Times New Roman" w:eastAsia="宋体" w:cs="Times New Roman"/>
                <w:sz w:val="21"/>
                <w:szCs w:val="21"/>
                <w14:ligatures w14:val="none"/>
              </w:rPr>
              <w:t>个</w:t>
            </w:r>
          </w:p>
        </w:tc>
        <w:tc>
          <w:tcPr>
            <w:tcW w:w="1296" w:type="pct"/>
            <w:vAlign w:val="center"/>
          </w:tcPr>
          <w:p w14:paraId="3FA9D4C3">
            <w:pPr>
              <w:widowControl/>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新增</w:t>
            </w:r>
          </w:p>
        </w:tc>
      </w:tr>
      <w:tr w14:paraId="26748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3E4EC0F1">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bookmarkStart w:id="46" w:name="_Toc218437735"/>
          </w:p>
        </w:tc>
        <w:tc>
          <w:tcPr>
            <w:tcW w:w="1003" w:type="pct"/>
            <w:vAlign w:val="center"/>
          </w:tcPr>
          <w:p w14:paraId="21CDD89B">
            <w:pPr>
              <w:widowControl/>
              <w:spacing w:line="240" w:lineRule="auto"/>
              <w:ind w:firstLine="0" w:firstLineChars="0"/>
              <w:jc w:val="center"/>
              <w:rPr>
                <w:rFonts w:hint="default" w:ascii="Times New Roman" w:hAnsi="Times New Roman" w:eastAsia="宋体" w:cs="宋体"/>
                <w:kern w:val="0"/>
                <w:sz w:val="21"/>
                <w:szCs w:val="21"/>
                <w:lang w:val="en-US" w:eastAsia="zh-CN"/>
                <w14:ligatures w14:val="none"/>
              </w:rPr>
            </w:pPr>
            <w:r>
              <w:rPr>
                <w:rFonts w:hint="eastAsia" w:ascii="Times New Roman" w:hAnsi="Times New Roman" w:eastAsia="宋体" w:cs="宋体"/>
                <w:kern w:val="0"/>
                <w:sz w:val="21"/>
                <w:szCs w:val="21"/>
                <w:lang w:val="en-US" w:eastAsia="zh-CN"/>
                <w14:ligatures w14:val="none"/>
              </w:rPr>
              <w:t>三次油气回收处理装置</w:t>
            </w:r>
          </w:p>
        </w:tc>
        <w:tc>
          <w:tcPr>
            <w:tcW w:w="928" w:type="pct"/>
            <w:vAlign w:val="center"/>
          </w:tcPr>
          <w:p w14:paraId="160BC16A">
            <w:pPr>
              <w:overflowPunct w:val="0"/>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w:t>
            </w:r>
          </w:p>
        </w:tc>
        <w:tc>
          <w:tcPr>
            <w:tcW w:w="1081" w:type="pct"/>
            <w:vAlign w:val="center"/>
          </w:tcPr>
          <w:p w14:paraId="6B98AC8F">
            <w:pPr>
              <w:widowControl/>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w:t>
            </w:r>
          </w:p>
        </w:tc>
        <w:tc>
          <w:tcPr>
            <w:tcW w:w="385" w:type="pct"/>
            <w:vAlign w:val="center"/>
          </w:tcPr>
          <w:p w14:paraId="0CC42AF2">
            <w:pPr>
              <w:widowControl/>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1台</w:t>
            </w:r>
          </w:p>
        </w:tc>
        <w:tc>
          <w:tcPr>
            <w:tcW w:w="1296" w:type="pct"/>
            <w:vAlign w:val="center"/>
          </w:tcPr>
          <w:p w14:paraId="16ED3F1F">
            <w:pPr>
              <w:widowControl/>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利旧</w:t>
            </w:r>
          </w:p>
        </w:tc>
      </w:tr>
      <w:tr w14:paraId="63E88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3E1203F4">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3E6E8B7E">
            <w:pPr>
              <w:widowControl/>
              <w:spacing w:line="240" w:lineRule="auto"/>
              <w:ind w:firstLine="0" w:firstLineChars="0"/>
              <w:jc w:val="center"/>
              <w:rPr>
                <w:rFonts w:hint="default" w:ascii="Times New Roman" w:hAnsi="Times New Roman" w:eastAsia="宋体" w:cs="宋体"/>
                <w:kern w:val="0"/>
                <w:sz w:val="21"/>
                <w:szCs w:val="21"/>
                <w:lang w:val="en-US" w:eastAsia="zh-CN"/>
                <w14:ligatures w14:val="none"/>
              </w:rPr>
            </w:pPr>
            <w:r>
              <w:rPr>
                <w:rFonts w:hint="eastAsia" w:ascii="Times New Roman" w:hAnsi="Times New Roman" w:eastAsia="宋体" w:cs="宋体"/>
                <w:kern w:val="0"/>
                <w:sz w:val="21"/>
                <w:szCs w:val="21"/>
                <w:lang w:val="en-US" w:eastAsia="zh-CN"/>
                <w14:ligatures w14:val="none"/>
              </w:rPr>
              <w:t>柴油发电机</w:t>
            </w:r>
          </w:p>
        </w:tc>
        <w:tc>
          <w:tcPr>
            <w:tcW w:w="928" w:type="pct"/>
            <w:vAlign w:val="center"/>
          </w:tcPr>
          <w:p w14:paraId="70378B93">
            <w:pPr>
              <w:overflowPunct w:val="0"/>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TYPE TFW-30</w:t>
            </w:r>
          </w:p>
        </w:tc>
        <w:tc>
          <w:tcPr>
            <w:tcW w:w="1081" w:type="pct"/>
            <w:vAlign w:val="center"/>
          </w:tcPr>
          <w:p w14:paraId="71A64EAC">
            <w:pPr>
              <w:widowControl/>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w:t>
            </w:r>
          </w:p>
        </w:tc>
        <w:tc>
          <w:tcPr>
            <w:tcW w:w="385" w:type="pct"/>
            <w:vAlign w:val="center"/>
          </w:tcPr>
          <w:p w14:paraId="44BD2BBF">
            <w:pPr>
              <w:widowControl/>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1台</w:t>
            </w:r>
          </w:p>
        </w:tc>
        <w:tc>
          <w:tcPr>
            <w:tcW w:w="1296" w:type="pct"/>
            <w:vAlign w:val="center"/>
          </w:tcPr>
          <w:p w14:paraId="4DE3B04C">
            <w:pPr>
              <w:widowControl/>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利旧</w:t>
            </w:r>
          </w:p>
        </w:tc>
      </w:tr>
      <w:tr w14:paraId="4DFBB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04" w:type="pct"/>
            <w:vAlign w:val="center"/>
          </w:tcPr>
          <w:p w14:paraId="26E03619">
            <w:pPr>
              <w:pStyle w:val="47"/>
              <w:numPr>
                <w:ilvl w:val="0"/>
                <w:numId w:val="2"/>
              </w:numPr>
              <w:overflowPunct w:val="0"/>
              <w:spacing w:line="240" w:lineRule="auto"/>
              <w:ind w:firstLineChars="0"/>
              <w:jc w:val="center"/>
              <w:rPr>
                <w:rFonts w:ascii="Times New Roman" w:hAnsi="Times New Roman" w:eastAsia="宋体" w:cs="Times New Roman"/>
                <w:kern w:val="28"/>
                <w:sz w:val="21"/>
                <w:szCs w:val="21"/>
                <w14:ligatures w14:val="none"/>
              </w:rPr>
            </w:pPr>
          </w:p>
        </w:tc>
        <w:tc>
          <w:tcPr>
            <w:tcW w:w="1003" w:type="pct"/>
            <w:vAlign w:val="center"/>
          </w:tcPr>
          <w:p w14:paraId="5C947C57">
            <w:pPr>
              <w:widowControl/>
              <w:spacing w:line="240" w:lineRule="auto"/>
              <w:ind w:firstLine="0" w:firstLineChars="0"/>
              <w:jc w:val="center"/>
              <w:rPr>
                <w:rFonts w:hint="default" w:ascii="Times New Roman" w:hAnsi="Times New Roman" w:eastAsia="宋体" w:cs="宋体"/>
                <w:kern w:val="0"/>
                <w:sz w:val="21"/>
                <w:szCs w:val="21"/>
                <w:lang w:val="en-US" w:eastAsia="zh-CN"/>
                <w14:ligatures w14:val="none"/>
              </w:rPr>
            </w:pPr>
            <w:r>
              <w:rPr>
                <w:rFonts w:hint="eastAsia" w:ascii="Times New Roman" w:hAnsi="Times New Roman" w:eastAsia="宋体" w:cs="宋体"/>
                <w:kern w:val="0"/>
                <w:sz w:val="21"/>
                <w:szCs w:val="21"/>
                <w:lang w:val="en-US" w:eastAsia="zh-CN"/>
                <w14:ligatures w14:val="none"/>
              </w:rPr>
              <w:t>可燃气体报警器</w:t>
            </w:r>
          </w:p>
        </w:tc>
        <w:tc>
          <w:tcPr>
            <w:tcW w:w="928" w:type="pct"/>
            <w:vAlign w:val="center"/>
          </w:tcPr>
          <w:p w14:paraId="21775274">
            <w:pPr>
              <w:overflowPunct w:val="0"/>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w:t>
            </w:r>
          </w:p>
        </w:tc>
        <w:tc>
          <w:tcPr>
            <w:tcW w:w="1081" w:type="pct"/>
            <w:vAlign w:val="center"/>
          </w:tcPr>
          <w:p w14:paraId="7A905DB8">
            <w:pPr>
              <w:widowControl/>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w:t>
            </w:r>
          </w:p>
        </w:tc>
        <w:tc>
          <w:tcPr>
            <w:tcW w:w="385" w:type="pct"/>
            <w:vAlign w:val="center"/>
          </w:tcPr>
          <w:p w14:paraId="34B71ADD">
            <w:pPr>
              <w:widowControl/>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4台</w:t>
            </w:r>
          </w:p>
        </w:tc>
        <w:tc>
          <w:tcPr>
            <w:tcW w:w="1296" w:type="pct"/>
            <w:vAlign w:val="center"/>
          </w:tcPr>
          <w:p w14:paraId="61886E2D">
            <w:pPr>
              <w:widowControl/>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利旧3台，新增1台</w:t>
            </w:r>
          </w:p>
        </w:tc>
      </w:tr>
    </w:tbl>
    <w:p w14:paraId="2C553F4A">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r>
        <w:rPr>
          <w:rFonts w:ascii="Times New Roman" w:hAnsi="Times New Roman" w:eastAsia="楷体" w:cs="宋体"/>
          <w:b/>
          <w:bCs/>
          <w:sz w:val="32"/>
          <w:szCs w:val="28"/>
          <w:lang w:bidi="ar"/>
          <w14:ligatures w14:val="none"/>
        </w:rPr>
        <w:t>2.9劳动定员</w:t>
      </w:r>
      <w:bookmarkEnd w:id="46"/>
    </w:p>
    <w:p w14:paraId="29142AFD">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该站劳动定员为</w:t>
      </w:r>
      <w:r>
        <w:rPr>
          <w:rFonts w:hint="eastAsia" w:ascii="Times New Roman" w:hAnsi="Times New Roman" w:eastAsia="宋体" w:cs="宋体"/>
          <w:szCs w:val="28"/>
          <w:lang w:val="en-US" w:eastAsia="zh-CN" w:bidi="ar"/>
          <w14:ligatures w14:val="none"/>
        </w:rPr>
        <w:t>17</w:t>
      </w:r>
      <w:r>
        <w:rPr>
          <w:rFonts w:hint="eastAsia" w:ascii="Times New Roman" w:hAnsi="Times New Roman" w:eastAsia="宋体" w:cs="宋体"/>
          <w:szCs w:val="28"/>
          <w:lang w:bidi="ar"/>
          <w14:ligatures w14:val="none"/>
        </w:rPr>
        <w:t>人</w:t>
      </w:r>
      <w:r>
        <w:rPr>
          <w:rFonts w:ascii="Times New Roman" w:hAnsi="Times New Roman" w:eastAsia="宋体" w:cs="宋体"/>
          <w:szCs w:val="28"/>
          <w:lang w:bidi="ar"/>
          <w14:ligatures w14:val="none"/>
        </w:rPr>
        <w:t>，其中主要负责人1人、专职安全管理人员1人，加油员</w:t>
      </w:r>
      <w:r>
        <w:rPr>
          <w:rFonts w:hint="eastAsia" w:ascii="Times New Roman" w:hAnsi="Times New Roman" w:eastAsia="宋体" w:cs="宋体"/>
          <w:szCs w:val="28"/>
          <w:lang w:val="en-US" w:eastAsia="zh-CN" w:bidi="ar"/>
          <w14:ligatures w14:val="none"/>
        </w:rPr>
        <w:t>10</w:t>
      </w:r>
      <w:r>
        <w:rPr>
          <w:rFonts w:ascii="Times New Roman" w:hAnsi="Times New Roman" w:eastAsia="宋体" w:cs="宋体"/>
          <w:szCs w:val="28"/>
          <w:lang w:bidi="ar"/>
          <w14:ligatures w14:val="none"/>
        </w:rPr>
        <w:t>人</w:t>
      </w:r>
      <w:r>
        <w:rPr>
          <w:rFonts w:hint="eastAsia" w:ascii="Times New Roman" w:hAnsi="Times New Roman" w:eastAsia="宋体" w:cs="宋体"/>
          <w:szCs w:val="28"/>
          <w:lang w:eastAsia="zh-CN" w:bidi="ar"/>
          <w14:ligatures w14:val="none"/>
        </w:rPr>
        <w:t>，</w:t>
      </w:r>
      <w:r>
        <w:rPr>
          <w:rFonts w:hint="eastAsia" w:ascii="Times New Roman" w:hAnsi="Times New Roman" w:eastAsia="宋体" w:cs="宋体"/>
          <w:szCs w:val="28"/>
          <w:lang w:val="en-US" w:eastAsia="zh-CN" w:bidi="ar"/>
          <w14:ligatures w14:val="none"/>
        </w:rPr>
        <w:t>开票员2人，洗车工3人</w:t>
      </w:r>
      <w:r>
        <w:rPr>
          <w:rFonts w:ascii="Times New Roman" w:hAnsi="Times New Roman" w:eastAsia="宋体" w:cs="宋体"/>
          <w:szCs w:val="28"/>
          <w:lang w:bidi="ar"/>
          <w14:ligatures w14:val="none"/>
        </w:rPr>
        <w:t>。</w:t>
      </w:r>
      <w:r>
        <w:rPr>
          <w:rFonts w:hint="eastAsia" w:ascii="Times New Roman" w:hAnsi="Times New Roman" w:eastAsia="宋体" w:cs="宋体"/>
          <w:szCs w:val="28"/>
          <w:lang w:bidi="ar"/>
          <w14:ligatures w14:val="none"/>
        </w:rPr>
        <w:t>加油员采用两班制。</w:t>
      </w:r>
      <w:r>
        <w:rPr>
          <w:rFonts w:ascii="Times New Roman" w:hAnsi="Times New Roman" w:eastAsia="宋体" w:cs="宋体"/>
          <w:szCs w:val="28"/>
          <w:lang w:bidi="ar"/>
          <w14:ligatures w14:val="none"/>
        </w:rPr>
        <w:br w:type="page"/>
      </w:r>
    </w:p>
    <w:p w14:paraId="6821D39D">
      <w:pPr>
        <w:spacing w:before="468" w:beforeLines="150" w:after="468" w:afterLines="150"/>
        <w:ind w:firstLine="0" w:firstLineChars="0"/>
        <w:jc w:val="center"/>
        <w:outlineLvl w:val="0"/>
        <w:rPr>
          <w:rFonts w:ascii="Times New Roman" w:hAnsi="Times New Roman" w:eastAsia="黑体" w:cs="宋体"/>
          <w:b/>
          <w:bCs/>
          <w:sz w:val="32"/>
          <w:szCs w:val="28"/>
          <w:lang w:bidi="ar"/>
          <w14:ligatures w14:val="none"/>
        </w:rPr>
      </w:pPr>
      <w:bookmarkStart w:id="47" w:name="_Toc218437736"/>
      <w:r>
        <w:rPr>
          <w:rFonts w:ascii="Times New Roman" w:hAnsi="Times New Roman" w:eastAsia="黑体" w:cs="宋体"/>
          <w:b/>
          <w:bCs/>
          <w:sz w:val="32"/>
          <w:szCs w:val="28"/>
          <w:lang w:bidi="ar"/>
          <w14:ligatures w14:val="none"/>
        </w:rPr>
        <w:t>3危险、有害因素和固有的危险、有害程度</w:t>
      </w:r>
      <w:bookmarkEnd w:id="47"/>
    </w:p>
    <w:p w14:paraId="74C014C2">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48" w:name="_Toc218437737"/>
      <w:r>
        <w:rPr>
          <w:rFonts w:ascii="Times New Roman" w:hAnsi="Times New Roman" w:eastAsia="楷体" w:cs="宋体"/>
          <w:b/>
          <w:bCs/>
          <w:sz w:val="32"/>
          <w:szCs w:val="28"/>
          <w:lang w:bidi="ar"/>
          <w14:ligatures w14:val="none"/>
        </w:rPr>
        <w:t>3.1物料的危险、有害因素分析</w:t>
      </w:r>
      <w:bookmarkEnd w:id="48"/>
    </w:p>
    <w:p w14:paraId="07E957CE">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储存经营过程中所涉及的化学品为车用乙醇汽油、柴油。</w:t>
      </w:r>
    </w:p>
    <w:p w14:paraId="1DDA4118">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根据《危险化学品目录（2015版）》（国家安全生产监督管理总局等十部委公告2015年第5号）</w:t>
      </w:r>
      <w:r>
        <w:rPr>
          <w:rFonts w:hint="eastAsia" w:ascii="Times New Roman" w:hAnsi="Times New Roman" w:eastAsia="宋体" w:cs="宋体"/>
          <w:szCs w:val="28"/>
          <w:lang w:eastAsia="zh-CN" w:bidi="ar"/>
          <w14:ligatures w14:val="none"/>
        </w:rPr>
        <w:t>、</w:t>
      </w:r>
      <w:r>
        <w:rPr>
          <w:rFonts w:ascii="Times New Roman" w:hAnsi="Times New Roman" w:eastAsia="宋体" w:cs="宋体"/>
          <w:szCs w:val="28"/>
          <w:lang w:bidi="ar"/>
          <w14:ligatures w14:val="none"/>
        </w:rPr>
        <w:t>《应急管理部等10部门关于调整&lt;危险化学品目录（2015版）&gt;的公告》（应急管理部等10部门公告2022年第8号，2023年1月1日施行）</w:t>
      </w:r>
      <w:r>
        <w:rPr>
          <w:rFonts w:hint="eastAsia" w:ascii="Times New Roman" w:hAnsi="Times New Roman" w:eastAsia="宋体" w:cs="宋体"/>
          <w:szCs w:val="28"/>
          <w:lang w:val="en-US" w:eastAsia="zh-CN" w:bidi="ar"/>
          <w14:ligatures w14:val="none"/>
        </w:rPr>
        <w:t>及《关于公布将3-氯丙炔等5种化学品纳入&lt;危险化学品目录（2015版）&gt;的公告》（应急管理部等十部门公告2026年第3号，2026年04月09日实施）</w:t>
      </w:r>
      <w:r>
        <w:rPr>
          <w:rFonts w:ascii="Times New Roman" w:hAnsi="Times New Roman" w:eastAsia="宋体" w:cs="宋体"/>
          <w:szCs w:val="28"/>
          <w:lang w:bidi="ar"/>
          <w14:ligatures w14:val="none"/>
        </w:rPr>
        <w:t>，站内储存经营过程中涉及的车用乙醇汽油、柴油为危险化学品。</w:t>
      </w:r>
    </w:p>
    <w:p w14:paraId="12C5A15B">
      <w:pPr>
        <w:ind w:firstLine="560"/>
        <w:rPr>
          <w:rFonts w:ascii="Times New Roman" w:hAnsi="Times New Roman" w:eastAsia="宋体" w:cs="宋体"/>
          <w:szCs w:val="28"/>
          <w:lang w:bidi="ar"/>
          <w14:ligatures w14:val="none"/>
        </w:rPr>
        <w:sectPr>
          <w:pgSz w:w="11906" w:h="16838"/>
          <w:pgMar w:top="1418" w:right="1134" w:bottom="1134" w:left="1588" w:header="851" w:footer="992" w:gutter="0"/>
          <w:cols w:space="425" w:num="1"/>
          <w:docGrid w:type="lines" w:linePitch="312" w:charSpace="0"/>
        </w:sectPr>
      </w:pPr>
      <w:r>
        <w:rPr>
          <w:rFonts w:ascii="Times New Roman" w:hAnsi="Times New Roman" w:eastAsia="宋体" w:cs="宋体"/>
          <w:szCs w:val="28"/>
          <w:lang w:bidi="ar"/>
          <w14:ligatures w14:val="none"/>
        </w:rPr>
        <w:t>理化性质表和危险特性及其数据来源见附件3（F3.1）。</w:t>
      </w:r>
    </w:p>
    <w:p w14:paraId="43534EC4">
      <w:pPr>
        <w:pStyle w:val="43"/>
        <w:keepNext/>
        <w:spacing w:before="190" w:beforeLines="50" w:after="190" w:afterLines="50"/>
        <w:ind w:firstLine="480"/>
        <w:rPr>
          <w:rFonts w:eastAsia="黑体"/>
          <w:sz w:val="24"/>
        </w:rPr>
      </w:pPr>
      <w:r>
        <w:rPr>
          <w:rFonts w:eastAsia="黑体"/>
          <w:sz w:val="24"/>
        </w:rPr>
        <w:t>表3.1-1  站内涉及的危险化学品的理化性质分析结果</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865"/>
        <w:gridCol w:w="819"/>
        <w:gridCol w:w="742"/>
        <w:gridCol w:w="745"/>
        <w:gridCol w:w="865"/>
        <w:gridCol w:w="2210"/>
        <w:gridCol w:w="991"/>
        <w:gridCol w:w="994"/>
        <w:gridCol w:w="991"/>
        <w:gridCol w:w="851"/>
        <w:gridCol w:w="708"/>
        <w:gridCol w:w="1045"/>
        <w:gridCol w:w="851"/>
        <w:gridCol w:w="762"/>
      </w:tblGrid>
      <w:tr w14:paraId="60DA2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293" w:type="pct"/>
            <w:vAlign w:val="center"/>
          </w:tcPr>
          <w:p w14:paraId="42CBEEA9">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物料名称</w:t>
            </w:r>
          </w:p>
        </w:tc>
        <w:tc>
          <w:tcPr>
            <w:tcW w:w="303" w:type="pct"/>
            <w:vAlign w:val="center"/>
          </w:tcPr>
          <w:p w14:paraId="248F91A1">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危险化学品目录序号</w:t>
            </w:r>
          </w:p>
        </w:tc>
        <w:tc>
          <w:tcPr>
            <w:tcW w:w="287" w:type="pct"/>
            <w:vAlign w:val="center"/>
          </w:tcPr>
          <w:p w14:paraId="32D284DD">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C</w:t>
            </w:r>
            <w:r>
              <w:rPr>
                <w:rFonts w:ascii="Times New Roman" w:hAnsi="Times New Roman" w:eastAsia="宋体" w:cs="Times New Roman"/>
                <w:sz w:val="21"/>
                <w:szCs w:val="21"/>
                <w14:ligatures w14:val="none"/>
              </w:rPr>
              <w:t>AS</w:t>
            </w:r>
            <w:r>
              <w:rPr>
                <w:rFonts w:hint="eastAsia" w:ascii="Times New Roman" w:hAnsi="Times New Roman" w:eastAsia="宋体" w:cs="Times New Roman"/>
                <w:sz w:val="21"/>
                <w:szCs w:val="21"/>
                <w14:ligatures w14:val="none"/>
              </w:rPr>
              <w:t>号</w:t>
            </w:r>
          </w:p>
        </w:tc>
        <w:tc>
          <w:tcPr>
            <w:tcW w:w="260" w:type="pct"/>
            <w:vAlign w:val="center"/>
          </w:tcPr>
          <w:p w14:paraId="513FCEAD">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UN编号</w:t>
            </w:r>
          </w:p>
        </w:tc>
        <w:tc>
          <w:tcPr>
            <w:tcW w:w="261" w:type="pct"/>
            <w:vAlign w:val="center"/>
          </w:tcPr>
          <w:p w14:paraId="17E8AC20">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包装类别</w:t>
            </w:r>
          </w:p>
        </w:tc>
        <w:tc>
          <w:tcPr>
            <w:tcW w:w="303" w:type="pct"/>
            <w:vAlign w:val="center"/>
          </w:tcPr>
          <w:p w14:paraId="542002F8">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主要危险性</w:t>
            </w:r>
          </w:p>
        </w:tc>
        <w:tc>
          <w:tcPr>
            <w:tcW w:w="774" w:type="pct"/>
            <w:vAlign w:val="center"/>
          </w:tcPr>
          <w:p w14:paraId="6B1EB889">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危险化学品</w:t>
            </w:r>
          </w:p>
          <w:p w14:paraId="149A54CF">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分类</w:t>
            </w:r>
          </w:p>
        </w:tc>
        <w:tc>
          <w:tcPr>
            <w:tcW w:w="347" w:type="pct"/>
            <w:vAlign w:val="center"/>
          </w:tcPr>
          <w:p w14:paraId="7FB4588B">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密度（</w:t>
            </w:r>
            <w:r>
              <w:rPr>
                <w:rFonts w:hint="eastAsia" w:ascii="Times New Roman" w:hAnsi="Times New Roman" w:eastAsia="宋体" w:cs="Times New Roman"/>
                <w:sz w:val="21"/>
                <w:szCs w:val="21"/>
                <w14:ligatures w14:val="none"/>
              </w:rPr>
              <w:t>t/m</w:t>
            </w:r>
            <w:r>
              <w:rPr>
                <w:rFonts w:hint="eastAsia" w:ascii="Times New Roman" w:hAnsi="Times New Roman" w:eastAsia="宋体" w:cs="Times New Roman"/>
                <w:sz w:val="21"/>
                <w:szCs w:val="21"/>
                <w:vertAlign w:val="superscript"/>
                <w14:ligatures w14:val="none"/>
              </w:rPr>
              <w:t>3</w:t>
            </w:r>
            <w:r>
              <w:rPr>
                <w:rFonts w:ascii="Times New Roman" w:hAnsi="Times New Roman" w:eastAsia="宋体" w:cs="Times New Roman"/>
                <w:sz w:val="21"/>
                <w:szCs w:val="21"/>
                <w14:ligatures w14:val="none"/>
              </w:rPr>
              <w:t>）</w:t>
            </w:r>
          </w:p>
        </w:tc>
        <w:tc>
          <w:tcPr>
            <w:tcW w:w="348" w:type="pct"/>
            <w:vAlign w:val="center"/>
          </w:tcPr>
          <w:p w14:paraId="44B5DA69">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沸点</w:t>
            </w:r>
          </w:p>
          <w:p w14:paraId="0F88C930">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w:t>
            </w:r>
          </w:p>
        </w:tc>
        <w:tc>
          <w:tcPr>
            <w:tcW w:w="347" w:type="pct"/>
            <w:vAlign w:val="center"/>
          </w:tcPr>
          <w:p w14:paraId="0D9ADE27">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闪点（℃）</w:t>
            </w:r>
          </w:p>
        </w:tc>
        <w:tc>
          <w:tcPr>
            <w:tcW w:w="298" w:type="pct"/>
            <w:vAlign w:val="center"/>
          </w:tcPr>
          <w:p w14:paraId="09493BFD">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职业接触限值</w:t>
            </w:r>
          </w:p>
        </w:tc>
        <w:tc>
          <w:tcPr>
            <w:tcW w:w="248" w:type="pct"/>
            <w:vAlign w:val="center"/>
          </w:tcPr>
          <w:p w14:paraId="598F06C4">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毒性等级</w:t>
            </w:r>
          </w:p>
        </w:tc>
        <w:tc>
          <w:tcPr>
            <w:tcW w:w="366" w:type="pct"/>
            <w:vAlign w:val="center"/>
          </w:tcPr>
          <w:p w14:paraId="5F036D56">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爆炸极限</w:t>
            </w:r>
          </w:p>
        </w:tc>
        <w:tc>
          <w:tcPr>
            <w:tcW w:w="298" w:type="pct"/>
            <w:vAlign w:val="center"/>
          </w:tcPr>
          <w:p w14:paraId="218657CF">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火灾危险性分类</w:t>
            </w:r>
          </w:p>
        </w:tc>
        <w:tc>
          <w:tcPr>
            <w:tcW w:w="267" w:type="pct"/>
            <w:vAlign w:val="center"/>
          </w:tcPr>
          <w:p w14:paraId="39E35254">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危害特性</w:t>
            </w:r>
          </w:p>
        </w:tc>
      </w:tr>
      <w:tr w14:paraId="229E5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 w:type="pct"/>
            <w:vAlign w:val="center"/>
          </w:tcPr>
          <w:p w14:paraId="4D540934">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车用乙醇汽油</w:t>
            </w:r>
          </w:p>
        </w:tc>
        <w:tc>
          <w:tcPr>
            <w:tcW w:w="303" w:type="pct"/>
            <w:vAlign w:val="center"/>
          </w:tcPr>
          <w:p w14:paraId="2BF1DC65">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1630</w:t>
            </w:r>
          </w:p>
        </w:tc>
        <w:tc>
          <w:tcPr>
            <w:tcW w:w="287" w:type="pct"/>
            <w:vAlign w:val="center"/>
          </w:tcPr>
          <w:p w14:paraId="78A0D39F">
            <w:pPr>
              <w:widowControl/>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w:t>
            </w:r>
          </w:p>
        </w:tc>
        <w:tc>
          <w:tcPr>
            <w:tcW w:w="260" w:type="pct"/>
            <w:vAlign w:val="center"/>
          </w:tcPr>
          <w:p w14:paraId="4CE37F29">
            <w:pPr>
              <w:widowControl/>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1203</w:t>
            </w:r>
          </w:p>
        </w:tc>
        <w:tc>
          <w:tcPr>
            <w:tcW w:w="261" w:type="pct"/>
            <w:vAlign w:val="center"/>
          </w:tcPr>
          <w:p w14:paraId="4E92203C">
            <w:pPr>
              <w:widowControl/>
              <w:spacing w:line="240" w:lineRule="auto"/>
              <w:ind w:firstLine="0" w:firstLineChars="0"/>
              <w:jc w:val="center"/>
              <w:rPr>
                <w:rFonts w:ascii="Times New Roman" w:hAnsi="Times New Roman" w:eastAsia="宋体" w:cs="Times New Roman"/>
                <w:sz w:val="21"/>
                <w14:ligatures w14:val="none"/>
              </w:rPr>
            </w:pPr>
            <w:r>
              <w:rPr>
                <w:rFonts w:hint="eastAsia" w:ascii="宋体" w:hAnsi="宋体" w:eastAsia="宋体" w:cs="Times New Roman"/>
                <w:sz w:val="21"/>
                <w14:ligatures w14:val="none"/>
              </w:rPr>
              <w:t>Ⅱ</w:t>
            </w:r>
          </w:p>
        </w:tc>
        <w:tc>
          <w:tcPr>
            <w:tcW w:w="303" w:type="pct"/>
            <w:vAlign w:val="center"/>
          </w:tcPr>
          <w:p w14:paraId="56EB7D8E">
            <w:pPr>
              <w:widowControl/>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74" w:type="pct"/>
            <w:vAlign w:val="center"/>
          </w:tcPr>
          <w:p w14:paraId="233C8FAC">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sz w:val="21"/>
                <w14:ligatures w14:val="none"/>
              </w:rPr>
              <w:t>易燃液体，类别2</w:t>
            </w:r>
            <w:r>
              <w:rPr>
                <w:rFonts w:ascii="Times New Roman" w:hAnsi="Times New Roman" w:eastAsia="宋体" w:cs="Times New Roman"/>
                <w:kern w:val="0"/>
                <w:sz w:val="21"/>
                <w14:ligatures w14:val="none"/>
              </w:rPr>
              <w:t>*</w:t>
            </w:r>
          </w:p>
          <w:p w14:paraId="65608037">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14:ligatures w14:val="none"/>
              </w:rPr>
              <w:t>生殖细胞致突变性</w:t>
            </w:r>
            <w:r>
              <w:rPr>
                <w:rFonts w:hint="eastAsia" w:ascii="Times New Roman" w:hAnsi="Times New Roman" w:eastAsia="宋体" w:cs="Times New Roman"/>
                <w:kern w:val="0"/>
                <w:sz w:val="21"/>
                <w14:ligatures w14:val="none"/>
              </w:rPr>
              <w:t>，</w:t>
            </w:r>
            <w:r>
              <w:rPr>
                <w:rFonts w:ascii="Times New Roman" w:hAnsi="Times New Roman" w:eastAsia="宋体" w:cs="Times New Roman"/>
                <w:kern w:val="0"/>
                <w:sz w:val="21"/>
                <w14:ligatures w14:val="none"/>
              </w:rPr>
              <w:t>类别1B</w:t>
            </w:r>
          </w:p>
          <w:p w14:paraId="4223A9CD">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14:ligatures w14:val="none"/>
              </w:rPr>
              <w:t>致癌性</w:t>
            </w:r>
            <w:r>
              <w:rPr>
                <w:rFonts w:hint="eastAsia" w:ascii="Times New Roman" w:hAnsi="Times New Roman" w:eastAsia="宋体" w:cs="Times New Roman"/>
                <w:kern w:val="0"/>
                <w:sz w:val="21"/>
                <w14:ligatures w14:val="none"/>
              </w:rPr>
              <w:t>，</w:t>
            </w:r>
            <w:r>
              <w:rPr>
                <w:rFonts w:ascii="Times New Roman" w:hAnsi="Times New Roman" w:eastAsia="宋体" w:cs="Times New Roman"/>
                <w:kern w:val="0"/>
                <w:sz w:val="21"/>
                <w14:ligatures w14:val="none"/>
              </w:rPr>
              <w:t>类别2</w:t>
            </w:r>
          </w:p>
          <w:p w14:paraId="6D3605EC">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14:ligatures w14:val="none"/>
              </w:rPr>
              <w:t>危害水生环境-急性危害</w:t>
            </w:r>
            <w:r>
              <w:rPr>
                <w:rFonts w:hint="eastAsia" w:ascii="Times New Roman" w:hAnsi="Times New Roman" w:eastAsia="宋体" w:cs="Times New Roman"/>
                <w:kern w:val="0"/>
                <w:sz w:val="21"/>
                <w14:ligatures w14:val="none"/>
              </w:rPr>
              <w:t>，</w:t>
            </w:r>
            <w:r>
              <w:rPr>
                <w:rFonts w:ascii="Times New Roman" w:hAnsi="Times New Roman" w:eastAsia="宋体" w:cs="Times New Roman"/>
                <w:kern w:val="0"/>
                <w:sz w:val="21"/>
                <w14:ligatures w14:val="none"/>
              </w:rPr>
              <w:t>类别2</w:t>
            </w:r>
          </w:p>
          <w:p w14:paraId="4C8E1084">
            <w:pPr>
              <w:spacing w:line="240" w:lineRule="auto"/>
              <w:ind w:firstLine="0" w:firstLineChars="0"/>
              <w:rPr>
                <w:rFonts w:ascii="Times New Roman" w:hAnsi="Times New Roman" w:eastAsia="宋体" w:cs="Times New Roman"/>
                <w:sz w:val="21"/>
                <w14:ligatures w14:val="none"/>
              </w:rPr>
            </w:pPr>
            <w:r>
              <w:rPr>
                <w:rFonts w:ascii="Times New Roman" w:hAnsi="Times New Roman" w:eastAsia="宋体" w:cs="Times New Roman"/>
                <w:kern w:val="0"/>
                <w:sz w:val="21"/>
                <w14:ligatures w14:val="none"/>
              </w:rPr>
              <w:t>危害水生环境-长期危害</w:t>
            </w:r>
            <w:r>
              <w:rPr>
                <w:rFonts w:hint="eastAsia" w:ascii="Times New Roman" w:hAnsi="Times New Roman" w:eastAsia="宋体" w:cs="Times New Roman"/>
                <w:kern w:val="0"/>
                <w:sz w:val="21"/>
                <w14:ligatures w14:val="none"/>
              </w:rPr>
              <w:t>，</w:t>
            </w:r>
            <w:r>
              <w:rPr>
                <w:rFonts w:ascii="Times New Roman" w:hAnsi="Times New Roman" w:eastAsia="宋体" w:cs="Times New Roman"/>
                <w:kern w:val="0"/>
                <w:sz w:val="21"/>
                <w14:ligatures w14:val="none"/>
              </w:rPr>
              <w:t>类别2</w:t>
            </w:r>
          </w:p>
        </w:tc>
        <w:tc>
          <w:tcPr>
            <w:tcW w:w="347" w:type="pct"/>
            <w:vAlign w:val="center"/>
          </w:tcPr>
          <w:p w14:paraId="011C7372">
            <w:pPr>
              <w:spacing w:line="240" w:lineRule="auto"/>
              <w:ind w:firstLine="22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kern w:val="0"/>
                <w:sz w:val="21"/>
                <w:szCs w:val="22"/>
                <w14:ligatures w14:val="none"/>
              </w:rPr>
              <w:t>0.70～0.80</w:t>
            </w:r>
          </w:p>
        </w:tc>
        <w:tc>
          <w:tcPr>
            <w:tcW w:w="348" w:type="pct"/>
            <w:vAlign w:val="center"/>
          </w:tcPr>
          <w:p w14:paraId="3B858793">
            <w:pPr>
              <w:spacing w:line="240" w:lineRule="auto"/>
              <w:ind w:firstLine="0" w:firstLineChars="0"/>
              <w:jc w:val="center"/>
              <w:rPr>
                <w:rFonts w:ascii="Times New Roman" w:hAnsi="Times New Roman" w:eastAsia="宋体" w:cs="Times New Roman"/>
                <w:sz w:val="21"/>
                <w14:ligatures w14:val="none"/>
              </w:rPr>
            </w:pPr>
            <w:r>
              <w:rPr>
                <w:rFonts w:ascii="Times New Roman" w:hAnsi="Times New Roman" w:eastAsia="宋体" w:cs="Times New Roman"/>
                <w:sz w:val="21"/>
                <w14:ligatures w14:val="none"/>
              </w:rPr>
              <w:t>30-205</w:t>
            </w:r>
          </w:p>
        </w:tc>
        <w:tc>
          <w:tcPr>
            <w:tcW w:w="347" w:type="pct"/>
            <w:vAlign w:val="center"/>
          </w:tcPr>
          <w:p w14:paraId="0CAEDDDC">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-46</w:t>
            </w:r>
          </w:p>
        </w:tc>
        <w:tc>
          <w:tcPr>
            <w:tcW w:w="298" w:type="pct"/>
            <w:vAlign w:val="center"/>
          </w:tcPr>
          <w:p w14:paraId="2B81FC7E">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PC-TWA：300mg/m³</w:t>
            </w:r>
          </w:p>
        </w:tc>
        <w:tc>
          <w:tcPr>
            <w:tcW w:w="248" w:type="pct"/>
            <w:vAlign w:val="center"/>
          </w:tcPr>
          <w:p w14:paraId="34C030C3">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低毒</w:t>
            </w:r>
          </w:p>
        </w:tc>
        <w:tc>
          <w:tcPr>
            <w:tcW w:w="366" w:type="pct"/>
            <w:vAlign w:val="center"/>
          </w:tcPr>
          <w:p w14:paraId="4C1B6B27">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1.4</w:t>
            </w:r>
            <w:r>
              <w:rPr>
                <w:rFonts w:hint="eastAsia" w:ascii="Times New Roman" w:hAnsi="Times New Roman" w:eastAsia="宋体" w:cs="Times New Roman"/>
                <w:sz w:val="21"/>
                <w:szCs w:val="21"/>
                <w14:ligatures w14:val="none"/>
              </w:rPr>
              <w:t>%-</w:t>
            </w:r>
            <w:r>
              <w:rPr>
                <w:rFonts w:ascii="Times New Roman" w:hAnsi="Times New Roman" w:eastAsia="宋体" w:cs="Times New Roman"/>
                <w:sz w:val="21"/>
                <w:szCs w:val="21"/>
                <w14:ligatures w14:val="none"/>
              </w:rPr>
              <w:t>7.6%</w:t>
            </w:r>
          </w:p>
        </w:tc>
        <w:tc>
          <w:tcPr>
            <w:tcW w:w="298" w:type="pct"/>
            <w:vAlign w:val="center"/>
          </w:tcPr>
          <w:p w14:paraId="52EA877E">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甲类</w:t>
            </w:r>
          </w:p>
        </w:tc>
        <w:tc>
          <w:tcPr>
            <w:tcW w:w="267" w:type="pct"/>
            <w:vAlign w:val="center"/>
          </w:tcPr>
          <w:p w14:paraId="0A5CBBD4">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高度易燃液体</w:t>
            </w:r>
          </w:p>
        </w:tc>
      </w:tr>
      <w:tr w14:paraId="5A3A6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93" w:type="pct"/>
            <w:vAlign w:val="center"/>
          </w:tcPr>
          <w:p w14:paraId="3BE50583">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柴油</w:t>
            </w:r>
          </w:p>
        </w:tc>
        <w:tc>
          <w:tcPr>
            <w:tcW w:w="303" w:type="pct"/>
            <w:vAlign w:val="center"/>
          </w:tcPr>
          <w:p w14:paraId="5C1142B0">
            <w:pPr>
              <w:widowControl/>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1674</w:t>
            </w:r>
          </w:p>
        </w:tc>
        <w:tc>
          <w:tcPr>
            <w:tcW w:w="287" w:type="pct"/>
            <w:vAlign w:val="center"/>
          </w:tcPr>
          <w:p w14:paraId="1D383A73">
            <w:pPr>
              <w:widowControl/>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68334-30-5</w:t>
            </w:r>
          </w:p>
        </w:tc>
        <w:tc>
          <w:tcPr>
            <w:tcW w:w="260" w:type="pct"/>
            <w:vAlign w:val="center"/>
          </w:tcPr>
          <w:p w14:paraId="1126FF75">
            <w:pPr>
              <w:widowControl/>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1202</w:t>
            </w:r>
          </w:p>
        </w:tc>
        <w:tc>
          <w:tcPr>
            <w:tcW w:w="261" w:type="pct"/>
            <w:vAlign w:val="center"/>
          </w:tcPr>
          <w:p w14:paraId="2022EF64">
            <w:pPr>
              <w:widowControl/>
              <w:spacing w:line="240" w:lineRule="auto"/>
              <w:ind w:firstLine="0" w:firstLineChars="0"/>
              <w:jc w:val="center"/>
              <w:rPr>
                <w:rFonts w:hint="eastAsia" w:ascii="宋体" w:hAnsi="宋体" w:eastAsia="宋体" w:cs="Times New Roman"/>
                <w:sz w:val="21"/>
                <w14:ligatures w14:val="none"/>
              </w:rPr>
            </w:pPr>
            <w:r>
              <w:rPr>
                <w:rFonts w:hint="eastAsia" w:ascii="宋体" w:hAnsi="宋体" w:eastAsia="宋体" w:cs="Times New Roman"/>
                <w:sz w:val="21"/>
                <w14:ligatures w14:val="none"/>
              </w:rPr>
              <w:t>Ⅲ</w:t>
            </w:r>
          </w:p>
        </w:tc>
        <w:tc>
          <w:tcPr>
            <w:tcW w:w="303" w:type="pct"/>
            <w:vAlign w:val="center"/>
          </w:tcPr>
          <w:p w14:paraId="77469888">
            <w:pPr>
              <w:widowControl/>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74" w:type="pct"/>
            <w:vAlign w:val="center"/>
          </w:tcPr>
          <w:p w14:paraId="6A568500">
            <w:pPr>
              <w:widowControl/>
              <w:spacing w:line="240" w:lineRule="auto"/>
              <w:ind w:firstLine="0" w:firstLineChars="0"/>
              <w:rPr>
                <w:rFonts w:ascii="Times New Roman" w:hAnsi="Times New Roman" w:eastAsia="宋体" w:cs="Times New Roman"/>
                <w:sz w:val="21"/>
                <w14:ligatures w14:val="none"/>
              </w:rPr>
            </w:pPr>
            <w:r>
              <w:rPr>
                <w:rFonts w:ascii="Times New Roman" w:hAnsi="Times New Roman" w:eastAsia="宋体" w:cs="Times New Roman"/>
                <w:sz w:val="21"/>
                <w14:ligatures w14:val="none"/>
              </w:rPr>
              <w:t>易燃液体，类别3</w:t>
            </w:r>
          </w:p>
        </w:tc>
        <w:tc>
          <w:tcPr>
            <w:tcW w:w="347" w:type="pct"/>
            <w:vAlign w:val="center"/>
          </w:tcPr>
          <w:p w14:paraId="14394AE9">
            <w:pPr>
              <w:spacing w:line="240" w:lineRule="auto"/>
              <w:ind w:firstLine="220" w:firstLineChars="0"/>
              <w:jc w:val="center"/>
              <w:rPr>
                <w:rFonts w:ascii="Times New Roman" w:hAnsi="Times New Roman" w:eastAsia="宋体" w:cs="Times New Roman"/>
                <w:kern w:val="0"/>
                <w:sz w:val="21"/>
                <w:szCs w:val="22"/>
                <w14:ligatures w14:val="none"/>
              </w:rPr>
            </w:pPr>
            <w:r>
              <w:rPr>
                <w:rFonts w:ascii="Times New Roman" w:hAnsi="Times New Roman" w:eastAsia="宋体" w:cs="Times New Roman"/>
                <w:kern w:val="0"/>
                <w:sz w:val="21"/>
                <w:szCs w:val="22"/>
                <w14:ligatures w14:val="none"/>
              </w:rPr>
              <w:t>0.79～0.85</w:t>
            </w:r>
          </w:p>
        </w:tc>
        <w:tc>
          <w:tcPr>
            <w:tcW w:w="348" w:type="pct"/>
            <w:vAlign w:val="center"/>
          </w:tcPr>
          <w:p w14:paraId="74FB946C">
            <w:pPr>
              <w:spacing w:line="240" w:lineRule="auto"/>
              <w:ind w:firstLine="0" w:firstLineChars="0"/>
              <w:jc w:val="center"/>
              <w:rPr>
                <w:rFonts w:ascii="Times New Roman" w:hAnsi="Times New Roman" w:eastAsia="宋体" w:cs="Times New Roman"/>
                <w:sz w:val="21"/>
                <w14:ligatures w14:val="none"/>
              </w:rPr>
            </w:pPr>
            <w:r>
              <w:rPr>
                <w:rFonts w:ascii="Times New Roman" w:hAnsi="Times New Roman" w:eastAsia="宋体" w:cs="Times New Roman"/>
                <w:sz w:val="21"/>
                <w14:ligatures w14:val="none"/>
              </w:rPr>
              <w:t>282-338</w:t>
            </w:r>
          </w:p>
        </w:tc>
        <w:tc>
          <w:tcPr>
            <w:tcW w:w="347" w:type="pct"/>
            <w:vAlign w:val="center"/>
          </w:tcPr>
          <w:p w14:paraId="25704263">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-35/</w:t>
            </w:r>
          </w:p>
          <w:p w14:paraId="7279F3E2">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≥45</w:t>
            </w:r>
          </w:p>
        </w:tc>
        <w:tc>
          <w:tcPr>
            <w:tcW w:w="298" w:type="pct"/>
            <w:vAlign w:val="center"/>
          </w:tcPr>
          <w:p w14:paraId="4B8E20A8">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w:t>
            </w:r>
          </w:p>
        </w:tc>
        <w:tc>
          <w:tcPr>
            <w:tcW w:w="248" w:type="pct"/>
            <w:vAlign w:val="center"/>
          </w:tcPr>
          <w:p w14:paraId="2687BB1A">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低毒</w:t>
            </w:r>
          </w:p>
        </w:tc>
        <w:tc>
          <w:tcPr>
            <w:tcW w:w="366" w:type="pct"/>
            <w:vAlign w:val="center"/>
          </w:tcPr>
          <w:p w14:paraId="4021A7C4">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0.6%-6.5%</w:t>
            </w:r>
          </w:p>
        </w:tc>
        <w:tc>
          <w:tcPr>
            <w:tcW w:w="298" w:type="pct"/>
            <w:vAlign w:val="center"/>
          </w:tcPr>
          <w:p w14:paraId="662DE371">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乙类</w:t>
            </w:r>
            <w:r>
              <w:rPr>
                <w:rFonts w:hint="eastAsia" w:ascii="Times New Roman" w:hAnsi="Times New Roman" w:eastAsia="宋体" w:cs="Times New Roman"/>
                <w:sz w:val="21"/>
                <w:szCs w:val="21"/>
                <w14:ligatures w14:val="none"/>
              </w:rPr>
              <w:t>/丙类</w:t>
            </w:r>
          </w:p>
        </w:tc>
        <w:tc>
          <w:tcPr>
            <w:tcW w:w="267" w:type="pct"/>
            <w:vAlign w:val="center"/>
          </w:tcPr>
          <w:p w14:paraId="097B4CB5">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bCs/>
                <w:sz w:val="21"/>
                <w:szCs w:val="21"/>
                <w14:ligatures w14:val="none"/>
              </w:rPr>
              <w:t>易燃、刺激性</w:t>
            </w:r>
          </w:p>
        </w:tc>
      </w:tr>
      <w:tr w14:paraId="39A1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15"/>
            <w:vAlign w:val="center"/>
          </w:tcPr>
          <w:p w14:paraId="2FD5D6E4">
            <w:pPr>
              <w:spacing w:line="240" w:lineRule="auto"/>
              <w:ind w:firstLine="0" w:firstLineChars="0"/>
              <w:jc w:val="left"/>
              <w:rPr>
                <w:rFonts w:ascii="Times New Roman" w:hAnsi="Times New Roman" w:eastAsia="宋体" w:cs="Times New Roman"/>
                <w:color w:val="FF0000"/>
                <w:sz w:val="21"/>
                <w:szCs w:val="21"/>
                <w14:ligatures w14:val="none"/>
              </w:rPr>
            </w:pPr>
            <w:r>
              <w:rPr>
                <w:rFonts w:hint="eastAsia" w:ascii="Times New Roman" w:hAnsi="Times New Roman" w:eastAsia="宋体" w:cs="Times New Roman"/>
                <w:sz w:val="21"/>
                <w:szCs w:val="21"/>
                <w14:ligatures w14:val="none"/>
              </w:rPr>
              <w:t>注：根据《危险货物品名表》（GB 12268-2025）辨识出柴油、车用乙醇汽油的UN编号、包装类别及主要危险性。</w:t>
            </w:r>
          </w:p>
        </w:tc>
      </w:tr>
    </w:tbl>
    <w:p w14:paraId="7F004926">
      <w:pPr>
        <w:pStyle w:val="43"/>
        <w:keepNext/>
        <w:spacing w:before="190" w:beforeLines="50" w:after="190" w:afterLines="50"/>
        <w:ind w:firstLine="480"/>
        <w:rPr>
          <w:rFonts w:eastAsia="黑体"/>
          <w:sz w:val="24"/>
        </w:rPr>
      </w:pPr>
    </w:p>
    <w:p w14:paraId="651225DD">
      <w:pPr>
        <w:ind w:firstLine="0" w:firstLineChars="0"/>
        <w:rPr>
          <w:rFonts w:ascii="Times New Roman" w:hAnsi="Times New Roman" w:eastAsia="黑体" w:cs="Times New Roman"/>
          <w:sz w:val="24"/>
          <w:szCs w:val="28"/>
        </w:rPr>
      </w:pPr>
    </w:p>
    <w:p w14:paraId="7CE9F8A3">
      <w:pPr>
        <w:ind w:firstLine="560"/>
        <w:rPr>
          <w:rFonts w:hint="eastAsia" w:eastAsia="黑体"/>
        </w:rPr>
        <w:sectPr>
          <w:pgSz w:w="16838" w:h="11906" w:orient="landscape"/>
          <w:pgMar w:top="1588" w:right="1418" w:bottom="1134" w:left="1134" w:header="851" w:footer="992" w:gutter="0"/>
          <w:cols w:space="425" w:num="1"/>
          <w:docGrid w:type="lines" w:linePitch="381" w:charSpace="0"/>
        </w:sectPr>
      </w:pPr>
    </w:p>
    <w:p w14:paraId="7AB28253">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49" w:name="_Toc218437738"/>
      <w:r>
        <w:rPr>
          <w:rFonts w:ascii="Times New Roman" w:hAnsi="Times New Roman" w:eastAsia="楷体" w:cs="宋体"/>
          <w:b/>
          <w:bCs/>
          <w:sz w:val="32"/>
          <w:szCs w:val="28"/>
          <w:lang w:bidi="ar"/>
          <w14:ligatures w14:val="none"/>
        </w:rPr>
        <w:t>3.2</w:t>
      </w:r>
      <w:r>
        <w:rPr>
          <w:rFonts w:hint="eastAsia" w:ascii="Times New Roman" w:hAnsi="Times New Roman" w:eastAsia="楷体" w:cs="宋体"/>
          <w:b/>
          <w:bCs/>
          <w:sz w:val="32"/>
          <w:szCs w:val="28"/>
          <w:lang w:bidi="ar"/>
          <w14:ligatures w14:val="none"/>
        </w:rPr>
        <w:t>储存、经营</w:t>
      </w:r>
      <w:r>
        <w:rPr>
          <w:rFonts w:ascii="Times New Roman" w:hAnsi="Times New Roman" w:eastAsia="楷体" w:cs="宋体"/>
          <w:b/>
          <w:bCs/>
          <w:sz w:val="32"/>
          <w:szCs w:val="28"/>
          <w:lang w:bidi="ar"/>
          <w14:ligatures w14:val="none"/>
        </w:rPr>
        <w:t>过程中的危险、有害因素分析</w:t>
      </w:r>
      <w:bookmarkEnd w:id="49"/>
    </w:p>
    <w:p w14:paraId="2D3E92E7">
      <w:pPr>
        <w:ind w:firstLine="560"/>
        <w:rPr>
          <w:rFonts w:ascii="Times New Roman" w:hAnsi="Times New Roman" w:eastAsia="宋体" w:cs="宋体"/>
          <w:szCs w:val="28"/>
          <w:lang w:bidi="ar"/>
          <w14:ligatures w14:val="none"/>
        </w:rPr>
      </w:pPr>
      <w:r>
        <w:rPr>
          <w:rFonts w:ascii="Times New Roman" w:hAnsi="Times New Roman" w:eastAsia="宋体" w:cs="宋体"/>
          <w:szCs w:val="28"/>
          <w:lang w:bidi="ar"/>
          <w14:ligatures w14:val="none"/>
        </w:rPr>
        <w:t>根据《生产过程危险和有害因素分类与代码》</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GB/T 13861-2022</w:t>
      </w:r>
      <w:r>
        <w:rPr>
          <w:rFonts w:hint="eastAsia" w:ascii="Times New Roman" w:hAnsi="Times New Roman" w:eastAsia="宋体" w:cs="宋体"/>
          <w:szCs w:val="28"/>
          <w:lang w:bidi="ar"/>
          <w14:ligatures w14:val="none"/>
        </w:rPr>
        <w:t>）</w:t>
      </w:r>
      <w:r>
        <w:rPr>
          <w:rFonts w:ascii="Times New Roman" w:hAnsi="Times New Roman" w:eastAsia="宋体" w:cs="宋体"/>
          <w:szCs w:val="28"/>
          <w:lang w:bidi="ar"/>
          <w14:ligatures w14:val="none"/>
        </w:rPr>
        <w:t>和</w:t>
      </w:r>
      <w:r>
        <w:rPr>
          <w:rFonts w:hint="eastAsia" w:ascii="Times New Roman" w:hAnsi="Times New Roman" w:eastAsia="宋体" w:cs="宋体"/>
          <w:szCs w:val="28"/>
          <w:lang w:bidi="ar"/>
          <w14:ligatures w14:val="none"/>
        </w:rPr>
        <w:t>《生产安全事故分类与编码》（GB 6441-2025）</w:t>
      </w:r>
      <w:r>
        <w:rPr>
          <w:rFonts w:ascii="Times New Roman" w:hAnsi="Times New Roman" w:eastAsia="宋体" w:cs="宋体"/>
          <w:szCs w:val="28"/>
          <w:lang w:bidi="ar"/>
          <w14:ligatures w14:val="none"/>
        </w:rPr>
        <w:t>等有关规定，参照同类企业情况，对</w:t>
      </w: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危险、有害因素进行辨识和分析。主要存在的危险、有害因素有：火灾、</w:t>
      </w:r>
      <w:r>
        <w:rPr>
          <w:rFonts w:hint="eastAsia" w:ascii="Times New Roman" w:hAnsi="Times New Roman" w:eastAsia="宋体" w:cs="宋体"/>
          <w:szCs w:val="28"/>
          <w:lang w:val="en-US" w:eastAsia="zh-CN" w:bidi="ar"/>
          <w14:ligatures w14:val="none"/>
        </w:rPr>
        <w:t>可燃液体蒸汽</w:t>
      </w:r>
      <w:r>
        <w:rPr>
          <w:rFonts w:ascii="Times New Roman" w:hAnsi="Times New Roman" w:eastAsia="宋体" w:cs="宋体"/>
          <w:szCs w:val="28"/>
          <w:lang w:bidi="ar"/>
          <w14:ligatures w14:val="none"/>
        </w:rPr>
        <w:t>爆炸、</w:t>
      </w:r>
      <w:r>
        <w:rPr>
          <w:rFonts w:hint="eastAsia" w:ascii="Times New Roman" w:hAnsi="Times New Roman" w:eastAsia="宋体" w:cs="宋体"/>
          <w:szCs w:val="28"/>
          <w:lang w:val="en-US" w:eastAsia="zh-CN" w:bidi="ar"/>
          <w14:ligatures w14:val="none"/>
        </w:rPr>
        <w:t>管道爆炸、泄漏、</w:t>
      </w:r>
      <w:r>
        <w:rPr>
          <w:rFonts w:ascii="Times New Roman" w:hAnsi="Times New Roman" w:eastAsia="宋体" w:cs="宋体"/>
          <w:szCs w:val="28"/>
          <w:lang w:bidi="ar"/>
          <w14:ligatures w14:val="none"/>
        </w:rPr>
        <w:t>中毒</w:t>
      </w:r>
      <w:r>
        <w:rPr>
          <w:rFonts w:hint="eastAsia" w:ascii="Times New Roman" w:hAnsi="Times New Roman" w:eastAsia="宋体" w:cs="宋体"/>
          <w:szCs w:val="28"/>
          <w:lang w:eastAsia="zh-CN" w:bidi="ar"/>
          <w14:ligatures w14:val="none"/>
        </w:rPr>
        <w:t>、</w:t>
      </w:r>
      <w:r>
        <w:rPr>
          <w:rFonts w:ascii="Times New Roman" w:hAnsi="Times New Roman" w:eastAsia="宋体" w:cs="宋体"/>
          <w:szCs w:val="28"/>
          <w:lang w:bidi="ar"/>
          <w14:ligatures w14:val="none"/>
        </w:rPr>
        <w:t>窒息、触电、</w:t>
      </w:r>
      <w:r>
        <w:rPr>
          <w:rFonts w:hint="eastAsia" w:ascii="Times New Roman" w:hAnsi="Times New Roman" w:eastAsia="宋体" w:cs="宋体"/>
          <w:szCs w:val="28"/>
          <w:lang w:val="en-US" w:eastAsia="zh-CN" w:bidi="ar"/>
          <w14:ligatures w14:val="none"/>
        </w:rPr>
        <w:t>厂（场）内</w:t>
      </w:r>
      <w:r>
        <w:rPr>
          <w:rFonts w:ascii="Times New Roman" w:hAnsi="Times New Roman" w:eastAsia="宋体" w:cs="宋体"/>
          <w:szCs w:val="28"/>
          <w:lang w:bidi="ar"/>
          <w14:ligatures w14:val="none"/>
        </w:rPr>
        <w:t>车辆</w:t>
      </w:r>
      <w:r>
        <w:rPr>
          <w:rFonts w:hint="eastAsia" w:ascii="Times New Roman" w:hAnsi="Times New Roman" w:eastAsia="宋体" w:cs="宋体"/>
          <w:szCs w:val="28"/>
          <w:lang w:val="en-US" w:eastAsia="zh-CN" w:bidi="ar"/>
          <w14:ligatures w14:val="none"/>
        </w:rPr>
        <w:t>致</w:t>
      </w:r>
      <w:r>
        <w:rPr>
          <w:rFonts w:ascii="Times New Roman" w:hAnsi="Times New Roman" w:eastAsia="宋体" w:cs="宋体"/>
          <w:szCs w:val="28"/>
          <w:lang w:bidi="ar"/>
          <w14:ligatures w14:val="none"/>
        </w:rPr>
        <w:t>害、高处坠落、物体打击、坍塌、机械</w:t>
      </w:r>
      <w:r>
        <w:rPr>
          <w:rFonts w:hint="eastAsia" w:ascii="Times New Roman" w:hAnsi="Times New Roman" w:eastAsia="宋体" w:cs="宋体"/>
          <w:szCs w:val="28"/>
          <w:lang w:val="en-US" w:eastAsia="zh-CN" w:bidi="ar"/>
          <w14:ligatures w14:val="none"/>
        </w:rPr>
        <w:t>致</w:t>
      </w:r>
      <w:r>
        <w:rPr>
          <w:rFonts w:ascii="Times New Roman" w:hAnsi="Times New Roman" w:eastAsia="宋体" w:cs="宋体"/>
          <w:szCs w:val="28"/>
          <w:lang w:bidi="ar"/>
          <w14:ligatures w14:val="none"/>
        </w:rPr>
        <w:t>害、</w:t>
      </w:r>
      <w:r>
        <w:rPr>
          <w:rFonts w:hint="eastAsia" w:ascii="Times New Roman" w:hAnsi="Times New Roman" w:eastAsia="宋体" w:cs="宋体"/>
          <w:szCs w:val="28"/>
          <w:lang w:val="en-US" w:eastAsia="zh-CN" w:bidi="ar"/>
          <w14:ligatures w14:val="none"/>
        </w:rPr>
        <w:t>跌落、其他（</w:t>
      </w:r>
      <w:r>
        <w:rPr>
          <w:rFonts w:ascii="Times New Roman" w:hAnsi="Times New Roman" w:eastAsia="宋体" w:cs="宋体"/>
          <w:szCs w:val="28"/>
          <w:lang w:bidi="ar"/>
          <w14:ligatures w14:val="none"/>
        </w:rPr>
        <w:t>噪声</w:t>
      </w:r>
      <w:r>
        <w:rPr>
          <w:rFonts w:hint="eastAsia" w:ascii="Times New Roman" w:hAnsi="Times New Roman" w:eastAsia="宋体" w:cs="宋体"/>
          <w:szCs w:val="28"/>
          <w:lang w:val="en-US" w:eastAsia="zh-CN" w:bidi="ar"/>
          <w14:ligatures w14:val="none"/>
        </w:rPr>
        <w:t>）</w:t>
      </w:r>
      <w:r>
        <w:rPr>
          <w:rFonts w:ascii="Times New Roman" w:hAnsi="Times New Roman" w:eastAsia="宋体" w:cs="宋体"/>
          <w:szCs w:val="28"/>
          <w:lang w:bidi="ar"/>
          <w14:ligatures w14:val="none"/>
        </w:rPr>
        <w:t>。危险有害因素详细分析过程见附件3（F3.2、F3.3）。</w:t>
      </w:r>
    </w:p>
    <w:p w14:paraId="54967F5C">
      <w:pPr>
        <w:ind w:firstLine="560"/>
        <w:rPr>
          <w:rFonts w:ascii="Times New Roman" w:hAnsi="Times New Roman" w:eastAsia="宋体" w:cs="宋体"/>
          <w:szCs w:val="28"/>
          <w:lang w:bidi="ar"/>
          <w14:ligatures w14:val="none"/>
        </w:rPr>
      </w:pPr>
      <w:r>
        <w:rPr>
          <w:rFonts w:hint="eastAsia" w:ascii="Times New Roman" w:hAnsi="Times New Roman" w:eastAsia="宋体" w:cs="宋体"/>
          <w:szCs w:val="28"/>
          <w:lang w:bidi="ar"/>
          <w14:ligatures w14:val="none"/>
        </w:rPr>
        <w:t>该站</w:t>
      </w:r>
      <w:r>
        <w:rPr>
          <w:rFonts w:ascii="Times New Roman" w:hAnsi="Times New Roman" w:eastAsia="宋体" w:cs="宋体"/>
          <w:szCs w:val="28"/>
          <w:lang w:bidi="ar"/>
          <w14:ligatures w14:val="none"/>
        </w:rPr>
        <w:t>的危险、有害因素的分布见下表3.2-1。</w:t>
      </w:r>
    </w:p>
    <w:p w14:paraId="4B04ECCF">
      <w:pPr>
        <w:pStyle w:val="43"/>
        <w:keepNext/>
        <w:spacing w:before="156" w:beforeLines="50" w:after="156" w:afterLines="50"/>
        <w:ind w:firstLine="480"/>
        <w:rPr>
          <w:rFonts w:eastAsia="黑体"/>
          <w:sz w:val="24"/>
        </w:rPr>
      </w:pPr>
      <w:r>
        <w:rPr>
          <w:rFonts w:eastAsia="黑体"/>
          <w:sz w:val="24"/>
        </w:rPr>
        <w:t>表3.2-1  危险、有害因素的分布表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124"/>
        <w:gridCol w:w="7056"/>
      </w:tblGrid>
      <w:tr w14:paraId="27FA29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1157" w:type="pct"/>
            <w:vAlign w:val="center"/>
          </w:tcPr>
          <w:p w14:paraId="2516F12B">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危险、有害因素类型</w:t>
            </w:r>
          </w:p>
        </w:tc>
        <w:tc>
          <w:tcPr>
            <w:tcW w:w="3843" w:type="pct"/>
            <w:vAlign w:val="center"/>
          </w:tcPr>
          <w:p w14:paraId="7C2EBC49">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分布场所</w:t>
            </w:r>
            <w:r>
              <w:rPr>
                <w:rFonts w:hint="eastAsia" w:ascii="Times New Roman" w:hAnsi="Times New Roman" w:eastAsia="宋体" w:cs="Times New Roman"/>
                <w:sz w:val="21"/>
                <w:szCs w:val="21"/>
                <w14:ligatures w14:val="none"/>
              </w:rPr>
              <w:t>或作业过程</w:t>
            </w:r>
          </w:p>
        </w:tc>
      </w:tr>
      <w:tr w14:paraId="55BB02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430A18C8">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火灾</w:t>
            </w:r>
          </w:p>
        </w:tc>
        <w:tc>
          <w:tcPr>
            <w:tcW w:w="3843" w:type="pct"/>
            <w:vAlign w:val="center"/>
          </w:tcPr>
          <w:p w14:paraId="75659967">
            <w:pPr>
              <w:adjustRightInd/>
              <w:snapToGrid/>
              <w:spacing w:line="240" w:lineRule="auto"/>
              <w:ind w:firstLine="0" w:firstLineChars="0"/>
              <w:jc w:val="left"/>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埋地储油</w:t>
            </w:r>
            <w:r>
              <w:rPr>
                <w:rFonts w:ascii="Times New Roman" w:hAnsi="Times New Roman" w:eastAsia="宋体" w:cs="Times New Roman"/>
                <w:sz w:val="21"/>
                <w:szCs w:val="21"/>
                <w14:ligatures w14:val="none"/>
              </w:rPr>
              <w:t>罐区</w:t>
            </w:r>
            <w:r>
              <w:rPr>
                <w:rFonts w:hint="eastAsia" w:ascii="Times New Roman" w:hAnsi="Times New Roman" w:eastAsia="宋体" w:cs="Times New Roman"/>
                <w:sz w:val="21"/>
                <w:szCs w:val="21"/>
                <w14:ligatures w14:val="none"/>
              </w:rPr>
              <w:t>、配电室等</w:t>
            </w:r>
            <w:r>
              <w:rPr>
                <w:rFonts w:ascii="Times New Roman" w:hAnsi="Times New Roman" w:eastAsia="宋体" w:cs="Times New Roman"/>
                <w:sz w:val="21"/>
                <w:szCs w:val="21"/>
                <w14:ligatures w14:val="none"/>
              </w:rPr>
              <w:t>。</w:t>
            </w:r>
          </w:p>
        </w:tc>
      </w:tr>
      <w:tr w14:paraId="66A37FF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71D75660">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可燃液体蒸汽</w:t>
            </w:r>
            <w:r>
              <w:rPr>
                <w:rFonts w:hint="eastAsia" w:ascii="Times New Roman" w:hAnsi="Times New Roman" w:eastAsia="宋体" w:cs="Times New Roman"/>
                <w:sz w:val="21"/>
                <w:szCs w:val="21"/>
                <w14:ligatures w14:val="none"/>
              </w:rPr>
              <w:t>爆炸</w:t>
            </w:r>
          </w:p>
        </w:tc>
        <w:tc>
          <w:tcPr>
            <w:tcW w:w="3843" w:type="pct"/>
            <w:vAlign w:val="center"/>
          </w:tcPr>
          <w:p w14:paraId="70E9EB5F">
            <w:pPr>
              <w:adjustRightInd/>
              <w:snapToGrid/>
              <w:spacing w:line="240" w:lineRule="auto"/>
              <w:ind w:firstLine="0" w:firstLineChars="0"/>
              <w:jc w:val="left"/>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14:ligatures w14:val="none"/>
              </w:rPr>
              <w:t>埋地储油</w:t>
            </w:r>
            <w:r>
              <w:rPr>
                <w:rFonts w:ascii="Times New Roman" w:hAnsi="Times New Roman" w:eastAsia="宋体" w:cs="Times New Roman"/>
                <w:sz w:val="21"/>
                <w:szCs w:val="21"/>
                <w14:ligatures w14:val="none"/>
              </w:rPr>
              <w:t>罐区</w:t>
            </w:r>
            <w:r>
              <w:rPr>
                <w:rFonts w:hint="eastAsia" w:ascii="Times New Roman" w:hAnsi="Times New Roman" w:eastAsia="宋体" w:cs="Times New Roman"/>
                <w:sz w:val="21"/>
                <w:szCs w:val="21"/>
                <w:lang w:eastAsia="zh-CN"/>
                <w14:ligatures w14:val="none"/>
              </w:rPr>
              <w:t>、</w:t>
            </w:r>
            <w:r>
              <w:rPr>
                <w:rFonts w:hint="eastAsia" w:ascii="Times New Roman" w:hAnsi="Times New Roman" w:eastAsia="宋体" w:cs="Times New Roman"/>
                <w:sz w:val="21"/>
                <w:szCs w:val="21"/>
                <w:lang w:val="en-US" w:eastAsia="zh-CN"/>
                <w14:ligatures w14:val="none"/>
              </w:rPr>
              <w:t>加油作业区等</w:t>
            </w:r>
          </w:p>
        </w:tc>
      </w:tr>
      <w:tr w14:paraId="6EA8E3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0CA84D4C">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管道爆炸</w:t>
            </w:r>
          </w:p>
        </w:tc>
        <w:tc>
          <w:tcPr>
            <w:tcW w:w="3843" w:type="pct"/>
            <w:vAlign w:val="center"/>
          </w:tcPr>
          <w:p w14:paraId="4A224119">
            <w:pPr>
              <w:adjustRightInd/>
              <w:snapToGrid/>
              <w:spacing w:line="240" w:lineRule="auto"/>
              <w:ind w:firstLine="0" w:firstLineChars="0"/>
              <w:jc w:val="left"/>
              <w:rPr>
                <w:rFonts w:hint="default" w:ascii="Times New Roman" w:hAnsi="Times New Roman" w:eastAsia="宋体" w:cs="Times New Roman"/>
                <w:sz w:val="21"/>
                <w:szCs w:val="21"/>
                <w:lang w:val="en-US"/>
                <w14:ligatures w14:val="none"/>
              </w:rPr>
            </w:pPr>
            <w:r>
              <w:rPr>
                <w:rFonts w:hint="eastAsia" w:ascii="Times New Roman" w:hAnsi="Times New Roman" w:eastAsia="宋体" w:cs="Times New Roman"/>
                <w:sz w:val="21"/>
                <w:szCs w:val="21"/>
                <w14:ligatures w14:val="none"/>
              </w:rPr>
              <w:t>埋地储油</w:t>
            </w:r>
            <w:r>
              <w:rPr>
                <w:rFonts w:ascii="Times New Roman" w:hAnsi="Times New Roman" w:eastAsia="宋体" w:cs="Times New Roman"/>
                <w:sz w:val="21"/>
                <w:szCs w:val="21"/>
                <w14:ligatures w14:val="none"/>
              </w:rPr>
              <w:t>罐区</w:t>
            </w:r>
            <w:r>
              <w:rPr>
                <w:rFonts w:hint="eastAsia" w:ascii="Times New Roman" w:hAnsi="Times New Roman" w:eastAsia="宋体" w:cs="Times New Roman"/>
                <w:sz w:val="21"/>
                <w:szCs w:val="21"/>
                <w:lang w:eastAsia="zh-CN"/>
                <w14:ligatures w14:val="none"/>
              </w:rPr>
              <w:t>、</w:t>
            </w:r>
            <w:r>
              <w:rPr>
                <w:rFonts w:hint="eastAsia" w:ascii="Times New Roman" w:hAnsi="Times New Roman" w:eastAsia="宋体" w:cs="Times New Roman"/>
                <w:sz w:val="21"/>
                <w:szCs w:val="21"/>
                <w:lang w:val="en-US" w:eastAsia="zh-CN"/>
                <w14:ligatures w14:val="none"/>
              </w:rPr>
              <w:t>加油作业区等</w:t>
            </w:r>
          </w:p>
        </w:tc>
      </w:tr>
      <w:tr w14:paraId="7B577A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6DB39A17">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泄漏</w:t>
            </w:r>
          </w:p>
        </w:tc>
        <w:tc>
          <w:tcPr>
            <w:tcW w:w="3843" w:type="pct"/>
            <w:vAlign w:val="center"/>
          </w:tcPr>
          <w:p w14:paraId="532A09EE">
            <w:pPr>
              <w:adjustRightInd/>
              <w:snapToGrid/>
              <w:spacing w:line="240" w:lineRule="auto"/>
              <w:ind w:firstLine="0" w:firstLineChars="0"/>
              <w:jc w:val="left"/>
              <w:rPr>
                <w:rFonts w:hint="eastAsia"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埋地储油</w:t>
            </w:r>
            <w:r>
              <w:rPr>
                <w:rFonts w:ascii="Times New Roman" w:hAnsi="Times New Roman" w:eastAsia="宋体" w:cs="Times New Roman"/>
                <w:sz w:val="21"/>
                <w:szCs w:val="21"/>
                <w14:ligatures w14:val="none"/>
              </w:rPr>
              <w:t>罐区</w:t>
            </w:r>
            <w:r>
              <w:rPr>
                <w:rFonts w:hint="eastAsia" w:ascii="Times New Roman" w:hAnsi="Times New Roman" w:eastAsia="宋体" w:cs="Times New Roman"/>
                <w:sz w:val="21"/>
                <w:szCs w:val="21"/>
                <w:lang w:eastAsia="zh-CN"/>
                <w14:ligatures w14:val="none"/>
              </w:rPr>
              <w:t>、</w:t>
            </w:r>
            <w:r>
              <w:rPr>
                <w:rFonts w:hint="eastAsia" w:ascii="Times New Roman" w:hAnsi="Times New Roman" w:eastAsia="宋体" w:cs="Times New Roman"/>
                <w:sz w:val="21"/>
                <w:szCs w:val="21"/>
                <w:lang w:val="en-US" w:eastAsia="zh-CN"/>
                <w14:ligatures w14:val="none"/>
              </w:rPr>
              <w:t>加油作业区等</w:t>
            </w:r>
          </w:p>
        </w:tc>
      </w:tr>
      <w:tr w14:paraId="5FA14DB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024B5DE9">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中毒</w:t>
            </w:r>
          </w:p>
        </w:tc>
        <w:tc>
          <w:tcPr>
            <w:tcW w:w="3843" w:type="pct"/>
            <w:vAlign w:val="center"/>
          </w:tcPr>
          <w:p w14:paraId="205E604E">
            <w:pPr>
              <w:adjustRightInd/>
              <w:snapToGrid/>
              <w:spacing w:line="240" w:lineRule="auto"/>
              <w:ind w:firstLine="0" w:firstLineChars="0"/>
              <w:jc w:val="left"/>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进行</w:t>
            </w:r>
            <w:r>
              <w:rPr>
                <w:rFonts w:ascii="Times New Roman" w:hAnsi="Times New Roman" w:eastAsia="宋体" w:cs="Times New Roman"/>
                <w:sz w:val="21"/>
                <w:szCs w:val="21"/>
                <w14:ligatures w14:val="none"/>
              </w:rPr>
              <w:t>清罐作业、卸油作业时油品泄漏挥发</w:t>
            </w:r>
            <w:r>
              <w:rPr>
                <w:rFonts w:hint="eastAsia" w:ascii="Times New Roman" w:hAnsi="Times New Roman" w:eastAsia="宋体" w:cs="Times New Roman"/>
                <w:sz w:val="21"/>
                <w:szCs w:val="21"/>
                <w14:ligatures w14:val="none"/>
              </w:rPr>
              <w:t>、操作井内进行计量作业时油品泄漏</w:t>
            </w:r>
            <w:r>
              <w:rPr>
                <w:rFonts w:ascii="Times New Roman" w:hAnsi="Times New Roman" w:eastAsia="宋体" w:cs="Times New Roman"/>
                <w:sz w:val="21"/>
                <w:szCs w:val="21"/>
                <w14:ligatures w14:val="none"/>
              </w:rPr>
              <w:t>等。</w:t>
            </w:r>
          </w:p>
        </w:tc>
      </w:tr>
      <w:tr w14:paraId="2D3FC6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017BA016">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窒息</w:t>
            </w:r>
          </w:p>
        </w:tc>
        <w:tc>
          <w:tcPr>
            <w:tcW w:w="3843" w:type="pct"/>
            <w:vAlign w:val="center"/>
          </w:tcPr>
          <w:p w14:paraId="74F649AD">
            <w:pPr>
              <w:adjustRightInd/>
              <w:snapToGrid/>
              <w:spacing w:line="240" w:lineRule="auto"/>
              <w:ind w:firstLine="0" w:firstLineChars="0"/>
              <w:jc w:val="left"/>
              <w:rPr>
                <w:rFonts w:hint="eastAsia"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进行</w:t>
            </w:r>
            <w:r>
              <w:rPr>
                <w:rFonts w:ascii="Times New Roman" w:hAnsi="Times New Roman" w:eastAsia="宋体" w:cs="Times New Roman"/>
                <w:sz w:val="21"/>
                <w:szCs w:val="21"/>
                <w14:ligatures w14:val="none"/>
              </w:rPr>
              <w:t>清罐作业、卸油作业时油品泄漏挥发</w:t>
            </w:r>
            <w:r>
              <w:rPr>
                <w:rFonts w:hint="eastAsia" w:ascii="Times New Roman" w:hAnsi="Times New Roman" w:eastAsia="宋体" w:cs="Times New Roman"/>
                <w:sz w:val="21"/>
                <w:szCs w:val="21"/>
                <w14:ligatures w14:val="none"/>
              </w:rPr>
              <w:t>、操作井内进行计量作业时油品泄漏</w:t>
            </w:r>
            <w:r>
              <w:rPr>
                <w:rFonts w:ascii="Times New Roman" w:hAnsi="Times New Roman" w:eastAsia="宋体" w:cs="Times New Roman"/>
                <w:sz w:val="21"/>
                <w:szCs w:val="21"/>
                <w14:ligatures w14:val="none"/>
              </w:rPr>
              <w:t>等。</w:t>
            </w:r>
          </w:p>
        </w:tc>
      </w:tr>
      <w:tr w14:paraId="478865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4A2EDA2A">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触电</w:t>
            </w:r>
          </w:p>
        </w:tc>
        <w:tc>
          <w:tcPr>
            <w:tcW w:w="3843" w:type="pct"/>
            <w:vAlign w:val="center"/>
          </w:tcPr>
          <w:p w14:paraId="02746D0E">
            <w:pPr>
              <w:adjustRightInd/>
              <w:snapToGrid/>
              <w:spacing w:line="240" w:lineRule="auto"/>
              <w:ind w:firstLine="0" w:firstLineChars="0"/>
              <w:jc w:val="left"/>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用电设备、电线、电缆等。</w:t>
            </w:r>
          </w:p>
        </w:tc>
      </w:tr>
      <w:tr w14:paraId="518370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56B89678">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厂（场）内</w:t>
            </w:r>
            <w:r>
              <w:rPr>
                <w:rFonts w:ascii="Times New Roman" w:hAnsi="Times New Roman" w:eastAsia="宋体" w:cs="Times New Roman"/>
                <w:sz w:val="21"/>
                <w:szCs w:val="21"/>
                <w14:ligatures w14:val="none"/>
              </w:rPr>
              <w:t>车辆</w:t>
            </w:r>
            <w:r>
              <w:rPr>
                <w:rFonts w:hint="eastAsia" w:ascii="Times New Roman" w:hAnsi="Times New Roman" w:eastAsia="宋体" w:cs="Times New Roman"/>
                <w:sz w:val="21"/>
                <w:szCs w:val="21"/>
                <w:lang w:val="en-US" w:eastAsia="zh-CN"/>
                <w14:ligatures w14:val="none"/>
              </w:rPr>
              <w:t>致</w:t>
            </w:r>
            <w:r>
              <w:rPr>
                <w:rFonts w:ascii="Times New Roman" w:hAnsi="Times New Roman" w:eastAsia="宋体" w:cs="Times New Roman"/>
                <w:sz w:val="21"/>
                <w:szCs w:val="21"/>
                <w14:ligatures w14:val="none"/>
              </w:rPr>
              <w:t>害</w:t>
            </w:r>
          </w:p>
        </w:tc>
        <w:tc>
          <w:tcPr>
            <w:tcW w:w="3843" w:type="pct"/>
            <w:vAlign w:val="center"/>
          </w:tcPr>
          <w:p w14:paraId="02715982">
            <w:pPr>
              <w:adjustRightInd/>
              <w:snapToGrid/>
              <w:spacing w:line="240" w:lineRule="auto"/>
              <w:ind w:firstLine="0" w:firstLineChars="0"/>
              <w:jc w:val="left"/>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卸油区进行卸油作业时</w:t>
            </w:r>
            <w:r>
              <w:rPr>
                <w:rFonts w:ascii="Times New Roman" w:hAnsi="Times New Roman" w:eastAsia="宋体" w:cs="Times New Roman"/>
                <w:sz w:val="21"/>
                <w:szCs w:val="21"/>
                <w14:ligatures w14:val="none"/>
              </w:rPr>
              <w:t>。</w:t>
            </w:r>
          </w:p>
        </w:tc>
      </w:tr>
      <w:tr w14:paraId="6121B2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3A80832C">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高处坠落</w:t>
            </w:r>
          </w:p>
        </w:tc>
        <w:tc>
          <w:tcPr>
            <w:tcW w:w="3843" w:type="pct"/>
            <w:vAlign w:val="center"/>
          </w:tcPr>
          <w:p w14:paraId="6F350C31">
            <w:pPr>
              <w:adjustRightInd/>
              <w:snapToGrid/>
              <w:spacing w:line="240" w:lineRule="auto"/>
              <w:ind w:firstLine="0" w:firstLineChars="0"/>
              <w:jc w:val="left"/>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站房</w:t>
            </w:r>
            <w:r>
              <w:rPr>
                <w:rFonts w:ascii="Times New Roman" w:hAnsi="Times New Roman" w:eastAsia="宋体" w:cs="Times New Roman"/>
                <w:sz w:val="21"/>
                <w:szCs w:val="21"/>
                <w14:ligatures w14:val="none"/>
              </w:rPr>
              <w:t>等高处作业场所。</w:t>
            </w:r>
          </w:p>
        </w:tc>
      </w:tr>
      <w:tr w14:paraId="2599AD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64C9DEB2">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物体打击</w:t>
            </w:r>
          </w:p>
        </w:tc>
        <w:tc>
          <w:tcPr>
            <w:tcW w:w="3843" w:type="pct"/>
            <w:vAlign w:val="center"/>
          </w:tcPr>
          <w:p w14:paraId="2F7138B8">
            <w:pPr>
              <w:adjustRightInd/>
              <w:snapToGrid/>
              <w:spacing w:line="240" w:lineRule="auto"/>
              <w:ind w:firstLine="0" w:firstLineChars="0"/>
              <w:jc w:val="left"/>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卸油区作业过程、站房</w:t>
            </w:r>
            <w:r>
              <w:rPr>
                <w:rFonts w:ascii="Times New Roman" w:hAnsi="Times New Roman" w:eastAsia="宋体" w:cs="Times New Roman"/>
                <w:sz w:val="21"/>
                <w:szCs w:val="21"/>
                <w14:ligatures w14:val="none"/>
              </w:rPr>
              <w:t>等高处作业场所维修处。</w:t>
            </w:r>
          </w:p>
        </w:tc>
      </w:tr>
      <w:tr w14:paraId="05AAAC2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13A02757">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坍塌</w:t>
            </w:r>
          </w:p>
        </w:tc>
        <w:tc>
          <w:tcPr>
            <w:tcW w:w="3843" w:type="pct"/>
            <w:vAlign w:val="center"/>
          </w:tcPr>
          <w:p w14:paraId="0211F32D">
            <w:pPr>
              <w:adjustRightInd/>
              <w:snapToGrid/>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站房</w:t>
            </w:r>
            <w:r>
              <w:rPr>
                <w:rFonts w:ascii="Times New Roman" w:hAnsi="Times New Roman" w:eastAsia="宋体" w:cs="Times New Roman"/>
                <w:sz w:val="21"/>
                <w:szCs w:val="21"/>
                <w14:ligatures w14:val="none"/>
              </w:rPr>
              <w:t>等建（构）筑物。</w:t>
            </w:r>
          </w:p>
        </w:tc>
      </w:tr>
      <w:tr w14:paraId="62E1D9D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7F9B7E2E">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机械</w:t>
            </w:r>
            <w:r>
              <w:rPr>
                <w:rFonts w:hint="eastAsia" w:ascii="Times New Roman" w:hAnsi="Times New Roman" w:eastAsia="宋体" w:cs="Times New Roman"/>
                <w:sz w:val="21"/>
                <w:szCs w:val="21"/>
                <w:lang w:val="en-US" w:eastAsia="zh-CN"/>
                <w14:ligatures w14:val="none"/>
              </w:rPr>
              <w:t>致</w:t>
            </w:r>
            <w:r>
              <w:rPr>
                <w:rFonts w:ascii="Times New Roman" w:hAnsi="Times New Roman" w:eastAsia="宋体" w:cs="Times New Roman"/>
                <w:sz w:val="21"/>
                <w:szCs w:val="21"/>
                <w14:ligatures w14:val="none"/>
              </w:rPr>
              <w:t>害</w:t>
            </w:r>
          </w:p>
        </w:tc>
        <w:tc>
          <w:tcPr>
            <w:tcW w:w="3843" w:type="pct"/>
            <w:vAlign w:val="center"/>
          </w:tcPr>
          <w:p w14:paraId="0B44A104">
            <w:pPr>
              <w:adjustRightInd/>
              <w:snapToGrid/>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油泵等操作不当、</w:t>
            </w:r>
            <w:r>
              <w:rPr>
                <w:rFonts w:ascii="Times New Roman" w:hAnsi="Times New Roman" w:eastAsia="宋体" w:cs="Times New Roman"/>
                <w:sz w:val="21"/>
                <w:szCs w:val="21"/>
                <w14:ligatures w14:val="none"/>
              </w:rPr>
              <w:t>检维修过程中使用机械设备的场所。</w:t>
            </w:r>
          </w:p>
        </w:tc>
      </w:tr>
      <w:tr w14:paraId="285C59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7C58EEEF">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跌落</w:t>
            </w:r>
          </w:p>
        </w:tc>
        <w:tc>
          <w:tcPr>
            <w:tcW w:w="3843" w:type="pct"/>
            <w:vAlign w:val="center"/>
          </w:tcPr>
          <w:p w14:paraId="7EF3793C">
            <w:pPr>
              <w:adjustRightInd/>
              <w:snapToGrid/>
              <w:spacing w:line="240" w:lineRule="auto"/>
              <w:ind w:firstLine="0" w:firstLineChars="0"/>
              <w:rPr>
                <w:rFonts w:hint="eastAsia"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埋地储油</w:t>
            </w:r>
            <w:r>
              <w:rPr>
                <w:rFonts w:ascii="Times New Roman" w:hAnsi="Times New Roman" w:eastAsia="宋体" w:cs="Times New Roman"/>
                <w:sz w:val="21"/>
                <w:szCs w:val="21"/>
                <w14:ligatures w14:val="none"/>
              </w:rPr>
              <w:t>罐区</w:t>
            </w:r>
            <w:r>
              <w:rPr>
                <w:rFonts w:hint="eastAsia" w:ascii="Times New Roman" w:hAnsi="Times New Roman" w:eastAsia="宋体" w:cs="Times New Roman"/>
                <w:sz w:val="21"/>
                <w:szCs w:val="21"/>
                <w:lang w:eastAsia="zh-CN"/>
                <w14:ligatures w14:val="none"/>
              </w:rPr>
              <w:t>、</w:t>
            </w:r>
            <w:r>
              <w:rPr>
                <w:rFonts w:hint="eastAsia" w:ascii="Times New Roman" w:hAnsi="Times New Roman" w:eastAsia="宋体" w:cs="Times New Roman"/>
                <w:sz w:val="21"/>
                <w:szCs w:val="21"/>
                <w:lang w:val="en-US" w:eastAsia="zh-CN"/>
                <w14:ligatures w14:val="none"/>
              </w:rPr>
              <w:t>加油作业区等</w:t>
            </w:r>
          </w:p>
        </w:tc>
      </w:tr>
      <w:tr w14:paraId="7CB4883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157" w:type="pct"/>
            <w:vAlign w:val="center"/>
          </w:tcPr>
          <w:p w14:paraId="0D6DE5B8">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气体（</w:t>
            </w:r>
            <w:r>
              <w:rPr>
                <w:rFonts w:ascii="Times New Roman" w:hAnsi="Times New Roman" w:eastAsia="宋体" w:cs="Times New Roman"/>
                <w:sz w:val="21"/>
                <w:szCs w:val="21"/>
                <w14:ligatures w14:val="none"/>
              </w:rPr>
              <w:t>噪声</w:t>
            </w:r>
            <w:r>
              <w:rPr>
                <w:rFonts w:hint="eastAsia" w:ascii="Times New Roman" w:hAnsi="Times New Roman" w:eastAsia="宋体" w:cs="Times New Roman"/>
                <w:sz w:val="21"/>
                <w:szCs w:val="21"/>
                <w:lang w:val="en-US" w:eastAsia="zh-CN"/>
                <w14:ligatures w14:val="none"/>
              </w:rPr>
              <w:t>）</w:t>
            </w:r>
          </w:p>
        </w:tc>
        <w:tc>
          <w:tcPr>
            <w:tcW w:w="3843" w:type="pct"/>
            <w:vAlign w:val="center"/>
          </w:tcPr>
          <w:p w14:paraId="4C127F90">
            <w:pPr>
              <w:adjustRightInd/>
              <w:snapToGrid/>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卸油场所。</w:t>
            </w:r>
          </w:p>
        </w:tc>
      </w:tr>
    </w:tbl>
    <w:p w14:paraId="224D7B88">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50" w:name="_Toc4543"/>
      <w:bookmarkStart w:id="51" w:name="_Toc18025"/>
      <w:bookmarkStart w:id="52" w:name="_Toc218437739"/>
      <w:r>
        <w:rPr>
          <w:rFonts w:ascii="Times New Roman" w:hAnsi="Times New Roman" w:eastAsia="楷体" w:cs="宋体"/>
          <w:b/>
          <w:bCs/>
          <w:sz w:val="32"/>
          <w:szCs w:val="28"/>
          <w:lang w:bidi="ar"/>
          <w14:ligatures w14:val="none"/>
        </w:rPr>
        <w:t>3.3</w:t>
      </w:r>
      <w:bookmarkEnd w:id="50"/>
      <w:r>
        <w:rPr>
          <w:rFonts w:hint="eastAsia" w:ascii="Times New Roman" w:hAnsi="Times New Roman" w:eastAsia="楷体" w:cs="宋体"/>
          <w:b/>
          <w:bCs/>
          <w:sz w:val="32"/>
          <w:szCs w:val="28"/>
          <w:lang w:bidi="ar"/>
          <w14:ligatures w14:val="none"/>
        </w:rPr>
        <w:t>“</w:t>
      </w:r>
      <w:r>
        <w:rPr>
          <w:rFonts w:ascii="Times New Roman" w:hAnsi="Times New Roman" w:eastAsia="楷体" w:cs="宋体"/>
          <w:b/>
          <w:bCs/>
          <w:sz w:val="32"/>
          <w:szCs w:val="28"/>
          <w:lang w:bidi="ar"/>
          <w14:ligatures w14:val="none"/>
        </w:rPr>
        <w:t>两重点、一重大</w:t>
      </w:r>
      <w:r>
        <w:rPr>
          <w:rFonts w:hint="eastAsia" w:ascii="Times New Roman" w:hAnsi="Times New Roman" w:eastAsia="楷体" w:cs="宋体"/>
          <w:b/>
          <w:bCs/>
          <w:sz w:val="32"/>
          <w:szCs w:val="28"/>
          <w:lang w:bidi="ar"/>
          <w14:ligatures w14:val="none"/>
        </w:rPr>
        <w:t>”</w:t>
      </w:r>
      <w:r>
        <w:rPr>
          <w:rFonts w:ascii="Times New Roman" w:hAnsi="Times New Roman" w:eastAsia="楷体" w:cs="宋体"/>
          <w:b/>
          <w:bCs/>
          <w:sz w:val="32"/>
          <w:szCs w:val="28"/>
          <w:lang w:bidi="ar"/>
          <w14:ligatures w14:val="none"/>
        </w:rPr>
        <w:t>情况</w:t>
      </w:r>
      <w:bookmarkEnd w:id="51"/>
      <w:bookmarkEnd w:id="52"/>
    </w:p>
    <w:p w14:paraId="1188C72F">
      <w:pPr>
        <w:spacing w:before="156" w:beforeLines="50" w:after="156" w:afterLines="50"/>
        <w:ind w:firstLine="562"/>
        <w:outlineLvl w:val="2"/>
        <w:rPr>
          <w:rFonts w:ascii="Times New Roman" w:hAnsi="Times New Roman" w:eastAsia="黑体" w:cs="Times New Roman"/>
          <w:b/>
          <w:bCs/>
          <w:kern w:val="0"/>
          <w:szCs w:val="20"/>
          <w14:ligatures w14:val="none"/>
        </w:rPr>
      </w:pPr>
      <w:r>
        <w:rPr>
          <w:rFonts w:ascii="Times New Roman" w:hAnsi="Times New Roman" w:eastAsia="黑体" w:cs="Times New Roman"/>
          <w:b/>
          <w:bCs/>
          <w:kern w:val="0"/>
          <w:szCs w:val="20"/>
          <w14:ligatures w14:val="none"/>
        </w:rPr>
        <w:t>3.3.1重点监管危险化学品情况及其它重要物质辨识结果</w:t>
      </w:r>
    </w:p>
    <w:p w14:paraId="474E0115">
      <w:pPr>
        <w:ind w:firstLine="560"/>
        <w:rPr>
          <w:rFonts w:ascii="Times New Roman" w:hAnsi="Times New Roman" w:eastAsia="宋体" w:cs="Times New Roman"/>
          <w:szCs w:val="28"/>
          <w:lang w:bidi="en-US"/>
          <w14:ligatures w14:val="none"/>
        </w:rPr>
      </w:pPr>
      <w:r>
        <w:rPr>
          <w:rFonts w:ascii="Times New Roman" w:hAnsi="Times New Roman" w:eastAsia="宋体" w:cs="Times New Roman"/>
          <w:szCs w:val="28"/>
          <w:lang w:bidi="en-US"/>
          <w14:ligatures w14:val="none"/>
        </w:rPr>
        <w:t>根据《国家安全监管总局关于公布首批重点监管的危险化学品名录的通知》（安监总管三[2011]95号）和《国家安全监管总局关于公布第二批重点监管危险化学品名录的通知》（安监总管三[2013]12号），</w:t>
      </w:r>
      <w:r>
        <w:rPr>
          <w:rFonts w:ascii="Times New Roman" w:hAnsi="Times New Roman" w:eastAsia="宋体" w:cs="Times New Roman"/>
          <w:szCs w:val="20"/>
          <w14:ligatures w14:val="none"/>
        </w:rPr>
        <w:t>车用乙醇汽油为国家重点监</w:t>
      </w:r>
      <w:r>
        <w:rPr>
          <w:rFonts w:ascii="Times New Roman" w:hAnsi="Times New Roman" w:eastAsia="宋体" w:cs="Times New Roman"/>
          <w:szCs w:val="28"/>
          <w:lang w:bidi="en-US"/>
          <w14:ligatures w14:val="none"/>
        </w:rPr>
        <w:t>管的危险化学品。</w:t>
      </w:r>
    </w:p>
    <w:p w14:paraId="168C6683">
      <w:pPr>
        <w:ind w:firstLine="560"/>
        <w:rPr>
          <w:rFonts w:ascii="Times New Roman" w:hAnsi="Times New Roman" w:eastAsia="宋体" w:cs="Times New Roman"/>
          <w:szCs w:val="20"/>
          <w14:ligatures w14:val="none"/>
        </w:rPr>
      </w:pPr>
      <w:r>
        <w:rPr>
          <w:rFonts w:ascii="Times New Roman" w:hAnsi="Times New Roman" w:eastAsia="宋体" w:cs="Times New Roman"/>
          <w:szCs w:val="28"/>
          <w:lang w:bidi="en-US"/>
          <w14:ligatures w14:val="none"/>
        </w:rPr>
        <w:t>根据《特别管控危险化学品目录（第一版）》（应急管理部工业和信息化部 公安部 交通运输部[2020]第3号），</w:t>
      </w:r>
      <w:r>
        <w:rPr>
          <w:rFonts w:ascii="Times New Roman" w:hAnsi="Times New Roman" w:eastAsia="宋体" w:cs="Times New Roman"/>
          <w:szCs w:val="20"/>
          <w14:ligatures w14:val="none"/>
        </w:rPr>
        <w:t>车用乙醇汽油</w:t>
      </w:r>
      <w:r>
        <w:rPr>
          <w:rFonts w:ascii="Times New Roman" w:hAnsi="Times New Roman" w:eastAsia="宋体" w:cs="Times New Roman"/>
          <w:szCs w:val="28"/>
          <w:lang w:bidi="en-US"/>
          <w14:ligatures w14:val="none"/>
        </w:rPr>
        <w:t>是特别管控危险化学品。</w:t>
      </w:r>
    </w:p>
    <w:p w14:paraId="234567F0">
      <w:pPr>
        <w:ind w:firstLine="560"/>
        <w:rPr>
          <w:rFonts w:ascii="Times New Roman" w:hAnsi="Times New Roman" w:eastAsia="宋体" w:cs="Times New Roman"/>
          <w:szCs w:val="28"/>
          <w:lang w:bidi="en-US"/>
          <w14:ligatures w14:val="none"/>
        </w:rPr>
      </w:pPr>
      <w:r>
        <w:rPr>
          <w:rFonts w:ascii="Times New Roman" w:hAnsi="Times New Roman" w:eastAsia="宋体" w:cs="Times New Roman"/>
          <w:szCs w:val="28"/>
          <w:lang w:bidi="en-US"/>
          <w14:ligatures w14:val="none"/>
        </w:rPr>
        <w:t>根据《易制爆危险化学品名录（2017年版）》（中华人民共和国公安部公告，2017年05月11日），</w:t>
      </w:r>
      <w:r>
        <w:rPr>
          <w:rFonts w:hint="eastAsia" w:ascii="Times New Roman" w:hAnsi="Times New Roman" w:eastAsia="宋体" w:cs="Times New Roman"/>
          <w:szCs w:val="28"/>
          <w:lang w:bidi="en-US"/>
          <w14:ligatures w14:val="none"/>
        </w:rPr>
        <w:t>本项目不</w:t>
      </w:r>
      <w:r>
        <w:rPr>
          <w:rFonts w:ascii="Times New Roman" w:hAnsi="Times New Roman" w:eastAsia="宋体" w:cs="Times New Roman"/>
          <w:szCs w:val="28"/>
          <w:lang w:bidi="en-US"/>
          <w14:ligatures w14:val="none"/>
        </w:rPr>
        <w:t>涉及易制爆危险化学品。</w:t>
      </w:r>
    </w:p>
    <w:p w14:paraId="38B12C71">
      <w:p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根据《</w:t>
      </w:r>
      <w:r>
        <w:rPr>
          <w:rFonts w:ascii="Times New Roman" w:hAnsi="Times New Roman" w:eastAsia="宋体" w:cs="Times New Roman"/>
          <w:bCs/>
          <w:szCs w:val="28"/>
          <w14:ligatures w14:val="none"/>
        </w:rPr>
        <w:t>易制毒化学品的分类和品种目录</w:t>
      </w:r>
      <w:r>
        <w:rPr>
          <w:rFonts w:ascii="Times New Roman" w:hAnsi="Times New Roman" w:eastAsia="宋体" w:cs="Times New Roman"/>
          <w:szCs w:val="20"/>
          <w14:ligatures w14:val="none"/>
        </w:rPr>
        <w:t>（</w:t>
      </w:r>
      <w:r>
        <w:rPr>
          <w:rFonts w:hint="eastAsia" w:ascii="Times New Roman" w:hAnsi="Times New Roman" w:eastAsia="宋体" w:cs="Times New Roman"/>
          <w:szCs w:val="20"/>
          <w14:ligatures w14:val="none"/>
        </w:rPr>
        <w:t>2021</w:t>
      </w:r>
      <w:r>
        <w:rPr>
          <w:rFonts w:ascii="Times New Roman" w:hAnsi="Times New Roman" w:eastAsia="宋体" w:cs="Times New Roman"/>
          <w:szCs w:val="20"/>
          <w14:ligatures w14:val="none"/>
        </w:rPr>
        <w:t>年版）》（国办函</w:t>
      </w:r>
      <w:r>
        <w:rPr>
          <w:rFonts w:ascii="Times New Roman" w:hAnsi="Times New Roman" w:eastAsia="宋体" w:cs="Times New Roman"/>
          <w:szCs w:val="28"/>
          <w:lang w:bidi="en-US"/>
          <w14:ligatures w14:val="none"/>
        </w:rPr>
        <w:t>[2021]58号</w:t>
      </w:r>
      <w:r>
        <w:rPr>
          <w:rFonts w:ascii="Times New Roman" w:hAnsi="Times New Roman" w:eastAsia="宋体" w:cs="Times New Roman"/>
          <w:szCs w:val="20"/>
          <w14:ligatures w14:val="none"/>
        </w:rPr>
        <w:t>）的规定，</w:t>
      </w:r>
      <w:r>
        <w:rPr>
          <w:rFonts w:hint="eastAsia" w:ascii="Times New Roman" w:hAnsi="Times New Roman" w:eastAsia="宋体" w:cs="Times New Roman"/>
          <w:szCs w:val="28"/>
          <w:lang w:bidi="en-US"/>
          <w14:ligatures w14:val="none"/>
        </w:rPr>
        <w:t>本项目不</w:t>
      </w:r>
      <w:r>
        <w:rPr>
          <w:rFonts w:ascii="Times New Roman" w:hAnsi="Times New Roman" w:eastAsia="宋体" w:cs="Times New Roman"/>
          <w:szCs w:val="28"/>
          <w:lang w:bidi="en-US"/>
          <w14:ligatures w14:val="none"/>
        </w:rPr>
        <w:t>涉及易制毒危险化学品。</w:t>
      </w:r>
    </w:p>
    <w:p w14:paraId="0002C51E">
      <w:pPr>
        <w:spacing w:before="156" w:beforeLines="50" w:after="156" w:afterLines="50"/>
        <w:ind w:firstLine="562"/>
        <w:outlineLvl w:val="2"/>
        <w:rPr>
          <w:rFonts w:ascii="Times New Roman" w:hAnsi="Times New Roman" w:eastAsia="黑体" w:cs="Times New Roman"/>
          <w:b/>
          <w:bCs/>
          <w:kern w:val="0"/>
          <w:szCs w:val="20"/>
          <w14:ligatures w14:val="none"/>
        </w:rPr>
      </w:pPr>
      <w:r>
        <w:rPr>
          <w:rFonts w:ascii="Times New Roman" w:hAnsi="Times New Roman" w:eastAsia="黑体" w:cs="Times New Roman"/>
          <w:b/>
          <w:bCs/>
          <w:kern w:val="0"/>
          <w:szCs w:val="20"/>
          <w14:ligatures w14:val="none"/>
        </w:rPr>
        <w:t>3.3.2重点监管危险化工工艺情况</w:t>
      </w:r>
    </w:p>
    <w:p w14:paraId="0550D01E">
      <w:p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根据《国家安全监管总局关于公布首批重点监管的危险化工工艺目录的通知》和《国家安全监管总局关于公布第二批重点监管危险化工工艺目录和调整首批重点监管危险化工工艺中部分典型工艺的通知》的规定，</w:t>
      </w:r>
      <w:r>
        <w:rPr>
          <w:rFonts w:hint="eastAsia" w:ascii="Times New Roman" w:hAnsi="Times New Roman" w:eastAsia="宋体" w:cs="Times New Roman"/>
          <w:szCs w:val="28"/>
          <w:lang w:bidi="en-US"/>
          <w14:ligatures w14:val="none"/>
        </w:rPr>
        <w:t>本项目</w:t>
      </w:r>
      <w:r>
        <w:rPr>
          <w:rFonts w:hint="eastAsia" w:ascii="Times New Roman" w:hAnsi="Times New Roman" w:eastAsia="宋体" w:cs="Times New Roman"/>
          <w:szCs w:val="20"/>
          <w14:ligatures w14:val="none"/>
        </w:rPr>
        <w:t>不</w:t>
      </w:r>
      <w:r>
        <w:rPr>
          <w:rFonts w:ascii="Times New Roman" w:hAnsi="Times New Roman" w:eastAsia="宋体" w:cs="Times New Roman"/>
          <w:szCs w:val="20"/>
          <w14:ligatures w14:val="none"/>
        </w:rPr>
        <w:t>涉及重点监管危险化工工艺。</w:t>
      </w:r>
    </w:p>
    <w:p w14:paraId="084CB591">
      <w:pPr>
        <w:spacing w:before="156" w:beforeLines="50" w:after="156" w:afterLines="50"/>
        <w:ind w:firstLine="562"/>
        <w:outlineLvl w:val="2"/>
        <w:rPr>
          <w:rFonts w:ascii="Times New Roman" w:hAnsi="Times New Roman" w:eastAsia="黑体" w:cs="Times New Roman"/>
          <w:b/>
          <w:bCs/>
          <w:kern w:val="0"/>
          <w:szCs w:val="20"/>
          <w14:ligatures w14:val="none"/>
        </w:rPr>
      </w:pPr>
      <w:r>
        <w:rPr>
          <w:rFonts w:ascii="Times New Roman" w:hAnsi="Times New Roman" w:eastAsia="黑体" w:cs="Times New Roman"/>
          <w:b/>
          <w:bCs/>
          <w:kern w:val="0"/>
          <w:szCs w:val="20"/>
          <w14:ligatures w14:val="none"/>
        </w:rPr>
        <w:t>3.3.3重大危险源情况</w:t>
      </w:r>
    </w:p>
    <w:p w14:paraId="01DE3280">
      <w:pPr>
        <w:ind w:firstLine="560"/>
        <w:rPr>
          <w:rFonts w:ascii="Times New Roman" w:hAnsi="Times New Roman" w:eastAsia="宋体" w:cs="Times New Roman"/>
          <w:szCs w:val="28"/>
          <w:highlight w:val="yellow"/>
          <w14:ligatures w14:val="none"/>
        </w:rPr>
      </w:pPr>
      <w:r>
        <w:rPr>
          <w:rFonts w:ascii="Times New Roman" w:hAnsi="Times New Roman" w:eastAsia="宋体" w:cs="Times New Roman"/>
          <w:szCs w:val="28"/>
          <w14:ligatures w14:val="none"/>
        </w:rPr>
        <w:t>根据《危险化学品重大危险源辨识》（GB 18218-2018）辨识，</w:t>
      </w:r>
      <w:r>
        <w:rPr>
          <w:rFonts w:hint="eastAsia" w:ascii="Times New Roman" w:hAnsi="Times New Roman" w:eastAsia="宋体" w:cs="Times New Roman"/>
          <w:szCs w:val="28"/>
          <w:lang w:bidi="en-US"/>
          <w14:ligatures w14:val="none"/>
        </w:rPr>
        <w:t>本项目</w:t>
      </w:r>
      <w:r>
        <w:rPr>
          <w:rFonts w:ascii="Times New Roman" w:hAnsi="Times New Roman" w:eastAsia="宋体" w:cs="Times New Roman"/>
          <w:szCs w:val="28"/>
          <w14:ligatures w14:val="none"/>
        </w:rPr>
        <w:t>生产单元、储存单元均未构成危险化学品重大危险源。具体辨识过程详见附件F3.4。</w:t>
      </w:r>
      <w:r>
        <w:rPr>
          <w:rFonts w:ascii="Times New Roman" w:hAnsi="Times New Roman" w:eastAsia="宋体" w:cs="Times New Roman"/>
          <w:szCs w:val="28"/>
          <w14:ligatures w14:val="none"/>
        </w:rPr>
        <w:br w:type="page"/>
      </w:r>
    </w:p>
    <w:p w14:paraId="7D36D8D4">
      <w:pPr>
        <w:spacing w:before="468" w:beforeLines="150" w:after="468" w:afterLines="150"/>
        <w:ind w:firstLine="0" w:firstLineChars="0"/>
        <w:jc w:val="center"/>
        <w:outlineLvl w:val="0"/>
        <w:rPr>
          <w:rFonts w:ascii="Times New Roman" w:hAnsi="Times New Roman" w:eastAsia="黑体" w:cs="宋体"/>
          <w:b/>
          <w:bCs/>
          <w:sz w:val="32"/>
          <w:szCs w:val="28"/>
          <w:lang w:bidi="ar"/>
          <w14:ligatures w14:val="none"/>
        </w:rPr>
      </w:pPr>
      <w:bookmarkStart w:id="53" w:name="_Toc218437740"/>
      <w:r>
        <w:rPr>
          <w:rFonts w:ascii="Times New Roman" w:hAnsi="Times New Roman" w:eastAsia="黑体" w:cs="宋体"/>
          <w:b/>
          <w:bCs/>
          <w:sz w:val="32"/>
          <w:szCs w:val="28"/>
          <w:lang w:bidi="ar"/>
          <w14:ligatures w14:val="none"/>
        </w:rPr>
        <w:t>4评价单元的划分与评价方法的选择</w:t>
      </w:r>
      <w:bookmarkEnd w:id="53"/>
    </w:p>
    <w:p w14:paraId="3C29265E">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54" w:name="_Toc218437741"/>
      <w:r>
        <w:rPr>
          <w:rFonts w:ascii="Times New Roman" w:hAnsi="Times New Roman" w:eastAsia="楷体" w:cs="宋体"/>
          <w:b/>
          <w:bCs/>
          <w:sz w:val="32"/>
          <w:szCs w:val="28"/>
          <w:lang w:bidi="ar"/>
          <w14:ligatures w14:val="none"/>
        </w:rPr>
        <w:t>4.1评价单元的划分</w:t>
      </w:r>
      <w:bookmarkEnd w:id="54"/>
    </w:p>
    <w:p w14:paraId="11B1A69D">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评价单元的划分是为评价目标和评价方法服务的。为便于评价工作的进行，提高评价工作的准确性，评价单元一般根据生产工艺装置、物料的特点和特征与危险、有害因素的类别、分布等因素进行划分，还可以按评价的需求将一个评价单元再划分为若干子评价单元。</w:t>
      </w:r>
    </w:p>
    <w:p w14:paraId="67518CEE">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根据本项目的实际情况，将评价对象划分成以下</w:t>
      </w:r>
      <w:r>
        <w:rPr>
          <w:rFonts w:hint="eastAsia" w:ascii="Times New Roman" w:hAnsi="Times New Roman" w:eastAsia="宋体" w:cs="Times New Roman"/>
          <w:szCs w:val="28"/>
          <w14:ligatures w14:val="none"/>
        </w:rPr>
        <w:t>5</w:t>
      </w:r>
      <w:r>
        <w:rPr>
          <w:rFonts w:ascii="Times New Roman" w:hAnsi="Times New Roman" w:eastAsia="宋体" w:cs="Times New Roman"/>
          <w:szCs w:val="28"/>
          <w14:ligatures w14:val="none"/>
        </w:rPr>
        <w:t>个评价单元：工艺</w:t>
      </w:r>
      <w:r>
        <w:rPr>
          <w:rFonts w:hint="eastAsia" w:ascii="Times New Roman" w:hAnsi="Times New Roman" w:eastAsia="宋体" w:cs="Times New Roman"/>
          <w:szCs w:val="28"/>
          <w14:ligatures w14:val="none"/>
        </w:rPr>
        <w:t>设备</w:t>
      </w:r>
      <w:r>
        <w:rPr>
          <w:rFonts w:ascii="Times New Roman" w:hAnsi="Times New Roman" w:eastAsia="宋体" w:cs="Times New Roman"/>
          <w:szCs w:val="28"/>
          <w14:ligatures w14:val="none"/>
        </w:rPr>
        <w:t>及设备单元</w:t>
      </w:r>
      <w:r>
        <w:rPr>
          <w:rFonts w:hint="eastAsia" w:ascii="Times New Roman" w:hAnsi="Times New Roman" w:eastAsia="宋体" w:cs="Times New Roman"/>
          <w:szCs w:val="28"/>
          <w14:ligatures w14:val="none"/>
        </w:rPr>
        <w:t>、</w:t>
      </w:r>
      <w:r>
        <w:rPr>
          <w:rFonts w:ascii="Times New Roman" w:hAnsi="Times New Roman" w:eastAsia="宋体" w:cs="Times New Roman"/>
          <w:szCs w:val="28"/>
          <w14:ligatures w14:val="none"/>
        </w:rPr>
        <w:t>公用工程及辅助单元</w:t>
      </w:r>
      <w:r>
        <w:rPr>
          <w:rFonts w:hint="eastAsia" w:ascii="Times New Roman" w:hAnsi="Times New Roman" w:eastAsia="宋体" w:cs="Times New Roman"/>
          <w:szCs w:val="28"/>
          <w14:ligatures w14:val="none"/>
        </w:rPr>
        <w:t>、</w:t>
      </w:r>
      <w:r>
        <w:rPr>
          <w:rFonts w:ascii="Times New Roman" w:hAnsi="Times New Roman" w:eastAsia="宋体" w:cs="Times New Roman"/>
          <w:szCs w:val="28"/>
          <w14:ligatures w14:val="none"/>
        </w:rPr>
        <w:t>总平面布置单元</w:t>
      </w:r>
      <w:r>
        <w:rPr>
          <w:rFonts w:hint="eastAsia" w:ascii="Times New Roman" w:hAnsi="Times New Roman" w:eastAsia="宋体" w:cs="Times New Roman"/>
          <w:szCs w:val="28"/>
          <w14:ligatures w14:val="none"/>
        </w:rPr>
        <w:t>、</w:t>
      </w:r>
      <w:r>
        <w:rPr>
          <w:rFonts w:ascii="Times New Roman" w:hAnsi="Times New Roman" w:eastAsia="宋体" w:cs="Times New Roman"/>
          <w:szCs w:val="28"/>
          <w14:ligatures w14:val="none"/>
        </w:rPr>
        <w:t>事故应急及安全管理单元</w:t>
      </w:r>
      <w:r>
        <w:rPr>
          <w:rFonts w:hint="eastAsia" w:ascii="Times New Roman" w:hAnsi="Times New Roman" w:eastAsia="宋体" w:cs="Times New Roman"/>
          <w:szCs w:val="28"/>
          <w14:ligatures w14:val="none"/>
        </w:rPr>
        <w:t>、</w:t>
      </w:r>
      <w:r>
        <w:rPr>
          <w:rFonts w:ascii="Times New Roman" w:hAnsi="Times New Roman" w:eastAsia="宋体" w:cs="Times New Roman"/>
          <w:szCs w:val="28"/>
          <w14:ligatures w14:val="none"/>
        </w:rPr>
        <w:t>重大安全事故隐患判定单元。</w:t>
      </w:r>
    </w:p>
    <w:p w14:paraId="3E9873A2">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55" w:name="_Toc218437742"/>
      <w:r>
        <w:rPr>
          <w:rFonts w:ascii="Times New Roman" w:hAnsi="Times New Roman" w:eastAsia="楷体" w:cs="宋体"/>
          <w:b/>
          <w:bCs/>
          <w:sz w:val="32"/>
          <w:szCs w:val="28"/>
          <w:lang w:bidi="ar"/>
          <w14:ligatures w14:val="none"/>
        </w:rPr>
        <w:t>4.2安全评价方法的选择</w:t>
      </w:r>
      <w:bookmarkEnd w:id="55"/>
    </w:p>
    <w:p w14:paraId="7998DA46">
      <w:pPr>
        <w:spacing w:before="156" w:beforeLines="50" w:after="156" w:afterLines="50"/>
        <w:ind w:firstLine="562"/>
        <w:outlineLvl w:val="2"/>
        <w:rPr>
          <w:rFonts w:ascii="Times New Roman" w:hAnsi="Times New Roman" w:eastAsia="黑体" w:cs="Times New Roman"/>
          <w:b/>
          <w:bCs/>
          <w:kern w:val="0"/>
          <w:szCs w:val="20"/>
          <w14:ligatures w14:val="none"/>
        </w:rPr>
      </w:pPr>
      <w:r>
        <w:rPr>
          <w:rFonts w:ascii="Times New Roman" w:hAnsi="Times New Roman" w:eastAsia="黑体" w:cs="Times New Roman"/>
          <w:b/>
          <w:bCs/>
          <w:kern w:val="0"/>
          <w:szCs w:val="20"/>
          <w14:ligatures w14:val="none"/>
        </w:rPr>
        <w:t>4.2.1采用的安全评价方法</w:t>
      </w:r>
    </w:p>
    <w:p w14:paraId="74959F6A">
      <w:pPr>
        <w:keepNext/>
        <w:keepLines/>
        <w:spacing w:before="156" w:beforeLines="50" w:after="156" w:afterLines="50" w:line="240" w:lineRule="auto"/>
        <w:ind w:firstLine="0" w:firstLineChars="0"/>
        <w:jc w:val="center"/>
        <w:rPr>
          <w:rFonts w:ascii="Times New Roman" w:hAnsi="Times New Roman" w:eastAsia="黑体"/>
          <w:sz w:val="24"/>
        </w:rPr>
      </w:pPr>
      <w:r>
        <w:rPr>
          <w:rFonts w:ascii="Times New Roman" w:hAnsi="Times New Roman" w:eastAsia="黑体"/>
          <w:sz w:val="24"/>
        </w:rPr>
        <w:t>表4.2-1  各单元评价方法的选择</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3542"/>
        <w:gridCol w:w="5638"/>
      </w:tblGrid>
      <w:tr w14:paraId="363926B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3" w:hRule="atLeast"/>
          <w:jc w:val="center"/>
        </w:trPr>
        <w:tc>
          <w:tcPr>
            <w:tcW w:w="1929" w:type="pct"/>
            <w:vAlign w:val="center"/>
          </w:tcPr>
          <w:p w14:paraId="35FF63CC">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单元</w:t>
            </w:r>
          </w:p>
        </w:tc>
        <w:tc>
          <w:tcPr>
            <w:tcW w:w="3071" w:type="pct"/>
            <w:vAlign w:val="center"/>
          </w:tcPr>
          <w:p w14:paraId="21A446B4">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评价方法</w:t>
            </w:r>
          </w:p>
        </w:tc>
      </w:tr>
      <w:tr w14:paraId="34D218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929" w:type="pct"/>
            <w:vAlign w:val="center"/>
          </w:tcPr>
          <w:p w14:paraId="10C77C3F">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工艺</w:t>
            </w:r>
            <w:r>
              <w:rPr>
                <w:rFonts w:hint="eastAsia" w:ascii="Times New Roman" w:hAnsi="Times New Roman" w:eastAsia="宋体" w:cs="Times New Roman"/>
                <w:sz w:val="21"/>
                <w:szCs w:val="21"/>
                <w14:ligatures w14:val="none"/>
              </w:rPr>
              <w:t>设备</w:t>
            </w:r>
            <w:r>
              <w:rPr>
                <w:rFonts w:ascii="Times New Roman" w:hAnsi="Times New Roman" w:eastAsia="宋体" w:cs="Times New Roman"/>
                <w:sz w:val="21"/>
                <w:szCs w:val="21"/>
                <w14:ligatures w14:val="none"/>
              </w:rPr>
              <w:t>及设施单元</w:t>
            </w:r>
          </w:p>
        </w:tc>
        <w:tc>
          <w:tcPr>
            <w:tcW w:w="3071" w:type="pct"/>
            <w:vAlign w:val="center"/>
          </w:tcPr>
          <w:p w14:paraId="4FF63EBF">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安全检查表法、</w:t>
            </w:r>
            <w:r>
              <w:rPr>
                <w:rFonts w:hint="eastAsia" w:ascii="Times New Roman" w:hAnsi="Times New Roman" w:eastAsia="宋体" w:cs="Times New Roman"/>
                <w:sz w:val="21"/>
                <w:szCs w:val="21"/>
                <w14:ligatures w14:val="none"/>
              </w:rPr>
              <w:t>作业条件危险性分析</w:t>
            </w:r>
            <w:r>
              <w:rPr>
                <w:rFonts w:ascii="Times New Roman" w:hAnsi="Times New Roman" w:eastAsia="宋体" w:cs="Times New Roman"/>
                <w:sz w:val="21"/>
                <w:szCs w:val="21"/>
                <w14:ligatures w14:val="none"/>
              </w:rPr>
              <w:t>法、TNT当量法</w:t>
            </w:r>
          </w:p>
        </w:tc>
      </w:tr>
      <w:tr w14:paraId="6088BC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929" w:type="pct"/>
            <w:vAlign w:val="center"/>
          </w:tcPr>
          <w:p w14:paraId="7B0799E6">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公辅工程及辅助设施单元</w:t>
            </w:r>
          </w:p>
        </w:tc>
        <w:tc>
          <w:tcPr>
            <w:tcW w:w="3071" w:type="pct"/>
            <w:vAlign w:val="center"/>
          </w:tcPr>
          <w:p w14:paraId="6DA7FC58">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安全检查表法</w:t>
            </w:r>
          </w:p>
        </w:tc>
      </w:tr>
      <w:tr w14:paraId="2F96F3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454" w:hRule="atLeast"/>
          <w:jc w:val="center"/>
        </w:trPr>
        <w:tc>
          <w:tcPr>
            <w:tcW w:w="1929" w:type="pct"/>
            <w:vAlign w:val="center"/>
          </w:tcPr>
          <w:p w14:paraId="78B33536">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总平面布置单元</w:t>
            </w:r>
          </w:p>
        </w:tc>
        <w:tc>
          <w:tcPr>
            <w:tcW w:w="3071" w:type="pct"/>
            <w:vAlign w:val="center"/>
          </w:tcPr>
          <w:p w14:paraId="0E0D4EDB">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安全检查表法</w:t>
            </w:r>
          </w:p>
        </w:tc>
      </w:tr>
      <w:tr w14:paraId="2FEEEA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929" w:type="pct"/>
            <w:vAlign w:val="center"/>
          </w:tcPr>
          <w:p w14:paraId="70C5403F">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事故应急及安全管理单元</w:t>
            </w:r>
          </w:p>
        </w:tc>
        <w:tc>
          <w:tcPr>
            <w:tcW w:w="3071" w:type="pct"/>
            <w:vAlign w:val="center"/>
          </w:tcPr>
          <w:p w14:paraId="5A3EA28D">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安全检查表法</w:t>
            </w:r>
          </w:p>
        </w:tc>
      </w:tr>
      <w:tr w14:paraId="403F0C7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929" w:type="pct"/>
            <w:vAlign w:val="center"/>
          </w:tcPr>
          <w:p w14:paraId="4D01100A">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重大生产安全事故隐患判定单元</w:t>
            </w:r>
          </w:p>
        </w:tc>
        <w:tc>
          <w:tcPr>
            <w:tcW w:w="3071" w:type="pct"/>
            <w:vAlign w:val="center"/>
          </w:tcPr>
          <w:p w14:paraId="3CD13084">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安全检查表法</w:t>
            </w:r>
          </w:p>
        </w:tc>
      </w:tr>
    </w:tbl>
    <w:p w14:paraId="2AEFEE0A">
      <w:pPr>
        <w:spacing w:before="156" w:beforeLines="50" w:after="156" w:afterLines="50"/>
        <w:ind w:firstLine="562"/>
        <w:outlineLvl w:val="2"/>
        <w:rPr>
          <w:rFonts w:ascii="Times New Roman" w:hAnsi="Times New Roman" w:eastAsia="黑体" w:cs="Times New Roman"/>
          <w:b/>
          <w:bCs/>
          <w:kern w:val="0"/>
          <w:szCs w:val="20"/>
          <w14:ligatures w14:val="none"/>
        </w:rPr>
      </w:pPr>
      <w:r>
        <w:rPr>
          <w:rFonts w:ascii="Times New Roman" w:hAnsi="Times New Roman" w:eastAsia="黑体" w:cs="Times New Roman"/>
          <w:b/>
          <w:bCs/>
          <w:kern w:val="0"/>
          <w:szCs w:val="20"/>
          <w14:ligatures w14:val="none"/>
        </w:rPr>
        <w:t>4.2.2评价方法选择的理由说明</w:t>
      </w:r>
    </w:p>
    <w:p w14:paraId="518BAFB4">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本评价采取定性、定量评价方法对各单元进行评价，对项目可能存在的危险因素进行定性分析评价，对具有火灾、爆炸等危险性的单元进行定量分析评价。</w:t>
      </w:r>
    </w:p>
    <w:p w14:paraId="76E05D76">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（1）安全检查表法选择说明</w:t>
      </w:r>
    </w:p>
    <w:p w14:paraId="186E663D">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安全检查表分析可适用于工程、系统的各个阶段。安全检查表可以评价物质、设备和工艺，常用于专门设计的评价，检查表法也能用在新工艺（装置）的早期开发阶段，判定和估测危险，还可以对已经运行多年的在役装置的危险进行检查，安全检查表常用于设立安全评价、安全现状评价、安全设施竣工验收评价。因此，本评价采用安全检查表法对本项目的总平面布置、加油工艺设备及设施、公用工程及辅助设施以及安全管理、重大生产安全事故隐患判定单元进行定性评价。</w:t>
      </w:r>
    </w:p>
    <w:p w14:paraId="5E54FB10">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（2）</w:t>
      </w:r>
      <w:r>
        <w:rPr>
          <w:rFonts w:hint="eastAsia" w:ascii="Times New Roman" w:hAnsi="Times New Roman" w:eastAsia="宋体" w:cs="Times New Roman"/>
          <w:szCs w:val="28"/>
          <w14:ligatures w14:val="none"/>
        </w:rPr>
        <w:t>作业条件危险性分析</w:t>
      </w:r>
      <w:r>
        <w:rPr>
          <w:rFonts w:ascii="Times New Roman" w:hAnsi="Times New Roman" w:eastAsia="宋体" w:cs="Times New Roman"/>
          <w:szCs w:val="28"/>
          <w14:ligatures w14:val="none"/>
        </w:rPr>
        <w:t>法选择说明</w:t>
      </w:r>
    </w:p>
    <w:p w14:paraId="7D308AE5">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作业条件</w:t>
      </w:r>
      <w:r>
        <w:rPr>
          <w:rFonts w:hint="eastAsia" w:ascii="Times New Roman" w:hAnsi="Times New Roman" w:eastAsia="宋体" w:cs="Times New Roman"/>
          <w:szCs w:val="28"/>
          <w14:ligatures w14:val="none"/>
        </w:rPr>
        <w:t>危险性</w:t>
      </w:r>
      <w:r>
        <w:rPr>
          <w:rFonts w:ascii="Times New Roman" w:hAnsi="Times New Roman" w:eastAsia="宋体" w:cs="Times New Roman"/>
          <w:szCs w:val="28"/>
          <w14:ligatures w14:val="none"/>
        </w:rPr>
        <w:t>分析法是对危险物质或危险作业场所中可能发生的事故事件进行综合评价和分析，以确定其引发事故的频率和后果的程度，并通过评价结果来加强危险物质或危险作业场所的安全措施的安全评价方法。其评价步骤是</w:t>
      </w:r>
      <w:r>
        <w:rPr>
          <w:rFonts w:hint="eastAsia" w:ascii="Times New Roman" w:hAnsi="Times New Roman" w:eastAsia="宋体" w:cs="Times New Roman"/>
          <w:szCs w:val="28"/>
          <w14:ligatures w14:val="none"/>
        </w:rPr>
        <w:t>首先</w:t>
      </w:r>
      <w:r>
        <w:rPr>
          <w:rFonts w:ascii="Times New Roman" w:hAnsi="Times New Roman" w:eastAsia="宋体" w:cs="Times New Roman"/>
          <w:szCs w:val="28"/>
          <w14:ligatures w14:val="none"/>
        </w:rPr>
        <w:t>确定损失事件</w:t>
      </w:r>
      <w:r>
        <w:rPr>
          <w:rFonts w:hint="eastAsia" w:ascii="Times New Roman" w:hAnsi="Times New Roman" w:eastAsia="宋体" w:cs="Times New Roman"/>
          <w:szCs w:val="28"/>
          <w14:ligatures w14:val="none"/>
        </w:rPr>
        <w:t>、其次</w:t>
      </w:r>
      <w:r>
        <w:rPr>
          <w:rFonts w:ascii="Times New Roman" w:hAnsi="Times New Roman" w:eastAsia="宋体" w:cs="Times New Roman"/>
          <w:szCs w:val="28"/>
          <w14:ligatures w14:val="none"/>
        </w:rPr>
        <w:t>确定发生的频率和影响损失事件的因素</w:t>
      </w:r>
      <w:r>
        <w:rPr>
          <w:rFonts w:hint="eastAsia" w:ascii="Times New Roman" w:hAnsi="Times New Roman" w:eastAsia="宋体" w:cs="Times New Roman"/>
          <w:szCs w:val="28"/>
          <w14:ligatures w14:val="none"/>
        </w:rPr>
        <w:t>、再</w:t>
      </w:r>
      <w:r>
        <w:rPr>
          <w:rFonts w:ascii="Times New Roman" w:hAnsi="Times New Roman" w:eastAsia="宋体" w:cs="Times New Roman"/>
          <w:szCs w:val="28"/>
          <w14:ligatures w14:val="none"/>
        </w:rPr>
        <w:t>进行LEC分析</w:t>
      </w:r>
      <w:r>
        <w:rPr>
          <w:rFonts w:hint="eastAsia" w:ascii="Times New Roman" w:hAnsi="Times New Roman" w:eastAsia="宋体" w:cs="Times New Roman"/>
          <w:szCs w:val="28"/>
          <w14:ligatures w14:val="none"/>
        </w:rPr>
        <w:t>，最后</w:t>
      </w:r>
      <w:r>
        <w:rPr>
          <w:rFonts w:ascii="Times New Roman" w:hAnsi="Times New Roman" w:eastAsia="宋体" w:cs="Times New Roman"/>
          <w:szCs w:val="28"/>
          <w14:ligatures w14:val="none"/>
        </w:rPr>
        <w:t>确定减轻或消除危险的措施。</w:t>
      </w:r>
    </w:p>
    <w:p w14:paraId="4A4D7D95">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（3）</w:t>
      </w:r>
      <w:r>
        <w:rPr>
          <w:rFonts w:hint="eastAsia" w:ascii="Times New Roman" w:hAnsi="Times New Roman" w:eastAsia="宋体" w:cs="Times New Roman"/>
          <w:szCs w:val="28"/>
          <w14:ligatures w14:val="none"/>
        </w:rPr>
        <w:t>“</w:t>
      </w:r>
      <w:r>
        <w:rPr>
          <w:rFonts w:ascii="Times New Roman" w:hAnsi="Times New Roman" w:eastAsia="宋体" w:cs="Times New Roman"/>
          <w:szCs w:val="28"/>
          <w14:ligatures w14:val="none"/>
        </w:rPr>
        <w:t>TNT当量法</w:t>
      </w:r>
      <w:r>
        <w:rPr>
          <w:rFonts w:hint="eastAsia" w:ascii="Times New Roman" w:hAnsi="Times New Roman" w:eastAsia="宋体" w:cs="Times New Roman"/>
          <w:szCs w:val="28"/>
          <w14:ligatures w14:val="none"/>
        </w:rPr>
        <w:t>”</w:t>
      </w:r>
      <w:r>
        <w:rPr>
          <w:rFonts w:ascii="Times New Roman" w:hAnsi="Times New Roman" w:eastAsia="宋体" w:cs="Times New Roman"/>
          <w:szCs w:val="28"/>
          <w14:ligatures w14:val="none"/>
        </w:rPr>
        <w:t>选择说明</w:t>
      </w:r>
    </w:p>
    <w:p w14:paraId="19D7A9DA">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生产经营及储存过程中涉及的易燃性化学品，贯穿于整个工艺过程当中，如果发生火灾爆炸事故，装置内的各种可燃物质均会同时燃烧放热，化学品燃烧后形成蒸汽云，蒸汽云爆炸的能量常用TNT当量描述，即将参与爆炸的可燃气体释放的能量折合为能释放相同能量的TNT炸药描述。</w:t>
      </w:r>
    </w:p>
    <w:p w14:paraId="3B540C1B">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安全评价方法简介详见附件2。</w:t>
      </w:r>
      <w:r>
        <w:rPr>
          <w:rFonts w:ascii="Times New Roman" w:hAnsi="Times New Roman" w:eastAsia="宋体" w:cs="Times New Roman"/>
          <w:szCs w:val="28"/>
          <w14:ligatures w14:val="none"/>
        </w:rPr>
        <w:br w:type="page"/>
      </w:r>
    </w:p>
    <w:p w14:paraId="206614D7">
      <w:pPr>
        <w:spacing w:before="468" w:beforeLines="150" w:after="468" w:afterLines="150"/>
        <w:ind w:firstLine="0" w:firstLineChars="0"/>
        <w:jc w:val="center"/>
        <w:outlineLvl w:val="0"/>
        <w:rPr>
          <w:rFonts w:ascii="Times New Roman" w:hAnsi="Times New Roman" w:eastAsia="黑体" w:cs="宋体"/>
          <w:b/>
          <w:bCs/>
          <w:sz w:val="32"/>
          <w:szCs w:val="28"/>
          <w:lang w:bidi="ar"/>
          <w14:ligatures w14:val="none"/>
        </w:rPr>
      </w:pPr>
      <w:bookmarkStart w:id="56" w:name="_Toc218437743"/>
      <w:r>
        <w:rPr>
          <w:rFonts w:ascii="Times New Roman" w:hAnsi="Times New Roman" w:eastAsia="黑体" w:cs="宋体"/>
          <w:b/>
          <w:bCs/>
          <w:sz w:val="32"/>
          <w:szCs w:val="28"/>
          <w:lang w:bidi="ar"/>
          <w14:ligatures w14:val="none"/>
        </w:rPr>
        <w:t>5定性、定量分析危险、有害程度的结果</w:t>
      </w:r>
      <w:bookmarkEnd w:id="56"/>
    </w:p>
    <w:p w14:paraId="69E19BB7">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57" w:name="_Toc218437744"/>
      <w:r>
        <w:rPr>
          <w:rFonts w:hint="eastAsia" w:ascii="Times New Roman" w:hAnsi="Times New Roman" w:eastAsia="楷体" w:cs="宋体"/>
          <w:b/>
          <w:bCs/>
          <w:sz w:val="32"/>
          <w:szCs w:val="28"/>
          <w:lang w:bidi="ar"/>
          <w14:ligatures w14:val="none"/>
        </w:rPr>
        <w:t>5.1固有危险程度的</w:t>
      </w:r>
      <w:r>
        <w:rPr>
          <w:rFonts w:ascii="Times New Roman" w:hAnsi="Times New Roman" w:eastAsia="楷体" w:cs="宋体"/>
          <w:b/>
          <w:bCs/>
          <w:sz w:val="32"/>
          <w:szCs w:val="28"/>
          <w:lang w:bidi="ar"/>
          <w14:ligatures w14:val="none"/>
        </w:rPr>
        <w:t>分析</w:t>
      </w:r>
      <w:bookmarkEnd w:id="57"/>
    </w:p>
    <w:p w14:paraId="4CE30F5D">
      <w:pPr>
        <w:ind w:firstLine="560"/>
        <w:rPr>
          <w:rFonts w:ascii="Times New Roman" w:hAnsi="Times New Roman" w:eastAsia="宋体"/>
        </w:rPr>
      </w:pPr>
      <w:r>
        <w:rPr>
          <w:rFonts w:hint="eastAsia" w:ascii="Times New Roman" w:hAnsi="Times New Roman" w:eastAsia="宋体"/>
        </w:rPr>
        <w:t>（1）定量分析建设项目中具有爆炸性、可燃性、毒性、腐蚀性的化学品数量、浓度（含量）、状态和所在的作业场所（部位）及其状况（温度、压力）</w:t>
      </w:r>
    </w:p>
    <w:p w14:paraId="3DD14145">
      <w:pPr>
        <w:ind w:firstLine="560"/>
        <w:rPr>
          <w:rFonts w:ascii="Times New Roman" w:hAnsi="Times New Roman" w:eastAsia="宋体"/>
        </w:rPr>
      </w:pPr>
      <w:r>
        <w:rPr>
          <w:rFonts w:hint="eastAsia" w:ascii="Times New Roman" w:hAnsi="Times New Roman" w:eastAsia="宋体"/>
        </w:rPr>
        <w:t>本项目具有爆炸性、可燃性、毒性的化学品数量、浓度（含量）、状态和所在的作业场所（部位）及其状况（温度、压力），见表5.1-1。</w:t>
      </w:r>
    </w:p>
    <w:p w14:paraId="1FC1CFC8">
      <w:pPr>
        <w:keepNext/>
        <w:keepLines/>
        <w:spacing w:before="156" w:beforeLines="50" w:after="156" w:afterLines="50" w:line="240" w:lineRule="auto"/>
        <w:ind w:firstLine="0" w:firstLineChars="0"/>
        <w:jc w:val="center"/>
        <w:rPr>
          <w:rFonts w:hint="eastAsia" w:ascii="黑体" w:hAnsi="黑体" w:eastAsia="黑体"/>
          <w:sz w:val="24"/>
        </w:rPr>
      </w:pPr>
      <w:r>
        <w:rPr>
          <w:rFonts w:hint="eastAsia" w:ascii="黑体" w:hAnsi="黑体" w:eastAsia="黑体"/>
          <w:sz w:val="24"/>
        </w:rPr>
        <w:t>表</w:t>
      </w:r>
      <w:r>
        <w:rPr>
          <w:rFonts w:hint="eastAsia" w:ascii="Times New Roman" w:hAnsi="Times New Roman" w:eastAsia="黑体" w:cs="Times New Roman"/>
          <w:sz w:val="24"/>
        </w:rPr>
        <w:t>5.1</w:t>
      </w:r>
      <w:r>
        <w:rPr>
          <w:rFonts w:ascii="Times New Roman" w:hAnsi="Times New Roman" w:eastAsia="黑体" w:cs="Times New Roman"/>
          <w:sz w:val="24"/>
        </w:rPr>
        <w:t>-1</w:t>
      </w:r>
      <w:r>
        <w:rPr>
          <w:rFonts w:hint="eastAsia" w:ascii="黑体" w:hAnsi="黑体" w:eastAsia="黑体"/>
          <w:sz w:val="24"/>
        </w:rPr>
        <w:t xml:space="preserve">  具有爆炸性、可燃性、毒性的化学品统计表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969"/>
        <w:gridCol w:w="1063"/>
        <w:gridCol w:w="540"/>
        <w:gridCol w:w="1443"/>
        <w:gridCol w:w="1660"/>
        <w:gridCol w:w="753"/>
        <w:gridCol w:w="2093"/>
      </w:tblGrid>
      <w:tr w14:paraId="31709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59" w:type="pct"/>
            <w:vAlign w:val="center"/>
          </w:tcPr>
          <w:p w14:paraId="694CEBB8">
            <w:pPr>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序号</w:t>
            </w:r>
          </w:p>
        </w:tc>
        <w:tc>
          <w:tcPr>
            <w:tcW w:w="528" w:type="pct"/>
            <w:vAlign w:val="center"/>
          </w:tcPr>
          <w:p w14:paraId="46FBD74C">
            <w:pPr>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名称</w:t>
            </w:r>
          </w:p>
        </w:tc>
        <w:tc>
          <w:tcPr>
            <w:tcW w:w="579" w:type="pct"/>
            <w:vAlign w:val="center"/>
          </w:tcPr>
          <w:p w14:paraId="467F5633">
            <w:pPr>
              <w:spacing w:line="240" w:lineRule="auto"/>
              <w:ind w:firstLine="0" w:firstLineChars="0"/>
              <w:jc w:val="center"/>
              <w:rPr>
                <w:rFonts w:ascii="Times New Roman" w:hAnsi="Times New Roman" w:eastAsia="宋体" w:cs="Times New Roman"/>
                <w:bCs/>
                <w:sz w:val="21"/>
                <w:szCs w:val="21"/>
                <w14:ligatures w14:val="none"/>
              </w:rPr>
            </w:pPr>
            <w:r>
              <w:rPr>
                <w:rFonts w:hint="eastAsia" w:ascii="Times New Roman" w:hAnsi="Times New Roman" w:eastAsia="宋体" w:cs="Times New Roman"/>
                <w:bCs/>
                <w:sz w:val="21"/>
                <w:szCs w:val="21"/>
                <w14:ligatures w14:val="none"/>
              </w:rPr>
              <w:t>最大</w:t>
            </w:r>
            <w:r>
              <w:rPr>
                <w:rFonts w:ascii="Times New Roman" w:hAnsi="Times New Roman" w:eastAsia="宋体" w:cs="Times New Roman"/>
                <w:bCs/>
                <w:sz w:val="21"/>
                <w:szCs w:val="21"/>
                <w14:ligatures w14:val="none"/>
              </w:rPr>
              <w:t>储存量（t）</w:t>
            </w:r>
          </w:p>
        </w:tc>
        <w:tc>
          <w:tcPr>
            <w:tcW w:w="294" w:type="pct"/>
            <w:vAlign w:val="center"/>
          </w:tcPr>
          <w:p w14:paraId="1E1AC955">
            <w:pPr>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状态</w:t>
            </w:r>
          </w:p>
        </w:tc>
        <w:tc>
          <w:tcPr>
            <w:tcW w:w="786" w:type="pct"/>
            <w:vAlign w:val="center"/>
          </w:tcPr>
          <w:p w14:paraId="04AA7D73">
            <w:pPr>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所在场所（部位）</w:t>
            </w:r>
          </w:p>
        </w:tc>
        <w:tc>
          <w:tcPr>
            <w:tcW w:w="904" w:type="pct"/>
            <w:vAlign w:val="center"/>
          </w:tcPr>
          <w:p w14:paraId="1B9B67C4">
            <w:pPr>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状态（温度、压力）</w:t>
            </w:r>
          </w:p>
        </w:tc>
        <w:tc>
          <w:tcPr>
            <w:tcW w:w="410" w:type="pct"/>
            <w:vAlign w:val="center"/>
          </w:tcPr>
          <w:p w14:paraId="33E88C84">
            <w:pPr>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浓度</w:t>
            </w:r>
          </w:p>
        </w:tc>
        <w:tc>
          <w:tcPr>
            <w:tcW w:w="1140" w:type="pct"/>
            <w:vAlign w:val="center"/>
          </w:tcPr>
          <w:p w14:paraId="7B637446">
            <w:pPr>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备注</w:t>
            </w:r>
          </w:p>
        </w:tc>
      </w:tr>
      <w:tr w14:paraId="5C45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59" w:type="pct"/>
            <w:vAlign w:val="center"/>
          </w:tcPr>
          <w:p w14:paraId="4757A839">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1</w:t>
            </w:r>
          </w:p>
        </w:tc>
        <w:tc>
          <w:tcPr>
            <w:tcW w:w="528" w:type="pct"/>
            <w:vAlign w:val="center"/>
          </w:tcPr>
          <w:p w14:paraId="08DD5EB0">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车用乙醇汽油</w:t>
            </w:r>
          </w:p>
        </w:tc>
        <w:tc>
          <w:tcPr>
            <w:tcW w:w="579" w:type="pct"/>
            <w:vAlign w:val="center"/>
          </w:tcPr>
          <w:p w14:paraId="2F864075">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80</w:t>
            </w:r>
          </w:p>
        </w:tc>
        <w:tc>
          <w:tcPr>
            <w:tcW w:w="294" w:type="pct"/>
            <w:vAlign w:val="center"/>
          </w:tcPr>
          <w:p w14:paraId="4C639D06">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液态</w:t>
            </w:r>
          </w:p>
        </w:tc>
        <w:tc>
          <w:tcPr>
            <w:tcW w:w="786" w:type="pct"/>
            <w:vAlign w:val="center"/>
          </w:tcPr>
          <w:p w14:paraId="248BC4D3">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卸油区和储罐区</w:t>
            </w:r>
          </w:p>
        </w:tc>
        <w:tc>
          <w:tcPr>
            <w:tcW w:w="904" w:type="pct"/>
            <w:vAlign w:val="center"/>
          </w:tcPr>
          <w:p w14:paraId="210A9DBC">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常温、常压</w:t>
            </w:r>
          </w:p>
        </w:tc>
        <w:tc>
          <w:tcPr>
            <w:tcW w:w="410" w:type="pct"/>
            <w:vAlign w:val="center"/>
          </w:tcPr>
          <w:p w14:paraId="2F51E8EC">
            <w:pPr>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w:t>
            </w:r>
          </w:p>
        </w:tc>
        <w:tc>
          <w:tcPr>
            <w:tcW w:w="1140" w:type="pct"/>
            <w:vAlign w:val="center"/>
          </w:tcPr>
          <w:p w14:paraId="74618557">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bCs/>
                <w:sz w:val="21"/>
                <w:szCs w:val="21"/>
                <w14:ligatures w14:val="none"/>
              </w:rPr>
              <w:t>爆炸性、可燃性、毒性</w:t>
            </w:r>
          </w:p>
        </w:tc>
      </w:tr>
      <w:tr w14:paraId="5BCFD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59" w:type="pct"/>
            <w:vAlign w:val="center"/>
          </w:tcPr>
          <w:p w14:paraId="6A6C17F2">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2</w:t>
            </w:r>
          </w:p>
        </w:tc>
        <w:tc>
          <w:tcPr>
            <w:tcW w:w="528" w:type="pct"/>
            <w:vAlign w:val="center"/>
          </w:tcPr>
          <w:p w14:paraId="4FDF90F4">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柴油</w:t>
            </w:r>
          </w:p>
        </w:tc>
        <w:tc>
          <w:tcPr>
            <w:tcW w:w="579" w:type="pct"/>
            <w:vAlign w:val="center"/>
          </w:tcPr>
          <w:p w14:paraId="4EC8CC03">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85</w:t>
            </w:r>
          </w:p>
        </w:tc>
        <w:tc>
          <w:tcPr>
            <w:tcW w:w="294" w:type="pct"/>
            <w:vAlign w:val="center"/>
          </w:tcPr>
          <w:p w14:paraId="08477419">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液态</w:t>
            </w:r>
          </w:p>
        </w:tc>
        <w:tc>
          <w:tcPr>
            <w:tcW w:w="786" w:type="pct"/>
            <w:vAlign w:val="center"/>
          </w:tcPr>
          <w:p w14:paraId="383D90DD">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卸油区和储罐区</w:t>
            </w:r>
          </w:p>
        </w:tc>
        <w:tc>
          <w:tcPr>
            <w:tcW w:w="904" w:type="pct"/>
            <w:vAlign w:val="center"/>
          </w:tcPr>
          <w:p w14:paraId="2CEB4774">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常温、常压</w:t>
            </w:r>
          </w:p>
        </w:tc>
        <w:tc>
          <w:tcPr>
            <w:tcW w:w="410" w:type="pct"/>
            <w:vAlign w:val="center"/>
          </w:tcPr>
          <w:p w14:paraId="5920E676">
            <w:pPr>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w:t>
            </w:r>
          </w:p>
        </w:tc>
        <w:tc>
          <w:tcPr>
            <w:tcW w:w="1140" w:type="pct"/>
            <w:vAlign w:val="center"/>
          </w:tcPr>
          <w:p w14:paraId="5E3614FB">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bCs/>
                <w:sz w:val="21"/>
                <w:szCs w:val="21"/>
                <w14:ligatures w14:val="none"/>
              </w:rPr>
              <w:t>可燃性、毒性</w:t>
            </w:r>
          </w:p>
        </w:tc>
      </w:tr>
    </w:tbl>
    <w:p w14:paraId="4EC77E80">
      <w:pPr>
        <w:ind w:firstLine="560"/>
        <w:rPr>
          <w:rFonts w:ascii="Times New Roman" w:hAnsi="Times New Roman" w:eastAsia="宋体"/>
        </w:rPr>
      </w:pPr>
      <w:r>
        <w:rPr>
          <w:rFonts w:hint="eastAsia" w:ascii="Times New Roman" w:hAnsi="Times New Roman" w:eastAsia="宋体"/>
        </w:rPr>
        <w:t>（2）定性分析建设项目总的和各个作业场所的固有危险程度</w:t>
      </w:r>
    </w:p>
    <w:p w14:paraId="544B0EFD">
      <w:pPr>
        <w:ind w:firstLine="560"/>
        <w:rPr>
          <w:rFonts w:ascii="Times New Roman" w:hAnsi="Times New Roman" w:eastAsia="宋体"/>
        </w:rPr>
      </w:pPr>
      <w:r>
        <w:rPr>
          <w:rFonts w:ascii="Times New Roman" w:hAnsi="Times New Roman" w:eastAsia="宋体"/>
        </w:rPr>
        <w:t>采用</w:t>
      </w:r>
      <w:r>
        <w:rPr>
          <w:rFonts w:hint="eastAsia" w:ascii="Times New Roman" w:hAnsi="Times New Roman" w:eastAsia="宋体"/>
        </w:rPr>
        <w:t>“</w:t>
      </w:r>
      <w:r>
        <w:rPr>
          <w:rFonts w:ascii="Times New Roman" w:hAnsi="Times New Roman" w:eastAsia="宋体"/>
        </w:rPr>
        <w:t>安全检查表法</w:t>
      </w:r>
      <w:r>
        <w:rPr>
          <w:rFonts w:hint="eastAsia" w:ascii="Times New Roman" w:hAnsi="Times New Roman" w:eastAsia="宋体"/>
        </w:rPr>
        <w:t>”</w:t>
      </w:r>
      <w:r>
        <w:rPr>
          <w:rFonts w:ascii="Times New Roman" w:hAnsi="Times New Roman" w:eastAsia="宋体"/>
        </w:rPr>
        <w:t>对</w:t>
      </w:r>
      <w:r>
        <w:rPr>
          <w:rFonts w:hint="eastAsia" w:ascii="Times New Roman" w:hAnsi="Times New Roman" w:eastAsia="宋体"/>
        </w:rPr>
        <w:t>本</w:t>
      </w:r>
      <w:r>
        <w:rPr>
          <w:rFonts w:ascii="Times New Roman" w:hAnsi="Times New Roman" w:eastAsia="宋体"/>
        </w:rPr>
        <w:t>项目的工艺设备</w:t>
      </w:r>
      <w:r>
        <w:rPr>
          <w:rFonts w:hint="eastAsia" w:ascii="Times New Roman" w:hAnsi="Times New Roman" w:eastAsia="宋体"/>
        </w:rPr>
        <w:t>及</w:t>
      </w:r>
      <w:r>
        <w:rPr>
          <w:rFonts w:ascii="Times New Roman" w:hAnsi="Times New Roman" w:eastAsia="宋体"/>
        </w:rPr>
        <w:t>设施、公用工程及辅助设施</w:t>
      </w:r>
      <w:r>
        <w:rPr>
          <w:rFonts w:hint="eastAsia" w:ascii="Times New Roman" w:hAnsi="Times New Roman" w:eastAsia="宋体"/>
        </w:rPr>
        <w:t>、</w:t>
      </w:r>
      <w:r>
        <w:rPr>
          <w:rFonts w:ascii="Times New Roman" w:hAnsi="Times New Roman" w:eastAsia="宋体"/>
        </w:rPr>
        <w:t>总平面布置</w:t>
      </w:r>
      <w:r>
        <w:rPr>
          <w:rFonts w:hint="eastAsia" w:ascii="Times New Roman" w:hAnsi="Times New Roman" w:eastAsia="宋体"/>
        </w:rPr>
        <w:t>、事故应急及</w:t>
      </w:r>
      <w:r>
        <w:rPr>
          <w:rFonts w:ascii="Times New Roman" w:hAnsi="Times New Roman" w:eastAsia="宋体"/>
        </w:rPr>
        <w:t>安全管理、重大生产安全事故隐患判定单元进行评价，具体评价过程见附件4（F4.1）</w:t>
      </w:r>
      <w:r>
        <w:rPr>
          <w:rFonts w:hint="eastAsia" w:ascii="Times New Roman" w:hAnsi="Times New Roman" w:eastAsia="宋体"/>
        </w:rPr>
        <w:t>。</w:t>
      </w:r>
    </w:p>
    <w:p w14:paraId="714B2BA5">
      <w:pPr>
        <w:ind w:firstLine="560"/>
        <w:rPr>
          <w:rFonts w:ascii="Times New Roman" w:hAnsi="Times New Roman" w:eastAsia="宋体"/>
        </w:rPr>
      </w:pPr>
      <w:r>
        <w:rPr>
          <w:rFonts w:ascii="Times New Roman" w:hAnsi="Times New Roman" w:eastAsia="宋体"/>
        </w:rPr>
        <w:t>采用</w:t>
      </w:r>
      <w:r>
        <w:rPr>
          <w:rFonts w:hint="eastAsia" w:ascii="Times New Roman" w:hAnsi="Times New Roman" w:eastAsia="宋体"/>
        </w:rPr>
        <w:t>“</w:t>
      </w:r>
      <w:r>
        <w:rPr>
          <w:rFonts w:ascii="Times New Roman" w:hAnsi="Times New Roman" w:eastAsia="宋体"/>
        </w:rPr>
        <w:t>作业条件危险性分析法</w:t>
      </w:r>
      <w:r>
        <w:rPr>
          <w:rFonts w:hint="eastAsia" w:ascii="Times New Roman" w:hAnsi="Times New Roman" w:eastAsia="宋体"/>
        </w:rPr>
        <w:t>”</w:t>
      </w:r>
      <w:r>
        <w:rPr>
          <w:rFonts w:ascii="Times New Roman" w:hAnsi="Times New Roman" w:eastAsia="宋体"/>
        </w:rPr>
        <w:t>对工艺</w:t>
      </w:r>
      <w:r>
        <w:rPr>
          <w:rFonts w:hint="eastAsia" w:ascii="Times New Roman" w:hAnsi="Times New Roman" w:eastAsia="宋体"/>
        </w:rPr>
        <w:t>设备及</w:t>
      </w:r>
      <w:r>
        <w:rPr>
          <w:rFonts w:ascii="Times New Roman" w:hAnsi="Times New Roman" w:eastAsia="宋体"/>
        </w:rPr>
        <w:t>设施单元进行危险度评价，评价结果见下表5.1-2。具体分析过程见附件4（F4.2）。</w:t>
      </w:r>
    </w:p>
    <w:p w14:paraId="2F107AF5">
      <w:pPr>
        <w:keepNext/>
        <w:keepLines/>
        <w:spacing w:before="156" w:beforeLines="50" w:after="156" w:afterLines="50" w:line="240" w:lineRule="auto"/>
        <w:ind w:firstLine="0" w:firstLineChars="0"/>
        <w:jc w:val="center"/>
        <w:rPr>
          <w:rFonts w:ascii="Times New Roman" w:hAnsi="Times New Roman" w:eastAsia="黑体"/>
          <w:sz w:val="24"/>
          <w:highlight w:val="yellow"/>
        </w:rPr>
      </w:pPr>
      <w:r>
        <w:rPr>
          <w:rFonts w:ascii="Times New Roman" w:hAnsi="Times New Roman" w:eastAsia="黑体"/>
          <w:sz w:val="24"/>
        </w:rPr>
        <w:t>表5.1-2  作业条件危险性评价结果表</w:t>
      </w:r>
    </w:p>
    <w:tbl>
      <w:tblPr>
        <w:tblStyle w:val="33"/>
        <w:tblW w:w="4992"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58"/>
        <w:gridCol w:w="763"/>
        <w:gridCol w:w="1377"/>
        <w:gridCol w:w="1071"/>
        <w:gridCol w:w="1377"/>
        <w:gridCol w:w="1377"/>
        <w:gridCol w:w="1336"/>
        <w:gridCol w:w="1102"/>
      </w:tblGrid>
      <w:tr w14:paraId="3691B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10" w:hRule="atLeast"/>
          <w:tblHeader/>
        </w:trPr>
        <w:tc>
          <w:tcPr>
            <w:tcW w:w="414" w:type="pct"/>
            <w:vAlign w:val="center"/>
          </w:tcPr>
          <w:p w14:paraId="7176B573">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作业场所</w:t>
            </w:r>
          </w:p>
        </w:tc>
        <w:tc>
          <w:tcPr>
            <w:tcW w:w="416" w:type="pct"/>
            <w:vAlign w:val="center"/>
          </w:tcPr>
          <w:p w14:paraId="721BF9C1">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作业岗位</w:t>
            </w:r>
          </w:p>
        </w:tc>
        <w:tc>
          <w:tcPr>
            <w:tcW w:w="751" w:type="pct"/>
            <w:vAlign w:val="center"/>
          </w:tcPr>
          <w:p w14:paraId="3649606B">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危险、有害因素</w:t>
            </w:r>
          </w:p>
        </w:tc>
        <w:tc>
          <w:tcPr>
            <w:tcW w:w="584" w:type="pct"/>
            <w:vAlign w:val="center"/>
          </w:tcPr>
          <w:p w14:paraId="3804B3BA">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可能性（</w:t>
            </w:r>
            <w:r>
              <w:rPr>
                <w:rFonts w:ascii="Times New Roman" w:hAnsi="Times New Roman" w:eastAsia="宋体" w:cs="Times New Roman"/>
                <w:sz w:val="21"/>
                <w:lang w:val="zh-CN"/>
                <w14:ligatures w14:val="none"/>
              </w:rPr>
              <w:t>L</w:t>
            </w:r>
            <w:r>
              <w:rPr>
                <w:rFonts w:hint="eastAsia" w:ascii="Times New Roman" w:hAnsi="Times New Roman" w:eastAsia="宋体" w:cs="Times New Roman"/>
                <w:sz w:val="21"/>
                <w:lang w:val="zh-CN"/>
                <w14:ligatures w14:val="none"/>
              </w:rPr>
              <w:t>）</w:t>
            </w:r>
          </w:p>
        </w:tc>
        <w:tc>
          <w:tcPr>
            <w:tcW w:w="751" w:type="pct"/>
            <w:vAlign w:val="center"/>
          </w:tcPr>
          <w:p w14:paraId="276FABA8">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频繁程度（E）</w:t>
            </w:r>
          </w:p>
        </w:tc>
        <w:tc>
          <w:tcPr>
            <w:tcW w:w="751" w:type="pct"/>
            <w:vAlign w:val="center"/>
          </w:tcPr>
          <w:p w14:paraId="021911A5">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事故后果（C）</w:t>
            </w:r>
          </w:p>
        </w:tc>
        <w:tc>
          <w:tcPr>
            <w:tcW w:w="729" w:type="pct"/>
            <w:vAlign w:val="center"/>
          </w:tcPr>
          <w:p w14:paraId="16C6909B">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危险性等级（D）</w:t>
            </w:r>
          </w:p>
        </w:tc>
        <w:tc>
          <w:tcPr>
            <w:tcW w:w="601" w:type="pct"/>
            <w:vAlign w:val="center"/>
          </w:tcPr>
          <w:p w14:paraId="5AA63D7C">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危险程度</w:t>
            </w:r>
          </w:p>
        </w:tc>
      </w:tr>
      <w:tr w14:paraId="19993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restart"/>
            <w:vAlign w:val="center"/>
          </w:tcPr>
          <w:p w14:paraId="0E48456E">
            <w:pPr>
              <w:autoSpaceDE w:val="0"/>
              <w:autoSpaceDN w:val="0"/>
              <w:spacing w:line="240" w:lineRule="auto"/>
              <w:ind w:firstLine="0" w:firstLineChars="0"/>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卸油区</w:t>
            </w:r>
          </w:p>
        </w:tc>
        <w:tc>
          <w:tcPr>
            <w:tcW w:w="416" w:type="pct"/>
            <w:vMerge w:val="restart"/>
            <w:vAlign w:val="center"/>
          </w:tcPr>
          <w:p w14:paraId="059C3427">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卸油作业</w:t>
            </w:r>
          </w:p>
        </w:tc>
        <w:tc>
          <w:tcPr>
            <w:tcW w:w="751" w:type="pct"/>
            <w:vAlign w:val="center"/>
          </w:tcPr>
          <w:p w14:paraId="54896F91">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火灾</w:t>
            </w:r>
          </w:p>
        </w:tc>
        <w:tc>
          <w:tcPr>
            <w:tcW w:w="584" w:type="pct"/>
            <w:vAlign w:val="center"/>
          </w:tcPr>
          <w:p w14:paraId="3789FEBE">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14:ligatures w14:val="none"/>
              </w:rPr>
              <w:t>6</w:t>
            </w:r>
          </w:p>
        </w:tc>
        <w:tc>
          <w:tcPr>
            <w:tcW w:w="751" w:type="pct"/>
            <w:vAlign w:val="center"/>
          </w:tcPr>
          <w:p w14:paraId="43FE9C89">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19C8019F">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729" w:type="pct"/>
            <w:vAlign w:val="center"/>
          </w:tcPr>
          <w:p w14:paraId="28F3000A">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18</w:t>
            </w:r>
          </w:p>
        </w:tc>
        <w:tc>
          <w:tcPr>
            <w:tcW w:w="601" w:type="pct"/>
            <w:vAlign w:val="center"/>
          </w:tcPr>
          <w:p w14:paraId="0D5539DB">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4F97A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0E143258">
            <w:pPr>
              <w:autoSpaceDE w:val="0"/>
              <w:autoSpaceDN w:val="0"/>
              <w:spacing w:line="240" w:lineRule="auto"/>
              <w:ind w:firstLine="0" w:firstLineChars="0"/>
              <w:rPr>
                <w:rFonts w:hint="eastAsia" w:ascii="Times New Roman" w:hAnsi="Times New Roman" w:eastAsia="宋体" w:cs="Times New Roman"/>
                <w:sz w:val="21"/>
                <w:lang w:val="zh-CN"/>
                <w14:ligatures w14:val="none"/>
              </w:rPr>
            </w:pPr>
          </w:p>
        </w:tc>
        <w:tc>
          <w:tcPr>
            <w:tcW w:w="416" w:type="pct"/>
            <w:vMerge w:val="continue"/>
            <w:vAlign w:val="center"/>
          </w:tcPr>
          <w:p w14:paraId="743B5FCB">
            <w:pPr>
              <w:autoSpaceDE w:val="0"/>
              <w:autoSpaceDN w:val="0"/>
              <w:spacing w:line="240" w:lineRule="auto"/>
              <w:ind w:firstLine="0" w:firstLineChars="0"/>
              <w:jc w:val="center"/>
              <w:rPr>
                <w:rFonts w:hint="eastAsia" w:ascii="Times New Roman" w:hAnsi="Times New Roman" w:eastAsia="宋体" w:cs="Times New Roman"/>
                <w:sz w:val="21"/>
                <w14:ligatures w14:val="none"/>
              </w:rPr>
            </w:pPr>
          </w:p>
        </w:tc>
        <w:tc>
          <w:tcPr>
            <w:tcW w:w="751" w:type="pct"/>
            <w:vAlign w:val="center"/>
          </w:tcPr>
          <w:p w14:paraId="08659883">
            <w:pPr>
              <w:autoSpaceDE w:val="0"/>
              <w:autoSpaceDN w:val="0"/>
              <w:spacing w:line="240" w:lineRule="auto"/>
              <w:ind w:firstLine="0" w:firstLineChars="0"/>
              <w:jc w:val="center"/>
              <w:rPr>
                <w:rFonts w:hint="eastAsia" w:ascii="Times New Roman" w:hAnsi="Times New Roman" w:eastAsia="宋体" w:cs="Times New Roman"/>
                <w:sz w:val="21"/>
                <w:lang w:val="en-US" w:eastAsia="zh-CN"/>
                <w14:ligatures w14:val="none"/>
              </w:rPr>
            </w:pPr>
            <w:r>
              <w:rPr>
                <w:rFonts w:hint="eastAsia" w:ascii="Times New Roman" w:hAnsi="Times New Roman" w:eastAsia="宋体" w:cs="Times New Roman"/>
                <w:sz w:val="21"/>
                <w:lang w:val="en-US" w:eastAsia="zh-CN"/>
                <w14:ligatures w14:val="none"/>
              </w:rPr>
              <w:t>泄漏</w:t>
            </w:r>
          </w:p>
        </w:tc>
        <w:tc>
          <w:tcPr>
            <w:tcW w:w="584" w:type="pct"/>
            <w:vAlign w:val="center"/>
          </w:tcPr>
          <w:p w14:paraId="68056CDA">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751" w:type="pct"/>
            <w:vAlign w:val="center"/>
          </w:tcPr>
          <w:p w14:paraId="06F7738F">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37FA1162">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729" w:type="pct"/>
            <w:vAlign w:val="center"/>
          </w:tcPr>
          <w:p w14:paraId="073D9D27">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18</w:t>
            </w:r>
          </w:p>
        </w:tc>
        <w:tc>
          <w:tcPr>
            <w:tcW w:w="601" w:type="pct"/>
            <w:vAlign w:val="center"/>
          </w:tcPr>
          <w:p w14:paraId="5F0DA052">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665C2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715CB3B0">
            <w:pPr>
              <w:autoSpaceDE w:val="0"/>
              <w:autoSpaceDN w:val="0"/>
              <w:spacing w:line="240" w:lineRule="auto"/>
              <w:ind w:firstLine="0" w:firstLineChars="0"/>
              <w:rPr>
                <w:rFonts w:hint="eastAsia" w:ascii="Times New Roman" w:hAnsi="Times New Roman" w:eastAsia="宋体" w:cs="Times New Roman"/>
                <w:sz w:val="21"/>
                <w:lang w:val="zh-CN"/>
                <w14:ligatures w14:val="none"/>
              </w:rPr>
            </w:pPr>
          </w:p>
        </w:tc>
        <w:tc>
          <w:tcPr>
            <w:tcW w:w="416" w:type="pct"/>
            <w:vMerge w:val="continue"/>
            <w:vAlign w:val="center"/>
          </w:tcPr>
          <w:p w14:paraId="59B2B7B4">
            <w:pPr>
              <w:autoSpaceDE w:val="0"/>
              <w:autoSpaceDN w:val="0"/>
              <w:spacing w:line="240" w:lineRule="auto"/>
              <w:ind w:firstLine="0" w:firstLineChars="0"/>
              <w:jc w:val="center"/>
              <w:rPr>
                <w:rFonts w:hint="eastAsia" w:ascii="Times New Roman" w:hAnsi="Times New Roman" w:eastAsia="宋体" w:cs="Times New Roman"/>
                <w:sz w:val="21"/>
                <w14:ligatures w14:val="none"/>
              </w:rPr>
            </w:pPr>
          </w:p>
        </w:tc>
        <w:tc>
          <w:tcPr>
            <w:tcW w:w="751" w:type="pct"/>
            <w:vAlign w:val="center"/>
          </w:tcPr>
          <w:p w14:paraId="1AE59B8F">
            <w:pPr>
              <w:autoSpaceDE w:val="0"/>
              <w:autoSpaceDN w:val="0"/>
              <w:spacing w:line="240" w:lineRule="auto"/>
              <w:ind w:firstLine="0" w:firstLineChars="0"/>
              <w:jc w:val="center"/>
              <w:rPr>
                <w:rFonts w:hint="default" w:ascii="Times New Roman" w:hAnsi="Times New Roman" w:eastAsia="宋体" w:cs="Times New Roman"/>
                <w:sz w:val="21"/>
                <w:lang w:val="en-US" w:eastAsia="zh-CN"/>
                <w14:ligatures w14:val="none"/>
              </w:rPr>
            </w:pPr>
            <w:r>
              <w:rPr>
                <w:rFonts w:hint="eastAsia" w:ascii="Times New Roman" w:hAnsi="Times New Roman" w:eastAsia="宋体" w:cs="Times New Roman"/>
                <w:sz w:val="21"/>
                <w:lang w:val="en-US" w:eastAsia="zh-CN"/>
                <w14:ligatures w14:val="none"/>
              </w:rPr>
              <w:t>可燃液体蒸汽爆炸</w:t>
            </w:r>
          </w:p>
        </w:tc>
        <w:tc>
          <w:tcPr>
            <w:tcW w:w="584" w:type="pct"/>
            <w:vAlign w:val="center"/>
          </w:tcPr>
          <w:p w14:paraId="36CDF032">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751" w:type="pct"/>
            <w:vAlign w:val="center"/>
          </w:tcPr>
          <w:p w14:paraId="57A969DD">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76AAF43E">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729" w:type="pct"/>
            <w:vAlign w:val="center"/>
          </w:tcPr>
          <w:p w14:paraId="33973524">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18</w:t>
            </w:r>
          </w:p>
        </w:tc>
        <w:tc>
          <w:tcPr>
            <w:tcW w:w="601" w:type="pct"/>
            <w:vAlign w:val="center"/>
          </w:tcPr>
          <w:p w14:paraId="5B39EC77">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58C61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61DDDD7F">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41AD4D65">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307F03C5">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中毒</w:t>
            </w:r>
          </w:p>
        </w:tc>
        <w:tc>
          <w:tcPr>
            <w:tcW w:w="584" w:type="pct"/>
            <w:vAlign w:val="center"/>
          </w:tcPr>
          <w:p w14:paraId="13C05B82">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751" w:type="pct"/>
            <w:vAlign w:val="center"/>
          </w:tcPr>
          <w:p w14:paraId="558353E1">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2A35CDC9">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6D2452D6">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18</w:t>
            </w:r>
          </w:p>
        </w:tc>
        <w:tc>
          <w:tcPr>
            <w:tcW w:w="601" w:type="pct"/>
            <w:vAlign w:val="center"/>
          </w:tcPr>
          <w:p w14:paraId="258ACC23">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46710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10" w:hRule="atLeast"/>
        </w:trPr>
        <w:tc>
          <w:tcPr>
            <w:tcW w:w="414" w:type="pct"/>
            <w:vMerge w:val="continue"/>
            <w:vAlign w:val="center"/>
          </w:tcPr>
          <w:p w14:paraId="43AE8928">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4BC6AF2C">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5391FE26">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窒息</w:t>
            </w:r>
          </w:p>
        </w:tc>
        <w:tc>
          <w:tcPr>
            <w:tcW w:w="584" w:type="pct"/>
            <w:vAlign w:val="center"/>
          </w:tcPr>
          <w:p w14:paraId="0BAE8C4E">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751" w:type="pct"/>
            <w:vAlign w:val="center"/>
          </w:tcPr>
          <w:p w14:paraId="226C644F">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5517EC72">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546EFF21">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18</w:t>
            </w:r>
          </w:p>
        </w:tc>
        <w:tc>
          <w:tcPr>
            <w:tcW w:w="601" w:type="pct"/>
            <w:vAlign w:val="center"/>
          </w:tcPr>
          <w:p w14:paraId="00A89513">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57BBDA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6D6F0DA4">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76487C8A">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55DEBA69">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触电</w:t>
            </w:r>
          </w:p>
        </w:tc>
        <w:tc>
          <w:tcPr>
            <w:tcW w:w="584" w:type="pct"/>
            <w:vAlign w:val="center"/>
          </w:tcPr>
          <w:p w14:paraId="5CA226C9">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51" w:type="pct"/>
            <w:vAlign w:val="center"/>
          </w:tcPr>
          <w:p w14:paraId="53B6C249">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25485F7C">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6483E047">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9</w:t>
            </w:r>
          </w:p>
        </w:tc>
        <w:tc>
          <w:tcPr>
            <w:tcW w:w="601" w:type="pct"/>
            <w:vAlign w:val="center"/>
          </w:tcPr>
          <w:p w14:paraId="323FE188">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0AC73B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10" w:hRule="atLeast"/>
        </w:trPr>
        <w:tc>
          <w:tcPr>
            <w:tcW w:w="414" w:type="pct"/>
            <w:vMerge w:val="continue"/>
            <w:vAlign w:val="center"/>
          </w:tcPr>
          <w:p w14:paraId="0449B2B4">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23EED68F">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4EE4AFD1">
            <w:pPr>
              <w:autoSpaceDE w:val="0"/>
              <w:autoSpaceDN w:val="0"/>
              <w:spacing w:line="240" w:lineRule="auto"/>
              <w:ind w:firstLine="0" w:firstLineChars="0"/>
              <w:jc w:val="center"/>
              <w:rPr>
                <w:rFonts w:hint="eastAsia" w:ascii="Times New Roman" w:hAnsi="Times New Roman" w:eastAsia="宋体" w:cs="Times New Roman"/>
                <w:sz w:val="21"/>
                <w:lang w:val="en-US" w:eastAsia="zh-CN"/>
                <w14:ligatures w14:val="none"/>
              </w:rPr>
            </w:pPr>
            <w:r>
              <w:rPr>
                <w:rFonts w:hint="eastAsia" w:ascii="Times New Roman" w:hAnsi="Times New Roman" w:eastAsia="宋体" w:cs="Times New Roman"/>
                <w:sz w:val="21"/>
                <w:lang w:val="en-US" w:eastAsia="zh-CN"/>
                <w14:ligatures w14:val="none"/>
              </w:rPr>
              <w:t>跌落</w:t>
            </w:r>
          </w:p>
        </w:tc>
        <w:tc>
          <w:tcPr>
            <w:tcW w:w="1071" w:type="dxa"/>
            <w:vAlign w:val="center"/>
          </w:tcPr>
          <w:p w14:paraId="4DF7B531">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1377" w:type="dxa"/>
            <w:vAlign w:val="center"/>
          </w:tcPr>
          <w:p w14:paraId="5A20C403">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1377" w:type="dxa"/>
            <w:vAlign w:val="center"/>
          </w:tcPr>
          <w:p w14:paraId="12265339">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1336" w:type="dxa"/>
            <w:vAlign w:val="center"/>
          </w:tcPr>
          <w:p w14:paraId="37F3F4E7">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9</w:t>
            </w:r>
          </w:p>
        </w:tc>
        <w:tc>
          <w:tcPr>
            <w:tcW w:w="1102" w:type="dxa"/>
            <w:vAlign w:val="center"/>
          </w:tcPr>
          <w:p w14:paraId="1316D0E3">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74D40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0545AA01">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26996A4F">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66902D24">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车辆</w:t>
            </w:r>
            <w:r>
              <w:rPr>
                <w:rFonts w:hint="eastAsia" w:ascii="Times New Roman" w:hAnsi="Times New Roman" w:eastAsia="宋体" w:cs="Times New Roman"/>
                <w:sz w:val="21"/>
                <w:lang w:val="en-US" w:eastAsia="zh-CN"/>
                <w14:ligatures w14:val="none"/>
              </w:rPr>
              <w:t>致</w:t>
            </w:r>
            <w:r>
              <w:rPr>
                <w:rFonts w:hint="eastAsia" w:ascii="Times New Roman" w:hAnsi="Times New Roman" w:eastAsia="宋体" w:cs="Times New Roman"/>
                <w:sz w:val="21"/>
                <w14:ligatures w14:val="none"/>
              </w:rPr>
              <w:t>害</w:t>
            </w:r>
          </w:p>
        </w:tc>
        <w:tc>
          <w:tcPr>
            <w:tcW w:w="584" w:type="pct"/>
            <w:vAlign w:val="center"/>
          </w:tcPr>
          <w:p w14:paraId="4420B31E">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35845519">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30C179B3">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29" w:type="pct"/>
            <w:vAlign w:val="center"/>
          </w:tcPr>
          <w:p w14:paraId="096684CC">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9</w:t>
            </w:r>
          </w:p>
        </w:tc>
        <w:tc>
          <w:tcPr>
            <w:tcW w:w="601" w:type="pct"/>
            <w:vAlign w:val="center"/>
          </w:tcPr>
          <w:p w14:paraId="3D014580">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4FC193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05F44644">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restart"/>
            <w:vAlign w:val="center"/>
          </w:tcPr>
          <w:p w14:paraId="07385BC6">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检维修作业</w:t>
            </w:r>
          </w:p>
        </w:tc>
        <w:tc>
          <w:tcPr>
            <w:tcW w:w="751" w:type="pct"/>
            <w:vAlign w:val="center"/>
          </w:tcPr>
          <w:p w14:paraId="18256FD5">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火灾</w:t>
            </w:r>
          </w:p>
        </w:tc>
        <w:tc>
          <w:tcPr>
            <w:tcW w:w="584" w:type="pct"/>
            <w:vAlign w:val="center"/>
          </w:tcPr>
          <w:p w14:paraId="6F3FFAFE">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51" w:type="pct"/>
            <w:vAlign w:val="center"/>
          </w:tcPr>
          <w:p w14:paraId="048CE075">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751" w:type="pct"/>
            <w:vAlign w:val="center"/>
          </w:tcPr>
          <w:p w14:paraId="2B8B977C">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lang w:val="zh-CN"/>
                <w14:ligatures w14:val="none"/>
              </w:rPr>
              <w:t>1</w:t>
            </w:r>
          </w:p>
        </w:tc>
        <w:tc>
          <w:tcPr>
            <w:tcW w:w="729" w:type="pct"/>
            <w:vAlign w:val="center"/>
          </w:tcPr>
          <w:p w14:paraId="253F459E">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601" w:type="pct"/>
            <w:vAlign w:val="center"/>
          </w:tcPr>
          <w:p w14:paraId="075E8283">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629E3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03B30A45">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165B3FB2">
            <w:pPr>
              <w:autoSpaceDE w:val="0"/>
              <w:autoSpaceDN w:val="0"/>
              <w:spacing w:line="240" w:lineRule="auto"/>
              <w:ind w:firstLine="0" w:firstLineChars="0"/>
              <w:jc w:val="center"/>
              <w:rPr>
                <w:rFonts w:hint="eastAsia" w:ascii="Times New Roman" w:hAnsi="Times New Roman" w:eastAsia="宋体" w:cs="Times New Roman"/>
                <w:sz w:val="21"/>
                <w14:ligatures w14:val="none"/>
              </w:rPr>
            </w:pPr>
          </w:p>
        </w:tc>
        <w:tc>
          <w:tcPr>
            <w:tcW w:w="1377" w:type="dxa"/>
            <w:vAlign w:val="center"/>
          </w:tcPr>
          <w:p w14:paraId="781A8BA0">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lang w:val="en-US" w:eastAsia="zh-CN"/>
                <w14:ligatures w14:val="none"/>
              </w:rPr>
              <w:t>泄漏</w:t>
            </w:r>
          </w:p>
        </w:tc>
        <w:tc>
          <w:tcPr>
            <w:tcW w:w="1071" w:type="dxa"/>
            <w:vAlign w:val="center"/>
          </w:tcPr>
          <w:p w14:paraId="2C14F47F">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1377" w:type="dxa"/>
            <w:vAlign w:val="center"/>
          </w:tcPr>
          <w:p w14:paraId="387DC646">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1377" w:type="dxa"/>
            <w:vAlign w:val="center"/>
          </w:tcPr>
          <w:p w14:paraId="4B86609D">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1336" w:type="dxa"/>
            <w:vAlign w:val="center"/>
          </w:tcPr>
          <w:p w14:paraId="1EAE0CF9">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1102" w:type="dxa"/>
            <w:vAlign w:val="center"/>
          </w:tcPr>
          <w:p w14:paraId="033581C3">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7F788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30C1ADF7">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4509CE64">
            <w:pPr>
              <w:autoSpaceDE w:val="0"/>
              <w:autoSpaceDN w:val="0"/>
              <w:spacing w:line="240" w:lineRule="auto"/>
              <w:ind w:firstLine="0" w:firstLineChars="0"/>
              <w:jc w:val="center"/>
              <w:rPr>
                <w:rFonts w:hint="eastAsia" w:ascii="Times New Roman" w:hAnsi="Times New Roman" w:eastAsia="宋体" w:cs="Times New Roman"/>
                <w:sz w:val="21"/>
                <w14:ligatures w14:val="none"/>
              </w:rPr>
            </w:pPr>
          </w:p>
        </w:tc>
        <w:tc>
          <w:tcPr>
            <w:tcW w:w="1377" w:type="dxa"/>
            <w:vAlign w:val="center"/>
          </w:tcPr>
          <w:p w14:paraId="11F6CB7C">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lang w:val="en-US" w:eastAsia="zh-CN"/>
                <w14:ligatures w14:val="none"/>
              </w:rPr>
              <w:t>可燃液体蒸汽爆炸</w:t>
            </w:r>
          </w:p>
        </w:tc>
        <w:tc>
          <w:tcPr>
            <w:tcW w:w="1071" w:type="dxa"/>
            <w:vAlign w:val="center"/>
          </w:tcPr>
          <w:p w14:paraId="29C51DBD">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1377" w:type="dxa"/>
            <w:vAlign w:val="center"/>
          </w:tcPr>
          <w:p w14:paraId="64A23839">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1377" w:type="dxa"/>
            <w:vAlign w:val="center"/>
          </w:tcPr>
          <w:p w14:paraId="11A2553B">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1336" w:type="dxa"/>
            <w:vAlign w:val="center"/>
          </w:tcPr>
          <w:p w14:paraId="0433FF0A">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1102" w:type="dxa"/>
            <w:vAlign w:val="center"/>
          </w:tcPr>
          <w:p w14:paraId="50515B8C">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0C6AD1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1B9D4221">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7BCA01FC">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0FBB2A7E">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触电</w:t>
            </w:r>
          </w:p>
        </w:tc>
        <w:tc>
          <w:tcPr>
            <w:tcW w:w="584" w:type="pct"/>
            <w:vAlign w:val="center"/>
          </w:tcPr>
          <w:p w14:paraId="1A59E6B0">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05F3A949">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751" w:type="pct"/>
            <w:vAlign w:val="center"/>
          </w:tcPr>
          <w:p w14:paraId="6FB20399">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1B40F99F">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2</w:t>
            </w:r>
          </w:p>
        </w:tc>
        <w:tc>
          <w:tcPr>
            <w:tcW w:w="601" w:type="pct"/>
            <w:vAlign w:val="center"/>
          </w:tcPr>
          <w:p w14:paraId="26B5181D">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18403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restart"/>
            <w:vAlign w:val="center"/>
          </w:tcPr>
          <w:p w14:paraId="181C92D2">
            <w:pPr>
              <w:autoSpaceDE w:val="0"/>
              <w:autoSpaceDN w:val="0"/>
              <w:spacing w:line="240" w:lineRule="auto"/>
              <w:ind w:firstLine="0" w:firstLineChars="0"/>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站房</w:t>
            </w:r>
          </w:p>
        </w:tc>
        <w:tc>
          <w:tcPr>
            <w:tcW w:w="416" w:type="pct"/>
            <w:vMerge w:val="restart"/>
            <w:vAlign w:val="center"/>
          </w:tcPr>
          <w:p w14:paraId="1B392FC6">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检维修作业</w:t>
            </w:r>
          </w:p>
        </w:tc>
        <w:tc>
          <w:tcPr>
            <w:tcW w:w="751" w:type="pct"/>
            <w:vAlign w:val="center"/>
          </w:tcPr>
          <w:p w14:paraId="7BEA7C38">
            <w:pPr>
              <w:autoSpaceDE w:val="0"/>
              <w:autoSpaceDN w:val="0"/>
              <w:spacing w:line="240" w:lineRule="auto"/>
              <w:ind w:firstLine="0" w:firstLineChars="0"/>
              <w:jc w:val="center"/>
              <w:rPr>
                <w:rFonts w:hint="eastAsia" w:ascii="Times New Roman" w:hAnsi="Times New Roman" w:eastAsia="宋体" w:cs="Times New Roman"/>
                <w:sz w:val="21"/>
                <w:lang w:eastAsia="zh-CN"/>
                <w14:ligatures w14:val="none"/>
              </w:rPr>
            </w:pPr>
            <w:r>
              <w:rPr>
                <w:rFonts w:hint="eastAsia" w:ascii="Times New Roman" w:hAnsi="Times New Roman" w:eastAsia="宋体" w:cs="Times New Roman"/>
                <w:sz w:val="21"/>
                <w:lang w:val="en-US" w:eastAsia="zh-CN"/>
                <w14:ligatures w14:val="none"/>
              </w:rPr>
              <w:t>触电</w:t>
            </w:r>
          </w:p>
        </w:tc>
        <w:tc>
          <w:tcPr>
            <w:tcW w:w="584" w:type="pct"/>
            <w:vAlign w:val="center"/>
          </w:tcPr>
          <w:p w14:paraId="6DAC6082">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08FF5849">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751" w:type="pct"/>
            <w:vAlign w:val="center"/>
          </w:tcPr>
          <w:p w14:paraId="46EAA224">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325B0CB4">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2</w:t>
            </w:r>
          </w:p>
        </w:tc>
        <w:tc>
          <w:tcPr>
            <w:tcW w:w="601" w:type="pct"/>
            <w:vAlign w:val="center"/>
          </w:tcPr>
          <w:p w14:paraId="6A03361F">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ascii="Times New Roman" w:hAnsi="Times New Roman" w:eastAsia="宋体" w:cs="Times New Roman"/>
                <w:sz w:val="21"/>
                <w:lang w:val="zh-CN"/>
                <w14:ligatures w14:val="none"/>
              </w:rPr>
              <w:t>稍有危险</w:t>
            </w:r>
          </w:p>
        </w:tc>
      </w:tr>
      <w:tr w14:paraId="2F8EF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71863F23">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46311268">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639C00D0">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物体打击</w:t>
            </w:r>
          </w:p>
        </w:tc>
        <w:tc>
          <w:tcPr>
            <w:tcW w:w="584" w:type="pct"/>
            <w:vAlign w:val="center"/>
          </w:tcPr>
          <w:p w14:paraId="72D80E04">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659EA337">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751" w:type="pct"/>
            <w:vAlign w:val="center"/>
          </w:tcPr>
          <w:p w14:paraId="11E86740">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1BCDB5CE">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2</w:t>
            </w:r>
          </w:p>
        </w:tc>
        <w:tc>
          <w:tcPr>
            <w:tcW w:w="601" w:type="pct"/>
            <w:vAlign w:val="center"/>
          </w:tcPr>
          <w:p w14:paraId="3DC4521D">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ascii="Times New Roman" w:hAnsi="Times New Roman" w:eastAsia="宋体" w:cs="Times New Roman"/>
                <w:sz w:val="21"/>
                <w:lang w:val="zh-CN"/>
                <w14:ligatures w14:val="none"/>
              </w:rPr>
              <w:t>稍有危险</w:t>
            </w:r>
          </w:p>
        </w:tc>
      </w:tr>
      <w:tr w14:paraId="4188D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1AC56870">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224458EC">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33140D1C">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高处坠落</w:t>
            </w:r>
          </w:p>
        </w:tc>
        <w:tc>
          <w:tcPr>
            <w:tcW w:w="584" w:type="pct"/>
            <w:vAlign w:val="center"/>
          </w:tcPr>
          <w:p w14:paraId="2347A791">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0EF42897">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751" w:type="pct"/>
            <w:vAlign w:val="center"/>
          </w:tcPr>
          <w:p w14:paraId="47C5E433">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29" w:type="pct"/>
            <w:vAlign w:val="center"/>
          </w:tcPr>
          <w:p w14:paraId="0DD04CFA">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601" w:type="pct"/>
            <w:vAlign w:val="center"/>
          </w:tcPr>
          <w:p w14:paraId="0B25BB23">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ascii="Times New Roman" w:hAnsi="Times New Roman" w:eastAsia="宋体" w:cs="Times New Roman"/>
                <w:sz w:val="21"/>
                <w:lang w:val="zh-CN"/>
                <w14:ligatures w14:val="none"/>
              </w:rPr>
              <w:t>稍有危险</w:t>
            </w:r>
          </w:p>
        </w:tc>
      </w:tr>
      <w:tr w14:paraId="0A98F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399BB8D6">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260ECCE0">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20D66CC4">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坍塌</w:t>
            </w:r>
          </w:p>
        </w:tc>
        <w:tc>
          <w:tcPr>
            <w:tcW w:w="584" w:type="pct"/>
            <w:vAlign w:val="center"/>
          </w:tcPr>
          <w:p w14:paraId="5D17684E">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66094EA7">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751" w:type="pct"/>
            <w:vAlign w:val="center"/>
          </w:tcPr>
          <w:p w14:paraId="0E1B401A">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29" w:type="pct"/>
            <w:vAlign w:val="center"/>
          </w:tcPr>
          <w:p w14:paraId="4676DA58">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601" w:type="pct"/>
            <w:vAlign w:val="center"/>
          </w:tcPr>
          <w:p w14:paraId="58A344F3">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ascii="Times New Roman" w:hAnsi="Times New Roman" w:eastAsia="宋体" w:cs="Times New Roman"/>
                <w:sz w:val="21"/>
                <w:lang w:val="zh-CN"/>
                <w14:ligatures w14:val="none"/>
              </w:rPr>
              <w:t>稍有危险</w:t>
            </w:r>
          </w:p>
        </w:tc>
      </w:tr>
    </w:tbl>
    <w:p w14:paraId="666B5025">
      <w:pPr>
        <w:ind w:firstLine="560"/>
        <w:rPr>
          <w:rFonts w:ascii="Times New Roman" w:hAnsi="Times New Roman" w:eastAsia="宋体"/>
        </w:rPr>
      </w:pPr>
      <w:r>
        <w:rPr>
          <w:rFonts w:ascii="Times New Roman" w:hAnsi="Times New Roman" w:eastAsia="宋体"/>
        </w:rPr>
        <w:t>通过作业条件危险性评价可知，该站在卸油区进行卸油作业时发生火灾、</w:t>
      </w:r>
      <w:r>
        <w:rPr>
          <w:rFonts w:hint="eastAsia" w:ascii="Times New Roman" w:hAnsi="Times New Roman" w:eastAsia="宋体"/>
        </w:rPr>
        <w:t>泄漏</w:t>
      </w:r>
      <w:r>
        <w:rPr>
          <w:rFonts w:hint="eastAsia" w:ascii="Times New Roman" w:hAnsi="Times New Roman" w:eastAsia="宋体"/>
          <w:lang w:eastAsia="zh-CN"/>
        </w:rPr>
        <w:t>、</w:t>
      </w:r>
      <w:r>
        <w:rPr>
          <w:rFonts w:hint="eastAsia" w:ascii="Times New Roman" w:hAnsi="Times New Roman" w:eastAsia="宋体"/>
        </w:rPr>
        <w:t>可燃液体蒸汽</w:t>
      </w:r>
      <w:r>
        <w:rPr>
          <w:rFonts w:ascii="Times New Roman" w:hAnsi="Times New Roman" w:eastAsia="宋体"/>
        </w:rPr>
        <w:t>爆炸、中毒</w:t>
      </w:r>
      <w:r>
        <w:rPr>
          <w:rFonts w:hint="eastAsia" w:ascii="Times New Roman" w:hAnsi="Times New Roman" w:eastAsia="宋体"/>
          <w:lang w:eastAsia="zh-CN"/>
        </w:rPr>
        <w:t>、</w:t>
      </w:r>
      <w:r>
        <w:rPr>
          <w:rFonts w:ascii="Times New Roman" w:hAnsi="Times New Roman" w:eastAsia="宋体"/>
        </w:rPr>
        <w:t>窒息、触电</w:t>
      </w:r>
      <w:r>
        <w:rPr>
          <w:rFonts w:hint="eastAsia" w:ascii="Times New Roman" w:hAnsi="Times New Roman" w:eastAsia="宋体"/>
          <w:lang w:eastAsia="zh-CN"/>
        </w:rPr>
        <w:t>、</w:t>
      </w:r>
      <w:r>
        <w:rPr>
          <w:rFonts w:hint="eastAsia" w:ascii="Times New Roman" w:hAnsi="Times New Roman" w:eastAsia="宋体"/>
          <w:lang w:val="en-US" w:eastAsia="zh-CN"/>
        </w:rPr>
        <w:t>跌落</w:t>
      </w:r>
      <w:r>
        <w:rPr>
          <w:rFonts w:ascii="Times New Roman" w:hAnsi="Times New Roman" w:eastAsia="宋体"/>
        </w:rPr>
        <w:t>及车辆</w:t>
      </w:r>
      <w:r>
        <w:rPr>
          <w:rFonts w:hint="eastAsia" w:ascii="Times New Roman" w:hAnsi="Times New Roman" w:eastAsia="宋体"/>
          <w:lang w:val="en-US" w:eastAsia="zh-CN"/>
        </w:rPr>
        <w:t>致</w:t>
      </w:r>
      <w:r>
        <w:rPr>
          <w:rFonts w:ascii="Times New Roman" w:hAnsi="Times New Roman" w:eastAsia="宋体"/>
        </w:rPr>
        <w:t>害的危险程度为</w:t>
      </w:r>
      <w:r>
        <w:rPr>
          <w:rFonts w:hint="eastAsia" w:ascii="Times New Roman" w:hAnsi="Times New Roman" w:eastAsia="宋体"/>
        </w:rPr>
        <w:t>“</w:t>
      </w:r>
      <w:r>
        <w:rPr>
          <w:rFonts w:ascii="Times New Roman" w:hAnsi="Times New Roman" w:eastAsia="宋体"/>
        </w:rPr>
        <w:t>稍有危险</w:t>
      </w:r>
      <w:r>
        <w:rPr>
          <w:rFonts w:hint="eastAsia" w:ascii="Times New Roman" w:hAnsi="Times New Roman" w:eastAsia="宋体"/>
        </w:rPr>
        <w:t>”</w:t>
      </w:r>
      <w:r>
        <w:rPr>
          <w:rFonts w:ascii="Times New Roman" w:hAnsi="Times New Roman" w:eastAsia="宋体"/>
        </w:rPr>
        <w:t>；进行检维修作业时发生火灾、</w:t>
      </w:r>
      <w:r>
        <w:rPr>
          <w:rFonts w:hint="eastAsia" w:ascii="Times New Roman" w:hAnsi="Times New Roman" w:eastAsia="宋体"/>
        </w:rPr>
        <w:t>泄漏</w:t>
      </w:r>
      <w:r>
        <w:rPr>
          <w:rFonts w:hint="eastAsia" w:ascii="Times New Roman" w:hAnsi="Times New Roman" w:eastAsia="宋体"/>
          <w:lang w:eastAsia="zh-CN"/>
        </w:rPr>
        <w:t>、</w:t>
      </w:r>
      <w:r>
        <w:rPr>
          <w:rFonts w:hint="eastAsia" w:ascii="Times New Roman" w:hAnsi="Times New Roman" w:eastAsia="宋体"/>
        </w:rPr>
        <w:t>可燃液体蒸汽</w:t>
      </w:r>
      <w:r>
        <w:rPr>
          <w:rFonts w:ascii="Times New Roman" w:hAnsi="Times New Roman" w:eastAsia="宋体"/>
        </w:rPr>
        <w:t>爆炸、及触电的危险程度为</w:t>
      </w:r>
      <w:r>
        <w:rPr>
          <w:rFonts w:hint="eastAsia" w:ascii="Times New Roman" w:hAnsi="Times New Roman" w:eastAsia="宋体"/>
        </w:rPr>
        <w:t>“</w:t>
      </w:r>
      <w:r>
        <w:rPr>
          <w:rFonts w:ascii="Times New Roman" w:hAnsi="Times New Roman" w:eastAsia="宋体"/>
        </w:rPr>
        <w:t>稍有危险</w:t>
      </w:r>
      <w:r>
        <w:rPr>
          <w:rFonts w:hint="eastAsia" w:ascii="Times New Roman" w:hAnsi="Times New Roman" w:eastAsia="宋体"/>
        </w:rPr>
        <w:t>”</w:t>
      </w:r>
      <w:r>
        <w:rPr>
          <w:rFonts w:ascii="Times New Roman" w:hAnsi="Times New Roman" w:eastAsia="宋体"/>
        </w:rPr>
        <w:t>；在站房进行检维修作业时发生</w:t>
      </w:r>
      <w:r>
        <w:rPr>
          <w:rFonts w:hint="eastAsia" w:ascii="Times New Roman" w:hAnsi="Times New Roman" w:eastAsia="宋体"/>
          <w:lang w:val="en-US" w:eastAsia="zh-CN"/>
        </w:rPr>
        <w:t>触电</w:t>
      </w:r>
      <w:r>
        <w:rPr>
          <w:rFonts w:ascii="Times New Roman" w:hAnsi="Times New Roman" w:eastAsia="宋体"/>
        </w:rPr>
        <w:t>、物体打击、高处坠落及坍塌的危险程度为</w:t>
      </w:r>
      <w:r>
        <w:rPr>
          <w:rFonts w:hint="eastAsia" w:ascii="Times New Roman" w:hAnsi="Times New Roman" w:eastAsia="宋体"/>
        </w:rPr>
        <w:t>“</w:t>
      </w:r>
      <w:r>
        <w:rPr>
          <w:rFonts w:ascii="Times New Roman" w:hAnsi="Times New Roman" w:eastAsia="宋体"/>
        </w:rPr>
        <w:t>稍有危险</w:t>
      </w:r>
      <w:r>
        <w:rPr>
          <w:rFonts w:hint="eastAsia" w:ascii="Times New Roman" w:hAnsi="Times New Roman" w:eastAsia="宋体"/>
        </w:rPr>
        <w:t>”。</w:t>
      </w:r>
    </w:p>
    <w:p w14:paraId="5E4C51FB">
      <w:pPr>
        <w:ind w:firstLine="560"/>
        <w:rPr>
          <w:rFonts w:ascii="Times New Roman" w:hAnsi="Times New Roman" w:eastAsia="宋体"/>
        </w:rPr>
      </w:pPr>
      <w:r>
        <w:rPr>
          <w:rFonts w:hint="eastAsia" w:ascii="Times New Roman" w:hAnsi="Times New Roman" w:eastAsia="宋体"/>
        </w:rPr>
        <w:t>（3）定量分析建设项目安全评价范围内和各个评价单元的固有危险程度</w:t>
      </w:r>
    </w:p>
    <w:p w14:paraId="30F1E3B9">
      <w:pPr>
        <w:ind w:firstLine="560"/>
        <w:rPr>
          <w:rFonts w:ascii="Times New Roman" w:hAnsi="Times New Roman" w:eastAsia="宋体"/>
        </w:rPr>
      </w:pPr>
      <w:r>
        <w:rPr>
          <w:rFonts w:hint="eastAsia" w:ascii="宋体" w:hAnsi="宋体" w:eastAsia="宋体"/>
        </w:rPr>
        <w:t>①</w:t>
      </w:r>
      <w:r>
        <w:rPr>
          <w:rFonts w:hint="eastAsia" w:ascii="Times New Roman" w:hAnsi="Times New Roman" w:eastAsia="宋体"/>
        </w:rPr>
        <w:t>具有爆炸性化学品的质量及相当于梯恩梯（TNT）的摩尔量</w:t>
      </w:r>
    </w:p>
    <w:p w14:paraId="4ABA0C5E">
      <w:pPr>
        <w:ind w:firstLine="560"/>
        <w:rPr>
          <w:rFonts w:ascii="Times New Roman" w:hAnsi="Times New Roman" w:eastAsia="宋体"/>
        </w:rPr>
      </w:pPr>
      <w:r>
        <w:rPr>
          <w:rFonts w:hint="eastAsia" w:ascii="Times New Roman" w:hAnsi="Times New Roman" w:eastAsia="宋体"/>
        </w:rPr>
        <w:t>本项目不涉及爆炸性物质。</w:t>
      </w:r>
    </w:p>
    <w:p w14:paraId="5E795C05">
      <w:pPr>
        <w:ind w:firstLine="560"/>
        <w:rPr>
          <w:rFonts w:ascii="Times New Roman" w:hAnsi="Times New Roman" w:eastAsia="宋体"/>
        </w:rPr>
      </w:pPr>
      <w:r>
        <w:rPr>
          <w:rFonts w:hint="eastAsia" w:ascii="宋体" w:hAnsi="宋体" w:eastAsia="宋体"/>
        </w:rPr>
        <w:t>②</w:t>
      </w:r>
      <w:r>
        <w:rPr>
          <w:rFonts w:hint="eastAsia" w:ascii="Times New Roman" w:hAnsi="Times New Roman" w:eastAsia="宋体"/>
        </w:rPr>
        <w:t>具有可燃性的化学品的质量及燃烧后放出的热量</w:t>
      </w:r>
    </w:p>
    <w:p w14:paraId="70CC1EE7">
      <w:pPr>
        <w:keepNext/>
        <w:keepLines/>
        <w:spacing w:before="156" w:beforeLines="50" w:after="156" w:afterLines="50" w:line="240" w:lineRule="auto"/>
        <w:ind w:firstLine="0" w:firstLineChars="0"/>
        <w:jc w:val="center"/>
        <w:rPr>
          <w:rFonts w:hint="eastAsia" w:ascii="黑体" w:hAnsi="黑体" w:eastAsia="黑体"/>
          <w:sz w:val="24"/>
        </w:rPr>
      </w:pPr>
      <w:r>
        <w:rPr>
          <w:rFonts w:hint="eastAsia" w:ascii="黑体" w:hAnsi="黑体" w:eastAsia="黑体"/>
          <w:sz w:val="24"/>
        </w:rPr>
        <w:t>表</w:t>
      </w:r>
      <w:r>
        <w:rPr>
          <w:rFonts w:hint="eastAsia" w:ascii="Times New Roman" w:hAnsi="Times New Roman" w:eastAsia="黑体" w:cs="Times New Roman"/>
          <w:sz w:val="24"/>
        </w:rPr>
        <w:t>5.1</w:t>
      </w:r>
      <w:r>
        <w:rPr>
          <w:rFonts w:ascii="Times New Roman" w:hAnsi="Times New Roman" w:eastAsia="黑体" w:cs="Times New Roman"/>
          <w:sz w:val="24"/>
        </w:rPr>
        <w:t>-</w:t>
      </w:r>
      <w:r>
        <w:rPr>
          <w:rFonts w:hint="eastAsia" w:ascii="Times New Roman" w:hAnsi="Times New Roman" w:eastAsia="黑体" w:cs="Times New Roman"/>
          <w:sz w:val="24"/>
        </w:rPr>
        <w:t>3</w:t>
      </w:r>
      <w:r>
        <w:rPr>
          <w:rFonts w:hint="eastAsia" w:ascii="黑体" w:hAnsi="黑体" w:eastAsia="黑体"/>
          <w:sz w:val="24"/>
        </w:rPr>
        <w:t xml:space="preserve">  可燃性的化学品的质量及燃烧后放出的热量</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1849"/>
        <w:gridCol w:w="1836"/>
        <w:gridCol w:w="1777"/>
        <w:gridCol w:w="2727"/>
      </w:tblGrid>
      <w:tr w14:paraId="5191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vAlign w:val="center"/>
          </w:tcPr>
          <w:p w14:paraId="61CA841E">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序号</w:t>
            </w:r>
          </w:p>
        </w:tc>
        <w:tc>
          <w:tcPr>
            <w:tcW w:w="1007" w:type="pct"/>
            <w:vAlign w:val="center"/>
          </w:tcPr>
          <w:p w14:paraId="313B6B02">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物质名称</w:t>
            </w:r>
          </w:p>
        </w:tc>
        <w:tc>
          <w:tcPr>
            <w:tcW w:w="1000" w:type="pct"/>
            <w:vAlign w:val="center"/>
          </w:tcPr>
          <w:p w14:paraId="4F850C15">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hint="eastAsia" w:ascii="Times New Roman" w:hAnsi="Times New Roman" w:eastAsia="宋体" w:cs="Times New Roman"/>
                <w:bCs/>
                <w:sz w:val="21"/>
                <w:szCs w:val="21"/>
                <w14:ligatures w14:val="none"/>
              </w:rPr>
              <w:t>最大</w:t>
            </w:r>
            <w:r>
              <w:rPr>
                <w:rFonts w:ascii="Times New Roman" w:hAnsi="Times New Roman" w:eastAsia="宋体" w:cs="Times New Roman"/>
                <w:bCs/>
                <w:sz w:val="21"/>
                <w:szCs w:val="21"/>
                <w14:ligatures w14:val="none"/>
              </w:rPr>
              <w:t>储存量（t）</w:t>
            </w:r>
          </w:p>
        </w:tc>
        <w:tc>
          <w:tcPr>
            <w:tcW w:w="968" w:type="pct"/>
            <w:vAlign w:val="center"/>
          </w:tcPr>
          <w:p w14:paraId="3E2D7219">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燃烧热（</w:t>
            </w:r>
            <w:r>
              <w:rPr>
                <w:rFonts w:hint="eastAsia" w:ascii="Times New Roman" w:hAnsi="Times New Roman" w:eastAsia="宋体" w:cs="Times New Roman"/>
                <w:bCs/>
                <w:sz w:val="21"/>
                <w:szCs w:val="21"/>
                <w14:ligatures w14:val="none"/>
              </w:rPr>
              <w:t>kJ/kg</w:t>
            </w:r>
            <w:r>
              <w:rPr>
                <w:rFonts w:ascii="Times New Roman" w:hAnsi="Times New Roman" w:eastAsia="宋体" w:cs="Times New Roman"/>
                <w:bCs/>
                <w:sz w:val="21"/>
                <w:szCs w:val="21"/>
                <w14:ligatures w14:val="none"/>
              </w:rPr>
              <w:t>）</w:t>
            </w:r>
          </w:p>
        </w:tc>
        <w:tc>
          <w:tcPr>
            <w:tcW w:w="1485" w:type="pct"/>
            <w:vAlign w:val="center"/>
          </w:tcPr>
          <w:p w14:paraId="707EF535">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ascii="Times New Roman" w:hAnsi="Times New Roman" w:eastAsia="宋体" w:cs="Times New Roman"/>
                <w:bCs/>
                <w:sz w:val="21"/>
                <w:szCs w:val="21"/>
                <w14:ligatures w14:val="none"/>
              </w:rPr>
              <w:t>燃烧后</w:t>
            </w:r>
            <w:r>
              <w:rPr>
                <w:rFonts w:hint="eastAsia" w:ascii="Times New Roman" w:hAnsi="Times New Roman" w:eastAsia="宋体" w:cs="Times New Roman"/>
                <w:bCs/>
                <w:sz w:val="21"/>
                <w:szCs w:val="21"/>
                <w14:ligatures w14:val="none"/>
              </w:rPr>
              <w:t>放出</w:t>
            </w:r>
            <w:r>
              <w:rPr>
                <w:rFonts w:ascii="Times New Roman" w:hAnsi="Times New Roman" w:eastAsia="宋体" w:cs="Times New Roman"/>
                <w:bCs/>
                <w:sz w:val="21"/>
                <w:szCs w:val="21"/>
                <w14:ligatures w14:val="none"/>
              </w:rPr>
              <w:t>的热量（</w:t>
            </w:r>
            <w:r>
              <w:rPr>
                <w:rFonts w:hint="eastAsia" w:ascii="Times New Roman" w:hAnsi="Times New Roman" w:eastAsia="宋体" w:cs="Times New Roman"/>
                <w:bCs/>
                <w:sz w:val="21"/>
                <w:szCs w:val="21"/>
                <w14:ligatures w14:val="none"/>
              </w:rPr>
              <w:t>kJ</w:t>
            </w:r>
            <w:r>
              <w:rPr>
                <w:rFonts w:ascii="Times New Roman" w:hAnsi="Times New Roman" w:eastAsia="宋体" w:cs="Times New Roman"/>
                <w:bCs/>
                <w:sz w:val="21"/>
                <w:szCs w:val="21"/>
                <w14:ligatures w14:val="none"/>
              </w:rPr>
              <w:t>）</w:t>
            </w:r>
          </w:p>
        </w:tc>
      </w:tr>
      <w:tr w14:paraId="2873E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540" w:type="pct"/>
            <w:vAlign w:val="center"/>
          </w:tcPr>
          <w:p w14:paraId="64746241">
            <w:pPr>
              <w:numPr>
                <w:ilvl w:val="0"/>
                <w:numId w:val="3"/>
              </w:numPr>
              <w:tabs>
                <w:tab w:val="left" w:pos="1200"/>
                <w:tab w:val="left" w:pos="1276"/>
              </w:tabs>
              <w:spacing w:line="240" w:lineRule="auto"/>
              <w:ind w:left="0" w:firstLine="0" w:firstLineChars="0"/>
              <w:jc w:val="center"/>
              <w:rPr>
                <w:rFonts w:ascii="Calibri" w:hAnsi="Calibri" w:eastAsia="宋体" w:cs="Times New Roman"/>
                <w:kern w:val="0"/>
                <w:sz w:val="24"/>
                <w14:ligatures w14:val="none"/>
              </w:rPr>
            </w:pPr>
          </w:p>
        </w:tc>
        <w:tc>
          <w:tcPr>
            <w:tcW w:w="1007" w:type="pct"/>
            <w:vAlign w:val="center"/>
          </w:tcPr>
          <w:p w14:paraId="5FEA34F9">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车用乙醇汽油</w:t>
            </w:r>
          </w:p>
        </w:tc>
        <w:tc>
          <w:tcPr>
            <w:tcW w:w="1000" w:type="pct"/>
            <w:vAlign w:val="center"/>
          </w:tcPr>
          <w:p w14:paraId="36FF1ABC">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80</w:t>
            </w:r>
          </w:p>
        </w:tc>
        <w:tc>
          <w:tcPr>
            <w:tcW w:w="968" w:type="pct"/>
            <w:vAlign w:val="center"/>
          </w:tcPr>
          <w:p w14:paraId="73B175CF">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hint="eastAsia" w:ascii="Times New Roman" w:hAnsi="Times New Roman" w:eastAsia="宋体" w:cs="Times New Roman"/>
                <w:bCs/>
                <w:sz w:val="21"/>
                <w:szCs w:val="21"/>
                <w14:ligatures w14:val="none"/>
              </w:rPr>
              <w:t>45980</w:t>
            </w:r>
          </w:p>
        </w:tc>
        <w:tc>
          <w:tcPr>
            <w:tcW w:w="1485" w:type="pct"/>
            <w:vAlign w:val="center"/>
          </w:tcPr>
          <w:p w14:paraId="7A018C64">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3.68</w:t>
            </w:r>
            <w:r>
              <w:rPr>
                <w:rFonts w:hint="eastAsia" w:ascii="Times New Roman" w:hAnsi="Times New Roman" w:eastAsia="宋体" w:cs="Times New Roman"/>
                <w:sz w:val="21"/>
                <w:szCs w:val="21"/>
                <w14:ligatures w14:val="none"/>
              </w:rPr>
              <w:t>×10</w:t>
            </w:r>
            <w:r>
              <w:rPr>
                <w:rFonts w:hint="eastAsia" w:ascii="Times New Roman" w:hAnsi="Times New Roman" w:eastAsia="宋体" w:cs="Times New Roman"/>
                <w:sz w:val="21"/>
                <w:szCs w:val="21"/>
                <w:vertAlign w:val="superscript"/>
                <w14:ligatures w14:val="none"/>
              </w:rPr>
              <w:t>9</w:t>
            </w:r>
          </w:p>
        </w:tc>
      </w:tr>
      <w:tr w14:paraId="040D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540" w:type="pct"/>
            <w:vAlign w:val="center"/>
          </w:tcPr>
          <w:p w14:paraId="011E15F3">
            <w:pPr>
              <w:numPr>
                <w:ilvl w:val="0"/>
                <w:numId w:val="3"/>
              </w:numPr>
              <w:tabs>
                <w:tab w:val="left" w:pos="1200"/>
                <w:tab w:val="left" w:pos="1276"/>
              </w:tabs>
              <w:spacing w:line="240" w:lineRule="auto"/>
              <w:ind w:left="0" w:firstLine="0" w:firstLineChars="0"/>
              <w:jc w:val="center"/>
              <w:rPr>
                <w:rFonts w:ascii="Calibri" w:hAnsi="Calibri" w:eastAsia="宋体" w:cs="Times New Roman"/>
                <w:kern w:val="0"/>
                <w:sz w:val="24"/>
                <w:lang w:eastAsia="en-US"/>
                <w14:ligatures w14:val="none"/>
              </w:rPr>
            </w:pPr>
          </w:p>
        </w:tc>
        <w:tc>
          <w:tcPr>
            <w:tcW w:w="1007" w:type="pct"/>
            <w:vAlign w:val="center"/>
          </w:tcPr>
          <w:p w14:paraId="7A3CAD97">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柴油</w:t>
            </w:r>
          </w:p>
        </w:tc>
        <w:tc>
          <w:tcPr>
            <w:tcW w:w="1000" w:type="pct"/>
            <w:vAlign w:val="center"/>
          </w:tcPr>
          <w:p w14:paraId="04DC8168">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85</w:t>
            </w:r>
          </w:p>
        </w:tc>
        <w:tc>
          <w:tcPr>
            <w:tcW w:w="968" w:type="pct"/>
            <w:vAlign w:val="center"/>
          </w:tcPr>
          <w:p w14:paraId="1A5D2210">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bCs/>
                <w:sz w:val="21"/>
                <w:szCs w:val="21"/>
                <w14:ligatures w14:val="none"/>
              </w:rPr>
              <w:t>40184</w:t>
            </w:r>
          </w:p>
        </w:tc>
        <w:tc>
          <w:tcPr>
            <w:tcW w:w="1485" w:type="pct"/>
            <w:vAlign w:val="center"/>
          </w:tcPr>
          <w:p w14:paraId="01F08AE5">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3.42</w:t>
            </w:r>
            <w:r>
              <w:rPr>
                <w:rFonts w:hint="eastAsia" w:ascii="Times New Roman" w:hAnsi="Times New Roman" w:eastAsia="宋体" w:cs="Times New Roman"/>
                <w:sz w:val="21"/>
                <w:szCs w:val="21"/>
                <w14:ligatures w14:val="none"/>
              </w:rPr>
              <w:t>×10</w:t>
            </w:r>
            <w:r>
              <w:rPr>
                <w:rFonts w:hint="eastAsia" w:ascii="Times New Roman" w:hAnsi="Times New Roman" w:eastAsia="宋体" w:cs="Times New Roman"/>
                <w:sz w:val="21"/>
                <w:szCs w:val="21"/>
                <w:vertAlign w:val="superscript"/>
                <w14:ligatures w14:val="none"/>
              </w:rPr>
              <w:t>9</w:t>
            </w:r>
          </w:p>
        </w:tc>
      </w:tr>
    </w:tbl>
    <w:p w14:paraId="0796FF8A">
      <w:pPr>
        <w:ind w:firstLine="560"/>
        <w:rPr>
          <w:rFonts w:ascii="Times New Roman" w:hAnsi="Times New Roman" w:eastAsia="宋体"/>
        </w:rPr>
      </w:pPr>
      <w:r>
        <w:rPr>
          <w:rFonts w:hint="eastAsia" w:ascii="宋体" w:hAnsi="宋体" w:eastAsia="宋体"/>
        </w:rPr>
        <w:t>③</w:t>
      </w:r>
      <w:r>
        <w:rPr>
          <w:rFonts w:hint="eastAsia" w:ascii="Times New Roman" w:hAnsi="Times New Roman" w:eastAsia="宋体"/>
        </w:rPr>
        <w:t>具有毒性的化学品的浓度及质量</w:t>
      </w:r>
    </w:p>
    <w:p w14:paraId="46D612E9">
      <w:pPr>
        <w:ind w:firstLine="560"/>
        <w:rPr>
          <w:rFonts w:ascii="Times New Roman" w:hAnsi="Times New Roman" w:eastAsia="宋体"/>
        </w:rPr>
      </w:pPr>
      <w:r>
        <w:rPr>
          <w:rFonts w:hint="eastAsia" w:ascii="Times New Roman" w:hAnsi="Times New Roman" w:eastAsia="宋体"/>
        </w:rPr>
        <w:t>本项目不涉及高毒及剧毒化学品，车用乙醇汽油职业接触限值：PC-TWA：300mg/m³。</w:t>
      </w:r>
    </w:p>
    <w:p w14:paraId="1DA051A9">
      <w:pPr>
        <w:ind w:firstLine="560"/>
        <w:rPr>
          <w:rFonts w:ascii="Times New Roman" w:hAnsi="Times New Roman" w:eastAsia="宋体"/>
        </w:rPr>
      </w:pPr>
      <w:r>
        <w:rPr>
          <w:rFonts w:hint="eastAsia" w:ascii="宋体" w:hAnsi="宋体" w:eastAsia="宋体"/>
        </w:rPr>
        <w:t>④</w:t>
      </w:r>
      <w:r>
        <w:rPr>
          <w:rFonts w:hint="eastAsia" w:ascii="Times New Roman" w:hAnsi="Times New Roman" w:eastAsia="宋体"/>
        </w:rPr>
        <w:t>具有腐蚀性的化学品的浓度及质量</w:t>
      </w:r>
    </w:p>
    <w:p w14:paraId="2A698B40">
      <w:pPr>
        <w:ind w:firstLine="560"/>
        <w:rPr>
          <w:rFonts w:ascii="Times New Roman" w:hAnsi="Times New Roman" w:eastAsia="宋体"/>
        </w:rPr>
      </w:pPr>
      <w:r>
        <w:rPr>
          <w:rFonts w:hint="eastAsia" w:ascii="Times New Roman" w:hAnsi="Times New Roman" w:eastAsia="宋体"/>
        </w:rPr>
        <w:t>本项目不涉及腐蚀性化学品。</w:t>
      </w:r>
    </w:p>
    <w:p w14:paraId="4474C5E0">
      <w:pPr>
        <w:spacing w:before="312" w:beforeLines="100" w:after="312" w:afterLines="100"/>
        <w:ind w:firstLine="0" w:firstLineChars="0"/>
        <w:jc w:val="center"/>
        <w:outlineLvl w:val="1"/>
        <w:rPr>
          <w:rFonts w:ascii="Times New Roman" w:hAnsi="Times New Roman" w:eastAsia="楷体" w:cs="宋体"/>
          <w:b/>
          <w:bCs/>
          <w:sz w:val="32"/>
          <w:szCs w:val="28"/>
          <w:lang w:bidi="ar"/>
          <w14:ligatures w14:val="none"/>
        </w:rPr>
      </w:pPr>
      <w:bookmarkStart w:id="58" w:name="_Toc218437745"/>
      <w:r>
        <w:rPr>
          <w:rFonts w:hint="eastAsia" w:ascii="Times New Roman" w:hAnsi="Times New Roman" w:eastAsia="楷体" w:cs="宋体"/>
          <w:b/>
          <w:bCs/>
          <w:sz w:val="32"/>
          <w:szCs w:val="28"/>
          <w:lang w:bidi="ar"/>
          <w14:ligatures w14:val="none"/>
        </w:rPr>
        <w:t>5.2</w:t>
      </w:r>
      <w:r>
        <w:rPr>
          <w:rFonts w:ascii="Times New Roman" w:hAnsi="Times New Roman" w:eastAsia="楷体" w:cs="宋体"/>
          <w:b/>
          <w:bCs/>
          <w:sz w:val="32"/>
          <w:szCs w:val="28"/>
          <w:lang w:bidi="ar"/>
          <w14:ligatures w14:val="none"/>
        </w:rPr>
        <w:t>风险程度的分析</w:t>
      </w:r>
      <w:bookmarkEnd w:id="58"/>
    </w:p>
    <w:p w14:paraId="6DF94C2B">
      <w:pPr>
        <w:ind w:firstLine="560"/>
        <w:rPr>
          <w:rFonts w:ascii="Times New Roman" w:hAnsi="Times New Roman" w:eastAsia="宋体"/>
        </w:rPr>
      </w:pPr>
      <w:r>
        <w:rPr>
          <w:rFonts w:hint="eastAsia" w:ascii="Times New Roman" w:hAnsi="Times New Roman" w:eastAsia="宋体"/>
        </w:rPr>
        <w:t>根据选定的安全评价方法对本项目进行相关的分析评价。具体评价结果，见表5.2-1。评价过程，见报告附件4。</w:t>
      </w:r>
    </w:p>
    <w:p w14:paraId="0FEBFFAA">
      <w:pPr>
        <w:keepNext/>
        <w:keepLines/>
        <w:spacing w:before="156" w:beforeLines="50" w:after="156" w:afterLines="50" w:line="240" w:lineRule="auto"/>
        <w:ind w:firstLine="0" w:firstLineChars="0"/>
        <w:jc w:val="center"/>
        <w:rPr>
          <w:rFonts w:hint="eastAsia" w:ascii="黑体" w:hAnsi="黑体" w:eastAsia="黑体"/>
          <w:sz w:val="24"/>
        </w:rPr>
      </w:pPr>
      <w:r>
        <w:rPr>
          <w:rFonts w:hint="eastAsia" w:ascii="黑体" w:hAnsi="黑体" w:eastAsia="黑体"/>
          <w:sz w:val="24"/>
        </w:rPr>
        <w:t>表</w:t>
      </w:r>
      <w:r>
        <w:rPr>
          <w:rFonts w:hint="eastAsia" w:ascii="Times New Roman" w:hAnsi="Times New Roman" w:eastAsia="黑体" w:cs="Times New Roman"/>
          <w:sz w:val="24"/>
        </w:rPr>
        <w:t>5.2-1</w:t>
      </w:r>
      <w:r>
        <w:rPr>
          <w:rFonts w:hint="eastAsia" w:ascii="黑体" w:hAnsi="黑体" w:eastAsia="黑体"/>
          <w:sz w:val="24"/>
        </w:rPr>
        <w:t xml:space="preserve">  风险评价结果汇总表</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390"/>
        <w:gridCol w:w="6087"/>
      </w:tblGrid>
      <w:tr w14:paraId="7442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vAlign w:val="center"/>
          </w:tcPr>
          <w:p w14:paraId="348D1B5D">
            <w:pPr>
              <w:autoSpaceDE w:val="0"/>
              <w:autoSpaceDN w:val="0"/>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序号</w:t>
            </w:r>
          </w:p>
        </w:tc>
        <w:tc>
          <w:tcPr>
            <w:tcW w:w="1302" w:type="pct"/>
            <w:vAlign w:val="center"/>
          </w:tcPr>
          <w:p w14:paraId="245F8E5C">
            <w:pPr>
              <w:autoSpaceDE w:val="0"/>
              <w:autoSpaceDN w:val="0"/>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评价方法</w:t>
            </w:r>
          </w:p>
        </w:tc>
        <w:tc>
          <w:tcPr>
            <w:tcW w:w="3315" w:type="pct"/>
            <w:vAlign w:val="center"/>
          </w:tcPr>
          <w:p w14:paraId="00E53585">
            <w:pPr>
              <w:autoSpaceDE w:val="0"/>
              <w:autoSpaceDN w:val="0"/>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评价结果</w:t>
            </w:r>
          </w:p>
        </w:tc>
      </w:tr>
      <w:tr w14:paraId="16D23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vAlign w:val="center"/>
          </w:tcPr>
          <w:p w14:paraId="43514AF3">
            <w:pPr>
              <w:autoSpaceDE w:val="0"/>
              <w:autoSpaceDN w:val="0"/>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w:t>
            </w:r>
          </w:p>
        </w:tc>
        <w:tc>
          <w:tcPr>
            <w:tcW w:w="1302" w:type="pct"/>
            <w:vAlign w:val="center"/>
          </w:tcPr>
          <w:p w14:paraId="20B51363">
            <w:pPr>
              <w:adjustRightInd/>
              <w:snapToGrid/>
              <w:spacing w:line="240" w:lineRule="auto"/>
              <w:ind w:firstLine="42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安全检查表法</w:t>
            </w:r>
          </w:p>
        </w:tc>
        <w:tc>
          <w:tcPr>
            <w:tcW w:w="3315" w:type="pct"/>
            <w:vAlign w:val="center"/>
          </w:tcPr>
          <w:p w14:paraId="5DB57EE6">
            <w:pPr>
              <w:autoSpaceDE w:val="0"/>
              <w:autoSpaceDN w:val="0"/>
              <w:snapToGrid/>
              <w:spacing w:line="240" w:lineRule="auto"/>
              <w:ind w:firstLine="0" w:firstLineChars="0"/>
              <w:rPr>
                <w:rFonts w:ascii="Times New Roman" w:hAnsi="Times New Roman" w:eastAsia="宋体" w:cs="Times New Roman"/>
                <w:sz w:val="21"/>
                <w:szCs w:val="21"/>
                <w:highlight w:val="yellow"/>
                <w14:ligatures w14:val="none"/>
              </w:rPr>
            </w:pPr>
            <w:r>
              <w:rPr>
                <w:rFonts w:ascii="Times New Roman" w:hAnsi="Times New Roman" w:eastAsia="宋体" w:cs="Times New Roman"/>
                <w:sz w:val="21"/>
                <w:szCs w:val="21"/>
                <w14:ligatures w14:val="none"/>
              </w:rPr>
              <w:t>通过对</w:t>
            </w:r>
            <w:r>
              <w:rPr>
                <w:rFonts w:hint="eastAsia" w:ascii="Times New Roman" w:hAnsi="Times New Roman" w:eastAsia="宋体" w:cs="Times New Roman"/>
                <w:sz w:val="21"/>
                <w:szCs w:val="21"/>
                <w14:ligatures w14:val="none"/>
              </w:rPr>
              <w:t>本项目</w:t>
            </w:r>
            <w:r>
              <w:rPr>
                <w:rFonts w:ascii="Times New Roman" w:hAnsi="Times New Roman" w:eastAsia="宋体" w:cs="Times New Roman"/>
                <w:sz w:val="21"/>
                <w:szCs w:val="21"/>
                <w14:ligatures w14:val="none"/>
              </w:rPr>
              <w:t>的工艺设备</w:t>
            </w:r>
            <w:r>
              <w:rPr>
                <w:rFonts w:hint="eastAsia" w:ascii="Times New Roman" w:hAnsi="Times New Roman" w:eastAsia="宋体" w:cs="Times New Roman"/>
                <w:sz w:val="21"/>
                <w:szCs w:val="21"/>
                <w14:ligatures w14:val="none"/>
              </w:rPr>
              <w:t>及设施、</w:t>
            </w:r>
            <w:r>
              <w:rPr>
                <w:rFonts w:ascii="Times New Roman" w:hAnsi="Times New Roman" w:eastAsia="宋体" w:cs="Times New Roman"/>
                <w:sz w:val="21"/>
                <w:szCs w:val="21"/>
                <w14:ligatures w14:val="none"/>
              </w:rPr>
              <w:t>公用工程及辅助</w:t>
            </w:r>
            <w:r>
              <w:rPr>
                <w:rFonts w:hint="eastAsia" w:ascii="Times New Roman" w:hAnsi="Times New Roman" w:eastAsia="宋体" w:cs="Times New Roman"/>
                <w:sz w:val="21"/>
                <w:szCs w:val="21"/>
                <w14:ligatures w14:val="none"/>
              </w:rPr>
              <w:t>设施、</w:t>
            </w:r>
            <w:r>
              <w:rPr>
                <w:rFonts w:ascii="Times New Roman" w:hAnsi="Times New Roman" w:eastAsia="宋体" w:cs="Times New Roman"/>
                <w:sz w:val="21"/>
                <w:szCs w:val="21"/>
                <w14:ligatures w14:val="none"/>
              </w:rPr>
              <w:t>总平面布置</w:t>
            </w:r>
            <w:r>
              <w:rPr>
                <w:rFonts w:hint="eastAsia" w:ascii="Times New Roman" w:hAnsi="Times New Roman" w:eastAsia="宋体" w:cs="Times New Roman"/>
                <w:sz w:val="21"/>
                <w:szCs w:val="21"/>
                <w14:ligatures w14:val="none"/>
              </w:rPr>
              <w:t>、</w:t>
            </w:r>
            <w:r>
              <w:rPr>
                <w:rFonts w:ascii="Times New Roman" w:hAnsi="Times New Roman" w:eastAsia="宋体" w:cs="Times New Roman"/>
                <w:sz w:val="21"/>
                <w:szCs w:val="21"/>
                <w14:ligatures w14:val="none"/>
              </w:rPr>
              <w:t>事故应急及安全管理</w:t>
            </w:r>
            <w:r>
              <w:rPr>
                <w:rFonts w:hint="eastAsia" w:ascii="Times New Roman" w:hAnsi="Times New Roman" w:eastAsia="宋体" w:cs="Times New Roman"/>
                <w:sz w:val="21"/>
                <w:szCs w:val="21"/>
                <w14:ligatures w14:val="none"/>
              </w:rPr>
              <w:t>、</w:t>
            </w:r>
            <w:r>
              <w:rPr>
                <w:rFonts w:ascii="Times New Roman" w:hAnsi="Times New Roman" w:eastAsia="宋体" w:cs="Times New Roman"/>
                <w:sz w:val="21"/>
                <w:szCs w:val="21"/>
                <w14:ligatures w14:val="none"/>
              </w:rPr>
              <w:t>重大安全事故隐患判定5个单元共检查</w:t>
            </w:r>
            <w:r>
              <w:rPr>
                <w:rFonts w:ascii="Times New Roman" w:hAnsi="Times New Roman" w:eastAsia="宋体" w:cs="Times New Roman"/>
                <w:sz w:val="21"/>
                <w:szCs w:val="21"/>
                <w:highlight w:val="none"/>
                <w14:ligatures w14:val="none"/>
              </w:rPr>
              <w:t>项目共1</w:t>
            </w:r>
            <w:r>
              <w:rPr>
                <w:rFonts w:hint="eastAsia" w:ascii="Times New Roman" w:hAnsi="Times New Roman" w:eastAsia="宋体" w:cs="Times New Roman"/>
                <w:sz w:val="21"/>
                <w:szCs w:val="21"/>
                <w:highlight w:val="none"/>
                <w:lang w:val="en-US" w:eastAsia="zh-CN"/>
                <w14:ligatures w14:val="none"/>
              </w:rPr>
              <w:t>47</w:t>
            </w:r>
            <w:r>
              <w:rPr>
                <w:rFonts w:ascii="Times New Roman" w:hAnsi="Times New Roman" w:eastAsia="宋体" w:cs="Times New Roman"/>
                <w:sz w:val="21"/>
                <w:szCs w:val="21"/>
                <w:highlight w:val="none"/>
                <w14:ligatures w14:val="none"/>
              </w:rPr>
              <w:t>项，其中符合项为</w:t>
            </w:r>
            <w:r>
              <w:rPr>
                <w:rFonts w:hint="eastAsia" w:ascii="Times New Roman" w:hAnsi="Times New Roman" w:eastAsia="宋体" w:cs="Times New Roman"/>
                <w:sz w:val="21"/>
                <w:szCs w:val="21"/>
                <w:highlight w:val="none"/>
                <w14:ligatures w14:val="none"/>
              </w:rPr>
              <w:t>1</w:t>
            </w:r>
            <w:r>
              <w:rPr>
                <w:rFonts w:hint="eastAsia" w:ascii="Times New Roman" w:hAnsi="Times New Roman" w:eastAsia="宋体" w:cs="Times New Roman"/>
                <w:sz w:val="21"/>
                <w:szCs w:val="21"/>
                <w:highlight w:val="none"/>
                <w:lang w:val="en-US" w:eastAsia="zh-CN"/>
                <w14:ligatures w14:val="none"/>
              </w:rPr>
              <w:t>38</w:t>
            </w:r>
            <w:r>
              <w:rPr>
                <w:rFonts w:ascii="Times New Roman" w:hAnsi="Times New Roman" w:eastAsia="宋体" w:cs="Times New Roman"/>
                <w:sz w:val="21"/>
                <w:szCs w:val="21"/>
                <w:highlight w:val="none"/>
                <w14:ligatures w14:val="none"/>
              </w:rPr>
              <w:t>项，无关项为</w:t>
            </w:r>
            <w:r>
              <w:rPr>
                <w:rFonts w:hint="eastAsia" w:ascii="Times New Roman" w:hAnsi="Times New Roman" w:eastAsia="宋体" w:cs="Times New Roman"/>
                <w:sz w:val="21"/>
                <w:szCs w:val="21"/>
                <w:highlight w:val="none"/>
                <w:lang w:val="en-US" w:eastAsia="zh-CN"/>
                <w14:ligatures w14:val="none"/>
              </w:rPr>
              <w:t>9</w:t>
            </w:r>
            <w:r>
              <w:rPr>
                <w:rFonts w:ascii="Times New Roman" w:hAnsi="Times New Roman" w:eastAsia="宋体" w:cs="Times New Roman"/>
                <w:sz w:val="21"/>
                <w:szCs w:val="21"/>
                <w:highlight w:val="none"/>
                <w14:ligatures w14:val="none"/>
              </w:rPr>
              <w:t>项。</w:t>
            </w:r>
          </w:p>
        </w:tc>
      </w:tr>
      <w:tr w14:paraId="0FCE7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vAlign w:val="center"/>
          </w:tcPr>
          <w:p w14:paraId="19B2177F">
            <w:pPr>
              <w:autoSpaceDE w:val="0"/>
              <w:autoSpaceDN w:val="0"/>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2</w:t>
            </w:r>
          </w:p>
        </w:tc>
        <w:tc>
          <w:tcPr>
            <w:tcW w:w="1302" w:type="pct"/>
            <w:vAlign w:val="center"/>
          </w:tcPr>
          <w:p w14:paraId="603C2CF0">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作业条件危险性分析法</w:t>
            </w:r>
          </w:p>
        </w:tc>
        <w:tc>
          <w:tcPr>
            <w:tcW w:w="3315" w:type="pct"/>
            <w:vAlign w:val="center"/>
          </w:tcPr>
          <w:p w14:paraId="7F94F02A">
            <w:pPr>
              <w:autoSpaceDE w:val="0"/>
              <w:autoSpaceDN w:val="0"/>
              <w:snapToGrid/>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通过作业条件危险性评价可知，该站在卸油区进行卸油作业时发生火灾、</w:t>
            </w:r>
            <w:r>
              <w:rPr>
                <w:rFonts w:hint="eastAsia" w:ascii="Times New Roman" w:hAnsi="Times New Roman" w:eastAsia="宋体" w:cs="Times New Roman"/>
                <w:sz w:val="21"/>
                <w:szCs w:val="21"/>
                <w14:ligatures w14:val="none"/>
              </w:rPr>
              <w:t>泄漏、可燃液体蒸汽爆炸、中毒、窒息、</w:t>
            </w:r>
            <w:r>
              <w:rPr>
                <w:rFonts w:ascii="Times New Roman" w:hAnsi="Times New Roman" w:eastAsia="宋体" w:cs="Times New Roman"/>
                <w:sz w:val="21"/>
                <w:szCs w:val="21"/>
                <w14:ligatures w14:val="none"/>
              </w:rPr>
              <w:t>触电及车辆</w:t>
            </w:r>
            <w:r>
              <w:rPr>
                <w:rFonts w:hint="eastAsia" w:ascii="Times New Roman" w:hAnsi="Times New Roman" w:eastAsia="宋体" w:cs="Times New Roman"/>
                <w:sz w:val="21"/>
                <w:szCs w:val="21"/>
                <w:lang w:val="en-US" w:eastAsia="zh-CN"/>
                <w14:ligatures w14:val="none"/>
              </w:rPr>
              <w:t>致</w:t>
            </w:r>
            <w:r>
              <w:rPr>
                <w:rFonts w:ascii="Times New Roman" w:hAnsi="Times New Roman" w:eastAsia="宋体" w:cs="Times New Roman"/>
                <w:sz w:val="21"/>
                <w:szCs w:val="21"/>
                <w14:ligatures w14:val="none"/>
              </w:rPr>
              <w:t>害的危险程度为</w:t>
            </w:r>
            <w:r>
              <w:rPr>
                <w:rFonts w:hint="eastAsia" w:ascii="Times New Roman" w:hAnsi="Times New Roman" w:eastAsia="宋体" w:cs="Times New Roman"/>
                <w:sz w:val="21"/>
                <w:szCs w:val="21"/>
                <w14:ligatures w14:val="none"/>
              </w:rPr>
              <w:t>“</w:t>
            </w:r>
            <w:r>
              <w:rPr>
                <w:rFonts w:ascii="Times New Roman" w:hAnsi="Times New Roman" w:eastAsia="宋体" w:cs="Times New Roman"/>
                <w:sz w:val="21"/>
                <w:szCs w:val="21"/>
                <w14:ligatures w14:val="none"/>
              </w:rPr>
              <w:t>稍有危险</w:t>
            </w:r>
            <w:r>
              <w:rPr>
                <w:rFonts w:hint="eastAsia" w:ascii="Times New Roman" w:hAnsi="Times New Roman" w:eastAsia="宋体" w:cs="Times New Roman"/>
                <w:sz w:val="21"/>
                <w:szCs w:val="21"/>
                <w14:ligatures w14:val="none"/>
              </w:rPr>
              <w:t>”</w:t>
            </w:r>
            <w:r>
              <w:rPr>
                <w:rFonts w:ascii="Times New Roman" w:hAnsi="Times New Roman" w:eastAsia="宋体" w:cs="Times New Roman"/>
                <w:sz w:val="21"/>
                <w:szCs w:val="21"/>
                <w14:ligatures w14:val="none"/>
              </w:rPr>
              <w:t>；进行检维修作业时发生火灾</w:t>
            </w:r>
            <w:r>
              <w:rPr>
                <w:rFonts w:hint="eastAsia" w:ascii="Times New Roman" w:hAnsi="Times New Roman" w:eastAsia="宋体" w:cs="Times New Roman"/>
                <w:sz w:val="21"/>
                <w:szCs w:val="21"/>
                <w14:ligatures w14:val="none"/>
              </w:rPr>
              <w:t>、泄漏、可燃液体蒸汽爆炸</w:t>
            </w:r>
            <w:r>
              <w:rPr>
                <w:rFonts w:ascii="Times New Roman" w:hAnsi="Times New Roman" w:eastAsia="宋体" w:cs="Times New Roman"/>
                <w:sz w:val="21"/>
                <w:szCs w:val="21"/>
                <w14:ligatures w14:val="none"/>
              </w:rPr>
              <w:t>及触电的危险程度为</w:t>
            </w:r>
            <w:r>
              <w:rPr>
                <w:rFonts w:hint="eastAsia" w:ascii="Times New Roman" w:hAnsi="Times New Roman" w:eastAsia="宋体" w:cs="Times New Roman"/>
                <w:sz w:val="21"/>
                <w:szCs w:val="21"/>
                <w14:ligatures w14:val="none"/>
              </w:rPr>
              <w:t>“</w:t>
            </w:r>
            <w:r>
              <w:rPr>
                <w:rFonts w:ascii="Times New Roman" w:hAnsi="Times New Roman" w:eastAsia="宋体" w:cs="Times New Roman"/>
                <w:sz w:val="21"/>
                <w:szCs w:val="21"/>
                <w14:ligatures w14:val="none"/>
              </w:rPr>
              <w:t>稍有危险</w:t>
            </w:r>
            <w:r>
              <w:rPr>
                <w:rFonts w:hint="eastAsia" w:ascii="Times New Roman" w:hAnsi="Times New Roman" w:eastAsia="宋体" w:cs="Times New Roman"/>
                <w:sz w:val="21"/>
                <w:szCs w:val="21"/>
                <w14:ligatures w14:val="none"/>
              </w:rPr>
              <w:t>”</w:t>
            </w:r>
            <w:r>
              <w:rPr>
                <w:rFonts w:ascii="Times New Roman" w:hAnsi="Times New Roman" w:eastAsia="宋体" w:cs="Times New Roman"/>
                <w:sz w:val="21"/>
                <w:szCs w:val="21"/>
                <w14:ligatures w14:val="none"/>
              </w:rPr>
              <w:t>；在站房进行检维修作业时发生</w:t>
            </w:r>
            <w:r>
              <w:rPr>
                <w:rFonts w:hint="eastAsia" w:ascii="Times New Roman" w:hAnsi="Times New Roman" w:eastAsia="宋体" w:cs="Times New Roman"/>
                <w:sz w:val="21"/>
                <w:szCs w:val="21"/>
                <w:lang w:val="en-US" w:eastAsia="zh-CN"/>
                <w14:ligatures w14:val="none"/>
              </w:rPr>
              <w:t>触电</w:t>
            </w:r>
            <w:r>
              <w:rPr>
                <w:rFonts w:ascii="Times New Roman" w:hAnsi="Times New Roman" w:eastAsia="宋体" w:cs="Times New Roman"/>
                <w:sz w:val="21"/>
                <w:szCs w:val="21"/>
                <w14:ligatures w14:val="none"/>
              </w:rPr>
              <w:t>、物体打击、高处坠落及坍塌的危险程度为</w:t>
            </w:r>
            <w:r>
              <w:rPr>
                <w:rFonts w:hint="eastAsia" w:ascii="Times New Roman" w:hAnsi="Times New Roman" w:eastAsia="宋体" w:cs="Times New Roman"/>
                <w:sz w:val="21"/>
                <w:szCs w:val="21"/>
                <w14:ligatures w14:val="none"/>
              </w:rPr>
              <w:t>“</w:t>
            </w:r>
            <w:r>
              <w:rPr>
                <w:rFonts w:ascii="Times New Roman" w:hAnsi="Times New Roman" w:eastAsia="宋体" w:cs="Times New Roman"/>
                <w:sz w:val="21"/>
                <w:szCs w:val="21"/>
                <w14:ligatures w14:val="none"/>
              </w:rPr>
              <w:t>稍有危险</w:t>
            </w:r>
            <w:r>
              <w:rPr>
                <w:rFonts w:hint="eastAsia" w:ascii="Times New Roman" w:hAnsi="Times New Roman" w:eastAsia="宋体" w:cs="Times New Roman"/>
                <w:sz w:val="21"/>
                <w:szCs w:val="21"/>
                <w14:ligatures w14:val="none"/>
              </w:rPr>
              <w:t>”。</w:t>
            </w:r>
          </w:p>
        </w:tc>
      </w:tr>
      <w:tr w14:paraId="091B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vAlign w:val="center"/>
          </w:tcPr>
          <w:p w14:paraId="7F40B12A">
            <w:pPr>
              <w:autoSpaceDE w:val="0"/>
              <w:autoSpaceDN w:val="0"/>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3</w:t>
            </w:r>
          </w:p>
        </w:tc>
        <w:tc>
          <w:tcPr>
            <w:tcW w:w="1302" w:type="pct"/>
            <w:vAlign w:val="center"/>
          </w:tcPr>
          <w:p w14:paraId="6FD983B4">
            <w:pPr>
              <w:adjustRightInd/>
              <w:snapToGrid/>
              <w:spacing w:line="240" w:lineRule="auto"/>
              <w:ind w:firstLine="420"/>
              <w:rPr>
                <w:rFonts w:ascii="Times New Roman" w:hAnsi="Times New Roman" w:eastAsia="宋体" w:cs="Times New Roman"/>
                <w:sz w:val="21"/>
                <w:szCs w:val="21"/>
                <w:highlight w:val="none"/>
                <w14:ligatures w14:val="none"/>
              </w:rPr>
            </w:pPr>
            <w:r>
              <w:rPr>
                <w:rFonts w:ascii="Times New Roman" w:hAnsi="Times New Roman" w:eastAsia="宋体" w:cs="Times New Roman"/>
                <w:sz w:val="21"/>
                <w:szCs w:val="21"/>
                <w:highlight w:val="none"/>
                <w14:ligatures w14:val="none"/>
              </w:rPr>
              <w:t>TNT当量法</w:t>
            </w:r>
          </w:p>
        </w:tc>
        <w:tc>
          <w:tcPr>
            <w:tcW w:w="3315" w:type="pct"/>
            <w:vAlign w:val="center"/>
          </w:tcPr>
          <w:p w14:paraId="069E7C84">
            <w:pPr>
              <w:autoSpaceDE w:val="0"/>
              <w:autoSpaceDN w:val="0"/>
              <w:snapToGrid/>
              <w:spacing w:line="240" w:lineRule="auto"/>
              <w:ind w:firstLine="0" w:firstLineChars="0"/>
              <w:rPr>
                <w:rFonts w:ascii="Times New Roman" w:hAnsi="Times New Roman" w:eastAsia="宋体" w:cs="Times New Roman"/>
                <w:sz w:val="21"/>
                <w:szCs w:val="21"/>
                <w:highlight w:val="none"/>
                <w14:ligatures w14:val="none"/>
              </w:rPr>
            </w:pPr>
            <w:r>
              <w:rPr>
                <w:rFonts w:hint="eastAsia" w:ascii="Times New Roman" w:hAnsi="Times New Roman" w:eastAsia="宋体" w:cs="Times New Roman"/>
                <w:sz w:val="21"/>
                <w:szCs w:val="21"/>
                <w:highlight w:val="none"/>
                <w14:ligatures w14:val="none"/>
              </w:rPr>
              <w:t>本项目</w:t>
            </w:r>
            <w:r>
              <w:rPr>
                <w:rFonts w:ascii="Times New Roman" w:hAnsi="Times New Roman" w:eastAsia="宋体" w:cs="Times New Roman"/>
                <w:sz w:val="21"/>
                <w:szCs w:val="21"/>
                <w:highlight w:val="none"/>
                <w14:ligatures w14:val="none"/>
              </w:rPr>
              <w:t>单个埋地汽油罐的最大储存量为</w:t>
            </w:r>
            <w:r>
              <w:rPr>
                <w:rFonts w:hint="eastAsia" w:ascii="Times New Roman" w:hAnsi="Times New Roman" w:eastAsia="宋体" w:cs="Times New Roman"/>
                <w:sz w:val="21"/>
                <w:szCs w:val="21"/>
                <w:highlight w:val="none"/>
                <w:lang w:val="en-US" w:eastAsia="zh-CN"/>
                <w14:ligatures w14:val="none"/>
              </w:rPr>
              <w:t>40</w:t>
            </w:r>
            <w:r>
              <w:rPr>
                <w:rFonts w:ascii="Times New Roman" w:hAnsi="Times New Roman" w:eastAsia="宋体" w:cs="Times New Roman"/>
                <w:sz w:val="21"/>
                <w:szCs w:val="21"/>
                <w:highlight w:val="none"/>
                <w14:ligatures w14:val="none"/>
              </w:rPr>
              <w:t>t，假设参加蒸气云爆炸的量为最大储存量的1</w:t>
            </w:r>
            <w:r>
              <w:rPr>
                <w:rFonts w:hint="eastAsia" w:ascii="Times New Roman" w:hAnsi="Times New Roman" w:eastAsia="宋体" w:cs="Times New Roman"/>
                <w:sz w:val="21"/>
                <w:szCs w:val="21"/>
                <w:highlight w:val="none"/>
                <w14:ligatures w14:val="none"/>
              </w:rPr>
              <w:t>0</w:t>
            </w:r>
            <w:r>
              <w:rPr>
                <w:rFonts w:ascii="Times New Roman" w:hAnsi="Times New Roman" w:eastAsia="宋体" w:cs="Times New Roman"/>
                <w:sz w:val="21"/>
                <w:szCs w:val="21"/>
                <w:highlight w:val="none"/>
                <w14:ligatures w14:val="none"/>
              </w:rPr>
              <w:t>%，则相当于梯恩梯（TNT）的摩尔量：</w:t>
            </w:r>
            <w:r>
              <w:rPr>
                <w:rFonts w:hint="eastAsia" w:ascii="Times New Roman" w:hAnsi="Times New Roman" w:eastAsia="宋体" w:cs="Times New Roman"/>
                <w:sz w:val="21"/>
                <w:szCs w:val="21"/>
                <w:highlight w:val="none"/>
                <w:lang w:val="en-US" w:eastAsia="zh-CN"/>
                <w14:ligatures w14:val="none"/>
              </w:rPr>
              <w:t>12.9</w:t>
            </w:r>
            <w:r>
              <w:rPr>
                <w:rFonts w:ascii="Times New Roman" w:hAnsi="Times New Roman" w:eastAsia="宋体" w:cs="Times New Roman"/>
                <w:sz w:val="21"/>
                <w:szCs w:val="21"/>
                <w:highlight w:val="none"/>
                <w14:ligatures w14:val="none"/>
              </w:rPr>
              <w:t>kmol</w:t>
            </w:r>
            <w:r>
              <w:rPr>
                <w:rFonts w:hint="eastAsia" w:ascii="Times New Roman" w:hAnsi="Times New Roman" w:eastAsia="宋体" w:cs="Times New Roman"/>
                <w:sz w:val="21"/>
                <w:szCs w:val="21"/>
                <w:highlight w:val="none"/>
                <w14:ligatures w14:val="none"/>
              </w:rPr>
              <w:t>，</w:t>
            </w:r>
            <w:r>
              <w:rPr>
                <w:rFonts w:ascii="Times New Roman" w:hAnsi="Times New Roman" w:eastAsia="宋体" w:cs="Times New Roman"/>
                <w:sz w:val="21"/>
                <w:szCs w:val="21"/>
                <w:highlight w:val="none"/>
                <w14:ligatures w14:val="none"/>
              </w:rPr>
              <w:t>根据超压-冲量准则和概率模型得出的死亡半径R</w:t>
            </w:r>
            <w:r>
              <w:rPr>
                <w:rFonts w:ascii="Times New Roman" w:hAnsi="Times New Roman" w:eastAsia="宋体" w:cs="Times New Roman"/>
                <w:sz w:val="21"/>
                <w:szCs w:val="21"/>
                <w:highlight w:val="none"/>
                <w:vertAlign w:val="subscript"/>
                <w14:ligatures w14:val="none"/>
              </w:rPr>
              <w:t>0.5</w:t>
            </w:r>
            <w:r>
              <w:rPr>
                <w:rFonts w:ascii="Times New Roman" w:hAnsi="Times New Roman" w:eastAsia="宋体" w:cs="Times New Roman"/>
                <w:sz w:val="21"/>
                <w:szCs w:val="21"/>
                <w:highlight w:val="none"/>
                <w14:ligatures w14:val="none"/>
              </w:rPr>
              <w:t>=</w:t>
            </w:r>
            <w:r>
              <w:rPr>
                <w:rFonts w:hint="eastAsia" w:ascii="Times New Roman" w:hAnsi="Times New Roman" w:eastAsia="宋体" w:cs="Times New Roman"/>
                <w:sz w:val="21"/>
                <w:szCs w:val="21"/>
                <w:highlight w:val="none"/>
                <w:lang w:val="en-US" w:eastAsia="zh-CN"/>
                <w14:ligatures w14:val="none"/>
              </w:rPr>
              <w:t>20.24</w:t>
            </w:r>
            <w:r>
              <w:rPr>
                <w:rFonts w:ascii="Times New Roman" w:hAnsi="Times New Roman" w:eastAsia="宋体" w:cs="Times New Roman"/>
                <w:sz w:val="21"/>
                <w:szCs w:val="21"/>
                <w:highlight w:val="none"/>
                <w14:ligatures w14:val="none"/>
              </w:rPr>
              <w:t>m</w:t>
            </w:r>
          </w:p>
        </w:tc>
      </w:tr>
    </w:tbl>
    <w:p w14:paraId="13213E1F">
      <w:pPr>
        <w:ind w:firstLine="560"/>
        <w:rPr>
          <w:rFonts w:hint="eastAsia" w:eastAsia="黑体"/>
        </w:rPr>
      </w:pPr>
      <w:r>
        <w:rPr>
          <w:rFonts w:hint="eastAsia" w:eastAsia="黑体"/>
        </w:rPr>
        <w:br w:type="page"/>
      </w:r>
    </w:p>
    <w:p w14:paraId="6FB1D22D">
      <w:pPr>
        <w:spacing w:before="468" w:beforeLines="150" w:after="468" w:afterLines="150"/>
        <w:ind w:firstLine="0" w:firstLineChars="0"/>
        <w:jc w:val="center"/>
        <w:outlineLvl w:val="0"/>
        <w:rPr>
          <w:rFonts w:hint="eastAsia" w:ascii="黑体" w:hAnsi="黑体" w:eastAsia="黑体"/>
          <w:b/>
          <w:bCs/>
          <w:sz w:val="32"/>
          <w:szCs w:val="32"/>
        </w:rPr>
      </w:pPr>
      <w:bookmarkStart w:id="59" w:name="_Toc179746348"/>
      <w:bookmarkStart w:id="60" w:name="_Toc218437746"/>
      <w:r>
        <w:rPr>
          <w:rFonts w:ascii="Times New Roman" w:hAnsi="Times New Roman" w:eastAsia="黑体" w:cs="Times New Roman"/>
          <w:b/>
          <w:bCs/>
          <w:sz w:val="32"/>
          <w:szCs w:val="32"/>
        </w:rPr>
        <w:t>6</w:t>
      </w:r>
      <w:r>
        <w:rPr>
          <w:rFonts w:hint="eastAsia" w:ascii="黑体" w:hAnsi="黑体" w:eastAsia="黑体"/>
          <w:b/>
          <w:bCs/>
          <w:sz w:val="32"/>
          <w:szCs w:val="32"/>
        </w:rPr>
        <w:t>建设项目的安全条件</w:t>
      </w:r>
      <w:bookmarkEnd w:id="59"/>
      <w:bookmarkEnd w:id="60"/>
    </w:p>
    <w:p w14:paraId="13D8EAA8">
      <w:pPr>
        <w:spacing w:before="312" w:beforeLines="100" w:after="312" w:afterLines="100"/>
        <w:ind w:firstLine="0" w:firstLineChars="0"/>
        <w:jc w:val="center"/>
        <w:outlineLvl w:val="1"/>
        <w:rPr>
          <w:rFonts w:hint="eastAsia" w:ascii="楷体" w:hAnsi="楷体" w:eastAsia="楷体"/>
          <w:b/>
          <w:bCs/>
          <w:sz w:val="32"/>
          <w:szCs w:val="32"/>
        </w:rPr>
      </w:pPr>
      <w:bookmarkStart w:id="61" w:name="_Toc218437747"/>
      <w:bookmarkStart w:id="62" w:name="_Toc179746349"/>
      <w:r>
        <w:rPr>
          <w:rFonts w:ascii="Times New Roman" w:hAnsi="Times New Roman" w:eastAsia="楷体" w:cs="Times New Roman"/>
          <w:b/>
          <w:bCs/>
          <w:sz w:val="32"/>
          <w:szCs w:val="32"/>
        </w:rPr>
        <w:t>6.1</w:t>
      </w:r>
      <w:r>
        <w:rPr>
          <w:rFonts w:hint="eastAsia" w:ascii="楷体" w:hAnsi="楷体" w:eastAsia="楷体"/>
          <w:b/>
          <w:bCs/>
          <w:sz w:val="32"/>
          <w:szCs w:val="32"/>
        </w:rPr>
        <w:t>建设项目的外部情况</w:t>
      </w:r>
      <w:bookmarkEnd w:id="61"/>
      <w:bookmarkEnd w:id="62"/>
    </w:p>
    <w:p w14:paraId="03AEEE80">
      <w:pPr>
        <w:spacing w:before="156" w:beforeLines="50" w:after="156" w:afterLines="50"/>
        <w:ind w:firstLine="562"/>
        <w:outlineLvl w:val="2"/>
        <w:rPr>
          <w:rFonts w:hint="eastAsia" w:ascii="黑体" w:hAnsi="黑体" w:eastAsia="黑体"/>
          <w:b/>
          <w:bCs/>
        </w:rPr>
      </w:pPr>
      <w:r>
        <w:rPr>
          <w:rFonts w:ascii="Times New Roman" w:hAnsi="Times New Roman" w:eastAsia="黑体" w:cs="Times New Roman"/>
          <w:b/>
          <w:bCs/>
        </w:rPr>
        <w:t>6.1.1</w:t>
      </w:r>
      <w:r>
        <w:rPr>
          <w:rFonts w:hint="eastAsia" w:ascii="黑体" w:hAnsi="黑体" w:eastAsia="黑体"/>
          <w:b/>
          <w:bCs/>
        </w:rPr>
        <w:t>建设项目周边24小时内生产经营活动和居民生活的情况</w:t>
      </w:r>
    </w:p>
    <w:p w14:paraId="69005234">
      <w:pPr>
        <w:ind w:firstLine="560"/>
        <w:rPr>
          <w:rFonts w:hint="eastAsia" w:ascii="Times New Roman" w:hAnsi="Times New Roman" w:eastAsia="宋体"/>
          <w:lang w:eastAsia="zh-CN"/>
        </w:rPr>
      </w:pPr>
      <w:r>
        <w:rPr>
          <w:rFonts w:hint="eastAsia" w:ascii="Times New Roman" w:hAnsi="Times New Roman" w:eastAsia="宋体"/>
          <w:lang w:eastAsia="zh-CN"/>
        </w:rPr>
        <w:t>星火特加油站位于沈阳市于洪区大兴乡孤家子村，站区南侧为木材加工厂厂房（丙类物品生产厂房）及机械加工厂厂房（</w:t>
      </w:r>
      <w:r>
        <w:rPr>
          <w:rFonts w:hint="eastAsia" w:ascii="Times New Roman" w:hAnsi="Times New Roman" w:eastAsia="宋体"/>
          <w:lang w:val="en-US" w:eastAsia="zh-CN"/>
        </w:rPr>
        <w:t>丁</w:t>
      </w:r>
      <w:r>
        <w:rPr>
          <w:rFonts w:hint="eastAsia" w:ascii="Times New Roman" w:hAnsi="Times New Roman" w:eastAsia="宋体"/>
          <w:lang w:eastAsia="zh-CN"/>
        </w:rPr>
        <w:t>类）；西侧为一条小路（次干路）、一条架空通讯线（H=6m）及物流中心的丙类仓库；北侧为红兴路（主干路）、一条架空电力线（H=8m，有绝缘层）、一条架空通讯线（H=8m）及杆式变压器（丙类物品生产厂房）；东侧为充电桩、临时办公室（三类保护物）及一台箱式变压器（丙类物品生产厂房）。</w:t>
      </w:r>
      <w:r>
        <w:rPr>
          <w:rFonts w:ascii="Times New Roman" w:hAnsi="Times New Roman" w:eastAsia="宋体"/>
        </w:rPr>
        <w:t>该站周边无重要公共设施，交通便利，且站址所在区域内没有重点文物等保护单位、风景名胜区和珍稀动植物资源等敏感点，站区地势平坦</w:t>
      </w:r>
      <w:r>
        <w:rPr>
          <w:rFonts w:hint="eastAsia" w:ascii="Times New Roman" w:hAnsi="Times New Roman" w:eastAsia="宋体"/>
          <w:lang w:eastAsia="zh-CN"/>
        </w:rPr>
        <w:t>。</w:t>
      </w:r>
    </w:p>
    <w:p w14:paraId="4C5E8D73">
      <w:pPr>
        <w:spacing w:before="156" w:beforeLines="50" w:after="156" w:afterLines="50"/>
        <w:ind w:firstLine="562"/>
        <w:outlineLvl w:val="2"/>
        <w:rPr>
          <w:rFonts w:hint="eastAsia" w:ascii="黑体" w:hAnsi="黑体" w:eastAsia="黑体"/>
          <w:b/>
          <w:bCs/>
        </w:rPr>
      </w:pPr>
      <w:r>
        <w:rPr>
          <w:rFonts w:ascii="Times New Roman" w:hAnsi="Times New Roman" w:eastAsia="黑体" w:cs="Times New Roman"/>
          <w:b/>
          <w:bCs/>
        </w:rPr>
        <w:t>6.1.2</w:t>
      </w:r>
      <w:r>
        <w:rPr>
          <w:rFonts w:hint="eastAsia" w:ascii="黑体" w:hAnsi="黑体" w:eastAsia="黑体"/>
          <w:b/>
          <w:bCs/>
        </w:rPr>
        <w:t>所在地的自然条件</w:t>
      </w:r>
    </w:p>
    <w:p w14:paraId="62655894">
      <w:pPr>
        <w:ind w:firstLine="560"/>
        <w:rPr>
          <w:rFonts w:ascii="Times New Roman" w:hAnsi="Times New Roman" w:eastAsia="宋体"/>
        </w:rPr>
      </w:pPr>
      <w:r>
        <w:rPr>
          <w:rFonts w:hint="eastAsia" w:ascii="Times New Roman" w:hAnsi="Times New Roman" w:eastAsia="宋体"/>
        </w:rPr>
        <w:t>（1）气候条件</w:t>
      </w:r>
    </w:p>
    <w:p w14:paraId="415B1A35">
      <w:pPr>
        <w:ind w:firstLine="560"/>
        <w:rPr>
          <w:rFonts w:ascii="Times New Roman" w:hAnsi="Times New Roman" w:eastAsia="宋体"/>
        </w:rPr>
      </w:pPr>
      <w:r>
        <w:rPr>
          <w:rFonts w:hint="eastAsia" w:ascii="Times New Roman" w:hAnsi="Times New Roman" w:eastAsia="宋体"/>
          <w:lang w:eastAsia="zh-CN"/>
        </w:rPr>
        <w:t>星火特加油站</w:t>
      </w:r>
      <w:r>
        <w:rPr>
          <w:rFonts w:hint="eastAsia" w:ascii="Times New Roman" w:hAnsi="Times New Roman" w:eastAsia="宋体"/>
        </w:rPr>
        <w:t>位于</w:t>
      </w:r>
      <w:r>
        <w:rPr>
          <w:rFonts w:hint="eastAsia" w:ascii="Times New Roman" w:hAnsi="Times New Roman" w:eastAsia="宋体"/>
          <w:lang w:eastAsia="zh-CN"/>
        </w:rPr>
        <w:t>沈阳市</w:t>
      </w:r>
      <w:r>
        <w:rPr>
          <w:rFonts w:hint="eastAsia" w:ascii="Times New Roman" w:hAnsi="Times New Roman" w:eastAsia="宋体"/>
          <w:lang w:val="en-US" w:eastAsia="zh-CN"/>
        </w:rPr>
        <w:t>于洪区</w:t>
      </w:r>
      <w:r>
        <w:rPr>
          <w:rFonts w:hint="eastAsia" w:ascii="Times New Roman" w:hAnsi="Times New Roman" w:eastAsia="宋体"/>
          <w:lang w:eastAsia="zh-CN"/>
        </w:rPr>
        <w:t>，</w:t>
      </w:r>
      <w:r>
        <w:rPr>
          <w:rFonts w:hint="eastAsia" w:ascii="Times New Roman" w:hAnsi="Times New Roman" w:eastAsia="宋体"/>
        </w:rPr>
        <w:t>有关气象情况介绍如下：</w:t>
      </w:r>
    </w:p>
    <w:p w14:paraId="76160A7F">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1）气温</w:t>
      </w:r>
    </w:p>
    <w:p w14:paraId="469DA099">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 xml:space="preserve">年平均气温                                </w:t>
      </w:r>
      <w:r>
        <w:rPr>
          <w:rFonts w:hint="eastAsia" w:ascii="Times New Roman" w:hAnsi="宋体" w:eastAsia="宋体" w:cs="Times New Roman"/>
          <w:kern w:val="28"/>
          <w:szCs w:val="28"/>
          <w:lang w:val="en-US" w:eastAsia="zh-CN"/>
          <w14:ligatures w14:val="none"/>
        </w:rPr>
        <w:t xml:space="preserve"> </w:t>
      </w:r>
      <w:r>
        <w:rPr>
          <w:rFonts w:ascii="Times New Roman" w:hAnsi="宋体" w:eastAsia="宋体" w:cs="Times New Roman"/>
          <w:kern w:val="28"/>
          <w:szCs w:val="28"/>
          <w14:ligatures w14:val="none"/>
        </w:rPr>
        <w:t>7.</w:t>
      </w:r>
      <w:r>
        <w:rPr>
          <w:rFonts w:hint="eastAsia" w:ascii="Times New Roman" w:hAnsi="宋体" w:eastAsia="宋体" w:cs="Times New Roman"/>
          <w:kern w:val="28"/>
          <w:szCs w:val="28"/>
          <w:lang w:val="en-US" w:eastAsia="zh-CN"/>
          <w14:ligatures w14:val="none"/>
        </w:rPr>
        <w:t>7</w:t>
      </w:r>
      <w:r>
        <w:rPr>
          <w:rFonts w:ascii="Times New Roman" w:hAnsi="宋体" w:eastAsia="宋体" w:cs="Times New Roman"/>
          <w:kern w:val="28"/>
          <w:szCs w:val="28"/>
          <w14:ligatures w14:val="none"/>
        </w:rPr>
        <w:t>℃</w:t>
      </w:r>
    </w:p>
    <w:p w14:paraId="2826EE2B">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最热月平均气温（7月）                     25.2℃</w:t>
      </w:r>
    </w:p>
    <w:p w14:paraId="788BA044">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最冷月平均气温（1月）                     -12.7℃</w:t>
      </w:r>
    </w:p>
    <w:p w14:paraId="1F9036D5">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极端最高气温                               3</w:t>
      </w:r>
      <w:r>
        <w:rPr>
          <w:rFonts w:hint="eastAsia" w:ascii="Times New Roman" w:hAnsi="宋体" w:eastAsia="宋体" w:cs="Times New Roman"/>
          <w:kern w:val="28"/>
          <w:szCs w:val="28"/>
          <w:lang w:val="en-US" w:eastAsia="zh-CN"/>
          <w14:ligatures w14:val="none"/>
        </w:rPr>
        <w:t>8.5</w:t>
      </w:r>
      <w:r>
        <w:rPr>
          <w:rFonts w:ascii="Times New Roman" w:hAnsi="宋体" w:eastAsia="宋体" w:cs="Times New Roman"/>
          <w:kern w:val="28"/>
          <w:szCs w:val="28"/>
          <w14:ligatures w14:val="none"/>
        </w:rPr>
        <w:t>℃</w:t>
      </w:r>
    </w:p>
    <w:p w14:paraId="7A945308">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极端最低气温                               -</w:t>
      </w:r>
      <w:r>
        <w:rPr>
          <w:rFonts w:hint="eastAsia" w:ascii="Times New Roman" w:hAnsi="宋体" w:eastAsia="宋体" w:cs="Times New Roman"/>
          <w:kern w:val="28"/>
          <w:szCs w:val="28"/>
          <w:lang w:val="en-US" w:eastAsia="zh-CN"/>
          <w14:ligatures w14:val="none"/>
        </w:rPr>
        <w:t>30.6</w:t>
      </w:r>
      <w:r>
        <w:rPr>
          <w:rFonts w:ascii="Times New Roman" w:hAnsi="宋体" w:eastAsia="宋体" w:cs="Times New Roman"/>
          <w:kern w:val="28"/>
          <w:szCs w:val="28"/>
          <w14:ligatures w14:val="none"/>
        </w:rPr>
        <w:t>℃</w:t>
      </w:r>
    </w:p>
    <w:p w14:paraId="274248F4">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年平均最高温度                             8.3℃</w:t>
      </w:r>
    </w:p>
    <w:p w14:paraId="34F5739C">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年平均最低温度                             6.9℃</w:t>
      </w:r>
    </w:p>
    <w:p w14:paraId="4760FFA3">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2）湿度</w:t>
      </w:r>
    </w:p>
    <w:p w14:paraId="6F3BF37E">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年平均最大相对湿度                         6</w:t>
      </w:r>
      <w:r>
        <w:rPr>
          <w:rFonts w:hint="eastAsia" w:ascii="Times New Roman" w:hAnsi="宋体" w:eastAsia="宋体" w:cs="Times New Roman"/>
          <w:kern w:val="28"/>
          <w:szCs w:val="28"/>
          <w:lang w:val="en-US" w:eastAsia="zh-CN"/>
          <w14:ligatures w14:val="none"/>
        </w:rPr>
        <w:t>9</w:t>
      </w:r>
      <w:r>
        <w:rPr>
          <w:rFonts w:ascii="Times New Roman" w:hAnsi="宋体" w:eastAsia="宋体" w:cs="Times New Roman"/>
          <w:kern w:val="28"/>
          <w:szCs w:val="28"/>
          <w14:ligatures w14:val="none"/>
        </w:rPr>
        <w:t>%</w:t>
      </w:r>
    </w:p>
    <w:p w14:paraId="69F91C76">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年平均最小相对湿度                         67%</w:t>
      </w:r>
    </w:p>
    <w:p w14:paraId="14C5C618">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 xml:space="preserve">月均最大相对湿度（7月）                    </w:t>
      </w:r>
      <w:r>
        <w:rPr>
          <w:rFonts w:hint="eastAsia" w:ascii="Times New Roman" w:hAnsi="宋体" w:eastAsia="宋体" w:cs="Times New Roman"/>
          <w:kern w:val="28"/>
          <w:szCs w:val="28"/>
          <w:lang w:val="en-US" w:eastAsia="zh-CN"/>
          <w14:ligatures w14:val="none"/>
        </w:rPr>
        <w:t>78</w:t>
      </w:r>
      <w:r>
        <w:rPr>
          <w:rFonts w:ascii="Times New Roman" w:hAnsi="宋体" w:eastAsia="宋体" w:cs="Times New Roman"/>
          <w:kern w:val="28"/>
          <w:szCs w:val="28"/>
          <w14:ligatures w14:val="none"/>
        </w:rPr>
        <w:t>%</w:t>
      </w:r>
    </w:p>
    <w:p w14:paraId="024D376D">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 xml:space="preserve">月均最小相对湿度（1月）                    </w:t>
      </w:r>
      <w:r>
        <w:rPr>
          <w:rFonts w:hint="eastAsia" w:ascii="Times New Roman" w:hAnsi="宋体" w:eastAsia="宋体" w:cs="Times New Roman"/>
          <w:kern w:val="28"/>
          <w:szCs w:val="28"/>
          <w:lang w:val="en-US" w:eastAsia="zh-CN"/>
          <w14:ligatures w14:val="none"/>
        </w:rPr>
        <w:t>61</w:t>
      </w:r>
      <w:r>
        <w:rPr>
          <w:rFonts w:ascii="Times New Roman" w:hAnsi="宋体" w:eastAsia="宋体" w:cs="Times New Roman"/>
          <w:kern w:val="28"/>
          <w:szCs w:val="28"/>
          <w14:ligatures w14:val="none"/>
        </w:rPr>
        <w:t>%</w:t>
      </w:r>
    </w:p>
    <w:p w14:paraId="6754069E">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3）气压</w:t>
      </w:r>
    </w:p>
    <w:p w14:paraId="1D8EDA2F">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年平均气压                                 101.</w:t>
      </w:r>
      <w:r>
        <w:rPr>
          <w:rFonts w:hint="eastAsia" w:ascii="Times New Roman" w:hAnsi="宋体" w:eastAsia="宋体" w:cs="Times New Roman"/>
          <w:kern w:val="28"/>
          <w:szCs w:val="28"/>
          <w:lang w:val="en-US" w:eastAsia="zh-CN"/>
          <w14:ligatures w14:val="none"/>
        </w:rPr>
        <w:t>2</w:t>
      </w:r>
      <w:r>
        <w:rPr>
          <w:rFonts w:ascii="Times New Roman" w:hAnsi="宋体" w:eastAsia="宋体" w:cs="Times New Roman"/>
          <w:kern w:val="28"/>
          <w:szCs w:val="28"/>
          <w14:ligatures w14:val="none"/>
        </w:rPr>
        <w:t>kPa</w:t>
      </w:r>
    </w:p>
    <w:p w14:paraId="0C54EE15">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年绝对最高气压                             10</w:t>
      </w:r>
      <w:r>
        <w:rPr>
          <w:rFonts w:hint="eastAsia" w:ascii="Times New Roman" w:hAnsi="宋体" w:eastAsia="宋体" w:cs="Times New Roman"/>
          <w:kern w:val="28"/>
          <w:szCs w:val="28"/>
          <w:lang w:val="en-US" w:eastAsia="zh-CN"/>
          <w14:ligatures w14:val="none"/>
        </w:rPr>
        <w:t>3</w:t>
      </w:r>
      <w:r>
        <w:rPr>
          <w:rFonts w:ascii="Times New Roman" w:hAnsi="宋体" w:eastAsia="宋体" w:cs="Times New Roman"/>
          <w:kern w:val="28"/>
          <w:szCs w:val="28"/>
          <w14:ligatures w14:val="none"/>
        </w:rPr>
        <w:t>.9kPa</w:t>
      </w:r>
    </w:p>
    <w:p w14:paraId="313E472A">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年绝对最低气压                             9</w:t>
      </w:r>
      <w:r>
        <w:rPr>
          <w:rFonts w:hint="eastAsia" w:ascii="Times New Roman" w:hAnsi="宋体" w:eastAsia="宋体" w:cs="Times New Roman"/>
          <w:kern w:val="28"/>
          <w:szCs w:val="28"/>
          <w:lang w:val="en-US" w:eastAsia="zh-CN"/>
          <w14:ligatures w14:val="none"/>
        </w:rPr>
        <w:t>6.9</w:t>
      </w:r>
      <w:r>
        <w:rPr>
          <w:rFonts w:ascii="Times New Roman" w:hAnsi="宋体" w:eastAsia="宋体" w:cs="Times New Roman"/>
          <w:kern w:val="28"/>
          <w:szCs w:val="28"/>
          <w14:ligatures w14:val="none"/>
        </w:rPr>
        <w:t>kPa</w:t>
      </w:r>
    </w:p>
    <w:p w14:paraId="3D3CDE31">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4）降雨量</w:t>
      </w:r>
    </w:p>
    <w:p w14:paraId="6324BFA9">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 xml:space="preserve">年平均降雨量                               </w:t>
      </w:r>
      <w:r>
        <w:rPr>
          <w:rFonts w:hint="eastAsia" w:ascii="Times New Roman" w:hAnsi="宋体" w:eastAsia="宋体" w:cs="Times New Roman"/>
          <w:kern w:val="28"/>
          <w:szCs w:val="28"/>
          <w:lang w:val="en-US" w:eastAsia="zh-CN"/>
          <w14:ligatures w14:val="none"/>
        </w:rPr>
        <w:t>755.4</w:t>
      </w:r>
      <w:r>
        <w:rPr>
          <w:rFonts w:ascii="Times New Roman" w:hAnsi="宋体" w:eastAsia="宋体" w:cs="Times New Roman"/>
          <w:kern w:val="28"/>
          <w:szCs w:val="28"/>
          <w14:ligatures w14:val="none"/>
        </w:rPr>
        <w:t>mm</w:t>
      </w:r>
    </w:p>
    <w:p w14:paraId="13D9A9A3">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年最大降雨量                               997.3mm</w:t>
      </w:r>
    </w:p>
    <w:p w14:paraId="204D93A1">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年最小降雨量                               520.5mm</w:t>
      </w:r>
    </w:p>
    <w:p w14:paraId="5B2550EB">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一昼夜最大降雨量                           178.8mm</w:t>
      </w:r>
    </w:p>
    <w:p w14:paraId="419E2183">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1h最大降雨量                               4</w:t>
      </w:r>
      <w:r>
        <w:rPr>
          <w:rFonts w:hint="eastAsia" w:ascii="Times New Roman" w:hAnsi="宋体" w:eastAsia="宋体" w:cs="Times New Roman"/>
          <w:kern w:val="28"/>
          <w:szCs w:val="28"/>
          <w:lang w:val="en-US" w:eastAsia="zh-CN"/>
          <w14:ligatures w14:val="none"/>
        </w:rPr>
        <w:t>2.6</w:t>
      </w:r>
      <w:r>
        <w:rPr>
          <w:rFonts w:ascii="Times New Roman" w:hAnsi="宋体" w:eastAsia="宋体" w:cs="Times New Roman"/>
          <w:kern w:val="28"/>
          <w:szCs w:val="28"/>
          <w14:ligatures w14:val="none"/>
        </w:rPr>
        <w:t>mm</w:t>
      </w:r>
    </w:p>
    <w:p w14:paraId="6A7865C5">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5）雪及复冰</w:t>
      </w:r>
    </w:p>
    <w:p w14:paraId="27E525D6">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最大积雪深度                                2</w:t>
      </w:r>
      <w:r>
        <w:rPr>
          <w:rFonts w:hint="eastAsia" w:ascii="Times New Roman" w:hAnsi="宋体" w:eastAsia="宋体" w:cs="Times New Roman"/>
          <w:kern w:val="28"/>
          <w:szCs w:val="28"/>
          <w:lang w:val="en-US" w:eastAsia="zh-CN"/>
          <w14:ligatures w14:val="none"/>
        </w:rPr>
        <w:t>5</w:t>
      </w:r>
      <w:r>
        <w:rPr>
          <w:rFonts w:ascii="Times New Roman" w:hAnsi="宋体" w:eastAsia="宋体" w:cs="Times New Roman"/>
          <w:kern w:val="28"/>
          <w:szCs w:val="28"/>
          <w14:ligatures w14:val="none"/>
        </w:rPr>
        <w:t>0.0mm</w:t>
      </w:r>
    </w:p>
    <w:p w14:paraId="1CE95278">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6）风</w:t>
      </w:r>
    </w:p>
    <w:p w14:paraId="3E0D8343">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夏季主导风向                                西南</w:t>
      </w:r>
    </w:p>
    <w:p w14:paraId="277167A0">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冬季主导风向                                西北</w:t>
      </w:r>
    </w:p>
    <w:p w14:paraId="44A12723">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 xml:space="preserve">年平均风速为                                </w:t>
      </w:r>
      <w:r>
        <w:rPr>
          <w:rFonts w:hint="eastAsia" w:ascii="Times New Roman" w:hAnsi="宋体" w:eastAsia="宋体" w:cs="Times New Roman"/>
          <w:kern w:val="28"/>
          <w:szCs w:val="28"/>
          <w:lang w:val="en-US" w:eastAsia="zh-CN"/>
          <w14:ligatures w14:val="none"/>
        </w:rPr>
        <w:t>3.2</w:t>
      </w:r>
      <w:r>
        <w:rPr>
          <w:rFonts w:ascii="Times New Roman" w:hAnsi="宋体" w:eastAsia="宋体" w:cs="Times New Roman"/>
          <w:kern w:val="28"/>
          <w:szCs w:val="28"/>
          <w14:ligatures w14:val="none"/>
        </w:rPr>
        <w:t>m/s</w:t>
      </w:r>
    </w:p>
    <w:p w14:paraId="75674486">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7）雷电日</w:t>
      </w:r>
    </w:p>
    <w:p w14:paraId="15BCCE94">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年平均雷电日                                2</w:t>
      </w:r>
      <w:r>
        <w:rPr>
          <w:rFonts w:hint="eastAsia" w:ascii="Times New Roman" w:hAnsi="宋体" w:eastAsia="宋体" w:cs="Times New Roman"/>
          <w:kern w:val="28"/>
          <w:szCs w:val="28"/>
          <w:lang w:val="en-US" w:eastAsia="zh-CN"/>
          <w14:ligatures w14:val="none"/>
        </w:rPr>
        <w:t>8</w:t>
      </w:r>
      <w:r>
        <w:rPr>
          <w:rFonts w:ascii="Times New Roman" w:hAnsi="宋体" w:eastAsia="宋体" w:cs="Times New Roman"/>
          <w:kern w:val="28"/>
          <w:szCs w:val="28"/>
          <w14:ligatures w14:val="none"/>
        </w:rPr>
        <w:t>.</w:t>
      </w:r>
      <w:r>
        <w:rPr>
          <w:rFonts w:hint="eastAsia" w:ascii="Times New Roman" w:hAnsi="宋体" w:eastAsia="宋体" w:cs="Times New Roman"/>
          <w:kern w:val="28"/>
          <w:szCs w:val="28"/>
          <w:lang w:val="en-US" w:eastAsia="zh-CN"/>
          <w14:ligatures w14:val="none"/>
        </w:rPr>
        <w:t>3</w:t>
      </w:r>
      <w:r>
        <w:rPr>
          <w:rFonts w:ascii="Times New Roman" w:hAnsi="宋体" w:eastAsia="宋体" w:cs="Times New Roman"/>
          <w:kern w:val="28"/>
          <w:szCs w:val="28"/>
          <w14:ligatures w14:val="none"/>
        </w:rPr>
        <w:t>d</w:t>
      </w:r>
    </w:p>
    <w:p w14:paraId="074DCE06">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年最多雷电日                                42d</w:t>
      </w:r>
    </w:p>
    <w:p w14:paraId="4EE56FE1">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8）工程地质</w:t>
      </w:r>
    </w:p>
    <w:p w14:paraId="5301F150">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 xml:space="preserve">地震基本烈度                                </w:t>
      </w:r>
      <w:r>
        <w:rPr>
          <w:rFonts w:hint="eastAsia" w:ascii="Times New Roman" w:hAnsi="宋体" w:eastAsia="宋体" w:cs="Times New Roman"/>
          <w:kern w:val="28"/>
          <w:szCs w:val="28"/>
          <w14:ligatures w14:val="none"/>
        </w:rPr>
        <w:t>7</w:t>
      </w:r>
      <w:r>
        <w:rPr>
          <w:rFonts w:ascii="Times New Roman" w:hAnsi="宋体" w:eastAsia="宋体" w:cs="Times New Roman"/>
          <w:kern w:val="28"/>
          <w:szCs w:val="28"/>
          <w14:ligatures w14:val="none"/>
        </w:rPr>
        <w:t>度</w:t>
      </w:r>
    </w:p>
    <w:p w14:paraId="0C937D75">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最大冻土深度                                1.46m</w:t>
      </w:r>
    </w:p>
    <w:p w14:paraId="11409A7E">
      <w:pPr>
        <w:spacing w:line="336" w:lineRule="auto"/>
        <w:ind w:firstLine="560"/>
        <w:rPr>
          <w:rFonts w:hint="eastAsia" w:ascii="Times New Roman" w:hAnsi="宋体" w:eastAsia="宋体" w:cs="Times New Roman"/>
          <w:kern w:val="28"/>
          <w:szCs w:val="28"/>
          <w14:ligatures w14:val="none"/>
        </w:rPr>
      </w:pPr>
      <w:r>
        <w:rPr>
          <w:rFonts w:ascii="Times New Roman" w:hAnsi="宋体" w:eastAsia="宋体" w:cs="Times New Roman"/>
          <w:kern w:val="28"/>
          <w:szCs w:val="28"/>
          <w14:ligatures w14:val="none"/>
        </w:rPr>
        <w:t>场地土类别                                  Ⅱ类。</w:t>
      </w:r>
    </w:p>
    <w:p w14:paraId="1DF3C438">
      <w:pPr>
        <w:ind w:firstLine="560"/>
        <w:rPr>
          <w:rFonts w:ascii="Times New Roman" w:hAnsi="Times New Roman" w:eastAsia="宋体"/>
        </w:rPr>
      </w:pPr>
      <w:r>
        <w:rPr>
          <w:rFonts w:hint="eastAsia" w:ascii="Times New Roman" w:hAnsi="Times New Roman" w:eastAsia="宋体"/>
        </w:rPr>
        <w:t>（2）地震烈度</w:t>
      </w:r>
    </w:p>
    <w:p w14:paraId="2BBB53EA">
      <w:pPr>
        <w:ind w:firstLine="560"/>
        <w:rPr>
          <w:rFonts w:ascii="Times New Roman" w:hAnsi="Times New Roman" w:eastAsia="宋体"/>
          <w:highlight w:val="none"/>
        </w:rPr>
      </w:pPr>
      <w:r>
        <w:rPr>
          <w:rFonts w:hint="eastAsia" w:ascii="Times New Roman" w:hAnsi="Times New Roman" w:eastAsia="宋体"/>
        </w:rPr>
        <w:t>根据《</w:t>
      </w:r>
      <w:bookmarkStart w:id="63" w:name="OLE_LINK13"/>
      <w:r>
        <w:rPr>
          <w:rFonts w:hint="eastAsia" w:ascii="Times New Roman" w:hAnsi="Times New Roman" w:eastAsia="宋体"/>
        </w:rPr>
        <w:t>建筑抗震设计标准</w:t>
      </w:r>
      <w:bookmarkEnd w:id="63"/>
      <w:r>
        <w:rPr>
          <w:rFonts w:hint="eastAsia" w:ascii="Times New Roman" w:hAnsi="Times New Roman" w:eastAsia="宋体"/>
        </w:rPr>
        <w:t>（2024年版）》（</w:t>
      </w:r>
      <w:r>
        <w:rPr>
          <w:rFonts w:ascii="Times New Roman" w:hAnsi="Times New Roman" w:eastAsia="宋体"/>
        </w:rPr>
        <w:t>GB/T 50011-2010</w:t>
      </w:r>
      <w:r>
        <w:rPr>
          <w:rFonts w:hint="eastAsia" w:ascii="Times New Roman" w:hAnsi="Times New Roman" w:eastAsia="宋体"/>
        </w:rPr>
        <w:t>）中附A.0.6的规定，本项目所在地区的抗</w:t>
      </w:r>
      <w:r>
        <w:rPr>
          <w:rFonts w:hint="eastAsia" w:ascii="Times New Roman" w:hAnsi="Times New Roman" w:eastAsia="宋体"/>
          <w:highlight w:val="none"/>
        </w:rPr>
        <w:t>震设防烈度为</w:t>
      </w:r>
      <w:r>
        <w:rPr>
          <w:rFonts w:hint="eastAsia" w:ascii="Times New Roman" w:hAnsi="Times New Roman" w:eastAsia="宋体"/>
          <w:highlight w:val="none"/>
          <w:lang w:val="en-US" w:eastAsia="zh-CN"/>
        </w:rPr>
        <w:t>7</w:t>
      </w:r>
      <w:r>
        <w:rPr>
          <w:rFonts w:hint="eastAsia" w:ascii="Times New Roman" w:hAnsi="Times New Roman" w:eastAsia="宋体"/>
          <w:highlight w:val="none"/>
        </w:rPr>
        <w:t>度，设计基本地震加速度值为0.</w:t>
      </w:r>
      <w:r>
        <w:rPr>
          <w:rFonts w:hint="eastAsia" w:ascii="Times New Roman" w:hAnsi="Times New Roman" w:eastAsia="宋体"/>
          <w:highlight w:val="none"/>
          <w:lang w:val="en-US" w:eastAsia="zh-CN"/>
        </w:rPr>
        <w:t>10</w:t>
      </w:r>
      <w:r>
        <w:rPr>
          <w:rFonts w:hint="eastAsia" w:ascii="Times New Roman" w:hAnsi="Times New Roman" w:eastAsia="宋体"/>
          <w:highlight w:val="none"/>
        </w:rPr>
        <w:t>g，所属的设计地震分组为第一组。</w:t>
      </w:r>
    </w:p>
    <w:p w14:paraId="4E6D278C">
      <w:pPr>
        <w:keepNext/>
        <w:keepLines/>
        <w:spacing w:before="156" w:beforeLines="50" w:after="156" w:afterLines="50"/>
        <w:ind w:firstLine="562"/>
        <w:outlineLvl w:val="2"/>
        <w:rPr>
          <w:rFonts w:hint="eastAsia" w:ascii="黑体" w:hAnsi="黑体" w:eastAsia="黑体"/>
          <w:b/>
          <w:bCs/>
        </w:rPr>
      </w:pPr>
      <w:r>
        <w:rPr>
          <w:rFonts w:ascii="Times New Roman" w:hAnsi="Times New Roman" w:eastAsia="黑体" w:cs="Times New Roman"/>
          <w:b/>
          <w:bCs/>
        </w:rPr>
        <w:t>6.1.3</w:t>
      </w:r>
      <w:r>
        <w:rPr>
          <w:rFonts w:hint="eastAsia" w:ascii="黑体" w:hAnsi="黑体" w:eastAsia="黑体"/>
          <w:b/>
          <w:bCs/>
        </w:rPr>
        <w:t>建设项目中危险化学品生产装置和储存数量构成重大危险源的储存设施与下列场所、区域的距离</w:t>
      </w:r>
    </w:p>
    <w:p w14:paraId="4C9304CB">
      <w:pPr>
        <w:ind w:firstLine="560"/>
        <w:rPr>
          <w:rFonts w:ascii="Times New Roman" w:hAnsi="Times New Roman" w:eastAsia="宋体"/>
        </w:rPr>
      </w:pPr>
      <w:r>
        <w:rPr>
          <w:rFonts w:hint="eastAsia" w:ascii="Times New Roman" w:hAnsi="Times New Roman" w:eastAsia="宋体"/>
        </w:rPr>
        <w:t>本项目危险化学品储存设施的储存数量未构成重大危险源。</w:t>
      </w:r>
    </w:p>
    <w:p w14:paraId="3F2BBEE8">
      <w:pPr>
        <w:spacing w:before="312" w:beforeLines="100" w:after="312" w:afterLines="100"/>
        <w:ind w:firstLine="0" w:firstLineChars="0"/>
        <w:jc w:val="center"/>
        <w:outlineLvl w:val="1"/>
        <w:rPr>
          <w:rFonts w:hint="eastAsia" w:ascii="楷体" w:hAnsi="楷体" w:eastAsia="楷体"/>
          <w:b/>
          <w:bCs/>
          <w:sz w:val="32"/>
          <w:szCs w:val="32"/>
        </w:rPr>
      </w:pPr>
      <w:bookmarkStart w:id="64" w:name="_Toc179746350"/>
      <w:bookmarkStart w:id="65" w:name="_Toc218437748"/>
      <w:r>
        <w:rPr>
          <w:rFonts w:ascii="Times New Roman" w:hAnsi="Times New Roman" w:eastAsia="楷体" w:cs="Times New Roman"/>
          <w:b/>
          <w:bCs/>
          <w:sz w:val="32"/>
          <w:szCs w:val="32"/>
        </w:rPr>
        <w:t>6.2</w:t>
      </w:r>
      <w:r>
        <w:rPr>
          <w:rFonts w:hint="eastAsia" w:ascii="楷体" w:hAnsi="楷体" w:eastAsia="楷体"/>
          <w:b/>
          <w:bCs/>
          <w:sz w:val="32"/>
          <w:szCs w:val="32"/>
        </w:rPr>
        <w:t>建设项目的安全条件</w:t>
      </w:r>
      <w:bookmarkEnd w:id="64"/>
      <w:bookmarkEnd w:id="65"/>
    </w:p>
    <w:p w14:paraId="0C4797FC">
      <w:pPr>
        <w:spacing w:before="156" w:beforeLines="50" w:after="156" w:afterLines="50"/>
        <w:ind w:firstLine="562"/>
        <w:outlineLvl w:val="2"/>
        <w:rPr>
          <w:rFonts w:hint="eastAsia" w:ascii="黑体" w:hAnsi="黑体" w:eastAsia="黑体"/>
          <w:b/>
          <w:bCs/>
        </w:rPr>
      </w:pPr>
      <w:r>
        <w:rPr>
          <w:rFonts w:ascii="Times New Roman" w:hAnsi="Times New Roman" w:eastAsia="黑体" w:cs="Times New Roman"/>
          <w:b/>
          <w:bCs/>
        </w:rPr>
        <w:t>6.2.1</w:t>
      </w:r>
      <w:r>
        <w:rPr>
          <w:rFonts w:hint="eastAsia" w:ascii="黑体" w:hAnsi="黑体" w:eastAsia="黑体"/>
          <w:b/>
          <w:bCs/>
        </w:rPr>
        <w:t>建设项目内在的危险、有害因素和建设项目可能发生的各类事故，对建设项目周边单位生产、经营活动或者居民生活的影响</w:t>
      </w:r>
    </w:p>
    <w:p w14:paraId="319E5FE3">
      <w:pPr>
        <w:ind w:firstLine="560"/>
        <w:rPr>
          <w:rFonts w:ascii="Times New Roman" w:hAnsi="Times New Roman" w:eastAsia="宋体"/>
        </w:rPr>
      </w:pPr>
      <w:r>
        <w:rPr>
          <w:rFonts w:hint="eastAsia" w:ascii="Times New Roman" w:hAnsi="Times New Roman" w:eastAsia="宋体"/>
        </w:rPr>
        <w:t>从附表4.1-3可以看出，该站站内工艺设施与站外建（构）筑物的间距满足《汽车加油加气加氢站技术标准》（GB 50156-2021）表4.0.4的规范要求。根据埋地车用乙醇汽油罐TNT当量计算结论，站外设施不在死亡半径内，不会受到死亡和重伤威胁，可能受到轻微伤害。</w:t>
      </w:r>
    </w:p>
    <w:p w14:paraId="23D149EE">
      <w:pPr>
        <w:ind w:firstLine="560"/>
        <w:rPr>
          <w:rFonts w:ascii="Times New Roman" w:hAnsi="Times New Roman" w:eastAsia="宋体"/>
        </w:rPr>
      </w:pPr>
      <w:r>
        <w:rPr>
          <w:rFonts w:hint="eastAsia" w:ascii="Times New Roman" w:hAnsi="Times New Roman" w:eastAsia="宋体"/>
        </w:rPr>
        <w:t>同时，本项目选用双层管道及油罐，油罐安装有液位仪及测漏仪等安全技术手段，发生油品泄漏的概率较小，因此，对周边造成的影响较小。</w:t>
      </w:r>
    </w:p>
    <w:p w14:paraId="2F0DE75C">
      <w:pPr>
        <w:keepNext/>
        <w:keepLines/>
        <w:spacing w:before="156" w:beforeLines="50" w:after="156" w:afterLines="50"/>
        <w:ind w:firstLine="562"/>
        <w:outlineLvl w:val="2"/>
        <w:rPr>
          <w:rFonts w:hint="eastAsia" w:ascii="黑体" w:hAnsi="黑体" w:eastAsia="黑体"/>
          <w:b/>
          <w:bCs/>
        </w:rPr>
      </w:pPr>
      <w:r>
        <w:rPr>
          <w:rFonts w:ascii="Times New Roman" w:hAnsi="Times New Roman" w:eastAsia="黑体" w:cs="Times New Roman"/>
          <w:b/>
          <w:bCs/>
        </w:rPr>
        <w:t>6.2.2</w:t>
      </w:r>
      <w:r>
        <w:rPr>
          <w:rFonts w:hint="eastAsia" w:ascii="黑体" w:hAnsi="黑体" w:eastAsia="黑体"/>
          <w:b/>
          <w:bCs/>
        </w:rPr>
        <w:t>建设项目周边单位生产、经营活动或者居民生活对建设项目的影响</w:t>
      </w:r>
    </w:p>
    <w:p w14:paraId="43717B3B">
      <w:pPr>
        <w:ind w:firstLine="560"/>
        <w:rPr>
          <w:rFonts w:ascii="Times New Roman" w:hAnsi="Times New Roman" w:eastAsia="宋体"/>
        </w:rPr>
      </w:pPr>
      <w:r>
        <w:rPr>
          <w:rFonts w:hint="eastAsia" w:ascii="Times New Roman" w:hAnsi="Times New Roman" w:eastAsia="宋体"/>
        </w:rPr>
        <w:t>由于本项目在总平面布置等方面充分考虑了与站外周边建（构）筑物安全间距，其建成后站内主要设施与周边距离能够达到国家现行规范标准要求。</w:t>
      </w:r>
    </w:p>
    <w:p w14:paraId="739152DC">
      <w:pPr>
        <w:ind w:firstLine="560"/>
        <w:rPr>
          <w:rFonts w:ascii="Times New Roman" w:hAnsi="Times New Roman" w:eastAsia="宋体"/>
        </w:rPr>
      </w:pPr>
      <w:r>
        <w:rPr>
          <w:rFonts w:hint="eastAsia" w:ascii="Times New Roman" w:hAnsi="Times New Roman" w:eastAsia="宋体"/>
        </w:rPr>
        <w:t>建设项目周边的建（构）筑物如果发生火灾事故，可能会对本项目产生影响。进站加油的车辆不熄火、人员吸烟、打手机等行为可能会对本项目产生一定的影响。周边道路上行驶车辆行驶不规范，行人在站外吸烟等行为可能会对本项目产生影响。因此，员工应加强与周边人员的交流，使其了解本项目存在的危险性和在本项目周边日常活动的注意事项，以保障本项目的安全运营。</w:t>
      </w:r>
    </w:p>
    <w:p w14:paraId="2924A641">
      <w:pPr>
        <w:keepNext/>
        <w:keepLines/>
        <w:spacing w:before="156" w:beforeLines="50" w:after="156" w:afterLines="50"/>
        <w:ind w:firstLine="562"/>
        <w:outlineLvl w:val="2"/>
        <w:rPr>
          <w:rFonts w:hint="eastAsia" w:ascii="黑体" w:hAnsi="黑体" w:eastAsia="黑体"/>
          <w:b/>
          <w:bCs/>
        </w:rPr>
      </w:pPr>
      <w:r>
        <w:rPr>
          <w:rFonts w:ascii="Times New Roman" w:hAnsi="Times New Roman" w:eastAsia="黑体" w:cs="Times New Roman"/>
          <w:b/>
          <w:bCs/>
        </w:rPr>
        <w:t>6.2.3</w:t>
      </w:r>
      <w:r>
        <w:rPr>
          <w:rFonts w:hint="eastAsia" w:ascii="黑体" w:hAnsi="黑体" w:eastAsia="黑体"/>
          <w:b/>
          <w:bCs/>
        </w:rPr>
        <w:t>建设项目所在地的自然条件对建设项目投入生产或者使用后的影响</w:t>
      </w:r>
    </w:p>
    <w:p w14:paraId="7E0AC77A">
      <w:pPr>
        <w:ind w:firstLine="560"/>
        <w:rPr>
          <w:rFonts w:ascii="Times New Roman" w:hAnsi="Times New Roman" w:eastAsia="宋体"/>
        </w:rPr>
      </w:pPr>
      <w:r>
        <w:rPr>
          <w:rFonts w:hint="eastAsia" w:ascii="Times New Roman" w:hAnsi="Times New Roman" w:eastAsia="宋体"/>
        </w:rPr>
        <w:t>自然环境危险有害因素主要包括雷击、地震、高低气温和洪水、台风、雨雪等。</w:t>
      </w:r>
    </w:p>
    <w:p w14:paraId="7E93988A">
      <w:pPr>
        <w:ind w:firstLine="560"/>
        <w:rPr>
          <w:rFonts w:ascii="Times New Roman" w:hAnsi="Times New Roman" w:eastAsia="宋体"/>
        </w:rPr>
      </w:pPr>
      <w:r>
        <w:rPr>
          <w:rFonts w:hint="eastAsia" w:ascii="Times New Roman" w:hAnsi="Times New Roman" w:eastAsia="宋体"/>
        </w:rPr>
        <w:t>（1）雷击</w:t>
      </w:r>
    </w:p>
    <w:p w14:paraId="7F4FE4D5">
      <w:pPr>
        <w:ind w:firstLine="560"/>
        <w:rPr>
          <w:rFonts w:ascii="Times New Roman" w:hAnsi="Times New Roman" w:eastAsia="宋体"/>
        </w:rPr>
      </w:pPr>
      <w:r>
        <w:rPr>
          <w:rFonts w:hint="eastAsia" w:ascii="Times New Roman" w:hAnsi="Times New Roman" w:eastAsia="宋体"/>
        </w:rPr>
        <w:t>罩棚和电气线路等有可能遭受雷电侵袭破坏，引起泄漏、火灾、爆炸、人身伤害等事故。本区域夏季汛期雷暴雨较多，属雷击危险区域，建议项目的重点建筑物、构筑物、电力设备和设施应作好防雷电设计，并采取有效避雷措施。</w:t>
      </w:r>
    </w:p>
    <w:p w14:paraId="370AC594">
      <w:pPr>
        <w:ind w:firstLine="560"/>
        <w:rPr>
          <w:rFonts w:ascii="Times New Roman" w:hAnsi="Times New Roman" w:eastAsia="宋体"/>
        </w:rPr>
      </w:pPr>
      <w:r>
        <w:rPr>
          <w:rFonts w:hint="eastAsia" w:ascii="Times New Roman" w:hAnsi="Times New Roman" w:eastAsia="宋体"/>
        </w:rPr>
        <w:t>（2）地震</w:t>
      </w:r>
    </w:p>
    <w:p w14:paraId="334A7E88">
      <w:pPr>
        <w:ind w:firstLine="560"/>
        <w:rPr>
          <w:rFonts w:ascii="Times New Roman" w:hAnsi="Times New Roman" w:eastAsia="宋体"/>
        </w:rPr>
      </w:pPr>
      <w:r>
        <w:rPr>
          <w:rFonts w:hint="eastAsia" w:ascii="Times New Roman" w:hAnsi="Times New Roman" w:eastAsia="宋体"/>
        </w:rPr>
        <w:t>该站所在区域抗震设防烈度为</w:t>
      </w:r>
      <w:r>
        <w:rPr>
          <w:rFonts w:hint="eastAsia" w:ascii="Times New Roman" w:hAnsi="Times New Roman" w:eastAsia="宋体"/>
          <w:highlight w:val="none"/>
        </w:rPr>
        <w:t>7度</w:t>
      </w:r>
      <w:r>
        <w:rPr>
          <w:rFonts w:hint="eastAsia" w:ascii="Times New Roman" w:hAnsi="Times New Roman" w:eastAsia="宋体"/>
        </w:rPr>
        <w:t>。强烈地震可能造成建（构）筑物和设备、管道的破坏，同时会造成危险物质大量泄漏，进而可能引发火灾、爆炸等灾害事故，造成人员伤亡。</w:t>
      </w:r>
    </w:p>
    <w:p w14:paraId="4BE4F0FC">
      <w:pPr>
        <w:ind w:firstLine="560"/>
        <w:rPr>
          <w:rFonts w:ascii="Times New Roman" w:hAnsi="Times New Roman" w:eastAsia="宋体"/>
        </w:rPr>
      </w:pPr>
      <w:r>
        <w:rPr>
          <w:rFonts w:hint="eastAsia" w:ascii="Times New Roman" w:hAnsi="Times New Roman" w:eastAsia="宋体"/>
        </w:rPr>
        <w:t>（3）高温、低温</w:t>
      </w:r>
    </w:p>
    <w:p w14:paraId="28FDDBA0">
      <w:pPr>
        <w:ind w:firstLine="560"/>
        <w:rPr>
          <w:rFonts w:ascii="Times New Roman" w:hAnsi="Times New Roman" w:eastAsia="宋体"/>
        </w:rPr>
      </w:pPr>
      <w:r>
        <w:rPr>
          <w:rFonts w:hint="eastAsia" w:ascii="Times New Roman" w:hAnsi="Times New Roman" w:eastAsia="宋体"/>
        </w:rPr>
        <w:t>该区域年极端最高气温3</w:t>
      </w:r>
      <w:r>
        <w:rPr>
          <w:rFonts w:hint="eastAsia" w:ascii="Times New Roman" w:hAnsi="Times New Roman" w:eastAsia="宋体"/>
          <w:lang w:val="en-US" w:eastAsia="zh-CN"/>
        </w:rPr>
        <w:t>8</w:t>
      </w:r>
      <w:r>
        <w:rPr>
          <w:rFonts w:hint="eastAsia" w:ascii="Times New Roman" w:hAnsi="Times New Roman" w:eastAsia="宋体"/>
        </w:rPr>
        <w:t>.3℃，冬季最低温度在-</w:t>
      </w:r>
      <w:r>
        <w:rPr>
          <w:rFonts w:hint="eastAsia" w:ascii="Times New Roman" w:hAnsi="Times New Roman" w:eastAsia="宋体"/>
          <w:lang w:val="en-US" w:eastAsia="zh-CN"/>
        </w:rPr>
        <w:t>30.6</w:t>
      </w:r>
      <w:r>
        <w:rPr>
          <w:rFonts w:hint="eastAsia" w:ascii="Times New Roman" w:hAnsi="Times New Roman" w:eastAsia="宋体"/>
        </w:rPr>
        <w:t>℃左右。操作人员在高温及低温环境中易出现操作失误。严寒有可能导致设备、管道、阀门冻坏破裂。</w:t>
      </w:r>
    </w:p>
    <w:p w14:paraId="2DDF4811">
      <w:pPr>
        <w:ind w:firstLine="560"/>
        <w:rPr>
          <w:rFonts w:ascii="Times New Roman" w:hAnsi="Times New Roman" w:eastAsia="宋体"/>
        </w:rPr>
      </w:pPr>
      <w:r>
        <w:rPr>
          <w:rFonts w:hint="eastAsia" w:ascii="Times New Roman" w:hAnsi="Times New Roman" w:eastAsia="宋体"/>
        </w:rPr>
        <w:t>（4）洪水、台风</w:t>
      </w:r>
    </w:p>
    <w:p w14:paraId="69DC7DD4">
      <w:pPr>
        <w:ind w:firstLine="560"/>
        <w:rPr>
          <w:rFonts w:ascii="Times New Roman" w:hAnsi="Times New Roman" w:eastAsia="宋体"/>
        </w:rPr>
      </w:pPr>
      <w:r>
        <w:rPr>
          <w:rFonts w:hint="eastAsia" w:ascii="Times New Roman" w:hAnsi="Times New Roman" w:eastAsia="宋体"/>
        </w:rPr>
        <w:t>该区域年降雨集中于夏季。一旦发生洪水或雨量过大时，会发生水淹等事故，造成有害物质外泄，污染周围环境。电力、电气设备受潮，环境湿度增大，可能进一步引发电气事故、电气故障。</w:t>
      </w:r>
    </w:p>
    <w:p w14:paraId="4AD41D0F">
      <w:pPr>
        <w:ind w:firstLine="560"/>
        <w:rPr>
          <w:rFonts w:ascii="Times New Roman" w:hAnsi="Times New Roman" w:eastAsia="宋体"/>
        </w:rPr>
      </w:pPr>
      <w:r>
        <w:rPr>
          <w:rFonts w:hint="eastAsia" w:ascii="Times New Roman" w:hAnsi="Times New Roman" w:eastAsia="宋体"/>
        </w:rPr>
        <w:t>（5）雨雪</w:t>
      </w:r>
    </w:p>
    <w:p w14:paraId="466BA9A2">
      <w:pPr>
        <w:ind w:firstLine="560"/>
        <w:rPr>
          <w:rFonts w:ascii="Times New Roman" w:hAnsi="Times New Roman" w:eastAsia="宋体"/>
        </w:rPr>
      </w:pPr>
      <w:r>
        <w:rPr>
          <w:rFonts w:hint="eastAsia" w:ascii="Times New Roman" w:hAnsi="Times New Roman" w:eastAsia="宋体"/>
        </w:rPr>
        <w:t>罩棚和站房在雨水和雪荷载下有可能发生坍塌事故，对站内设施、加油人员造成伤害。</w:t>
      </w:r>
    </w:p>
    <w:p w14:paraId="27A5CD87">
      <w:pPr>
        <w:ind w:firstLine="560"/>
        <w:rPr>
          <w:rFonts w:ascii="Times New Roman" w:hAnsi="Times New Roman" w:eastAsia="宋体"/>
        </w:rPr>
      </w:pPr>
      <w:r>
        <w:rPr>
          <w:rFonts w:hint="eastAsia" w:ascii="Times New Roman" w:hAnsi="Times New Roman" w:eastAsia="宋体"/>
        </w:rPr>
        <w:t>由上分析可知，该地区自然条件对该站的运营会造成一定的影响，但采取有效防范措施后，其影响可消除或减弱到不会影响本项目的正常运营。</w:t>
      </w:r>
    </w:p>
    <w:p w14:paraId="5B99BFBC">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66" w:name="_Toc218437749"/>
      <w:r>
        <w:rPr>
          <w:rFonts w:ascii="Times New Roman" w:hAnsi="Times New Roman" w:eastAsia="楷体" w:cs="Times New Roman"/>
          <w:b/>
          <w:bCs/>
          <w:sz w:val="32"/>
          <w:szCs w:val="32"/>
        </w:rPr>
        <w:t>6.3建设项目的安全生产条件分析</w:t>
      </w:r>
      <w:bookmarkEnd w:id="66"/>
    </w:p>
    <w:p w14:paraId="345D8888">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6.3.1建设项目采用的安全设施情况</w:t>
      </w:r>
    </w:p>
    <w:p w14:paraId="2BB22251">
      <w:pPr>
        <w:ind w:firstLine="560"/>
        <w:rPr>
          <w:rFonts w:ascii="Times New Roman" w:hAnsi="Times New Roman" w:eastAsia="宋体"/>
        </w:rPr>
      </w:pPr>
      <w:r>
        <w:rPr>
          <w:rFonts w:ascii="Times New Roman" w:hAnsi="Times New Roman" w:eastAsia="宋体"/>
        </w:rPr>
        <w:t>（1）</w:t>
      </w:r>
      <w:r>
        <w:rPr>
          <w:rFonts w:hint="eastAsia" w:ascii="Times New Roman" w:hAnsi="Times New Roman" w:eastAsia="宋体"/>
        </w:rPr>
        <w:t>本</w:t>
      </w:r>
      <w:r>
        <w:rPr>
          <w:rFonts w:ascii="Times New Roman" w:hAnsi="Times New Roman" w:eastAsia="宋体"/>
        </w:rPr>
        <w:t>项目的安全设施按安全设施设计专篇中确定的安全设施建成并投用，投用情况详见下表6.3-1。</w:t>
      </w:r>
    </w:p>
    <w:p w14:paraId="7F990CED">
      <w:pPr>
        <w:keepNext/>
        <w:keepLines/>
        <w:spacing w:before="156" w:beforeLines="50" w:after="156" w:afterLines="50" w:line="240" w:lineRule="auto"/>
        <w:ind w:firstLine="0" w:firstLineChars="0"/>
        <w:jc w:val="center"/>
        <w:rPr>
          <w:rFonts w:ascii="Times New Roman" w:hAnsi="Times New Roman" w:eastAsia="黑体"/>
          <w:sz w:val="24"/>
          <w:highlight w:val="none"/>
        </w:rPr>
      </w:pPr>
      <w:r>
        <w:rPr>
          <w:rFonts w:ascii="Times New Roman" w:hAnsi="Times New Roman" w:eastAsia="黑体"/>
          <w:sz w:val="24"/>
          <w:highlight w:val="none"/>
        </w:rPr>
        <w:t>表6.3-1</w:t>
      </w:r>
      <w:r>
        <w:rPr>
          <w:rFonts w:hint="eastAsia" w:ascii="Times New Roman" w:hAnsi="Times New Roman" w:eastAsia="黑体"/>
          <w:sz w:val="24"/>
          <w:highlight w:val="none"/>
        </w:rPr>
        <w:t xml:space="preserve">  </w:t>
      </w:r>
      <w:r>
        <w:rPr>
          <w:rFonts w:ascii="Times New Roman" w:hAnsi="Times New Roman" w:eastAsia="黑体"/>
          <w:sz w:val="24"/>
          <w:highlight w:val="none"/>
        </w:rPr>
        <w:t>安全设施汇总一览表</w:t>
      </w:r>
    </w:p>
    <w:tbl>
      <w:tblPr>
        <w:tblStyle w:val="132"/>
        <w:tblW w:w="494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1"/>
        <w:gridCol w:w="857"/>
        <w:gridCol w:w="3205"/>
        <w:gridCol w:w="4347"/>
      </w:tblGrid>
      <w:tr w14:paraId="74D5C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4729" w:type="dxa"/>
            <w:gridSpan w:val="3"/>
            <w:tcBorders>
              <w:top w:val="single" w:color="000000" w:sz="10" w:space="0"/>
              <w:left w:val="single" w:color="000000" w:sz="10" w:space="0"/>
            </w:tcBorders>
            <w:vAlign w:val="center"/>
          </w:tcPr>
          <w:p w14:paraId="1EE5A4FF">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5"/>
                <w:sz w:val="21"/>
                <w:szCs w:val="21"/>
              </w:rPr>
              <w:t>安全设施类别</w:t>
            </w:r>
          </w:p>
        </w:tc>
        <w:tc>
          <w:tcPr>
            <w:tcW w:w="4352" w:type="dxa"/>
            <w:tcBorders>
              <w:top w:val="single" w:color="000000" w:sz="10" w:space="0"/>
              <w:right w:val="single" w:color="000000" w:sz="10" w:space="0"/>
            </w:tcBorders>
            <w:vAlign w:val="center"/>
          </w:tcPr>
          <w:p w14:paraId="36E0877F">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安全设施</w:t>
            </w:r>
            <w:r>
              <w:rPr>
                <w:rFonts w:hint="eastAsia" w:ascii="Times New Roman" w:hAnsi="Times New Roman" w:cs="Times New Roman"/>
                <w:b w:val="0"/>
                <w:bCs w:val="0"/>
                <w:spacing w:val="6"/>
                <w:sz w:val="21"/>
                <w:szCs w:val="21"/>
                <w:lang w:val="en-US" w:eastAsia="zh-CN"/>
              </w:rPr>
              <w:t>落实</w:t>
            </w:r>
            <w:r>
              <w:rPr>
                <w:rFonts w:hint="default" w:ascii="Times New Roman" w:hAnsi="Times New Roman" w:eastAsia="宋体" w:cs="Times New Roman"/>
                <w:b w:val="0"/>
                <w:bCs w:val="0"/>
                <w:spacing w:val="6"/>
                <w:sz w:val="21"/>
                <w:szCs w:val="21"/>
              </w:rPr>
              <w:t>情况</w:t>
            </w:r>
          </w:p>
        </w:tc>
      </w:tr>
      <w:tr w14:paraId="0BEC4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restart"/>
            <w:tcBorders>
              <w:top w:val="single" w:color="auto" w:sz="4" w:space="0"/>
              <w:left w:val="single" w:color="auto" w:sz="4" w:space="0"/>
            </w:tcBorders>
            <w:textDirection w:val="tbRlV"/>
            <w:vAlign w:val="center"/>
          </w:tcPr>
          <w:p w14:paraId="294B0C93">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9"/>
                <w:sz w:val="21"/>
                <w:szCs w:val="21"/>
              </w:rPr>
              <w:t>预防事故设施</w:t>
            </w:r>
          </w:p>
        </w:tc>
        <w:tc>
          <w:tcPr>
            <w:tcW w:w="858" w:type="dxa"/>
            <w:vMerge w:val="restart"/>
            <w:tcBorders>
              <w:top w:val="single" w:color="auto" w:sz="4" w:space="0"/>
              <w:bottom w:val="nil"/>
              <w:right w:val="single" w:color="auto" w:sz="4" w:space="0"/>
            </w:tcBorders>
            <w:vAlign w:val="center"/>
          </w:tcPr>
          <w:p w14:paraId="416AAA3C">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检测</w:t>
            </w:r>
            <w:r>
              <w:rPr>
                <w:rFonts w:hint="default" w:ascii="Times New Roman" w:hAnsi="Times New Roman" w:eastAsia="宋体" w:cs="Times New Roman"/>
                <w:b w:val="0"/>
                <w:bCs w:val="0"/>
                <w:spacing w:val="-51"/>
                <w:sz w:val="21"/>
                <w:szCs w:val="21"/>
              </w:rPr>
              <w:t xml:space="preserve"> </w:t>
            </w:r>
            <w:r>
              <w:rPr>
                <w:rFonts w:hint="default" w:ascii="Times New Roman" w:hAnsi="Times New Roman" w:eastAsia="宋体" w:cs="Times New Roman"/>
                <w:b w:val="0"/>
                <w:bCs w:val="0"/>
                <w:spacing w:val="6"/>
                <w:sz w:val="21"/>
                <w:szCs w:val="21"/>
              </w:rPr>
              <w:t>、</w:t>
            </w:r>
            <w:r>
              <w:rPr>
                <w:rFonts w:hint="default" w:ascii="Times New Roman" w:hAnsi="Times New Roman" w:eastAsia="宋体" w:cs="Times New Roman"/>
                <w:b w:val="0"/>
                <w:bCs w:val="0"/>
                <w:spacing w:val="23"/>
                <w:sz w:val="21"/>
                <w:szCs w:val="21"/>
              </w:rPr>
              <w:t>报警设</w:t>
            </w:r>
            <w:r>
              <w:rPr>
                <w:rFonts w:hint="default" w:ascii="Times New Roman" w:hAnsi="Times New Roman" w:eastAsia="宋体" w:cs="Times New Roman"/>
                <w:b w:val="0"/>
                <w:bCs w:val="0"/>
                <w:spacing w:val="2"/>
                <w:sz w:val="21"/>
                <w:szCs w:val="21"/>
              </w:rPr>
              <w:t>施</w:t>
            </w:r>
          </w:p>
        </w:tc>
        <w:tc>
          <w:tcPr>
            <w:tcW w:w="3209" w:type="dxa"/>
            <w:tcBorders>
              <w:left w:val="single" w:color="auto" w:sz="4" w:space="0"/>
            </w:tcBorders>
            <w:vAlign w:val="center"/>
          </w:tcPr>
          <w:p w14:paraId="3B88F120">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压力、温度、液位、流量、组份等报警设施</w:t>
            </w:r>
          </w:p>
        </w:tc>
        <w:tc>
          <w:tcPr>
            <w:tcW w:w="4352" w:type="dxa"/>
            <w:tcBorders>
              <w:right w:val="single" w:color="000000" w:sz="10" w:space="0"/>
            </w:tcBorders>
            <w:vAlign w:val="center"/>
          </w:tcPr>
          <w:p w14:paraId="44DC94AC">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13"/>
                <w:sz w:val="21"/>
                <w:szCs w:val="21"/>
              </w:rPr>
              <w:t>埋地储罐设液位计，并具有高液位报警功能</w:t>
            </w:r>
            <w:r>
              <w:rPr>
                <w:rFonts w:hint="eastAsia" w:ascii="Times New Roman" w:hAnsi="Times New Roman" w:cs="Times New Roman"/>
                <w:b w:val="0"/>
                <w:bCs w:val="0"/>
                <w:spacing w:val="13"/>
                <w:sz w:val="21"/>
                <w:szCs w:val="21"/>
                <w:lang w:eastAsia="zh-CN"/>
              </w:rPr>
              <w:t>，</w:t>
            </w:r>
            <w:r>
              <w:rPr>
                <w:rFonts w:hint="default" w:ascii="Times New Roman" w:hAnsi="Times New Roman" w:eastAsia="宋体" w:cs="Times New Roman"/>
                <w:b w:val="0"/>
                <w:bCs w:val="0"/>
                <w:spacing w:val="13"/>
                <w:sz w:val="21"/>
                <w:szCs w:val="21"/>
              </w:rPr>
              <w:t>设置双层油罐和管道防渗漏监测</w:t>
            </w:r>
            <w:r>
              <w:rPr>
                <w:rFonts w:hint="default" w:ascii="Times New Roman" w:hAnsi="Times New Roman" w:eastAsia="宋体" w:cs="Times New Roman"/>
                <w:b w:val="0"/>
                <w:bCs w:val="0"/>
                <w:spacing w:val="3"/>
                <w:sz w:val="21"/>
                <w:szCs w:val="21"/>
              </w:rPr>
              <w:t>装置。</w:t>
            </w:r>
          </w:p>
        </w:tc>
      </w:tr>
      <w:tr w14:paraId="604488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1689F0A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vMerge w:val="continue"/>
            <w:tcBorders>
              <w:top w:val="nil"/>
              <w:bottom w:val="nil"/>
              <w:right w:val="single" w:color="auto" w:sz="4" w:space="0"/>
            </w:tcBorders>
            <w:vAlign w:val="center"/>
          </w:tcPr>
          <w:p w14:paraId="28CEC5C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3209" w:type="dxa"/>
            <w:tcBorders>
              <w:left w:val="single" w:color="auto" w:sz="4" w:space="0"/>
            </w:tcBorders>
            <w:vAlign w:val="center"/>
          </w:tcPr>
          <w:p w14:paraId="067A2D1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p>
          <w:p w14:paraId="3F40830F">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可燃气体、有毒有害气体、氧气等</w:t>
            </w:r>
            <w:r>
              <w:rPr>
                <w:rFonts w:hint="default" w:ascii="Times New Roman" w:hAnsi="Times New Roman" w:eastAsia="宋体" w:cs="Times New Roman"/>
                <w:b w:val="0"/>
                <w:bCs w:val="0"/>
                <w:spacing w:val="8"/>
                <w:sz w:val="21"/>
                <w:szCs w:val="21"/>
              </w:rPr>
              <w:t>检测和报警设施</w:t>
            </w:r>
          </w:p>
        </w:tc>
        <w:tc>
          <w:tcPr>
            <w:tcW w:w="4352" w:type="dxa"/>
            <w:tcBorders>
              <w:right w:val="single" w:color="000000" w:sz="10" w:space="0"/>
            </w:tcBorders>
            <w:vAlign w:val="center"/>
          </w:tcPr>
          <w:p w14:paraId="543D2A72">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3"/>
                <w:sz w:val="21"/>
                <w:szCs w:val="21"/>
              </w:rPr>
              <w:t>设置可燃气体探测系统，在</w:t>
            </w:r>
            <w:r>
              <w:rPr>
                <w:rFonts w:hint="default" w:ascii="Times New Roman" w:hAnsi="Times New Roman" w:eastAsia="宋体" w:cs="Times New Roman"/>
                <w:b w:val="0"/>
                <w:bCs w:val="0"/>
                <w:spacing w:val="-24"/>
                <w:sz w:val="21"/>
                <w:szCs w:val="21"/>
              </w:rPr>
              <w:t xml:space="preserve"> </w:t>
            </w:r>
            <w:r>
              <w:rPr>
                <w:rFonts w:hint="default" w:ascii="Times New Roman" w:hAnsi="Times New Roman" w:eastAsia="宋体" w:cs="Times New Roman"/>
                <w:b w:val="0"/>
                <w:bCs w:val="0"/>
                <w:spacing w:val="3"/>
                <w:sz w:val="21"/>
                <w:szCs w:val="21"/>
              </w:rPr>
              <w:t>J-04 加油机、</w:t>
            </w:r>
            <w:r>
              <w:rPr>
                <w:rFonts w:hint="default" w:ascii="Times New Roman" w:hAnsi="Times New Roman" w:eastAsia="宋体" w:cs="Times New Roman"/>
                <w:b w:val="0"/>
                <w:bCs w:val="0"/>
                <w:sz w:val="21"/>
                <w:szCs w:val="21"/>
              </w:rPr>
              <w:t xml:space="preserve"> </w:t>
            </w:r>
            <w:r>
              <w:rPr>
                <w:rFonts w:hint="default" w:ascii="Times New Roman" w:hAnsi="Times New Roman" w:eastAsia="宋体" w:cs="Times New Roman"/>
                <w:b w:val="0"/>
                <w:bCs w:val="0"/>
                <w:spacing w:val="12"/>
                <w:sz w:val="21"/>
                <w:szCs w:val="21"/>
              </w:rPr>
              <w:t>J-07 加油机、发电机房、三次油气回收设备处</w:t>
            </w:r>
            <w:r>
              <w:rPr>
                <w:rFonts w:hint="default" w:ascii="Times New Roman" w:hAnsi="Times New Roman" w:eastAsia="宋体" w:cs="Times New Roman"/>
                <w:b w:val="0"/>
                <w:bCs w:val="0"/>
                <w:spacing w:val="14"/>
                <w:sz w:val="21"/>
                <w:szCs w:val="21"/>
              </w:rPr>
              <w:t>各设置一个可燃气体探测器，其中三次油气回收设备处可燃气体探测器为新增，其余可燃气</w:t>
            </w:r>
            <w:r>
              <w:rPr>
                <w:rFonts w:hint="default" w:ascii="Times New Roman" w:hAnsi="Times New Roman" w:eastAsia="宋体" w:cs="Times New Roman"/>
                <w:b w:val="0"/>
                <w:bCs w:val="0"/>
                <w:spacing w:val="8"/>
                <w:sz w:val="21"/>
                <w:szCs w:val="21"/>
              </w:rPr>
              <w:t>体探测器为利旧。</w:t>
            </w:r>
          </w:p>
        </w:tc>
      </w:tr>
      <w:tr w14:paraId="42FCB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627D0DD2">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vMerge w:val="continue"/>
            <w:tcBorders>
              <w:top w:val="nil"/>
              <w:right w:val="single" w:color="auto" w:sz="4" w:space="0"/>
            </w:tcBorders>
            <w:vAlign w:val="center"/>
          </w:tcPr>
          <w:p w14:paraId="4967F8F6">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3209" w:type="dxa"/>
            <w:tcBorders>
              <w:left w:val="single" w:color="auto" w:sz="4" w:space="0"/>
            </w:tcBorders>
            <w:vAlign w:val="center"/>
          </w:tcPr>
          <w:p w14:paraId="43387F22">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21"/>
                <w:sz w:val="21"/>
                <w:szCs w:val="21"/>
              </w:rPr>
              <w:t>用于安全检查和安全数据分析等</w:t>
            </w:r>
            <w:r>
              <w:rPr>
                <w:rFonts w:hint="default" w:ascii="Times New Roman" w:hAnsi="Times New Roman" w:eastAsia="宋体" w:cs="Times New Roman"/>
                <w:b w:val="0"/>
                <w:bCs w:val="0"/>
                <w:spacing w:val="8"/>
                <w:sz w:val="21"/>
                <w:szCs w:val="21"/>
              </w:rPr>
              <w:t>检验检测设备、仪器</w:t>
            </w:r>
          </w:p>
        </w:tc>
        <w:tc>
          <w:tcPr>
            <w:tcW w:w="4352" w:type="dxa"/>
            <w:tcBorders>
              <w:right w:val="single" w:color="000000" w:sz="10" w:space="0"/>
            </w:tcBorders>
            <w:vAlign w:val="center"/>
          </w:tcPr>
          <w:p w14:paraId="2810CBF9">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8"/>
                <w:sz w:val="21"/>
                <w:szCs w:val="21"/>
              </w:rPr>
              <w:t>营业厅侧墙上安装有液位控制仪。</w:t>
            </w:r>
          </w:p>
        </w:tc>
      </w:tr>
      <w:tr w14:paraId="7C7EB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3B15E789">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vMerge w:val="restart"/>
            <w:tcBorders>
              <w:bottom w:val="nil"/>
              <w:right w:val="single" w:color="auto" w:sz="4" w:space="0"/>
            </w:tcBorders>
            <w:vAlign w:val="center"/>
          </w:tcPr>
          <w:p w14:paraId="30708172">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21"/>
                <w:sz w:val="21"/>
                <w:szCs w:val="21"/>
              </w:rPr>
              <w:t>设备安</w:t>
            </w:r>
            <w:r>
              <w:rPr>
                <w:rFonts w:hint="default" w:ascii="Times New Roman" w:hAnsi="Times New Roman" w:eastAsia="宋体" w:cs="Times New Roman"/>
                <w:b w:val="0"/>
                <w:bCs w:val="0"/>
                <w:spacing w:val="22"/>
                <w:sz w:val="21"/>
                <w:szCs w:val="21"/>
              </w:rPr>
              <w:t>全防护</w:t>
            </w:r>
            <w:r>
              <w:rPr>
                <w:rFonts w:hint="default" w:ascii="Times New Roman" w:hAnsi="Times New Roman" w:eastAsia="宋体" w:cs="Times New Roman"/>
                <w:b w:val="0"/>
                <w:bCs w:val="0"/>
                <w:spacing w:val="4"/>
                <w:sz w:val="21"/>
                <w:szCs w:val="21"/>
              </w:rPr>
              <w:t>设施</w:t>
            </w:r>
          </w:p>
        </w:tc>
        <w:tc>
          <w:tcPr>
            <w:tcW w:w="3209" w:type="dxa"/>
            <w:tcBorders>
              <w:left w:val="single" w:color="auto" w:sz="4" w:space="0"/>
            </w:tcBorders>
            <w:vAlign w:val="center"/>
          </w:tcPr>
          <w:p w14:paraId="3DC2E953">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防护罩、防护屏</w:t>
            </w:r>
          </w:p>
        </w:tc>
        <w:tc>
          <w:tcPr>
            <w:tcW w:w="4352" w:type="dxa"/>
            <w:tcBorders>
              <w:right w:val="single" w:color="000000" w:sz="10" w:space="0"/>
            </w:tcBorders>
            <w:vAlign w:val="center"/>
          </w:tcPr>
          <w:p w14:paraId="24FF4FB7">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该项目不涉及。</w:t>
            </w:r>
          </w:p>
        </w:tc>
      </w:tr>
      <w:tr w14:paraId="0AFC6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3E82E488">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vMerge w:val="continue"/>
            <w:tcBorders>
              <w:top w:val="nil"/>
              <w:bottom w:val="nil"/>
              <w:right w:val="single" w:color="auto" w:sz="4" w:space="0"/>
            </w:tcBorders>
            <w:vAlign w:val="center"/>
          </w:tcPr>
          <w:p w14:paraId="3EAA3C6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3209" w:type="dxa"/>
            <w:tcBorders>
              <w:left w:val="single" w:color="auto" w:sz="4" w:space="0"/>
            </w:tcBorders>
            <w:vAlign w:val="center"/>
          </w:tcPr>
          <w:p w14:paraId="734DAD6D">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防雷、防潮、防晒、防冻、防腐、防渗漏等设施</w:t>
            </w:r>
          </w:p>
        </w:tc>
        <w:tc>
          <w:tcPr>
            <w:tcW w:w="4352" w:type="dxa"/>
            <w:tcBorders>
              <w:right w:val="single" w:color="000000" w:sz="10" w:space="0"/>
            </w:tcBorders>
            <w:vAlign w:val="center"/>
          </w:tcPr>
          <w:p w14:paraId="062B4DC4">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防雷</w:t>
            </w:r>
            <w:r>
              <w:rPr>
                <w:rFonts w:hint="eastAsia" w:ascii="Times New Roman" w:hAnsi="Times New Roman" w:cs="Times New Roman"/>
                <w:b w:val="0"/>
                <w:bCs w:val="0"/>
                <w:spacing w:val="6"/>
                <w:sz w:val="21"/>
                <w:szCs w:val="21"/>
                <w:lang w:val="en-US" w:eastAsia="zh-CN"/>
              </w:rPr>
              <w:t>检测报告详见附件</w:t>
            </w:r>
          </w:p>
        </w:tc>
      </w:tr>
      <w:tr w14:paraId="11310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6E5E7393">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vMerge w:val="continue"/>
            <w:tcBorders>
              <w:top w:val="nil"/>
              <w:right w:val="single" w:color="auto" w:sz="4" w:space="0"/>
            </w:tcBorders>
            <w:vAlign w:val="center"/>
          </w:tcPr>
          <w:p w14:paraId="798B28D1">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3209" w:type="dxa"/>
            <w:tcBorders>
              <w:left w:val="single" w:color="auto" w:sz="4" w:space="0"/>
            </w:tcBorders>
            <w:vAlign w:val="center"/>
          </w:tcPr>
          <w:p w14:paraId="039FF661">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防雷接地设施</w:t>
            </w:r>
          </w:p>
        </w:tc>
        <w:tc>
          <w:tcPr>
            <w:tcW w:w="4352" w:type="dxa"/>
            <w:tcBorders>
              <w:right w:val="single" w:color="000000" w:sz="10" w:space="0"/>
            </w:tcBorders>
            <w:vAlign w:val="center"/>
          </w:tcPr>
          <w:p w14:paraId="5F65DBAA">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13"/>
                <w:sz w:val="21"/>
                <w:szCs w:val="21"/>
              </w:rPr>
              <w:t>加油站罩棚、埋地储罐区、站房为第二</w:t>
            </w:r>
            <w:r>
              <w:rPr>
                <w:rFonts w:hint="default" w:ascii="Times New Roman" w:hAnsi="Times New Roman" w:eastAsia="宋体" w:cs="Times New Roman"/>
                <w:b w:val="0"/>
                <w:bCs w:val="0"/>
                <w:spacing w:val="14"/>
                <w:sz w:val="21"/>
                <w:szCs w:val="21"/>
              </w:rPr>
              <w:t>类防雷建筑，配电室为第三类防雷建筑物</w:t>
            </w:r>
          </w:p>
        </w:tc>
      </w:tr>
      <w:tr w14:paraId="5400E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0A83CE8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vMerge w:val="restart"/>
            <w:tcBorders>
              <w:bottom w:val="nil"/>
              <w:right w:val="single" w:color="auto" w:sz="4" w:space="0"/>
            </w:tcBorders>
            <w:vAlign w:val="center"/>
          </w:tcPr>
          <w:p w14:paraId="3695A8C6">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2"/>
                <w:sz w:val="21"/>
                <w:szCs w:val="21"/>
              </w:rPr>
              <w:t>防爆</w:t>
            </w:r>
            <w:r>
              <w:rPr>
                <w:rFonts w:hint="default" w:ascii="Times New Roman" w:hAnsi="Times New Roman" w:eastAsia="宋体" w:cs="Times New Roman"/>
                <w:b w:val="0"/>
                <w:bCs w:val="0"/>
                <w:spacing w:val="3"/>
                <w:sz w:val="21"/>
                <w:szCs w:val="21"/>
              </w:rPr>
              <w:t>设施</w:t>
            </w:r>
          </w:p>
        </w:tc>
        <w:tc>
          <w:tcPr>
            <w:tcW w:w="3209" w:type="dxa"/>
            <w:tcBorders>
              <w:left w:val="single" w:color="auto" w:sz="4" w:space="0"/>
            </w:tcBorders>
            <w:vAlign w:val="center"/>
          </w:tcPr>
          <w:p w14:paraId="29125B68">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8"/>
                <w:sz w:val="21"/>
                <w:szCs w:val="21"/>
              </w:rPr>
              <w:t>各种电气、仪表的防爆设施</w:t>
            </w:r>
          </w:p>
        </w:tc>
        <w:tc>
          <w:tcPr>
            <w:tcW w:w="4352" w:type="dxa"/>
            <w:tcBorders>
              <w:right w:val="single" w:color="000000" w:sz="10" w:space="0"/>
            </w:tcBorders>
            <w:vAlign w:val="center"/>
          </w:tcPr>
          <w:p w14:paraId="37622432">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14"/>
                <w:sz w:val="21"/>
                <w:szCs w:val="21"/>
              </w:rPr>
              <w:t>爆炸危险环境内的电气设备选用隔爆型，防爆</w:t>
            </w:r>
            <w:r>
              <w:rPr>
                <w:rFonts w:hint="default" w:ascii="Times New Roman" w:hAnsi="Times New Roman" w:eastAsia="宋体" w:cs="Times New Roman"/>
                <w:b w:val="0"/>
                <w:bCs w:val="0"/>
                <w:spacing w:val="8"/>
                <w:sz w:val="21"/>
                <w:szCs w:val="21"/>
              </w:rPr>
              <w:t>等级选用</w:t>
            </w:r>
            <w:r>
              <w:rPr>
                <w:rFonts w:hint="default" w:ascii="Times New Roman" w:hAnsi="Times New Roman" w:eastAsia="宋体" w:cs="Times New Roman"/>
                <w:b w:val="0"/>
                <w:bCs w:val="0"/>
                <w:spacing w:val="-39"/>
                <w:sz w:val="21"/>
                <w:szCs w:val="21"/>
              </w:rPr>
              <w:t xml:space="preserve"> </w:t>
            </w:r>
            <w:r>
              <w:rPr>
                <w:rFonts w:hint="default" w:ascii="Times New Roman" w:hAnsi="Times New Roman" w:eastAsia="宋体" w:cs="Times New Roman"/>
                <w:b w:val="0"/>
                <w:bCs w:val="0"/>
                <w:sz w:val="21"/>
                <w:szCs w:val="21"/>
              </w:rPr>
              <w:t>Exd</w:t>
            </w:r>
            <w:r>
              <w:rPr>
                <w:rFonts w:hint="default" w:ascii="Times New Roman" w:hAnsi="Times New Roman" w:eastAsia="宋体" w:cs="Times New Roman"/>
                <w:b w:val="0"/>
                <w:bCs w:val="0"/>
                <w:spacing w:val="8"/>
                <w:sz w:val="21"/>
                <w:szCs w:val="21"/>
              </w:rPr>
              <w:t>Ⅱ</w:t>
            </w:r>
            <w:r>
              <w:rPr>
                <w:rFonts w:hint="default" w:ascii="Times New Roman" w:hAnsi="Times New Roman" w:eastAsia="宋体" w:cs="Times New Roman"/>
                <w:b w:val="0"/>
                <w:bCs w:val="0"/>
                <w:sz w:val="21"/>
                <w:szCs w:val="21"/>
              </w:rPr>
              <w:t>BT</w:t>
            </w:r>
            <w:r>
              <w:rPr>
                <w:rFonts w:hint="default" w:ascii="Times New Roman" w:hAnsi="Times New Roman" w:eastAsia="宋体" w:cs="Times New Roman"/>
                <w:b w:val="0"/>
                <w:bCs w:val="0"/>
                <w:spacing w:val="8"/>
                <w:sz w:val="21"/>
                <w:szCs w:val="21"/>
              </w:rPr>
              <w:t>4</w:t>
            </w:r>
            <w:r>
              <w:rPr>
                <w:rFonts w:hint="default" w:ascii="Times New Roman" w:hAnsi="Times New Roman" w:eastAsia="宋体" w:cs="Times New Roman"/>
                <w:b w:val="0"/>
                <w:bCs w:val="0"/>
                <w:sz w:val="21"/>
                <w:szCs w:val="21"/>
              </w:rPr>
              <w:t>Gb</w:t>
            </w:r>
            <w:r>
              <w:rPr>
                <w:rFonts w:hint="default" w:ascii="Times New Roman" w:hAnsi="Times New Roman" w:eastAsia="宋体" w:cs="Times New Roman"/>
                <w:b w:val="0"/>
                <w:bCs w:val="0"/>
                <w:spacing w:val="-21"/>
                <w:sz w:val="21"/>
                <w:szCs w:val="21"/>
              </w:rPr>
              <w:t xml:space="preserve"> </w:t>
            </w:r>
            <w:r>
              <w:rPr>
                <w:rFonts w:hint="default" w:ascii="Times New Roman" w:hAnsi="Times New Roman" w:eastAsia="宋体" w:cs="Times New Roman"/>
                <w:b w:val="0"/>
                <w:bCs w:val="0"/>
                <w:spacing w:val="8"/>
                <w:sz w:val="21"/>
                <w:szCs w:val="21"/>
              </w:rPr>
              <w:t>，防护等级为</w:t>
            </w:r>
            <w:r>
              <w:rPr>
                <w:rFonts w:hint="default" w:ascii="Times New Roman" w:hAnsi="Times New Roman" w:eastAsia="宋体" w:cs="Times New Roman"/>
                <w:b w:val="0"/>
                <w:bCs w:val="0"/>
                <w:spacing w:val="-40"/>
                <w:sz w:val="21"/>
                <w:szCs w:val="21"/>
              </w:rPr>
              <w:t xml:space="preserve"> </w:t>
            </w:r>
            <w:r>
              <w:rPr>
                <w:rFonts w:hint="default" w:ascii="Times New Roman" w:hAnsi="Times New Roman" w:eastAsia="宋体" w:cs="Times New Roman"/>
                <w:b w:val="0"/>
                <w:bCs w:val="0"/>
                <w:sz w:val="21"/>
                <w:szCs w:val="21"/>
              </w:rPr>
              <w:t>IP</w:t>
            </w:r>
            <w:r>
              <w:rPr>
                <w:rFonts w:hint="default" w:ascii="Times New Roman" w:hAnsi="Times New Roman" w:eastAsia="宋体" w:cs="Times New Roman"/>
                <w:b w:val="0"/>
                <w:bCs w:val="0"/>
                <w:spacing w:val="8"/>
                <w:sz w:val="21"/>
                <w:szCs w:val="21"/>
              </w:rPr>
              <w:t>44。</w:t>
            </w:r>
          </w:p>
        </w:tc>
      </w:tr>
      <w:tr w14:paraId="0FDFF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57121CBE">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vMerge w:val="continue"/>
            <w:tcBorders>
              <w:top w:val="nil"/>
              <w:right w:val="single" w:color="auto" w:sz="4" w:space="0"/>
            </w:tcBorders>
            <w:vAlign w:val="center"/>
          </w:tcPr>
          <w:p w14:paraId="4158DC5B">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3209" w:type="dxa"/>
            <w:tcBorders>
              <w:left w:val="single" w:color="auto" w:sz="4" w:space="0"/>
            </w:tcBorders>
            <w:vAlign w:val="center"/>
          </w:tcPr>
          <w:p w14:paraId="6CBEFBD1">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7"/>
                <w:sz w:val="21"/>
                <w:szCs w:val="21"/>
              </w:rPr>
              <w:t>阻隔防爆器材，防爆工器具</w:t>
            </w:r>
          </w:p>
        </w:tc>
        <w:tc>
          <w:tcPr>
            <w:tcW w:w="4352" w:type="dxa"/>
            <w:tcBorders>
              <w:right w:val="single" w:color="000000" w:sz="10" w:space="0"/>
            </w:tcBorders>
            <w:vAlign w:val="center"/>
          </w:tcPr>
          <w:p w14:paraId="61320F3E">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防爆机修套装工具（扳手）1</w:t>
            </w:r>
            <w:r>
              <w:rPr>
                <w:rFonts w:hint="default" w:ascii="Times New Roman" w:hAnsi="Times New Roman" w:eastAsia="宋体" w:cs="Times New Roman"/>
                <w:b w:val="0"/>
                <w:bCs w:val="0"/>
                <w:spacing w:val="27"/>
                <w:sz w:val="21"/>
                <w:szCs w:val="21"/>
              </w:rPr>
              <w:t xml:space="preserve"> </w:t>
            </w:r>
            <w:r>
              <w:rPr>
                <w:rFonts w:hint="default" w:ascii="Times New Roman" w:hAnsi="Times New Roman" w:eastAsia="宋体" w:cs="Times New Roman"/>
                <w:b w:val="0"/>
                <w:bCs w:val="0"/>
                <w:spacing w:val="6"/>
                <w:sz w:val="21"/>
                <w:szCs w:val="21"/>
              </w:rPr>
              <w:t>套。</w:t>
            </w:r>
          </w:p>
        </w:tc>
      </w:tr>
      <w:tr w14:paraId="1D738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322B8CD4">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vMerge w:val="restart"/>
            <w:tcBorders>
              <w:bottom w:val="single" w:color="auto" w:sz="4" w:space="0"/>
              <w:right w:val="single" w:color="auto" w:sz="4" w:space="0"/>
            </w:tcBorders>
            <w:vAlign w:val="center"/>
          </w:tcPr>
          <w:p w14:paraId="7A20AF12">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22"/>
                <w:sz w:val="21"/>
                <w:szCs w:val="21"/>
              </w:rPr>
              <w:t>作业场所防护</w:t>
            </w:r>
            <w:r>
              <w:rPr>
                <w:rFonts w:hint="default" w:ascii="Times New Roman" w:hAnsi="Times New Roman" w:eastAsia="宋体" w:cs="Times New Roman"/>
                <w:b w:val="0"/>
                <w:bCs w:val="0"/>
                <w:spacing w:val="4"/>
                <w:sz w:val="21"/>
                <w:szCs w:val="21"/>
              </w:rPr>
              <w:t>设施</w:t>
            </w:r>
          </w:p>
        </w:tc>
        <w:tc>
          <w:tcPr>
            <w:tcW w:w="3209" w:type="dxa"/>
            <w:tcBorders>
              <w:left w:val="single" w:color="auto" w:sz="4" w:space="0"/>
            </w:tcBorders>
            <w:vAlign w:val="center"/>
          </w:tcPr>
          <w:p w14:paraId="5E603D4F">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9"/>
                <w:sz w:val="21"/>
                <w:szCs w:val="21"/>
              </w:rPr>
              <w:t>作业场所的防辐射、防静电设施</w:t>
            </w:r>
          </w:p>
        </w:tc>
        <w:tc>
          <w:tcPr>
            <w:tcW w:w="4352" w:type="dxa"/>
            <w:tcBorders>
              <w:right w:val="single" w:color="000000" w:sz="10" w:space="0"/>
            </w:tcBorders>
            <w:vAlign w:val="center"/>
          </w:tcPr>
          <w:p w14:paraId="716DCE45">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13"/>
                <w:sz w:val="21"/>
                <w:szCs w:val="21"/>
              </w:rPr>
              <w:t>凡涉及正常不带电的金属设备及生产过</w:t>
            </w:r>
            <w:r>
              <w:rPr>
                <w:rFonts w:hint="default" w:ascii="Times New Roman" w:hAnsi="Times New Roman" w:eastAsia="宋体" w:cs="Times New Roman"/>
                <w:b w:val="0"/>
                <w:bCs w:val="0"/>
                <w:spacing w:val="14"/>
                <w:sz w:val="21"/>
                <w:szCs w:val="21"/>
              </w:rPr>
              <w:t>程中可能产生静电的工艺设备、管道等均与接</w:t>
            </w:r>
            <w:r>
              <w:rPr>
                <w:rFonts w:hint="default" w:ascii="Times New Roman" w:hAnsi="Times New Roman" w:eastAsia="宋体" w:cs="Times New Roman"/>
                <w:b w:val="0"/>
                <w:bCs w:val="0"/>
                <w:spacing w:val="7"/>
                <w:sz w:val="21"/>
                <w:szCs w:val="21"/>
              </w:rPr>
              <w:t>地网可靠连接。</w:t>
            </w:r>
          </w:p>
        </w:tc>
      </w:tr>
      <w:tr w14:paraId="1EFA6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030DBED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vMerge w:val="continue"/>
            <w:tcBorders>
              <w:top w:val="single" w:color="auto" w:sz="4" w:space="0"/>
              <w:bottom w:val="single" w:color="auto" w:sz="4" w:space="0"/>
              <w:right w:val="single" w:color="auto" w:sz="4" w:space="0"/>
            </w:tcBorders>
            <w:vAlign w:val="center"/>
          </w:tcPr>
          <w:p w14:paraId="7B32A95F">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3209" w:type="dxa"/>
            <w:tcBorders>
              <w:left w:val="single" w:color="auto" w:sz="4" w:space="0"/>
            </w:tcBorders>
            <w:vAlign w:val="center"/>
          </w:tcPr>
          <w:p w14:paraId="3631762B">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防噪声、通风（除尘、排毒）设施</w:t>
            </w:r>
          </w:p>
        </w:tc>
        <w:tc>
          <w:tcPr>
            <w:tcW w:w="4352" w:type="dxa"/>
            <w:tcBorders>
              <w:right w:val="single" w:color="000000" w:sz="10" w:space="0"/>
            </w:tcBorders>
            <w:vAlign w:val="center"/>
          </w:tcPr>
          <w:p w14:paraId="383C0A1B">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13"/>
                <w:sz w:val="21"/>
                <w:szCs w:val="21"/>
              </w:rPr>
              <w:t>无产生较大噪声的设备，各建构筑物自</w:t>
            </w:r>
            <w:r>
              <w:rPr>
                <w:rFonts w:hint="default" w:ascii="Times New Roman" w:hAnsi="Times New Roman" w:eastAsia="宋体" w:cs="Times New Roman"/>
                <w:b w:val="0"/>
                <w:bCs w:val="0"/>
                <w:spacing w:val="6"/>
                <w:sz w:val="21"/>
                <w:szCs w:val="21"/>
              </w:rPr>
              <w:t>然通风良好。</w:t>
            </w:r>
          </w:p>
        </w:tc>
      </w:tr>
      <w:tr w14:paraId="440FA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72CEDFF7">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vMerge w:val="continue"/>
            <w:tcBorders>
              <w:top w:val="single" w:color="auto" w:sz="4" w:space="0"/>
              <w:bottom w:val="single" w:color="auto" w:sz="4" w:space="0"/>
              <w:right w:val="single" w:color="auto" w:sz="4" w:space="0"/>
            </w:tcBorders>
            <w:vAlign w:val="center"/>
          </w:tcPr>
          <w:p w14:paraId="12B154E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3209" w:type="dxa"/>
            <w:tcBorders>
              <w:left w:val="single" w:color="auto" w:sz="4" w:space="0"/>
            </w:tcBorders>
            <w:vAlign w:val="center"/>
          </w:tcPr>
          <w:p w14:paraId="52CD6280">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6"/>
                <w:sz w:val="21"/>
                <w:szCs w:val="21"/>
              </w:rPr>
              <w:t>防护栏（网）、防滑、防灼烫设施</w:t>
            </w:r>
          </w:p>
        </w:tc>
        <w:tc>
          <w:tcPr>
            <w:tcW w:w="4352" w:type="dxa"/>
            <w:tcBorders>
              <w:right w:val="single" w:color="000000" w:sz="10" w:space="0"/>
            </w:tcBorders>
            <w:vAlign w:val="center"/>
          </w:tcPr>
          <w:p w14:paraId="2EF95A07">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both"/>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pacing w:val="13"/>
                <w:sz w:val="21"/>
                <w:szCs w:val="21"/>
              </w:rPr>
              <w:t>防护栏：加油岛端部加油机设防撞柱（栏</w:t>
            </w:r>
            <w:r>
              <w:rPr>
                <w:rFonts w:hint="default" w:ascii="Times New Roman" w:hAnsi="Times New Roman" w:eastAsia="宋体" w:cs="Times New Roman"/>
                <w:b w:val="0"/>
                <w:bCs w:val="0"/>
                <w:spacing w:val="-8"/>
                <w:sz w:val="21"/>
                <w:szCs w:val="21"/>
              </w:rPr>
              <w:t>）</w:t>
            </w:r>
            <w:r>
              <w:rPr>
                <w:rFonts w:hint="default" w:ascii="Times New Roman" w:hAnsi="Times New Roman" w:eastAsia="宋体" w:cs="Times New Roman"/>
                <w:b w:val="0"/>
                <w:bCs w:val="0"/>
                <w:spacing w:val="-57"/>
                <w:sz w:val="21"/>
                <w:szCs w:val="21"/>
              </w:rPr>
              <w:t xml:space="preserve"> </w:t>
            </w:r>
            <w:r>
              <w:rPr>
                <w:rFonts w:hint="default" w:ascii="Times New Roman" w:hAnsi="Times New Roman" w:eastAsia="宋体" w:cs="Times New Roman"/>
                <w:b w:val="0"/>
                <w:bCs w:val="0"/>
                <w:spacing w:val="-8"/>
                <w:sz w:val="21"/>
                <w:szCs w:val="21"/>
              </w:rPr>
              <w:t>，</w:t>
            </w:r>
            <w:r>
              <w:rPr>
                <w:rFonts w:hint="default" w:ascii="Times New Roman" w:hAnsi="Times New Roman" w:eastAsia="宋体" w:cs="Times New Roman"/>
                <w:b w:val="0"/>
                <w:bCs w:val="0"/>
                <w:spacing w:val="8"/>
                <w:sz w:val="21"/>
                <w:szCs w:val="21"/>
              </w:rPr>
              <w:t>直径为</w:t>
            </w:r>
            <w:r>
              <w:rPr>
                <w:rFonts w:hint="default" w:ascii="Times New Roman" w:hAnsi="Times New Roman" w:eastAsia="宋体" w:cs="Times New Roman"/>
                <w:b w:val="0"/>
                <w:bCs w:val="0"/>
                <w:spacing w:val="-36"/>
                <w:sz w:val="21"/>
                <w:szCs w:val="21"/>
              </w:rPr>
              <w:t xml:space="preserve"> </w:t>
            </w:r>
            <w:r>
              <w:rPr>
                <w:rFonts w:hint="default" w:ascii="Times New Roman" w:hAnsi="Times New Roman" w:eastAsia="宋体" w:cs="Times New Roman"/>
                <w:b w:val="0"/>
                <w:bCs w:val="0"/>
                <w:sz w:val="21"/>
                <w:szCs w:val="21"/>
              </w:rPr>
              <w:t>DN</w:t>
            </w:r>
            <w:r>
              <w:rPr>
                <w:rFonts w:hint="default" w:ascii="Times New Roman" w:hAnsi="Times New Roman" w:eastAsia="宋体" w:cs="Times New Roman"/>
                <w:b w:val="0"/>
                <w:bCs w:val="0"/>
                <w:spacing w:val="8"/>
                <w:sz w:val="21"/>
                <w:szCs w:val="21"/>
              </w:rPr>
              <w:t>100</w:t>
            </w:r>
            <w:r>
              <w:rPr>
                <w:rFonts w:hint="default" w:ascii="Times New Roman" w:hAnsi="Times New Roman" w:eastAsia="宋体" w:cs="Times New Roman"/>
                <w:b w:val="0"/>
                <w:bCs w:val="0"/>
                <w:sz w:val="21"/>
                <w:szCs w:val="21"/>
              </w:rPr>
              <w:t>mm</w:t>
            </w:r>
            <w:r>
              <w:rPr>
                <w:rFonts w:hint="default" w:ascii="Times New Roman" w:hAnsi="Times New Roman" w:eastAsia="宋体" w:cs="Times New Roman"/>
                <w:b w:val="0"/>
                <w:bCs w:val="0"/>
                <w:spacing w:val="-19"/>
                <w:sz w:val="21"/>
                <w:szCs w:val="21"/>
              </w:rPr>
              <w:t xml:space="preserve"> </w:t>
            </w:r>
            <w:r>
              <w:rPr>
                <w:rFonts w:hint="default" w:ascii="Times New Roman" w:hAnsi="Times New Roman" w:eastAsia="宋体" w:cs="Times New Roman"/>
                <w:b w:val="0"/>
                <w:bCs w:val="0"/>
                <w:spacing w:val="8"/>
                <w:sz w:val="21"/>
                <w:szCs w:val="21"/>
              </w:rPr>
              <w:t>，高度为</w:t>
            </w:r>
            <w:r>
              <w:rPr>
                <w:rFonts w:hint="default" w:ascii="Times New Roman" w:hAnsi="Times New Roman" w:eastAsia="宋体" w:cs="Times New Roman"/>
                <w:b w:val="0"/>
                <w:bCs w:val="0"/>
                <w:spacing w:val="-33"/>
                <w:sz w:val="21"/>
                <w:szCs w:val="21"/>
              </w:rPr>
              <w:t xml:space="preserve"> </w:t>
            </w:r>
            <w:r>
              <w:rPr>
                <w:rFonts w:hint="default" w:ascii="Times New Roman" w:hAnsi="Times New Roman" w:eastAsia="宋体" w:cs="Times New Roman"/>
                <w:b w:val="0"/>
                <w:bCs w:val="0"/>
                <w:spacing w:val="8"/>
                <w:sz w:val="21"/>
                <w:szCs w:val="21"/>
              </w:rPr>
              <w:t>0.6m；</w:t>
            </w:r>
            <w:r>
              <w:rPr>
                <w:rFonts w:hint="default" w:ascii="Times New Roman" w:hAnsi="Times New Roman" w:eastAsia="宋体" w:cs="Times New Roman"/>
                <w:b w:val="0"/>
                <w:bCs w:val="0"/>
                <w:spacing w:val="-55"/>
                <w:sz w:val="21"/>
                <w:szCs w:val="21"/>
              </w:rPr>
              <w:t xml:space="preserve"> </w:t>
            </w:r>
            <w:r>
              <w:rPr>
                <w:rFonts w:hint="default" w:ascii="Times New Roman" w:hAnsi="Times New Roman" w:eastAsia="宋体" w:cs="Times New Roman"/>
                <w:b w:val="0"/>
                <w:bCs w:val="0"/>
                <w:spacing w:val="8"/>
                <w:sz w:val="21"/>
                <w:szCs w:val="21"/>
              </w:rPr>
              <w:t>防灼烫：加</w:t>
            </w:r>
            <w:r>
              <w:rPr>
                <w:rFonts w:hint="default" w:ascii="Times New Roman" w:hAnsi="Times New Roman" w:eastAsia="宋体" w:cs="Times New Roman"/>
                <w:b w:val="0"/>
                <w:bCs w:val="0"/>
                <w:spacing w:val="13"/>
                <w:sz w:val="21"/>
                <w:szCs w:val="21"/>
              </w:rPr>
              <w:t>油站内无高温操作，一般不会出现烫伤事故，</w:t>
            </w:r>
            <w:r>
              <w:rPr>
                <w:rFonts w:hint="default" w:ascii="Times New Roman" w:hAnsi="Times New Roman" w:eastAsia="宋体" w:cs="Times New Roman"/>
                <w:b w:val="0"/>
                <w:bCs w:val="0"/>
                <w:spacing w:val="7"/>
                <w:sz w:val="21"/>
                <w:szCs w:val="21"/>
              </w:rPr>
              <w:t>不采取防烫伤措施。</w:t>
            </w:r>
          </w:p>
        </w:tc>
      </w:tr>
      <w:tr w14:paraId="4402F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58DC0DED">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z w:val="21"/>
                <w:szCs w:val="21"/>
              </w:rPr>
            </w:pPr>
          </w:p>
        </w:tc>
        <w:tc>
          <w:tcPr>
            <w:tcW w:w="858" w:type="dxa"/>
            <w:tcBorders>
              <w:top w:val="single" w:color="auto" w:sz="4" w:space="0"/>
              <w:bottom w:val="single" w:color="auto" w:sz="4" w:space="0"/>
              <w:right w:val="single" w:color="auto" w:sz="4" w:space="0"/>
            </w:tcBorders>
            <w:vAlign w:val="center"/>
          </w:tcPr>
          <w:p w14:paraId="72BE1372">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b w:val="0"/>
                <w:bCs w:val="0"/>
                <w:sz w:val="21"/>
                <w:szCs w:val="21"/>
              </w:rPr>
            </w:pPr>
            <w:r>
              <w:rPr>
                <w:rFonts w:hint="default" w:ascii="Times New Roman" w:hAnsi="Times New Roman" w:eastAsia="宋体" w:cs="Times New Roman"/>
                <w:spacing w:val="21"/>
                <w:sz w:val="21"/>
                <w:szCs w:val="21"/>
              </w:rPr>
              <w:t>安全警</w:t>
            </w:r>
            <w:r>
              <w:rPr>
                <w:rFonts w:hint="default" w:ascii="Times New Roman" w:hAnsi="Times New Roman" w:eastAsia="宋体" w:cs="Times New Roman"/>
                <w:spacing w:val="6"/>
                <w:sz w:val="21"/>
                <w:szCs w:val="21"/>
              </w:rPr>
              <w:t>示标志</w:t>
            </w:r>
          </w:p>
        </w:tc>
        <w:tc>
          <w:tcPr>
            <w:tcW w:w="3209" w:type="dxa"/>
            <w:tcBorders>
              <w:left w:val="single" w:color="auto" w:sz="4" w:space="0"/>
            </w:tcBorders>
            <w:vAlign w:val="center"/>
          </w:tcPr>
          <w:p w14:paraId="2E959AFA">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b w:val="0"/>
                <w:bCs w:val="0"/>
                <w:spacing w:val="6"/>
                <w:sz w:val="21"/>
                <w:szCs w:val="21"/>
              </w:rPr>
            </w:pPr>
            <w:r>
              <w:rPr>
                <w:rFonts w:hint="default" w:ascii="Times New Roman" w:hAnsi="Times New Roman" w:eastAsia="宋体" w:cs="Times New Roman"/>
                <w:spacing w:val="6"/>
                <w:sz w:val="21"/>
                <w:szCs w:val="21"/>
              </w:rPr>
              <w:t>包括各种指示、警示作业安全和逃</w:t>
            </w:r>
            <w:r>
              <w:rPr>
                <w:rFonts w:hint="default" w:ascii="Times New Roman" w:hAnsi="Times New Roman" w:eastAsia="宋体" w:cs="Times New Roman"/>
                <w:spacing w:val="8"/>
                <w:sz w:val="21"/>
                <w:szCs w:val="21"/>
              </w:rPr>
              <w:t>生避难及风向等警示标志。</w:t>
            </w:r>
          </w:p>
        </w:tc>
        <w:tc>
          <w:tcPr>
            <w:tcW w:w="4352" w:type="dxa"/>
            <w:tcBorders>
              <w:right w:val="single" w:color="000000" w:sz="10" w:space="0"/>
            </w:tcBorders>
            <w:vAlign w:val="top"/>
          </w:tcPr>
          <w:p w14:paraId="042F1360">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b w:val="0"/>
                <w:bCs w:val="0"/>
                <w:spacing w:val="13"/>
                <w:sz w:val="21"/>
                <w:szCs w:val="21"/>
              </w:rPr>
            </w:pPr>
            <w:r>
              <w:rPr>
                <w:rFonts w:hint="default" w:ascii="Times New Roman" w:hAnsi="Times New Roman" w:eastAsia="宋体" w:cs="Times New Roman"/>
                <w:spacing w:val="13"/>
                <w:sz w:val="21"/>
                <w:szCs w:val="21"/>
              </w:rPr>
              <w:t>工作现场根据接触的危害，设置相应的安全标识和设备管道标识；设置醒目的相应的警示标</w:t>
            </w:r>
            <w:r>
              <w:rPr>
                <w:rFonts w:hint="default" w:ascii="Times New Roman" w:hAnsi="Times New Roman" w:eastAsia="宋体" w:cs="Times New Roman"/>
                <w:spacing w:val="7"/>
                <w:sz w:val="21"/>
                <w:szCs w:val="21"/>
              </w:rPr>
              <w:t>识和简明中文警示说明。</w:t>
            </w:r>
          </w:p>
        </w:tc>
      </w:tr>
      <w:tr w14:paraId="7BF56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restart"/>
            <w:tcBorders>
              <w:left w:val="single" w:color="auto" w:sz="4" w:space="0"/>
            </w:tcBorders>
            <w:textDirection w:val="tbRlV"/>
            <w:vAlign w:val="center"/>
          </w:tcPr>
          <w:p w14:paraId="6048CF46">
            <w:pPr>
              <w:pStyle w:val="131"/>
              <w:keepNext w:val="0"/>
              <w:keepLines w:val="0"/>
              <w:pageBreakBefore w:val="0"/>
              <w:widowControl w:val="0"/>
              <w:kinsoku/>
              <w:wordWrap/>
              <w:overflowPunct/>
              <w:topLinePunct w:val="0"/>
              <w:autoSpaceDE/>
              <w:autoSpaceDN/>
              <w:bidi/>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pacing w:val="9"/>
                <w:sz w:val="21"/>
                <w:szCs w:val="21"/>
              </w:rPr>
            </w:pPr>
            <w:r>
              <w:rPr>
                <w:rFonts w:hint="default" w:ascii="Times New Roman" w:hAnsi="Times New Roman" w:eastAsia="宋体" w:cs="Times New Roman"/>
                <w:b w:val="0"/>
                <w:bCs w:val="0"/>
                <w:spacing w:val="9"/>
                <w:sz w:val="21"/>
                <w:szCs w:val="21"/>
              </w:rPr>
              <w:t>控制事故设施</w:t>
            </w:r>
          </w:p>
        </w:tc>
        <w:tc>
          <w:tcPr>
            <w:tcW w:w="858" w:type="dxa"/>
            <w:vMerge w:val="restart"/>
            <w:tcBorders>
              <w:top w:val="single" w:color="auto" w:sz="4" w:space="0"/>
              <w:right w:val="single" w:color="auto" w:sz="4" w:space="0"/>
            </w:tcBorders>
            <w:vAlign w:val="center"/>
          </w:tcPr>
          <w:p w14:paraId="3A4B5F83">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pacing w:val="21"/>
                <w:sz w:val="21"/>
                <w:szCs w:val="21"/>
              </w:rPr>
            </w:pPr>
            <w:r>
              <w:rPr>
                <w:rFonts w:hint="default" w:ascii="Times New Roman" w:hAnsi="Times New Roman" w:eastAsia="宋体" w:cs="Times New Roman"/>
                <w:spacing w:val="21"/>
                <w:sz w:val="21"/>
                <w:szCs w:val="21"/>
              </w:rPr>
              <w:t>泄压和</w:t>
            </w:r>
            <w:r>
              <w:rPr>
                <w:rFonts w:hint="default" w:ascii="Times New Roman" w:hAnsi="Times New Roman" w:eastAsia="宋体" w:cs="Times New Roman"/>
                <w:spacing w:val="23"/>
                <w:sz w:val="21"/>
                <w:szCs w:val="21"/>
              </w:rPr>
              <w:t>止逆设</w:t>
            </w:r>
            <w:r>
              <w:rPr>
                <w:rFonts w:hint="default" w:ascii="Times New Roman" w:hAnsi="Times New Roman" w:eastAsia="宋体" w:cs="Times New Roman"/>
                <w:spacing w:val="1"/>
                <w:sz w:val="21"/>
                <w:szCs w:val="21"/>
              </w:rPr>
              <w:t>施</w:t>
            </w:r>
          </w:p>
        </w:tc>
        <w:tc>
          <w:tcPr>
            <w:tcW w:w="3209" w:type="dxa"/>
            <w:tcBorders>
              <w:left w:val="single" w:color="auto" w:sz="4" w:space="0"/>
            </w:tcBorders>
            <w:vAlign w:val="center"/>
          </w:tcPr>
          <w:p w14:paraId="50456AC7">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7"/>
                <w:sz w:val="21"/>
                <w:szCs w:val="21"/>
              </w:rPr>
              <w:t>用于泄压的阀门、爆破片、放空管</w:t>
            </w:r>
            <w:r>
              <w:rPr>
                <w:rFonts w:hint="default" w:ascii="Times New Roman" w:hAnsi="Times New Roman" w:eastAsia="宋体" w:cs="Times New Roman"/>
                <w:spacing w:val="6"/>
                <w:sz w:val="21"/>
                <w:szCs w:val="21"/>
              </w:rPr>
              <w:t>等设施</w:t>
            </w:r>
          </w:p>
        </w:tc>
        <w:tc>
          <w:tcPr>
            <w:tcW w:w="4352" w:type="dxa"/>
            <w:tcBorders>
              <w:right w:val="single" w:color="000000" w:sz="10" w:space="0"/>
            </w:tcBorders>
            <w:vAlign w:val="center"/>
          </w:tcPr>
          <w:p w14:paraId="144EE1F6">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13"/>
                <w:sz w:val="21"/>
                <w:szCs w:val="21"/>
              </w:rPr>
            </w:pPr>
            <w:r>
              <w:rPr>
                <w:rFonts w:hint="default" w:ascii="Times New Roman" w:hAnsi="Times New Roman" w:eastAsia="宋体" w:cs="Times New Roman"/>
                <w:spacing w:val="13"/>
                <w:sz w:val="21"/>
                <w:szCs w:val="21"/>
              </w:rPr>
              <w:t>设置</w:t>
            </w:r>
            <w:r>
              <w:rPr>
                <w:rFonts w:hint="eastAsia" w:ascii="Times New Roman" w:hAnsi="Times New Roman" w:cs="Times New Roman"/>
                <w:spacing w:val="13"/>
                <w:sz w:val="21"/>
                <w:szCs w:val="21"/>
                <w:lang w:val="en-US" w:eastAsia="zh-CN"/>
              </w:rPr>
              <w:t>2根</w:t>
            </w:r>
            <w:r>
              <w:rPr>
                <w:rFonts w:hint="default" w:ascii="Times New Roman" w:hAnsi="Times New Roman" w:eastAsia="宋体" w:cs="Times New Roman"/>
                <w:spacing w:val="13"/>
                <w:sz w:val="21"/>
                <w:szCs w:val="21"/>
              </w:rPr>
              <w:t>柴油通气管，</w:t>
            </w:r>
            <w:r>
              <w:rPr>
                <w:rFonts w:hint="eastAsia" w:ascii="Times New Roman" w:hAnsi="Times New Roman" w:cs="Times New Roman"/>
                <w:spacing w:val="13"/>
                <w:sz w:val="21"/>
                <w:szCs w:val="21"/>
                <w:lang w:val="en-US" w:eastAsia="zh-CN"/>
              </w:rPr>
              <w:t>2根</w:t>
            </w:r>
            <w:r>
              <w:rPr>
                <w:rFonts w:hint="default" w:ascii="Times New Roman" w:hAnsi="Times New Roman" w:eastAsia="宋体" w:cs="Times New Roman"/>
                <w:spacing w:val="13"/>
                <w:sz w:val="21"/>
                <w:szCs w:val="21"/>
              </w:rPr>
              <w:t>车用乙醇汽油通气管</w:t>
            </w:r>
          </w:p>
        </w:tc>
      </w:tr>
      <w:tr w14:paraId="7C240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302B8957">
            <w:pPr>
              <w:keepNext w:val="0"/>
              <w:keepLines w:val="0"/>
              <w:pageBreakBefore w:val="0"/>
              <w:widowControl w:val="0"/>
              <w:kinsoku/>
              <w:wordWrap/>
              <w:overflowPunct/>
              <w:topLinePunct w:val="0"/>
              <w:autoSpaceDE/>
              <w:autoSpaceDN/>
              <w:bidi/>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9"/>
                <w:kern w:val="2"/>
                <w:sz w:val="21"/>
                <w:szCs w:val="21"/>
                <w:lang w:val="en-US" w:eastAsia="en-US" w:bidi="ar-SA"/>
                <w14:ligatures w14:val="standardContextual"/>
              </w:rPr>
            </w:pPr>
          </w:p>
        </w:tc>
        <w:tc>
          <w:tcPr>
            <w:tcW w:w="858" w:type="dxa"/>
            <w:vMerge w:val="continue"/>
            <w:tcBorders>
              <w:bottom w:val="single" w:color="auto" w:sz="4" w:space="0"/>
              <w:right w:val="single" w:color="auto" w:sz="4" w:space="0"/>
            </w:tcBorders>
            <w:vAlign w:val="center"/>
          </w:tcPr>
          <w:p w14:paraId="669271C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spacing w:val="21"/>
                <w:sz w:val="21"/>
                <w:szCs w:val="21"/>
              </w:rPr>
            </w:pPr>
          </w:p>
        </w:tc>
        <w:tc>
          <w:tcPr>
            <w:tcW w:w="3209" w:type="dxa"/>
            <w:tcBorders>
              <w:left w:val="single" w:color="auto" w:sz="4" w:space="0"/>
            </w:tcBorders>
            <w:vAlign w:val="center"/>
          </w:tcPr>
          <w:p w14:paraId="13C323BC">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用于止逆的阀门等设施，真空系统</w:t>
            </w:r>
            <w:r>
              <w:rPr>
                <w:rFonts w:hint="default" w:ascii="Times New Roman" w:hAnsi="Times New Roman" w:eastAsia="宋体" w:cs="Times New Roman"/>
                <w:spacing w:val="4"/>
                <w:sz w:val="21"/>
                <w:szCs w:val="21"/>
              </w:rPr>
              <w:t>的密封设施</w:t>
            </w:r>
          </w:p>
        </w:tc>
        <w:tc>
          <w:tcPr>
            <w:tcW w:w="4352" w:type="dxa"/>
            <w:tcBorders>
              <w:right w:val="single" w:color="000000" w:sz="10" w:space="0"/>
            </w:tcBorders>
            <w:vAlign w:val="center"/>
          </w:tcPr>
          <w:p w14:paraId="039FC9E0">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both"/>
              <w:textAlignment w:val="auto"/>
              <w:rPr>
                <w:rFonts w:hint="default" w:ascii="Times New Roman" w:hAnsi="Times New Roman" w:eastAsia="宋体" w:cs="Times New Roman"/>
                <w:spacing w:val="13"/>
                <w:sz w:val="21"/>
                <w:szCs w:val="21"/>
              </w:rPr>
            </w:pPr>
            <w:r>
              <w:rPr>
                <w:rFonts w:hint="default" w:ascii="Times New Roman" w:hAnsi="Times New Roman" w:eastAsia="宋体" w:cs="Times New Roman"/>
                <w:spacing w:val="8"/>
                <w:sz w:val="21"/>
                <w:szCs w:val="21"/>
              </w:rPr>
              <w:t>加油管道，靠近加油机位置设有止逆</w:t>
            </w:r>
            <w:r>
              <w:rPr>
                <w:rFonts w:hint="default" w:ascii="Times New Roman" w:hAnsi="Times New Roman" w:eastAsia="宋体" w:cs="Times New Roman"/>
                <w:spacing w:val="7"/>
                <w:sz w:val="21"/>
                <w:szCs w:val="21"/>
              </w:rPr>
              <w:t>阀。</w:t>
            </w:r>
          </w:p>
        </w:tc>
      </w:tr>
      <w:tr w14:paraId="6224C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45F76998">
            <w:pPr>
              <w:keepNext w:val="0"/>
              <w:keepLines w:val="0"/>
              <w:pageBreakBefore w:val="0"/>
              <w:widowControl w:val="0"/>
              <w:kinsoku/>
              <w:wordWrap/>
              <w:overflowPunct/>
              <w:topLinePunct w:val="0"/>
              <w:autoSpaceDE/>
              <w:autoSpaceDN/>
              <w:bidi/>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9"/>
                <w:kern w:val="2"/>
                <w:sz w:val="21"/>
                <w:szCs w:val="21"/>
                <w:lang w:val="en-US" w:eastAsia="en-US" w:bidi="ar-SA"/>
                <w14:ligatures w14:val="standardContextual"/>
              </w:rPr>
            </w:pPr>
          </w:p>
        </w:tc>
        <w:tc>
          <w:tcPr>
            <w:tcW w:w="858" w:type="dxa"/>
            <w:vMerge w:val="restart"/>
            <w:tcBorders>
              <w:top w:val="single" w:color="auto" w:sz="4" w:space="0"/>
              <w:right w:val="single" w:color="auto" w:sz="4" w:space="0"/>
            </w:tcBorders>
            <w:vAlign w:val="center"/>
          </w:tcPr>
          <w:p w14:paraId="00BE4C8E">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pacing w:val="21"/>
                <w:sz w:val="21"/>
                <w:szCs w:val="21"/>
              </w:rPr>
            </w:pPr>
            <w:r>
              <w:rPr>
                <w:rFonts w:hint="default" w:ascii="Times New Roman" w:hAnsi="Times New Roman" w:eastAsia="宋体" w:cs="Times New Roman"/>
                <w:spacing w:val="21"/>
                <w:sz w:val="21"/>
                <w:szCs w:val="21"/>
              </w:rPr>
              <w:t>紧急处</w:t>
            </w:r>
            <w:r>
              <w:rPr>
                <w:rFonts w:hint="default" w:ascii="Times New Roman" w:hAnsi="Times New Roman" w:eastAsia="宋体" w:cs="Times New Roman"/>
                <w:spacing w:val="6"/>
                <w:sz w:val="21"/>
                <w:szCs w:val="21"/>
              </w:rPr>
              <w:t>理设施</w:t>
            </w:r>
          </w:p>
        </w:tc>
        <w:tc>
          <w:tcPr>
            <w:tcW w:w="3209" w:type="dxa"/>
            <w:tcBorders>
              <w:left w:val="single" w:color="auto" w:sz="4" w:space="0"/>
            </w:tcBorders>
            <w:vAlign w:val="center"/>
          </w:tcPr>
          <w:p w14:paraId="77B238B8">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7"/>
                <w:sz w:val="21"/>
                <w:szCs w:val="21"/>
              </w:rPr>
              <w:t>紧急备用电源</w:t>
            </w:r>
          </w:p>
        </w:tc>
        <w:tc>
          <w:tcPr>
            <w:tcW w:w="4352" w:type="dxa"/>
            <w:tcBorders>
              <w:right w:val="single" w:color="000000" w:sz="10" w:space="0"/>
            </w:tcBorders>
            <w:vAlign w:val="top"/>
          </w:tcPr>
          <w:p w14:paraId="3EC396C2">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textAlignment w:val="auto"/>
              <w:rPr>
                <w:rFonts w:hint="default" w:ascii="Times New Roman" w:hAnsi="Times New Roman" w:eastAsia="宋体" w:cs="Times New Roman"/>
                <w:spacing w:val="13"/>
                <w:sz w:val="21"/>
                <w:szCs w:val="21"/>
              </w:rPr>
            </w:pPr>
            <w:r>
              <w:rPr>
                <w:rFonts w:hint="default" w:ascii="Times New Roman" w:hAnsi="Times New Roman" w:eastAsia="宋体" w:cs="Times New Roman"/>
                <w:spacing w:val="9"/>
                <w:sz w:val="21"/>
                <w:szCs w:val="21"/>
              </w:rPr>
              <w:t>站房营业厅内设置一台</w:t>
            </w:r>
            <w:r>
              <w:rPr>
                <w:rFonts w:hint="default" w:ascii="Times New Roman" w:hAnsi="Times New Roman" w:eastAsia="宋体" w:cs="Times New Roman"/>
                <w:spacing w:val="-44"/>
                <w:sz w:val="21"/>
                <w:szCs w:val="21"/>
              </w:rPr>
              <w:t xml:space="preserve"> </w:t>
            </w:r>
            <w:r>
              <w:rPr>
                <w:rFonts w:hint="default" w:ascii="Times New Roman" w:hAnsi="Times New Roman" w:eastAsia="宋体" w:cs="Times New Roman"/>
                <w:sz w:val="21"/>
                <w:szCs w:val="21"/>
              </w:rPr>
              <w:t>UPS</w:t>
            </w:r>
            <w:r>
              <w:rPr>
                <w:rFonts w:hint="default" w:ascii="Times New Roman" w:hAnsi="Times New Roman" w:eastAsia="宋体" w:cs="Times New Roman"/>
                <w:spacing w:val="9"/>
                <w:sz w:val="21"/>
                <w:szCs w:val="21"/>
              </w:rPr>
              <w:t>电源</w:t>
            </w:r>
            <w:r>
              <w:rPr>
                <w:rFonts w:hint="default" w:ascii="Times New Roman" w:hAnsi="Times New Roman" w:eastAsia="宋体" w:cs="Times New Roman"/>
                <w:spacing w:val="11"/>
                <w:sz w:val="21"/>
                <w:szCs w:val="21"/>
              </w:rPr>
              <w:t>（容量</w:t>
            </w:r>
            <w:r>
              <w:rPr>
                <w:rFonts w:hint="default" w:ascii="Times New Roman" w:hAnsi="Times New Roman" w:eastAsia="宋体" w:cs="Times New Roman"/>
                <w:spacing w:val="-35"/>
                <w:sz w:val="21"/>
                <w:szCs w:val="21"/>
              </w:rPr>
              <w:t xml:space="preserve"> </w:t>
            </w:r>
            <w:r>
              <w:rPr>
                <w:rFonts w:hint="default" w:ascii="Times New Roman" w:hAnsi="Times New Roman" w:eastAsia="宋体" w:cs="Times New Roman"/>
                <w:spacing w:val="11"/>
                <w:sz w:val="21"/>
                <w:szCs w:val="21"/>
              </w:rPr>
              <w:t>4</w:t>
            </w:r>
            <w:r>
              <w:rPr>
                <w:rFonts w:hint="default" w:ascii="Times New Roman" w:hAnsi="Times New Roman" w:eastAsia="宋体" w:cs="Times New Roman"/>
                <w:sz w:val="21"/>
                <w:szCs w:val="21"/>
              </w:rPr>
              <w:t>kVA</w:t>
            </w:r>
            <w:r>
              <w:rPr>
                <w:rFonts w:hint="default" w:ascii="Times New Roman" w:hAnsi="Times New Roman" w:eastAsia="宋体" w:cs="Times New Roman"/>
                <w:spacing w:val="-1"/>
                <w:sz w:val="21"/>
                <w:szCs w:val="21"/>
              </w:rPr>
              <w:t>）</w:t>
            </w:r>
            <w:r>
              <w:rPr>
                <w:rFonts w:hint="default" w:ascii="Times New Roman" w:hAnsi="Times New Roman" w:eastAsia="宋体" w:cs="Times New Roman"/>
                <w:spacing w:val="-53"/>
                <w:sz w:val="21"/>
                <w:szCs w:val="21"/>
              </w:rPr>
              <w:t xml:space="preserve"> </w:t>
            </w:r>
            <w:r>
              <w:rPr>
                <w:rFonts w:hint="default" w:ascii="Times New Roman" w:hAnsi="Times New Roman" w:eastAsia="宋体" w:cs="Times New Roman"/>
                <w:spacing w:val="-1"/>
                <w:sz w:val="21"/>
                <w:szCs w:val="21"/>
              </w:rPr>
              <w:t>，</w:t>
            </w:r>
            <w:r>
              <w:rPr>
                <w:rFonts w:hint="default" w:ascii="Times New Roman" w:hAnsi="Times New Roman" w:eastAsia="宋体" w:cs="Times New Roman"/>
                <w:spacing w:val="11"/>
                <w:sz w:val="21"/>
                <w:szCs w:val="21"/>
              </w:rPr>
              <w:t>在供电中断后，</w:t>
            </w:r>
            <w:r>
              <w:rPr>
                <w:rFonts w:hint="default" w:ascii="Times New Roman" w:hAnsi="Times New Roman" w:eastAsia="宋体" w:cs="Times New Roman"/>
                <w:spacing w:val="13"/>
                <w:sz w:val="21"/>
                <w:szCs w:val="21"/>
              </w:rPr>
              <w:t>保证向管道泄漏检测仪、双层罐泄漏检测仪、</w:t>
            </w:r>
            <w:r>
              <w:rPr>
                <w:rFonts w:hint="default" w:ascii="Times New Roman" w:hAnsi="Times New Roman" w:eastAsia="宋体" w:cs="Times New Roman"/>
                <w:spacing w:val="25"/>
                <w:sz w:val="21"/>
                <w:szCs w:val="21"/>
              </w:rPr>
              <w:t>智能液位控制器、视频监控设施</w:t>
            </w:r>
            <w:r>
              <w:rPr>
                <w:rFonts w:hint="default" w:ascii="Times New Roman" w:hAnsi="Times New Roman" w:eastAsia="宋体" w:cs="Times New Roman"/>
                <w:spacing w:val="24"/>
                <w:sz w:val="21"/>
                <w:szCs w:val="21"/>
              </w:rPr>
              <w:t>等仪表及监测系统持续不间断供电</w:t>
            </w:r>
            <w:r>
              <w:rPr>
                <w:rFonts w:hint="default" w:ascii="Times New Roman" w:hAnsi="Times New Roman" w:eastAsia="宋体" w:cs="Times New Roman"/>
                <w:spacing w:val="5"/>
                <w:sz w:val="21"/>
                <w:szCs w:val="21"/>
              </w:rPr>
              <w:t>90</w:t>
            </w:r>
            <w:r>
              <w:rPr>
                <w:rFonts w:hint="default" w:ascii="Times New Roman" w:hAnsi="Times New Roman" w:eastAsia="宋体" w:cs="Times New Roman"/>
                <w:sz w:val="21"/>
                <w:szCs w:val="21"/>
              </w:rPr>
              <w:t>min</w:t>
            </w:r>
            <w:r>
              <w:rPr>
                <w:rFonts w:hint="default" w:ascii="Times New Roman" w:hAnsi="Times New Roman" w:eastAsia="宋体" w:cs="Times New Roman"/>
                <w:spacing w:val="5"/>
                <w:sz w:val="21"/>
                <w:szCs w:val="21"/>
              </w:rPr>
              <w:t>。</w:t>
            </w:r>
          </w:p>
        </w:tc>
      </w:tr>
      <w:tr w14:paraId="3A4551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70A7DEB0">
            <w:pPr>
              <w:keepNext w:val="0"/>
              <w:keepLines w:val="0"/>
              <w:pageBreakBefore w:val="0"/>
              <w:widowControl w:val="0"/>
              <w:kinsoku/>
              <w:wordWrap/>
              <w:overflowPunct/>
              <w:topLinePunct w:val="0"/>
              <w:autoSpaceDE/>
              <w:autoSpaceDN/>
              <w:bidi/>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9"/>
                <w:kern w:val="2"/>
                <w:sz w:val="21"/>
                <w:szCs w:val="21"/>
                <w:lang w:val="en-US" w:eastAsia="en-US" w:bidi="ar-SA"/>
                <w14:ligatures w14:val="standardContextual"/>
              </w:rPr>
            </w:pPr>
          </w:p>
        </w:tc>
        <w:tc>
          <w:tcPr>
            <w:tcW w:w="858" w:type="dxa"/>
            <w:vMerge w:val="continue"/>
            <w:tcBorders>
              <w:right w:val="single" w:color="auto" w:sz="4" w:space="0"/>
            </w:tcBorders>
            <w:vAlign w:val="center"/>
          </w:tcPr>
          <w:p w14:paraId="23B367C0">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spacing w:val="21"/>
                <w:sz w:val="21"/>
                <w:szCs w:val="21"/>
              </w:rPr>
            </w:pPr>
          </w:p>
        </w:tc>
        <w:tc>
          <w:tcPr>
            <w:tcW w:w="3209" w:type="dxa"/>
            <w:tcBorders>
              <w:left w:val="single" w:color="auto" w:sz="4" w:space="0"/>
            </w:tcBorders>
            <w:vAlign w:val="center"/>
          </w:tcPr>
          <w:p w14:paraId="5DCF3CE8">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紧急切断、分流、排放、吸收、中</w:t>
            </w:r>
            <w:r>
              <w:rPr>
                <w:rFonts w:hint="default" w:ascii="Times New Roman" w:hAnsi="Times New Roman" w:eastAsia="宋体" w:cs="Times New Roman"/>
                <w:spacing w:val="8"/>
                <w:sz w:val="21"/>
                <w:szCs w:val="21"/>
              </w:rPr>
              <w:t>和、冷却等设施</w:t>
            </w:r>
          </w:p>
        </w:tc>
        <w:tc>
          <w:tcPr>
            <w:tcW w:w="4352" w:type="dxa"/>
            <w:tcBorders>
              <w:right w:val="single" w:color="000000" w:sz="10" w:space="0"/>
            </w:tcBorders>
            <w:vAlign w:val="top"/>
          </w:tcPr>
          <w:p w14:paraId="65790843">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13"/>
                <w:sz w:val="21"/>
                <w:szCs w:val="21"/>
              </w:rPr>
            </w:pPr>
            <w:r>
              <w:rPr>
                <w:rFonts w:hint="default" w:ascii="Times New Roman" w:hAnsi="Times New Roman" w:eastAsia="宋体" w:cs="Times New Roman"/>
                <w:spacing w:val="13"/>
                <w:sz w:val="21"/>
                <w:szCs w:val="21"/>
              </w:rPr>
              <w:t>设紧急切断系统，能在事故状态下迅速</w:t>
            </w:r>
            <w:r>
              <w:rPr>
                <w:rFonts w:hint="default" w:ascii="Times New Roman" w:hAnsi="Times New Roman" w:eastAsia="宋体" w:cs="Times New Roman"/>
                <w:spacing w:val="14"/>
                <w:sz w:val="21"/>
                <w:szCs w:val="21"/>
              </w:rPr>
              <w:t>切断潜油泵的电源，并只能手动复位</w:t>
            </w:r>
            <w:r>
              <w:rPr>
                <w:rFonts w:hint="default" w:ascii="Times New Roman" w:hAnsi="Times New Roman" w:eastAsia="宋体" w:cs="Times New Roman"/>
                <w:spacing w:val="9"/>
                <w:sz w:val="21"/>
                <w:szCs w:val="21"/>
              </w:rPr>
              <w:t>。</w:t>
            </w:r>
          </w:p>
        </w:tc>
      </w:tr>
      <w:tr w14:paraId="0819C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center"/>
          </w:tcPr>
          <w:p w14:paraId="5AC39BCD">
            <w:pPr>
              <w:keepNext w:val="0"/>
              <w:keepLines w:val="0"/>
              <w:pageBreakBefore w:val="0"/>
              <w:widowControl w:val="0"/>
              <w:kinsoku/>
              <w:wordWrap/>
              <w:overflowPunct/>
              <w:topLinePunct w:val="0"/>
              <w:autoSpaceDE/>
              <w:autoSpaceDN/>
              <w:bidi/>
              <w:adjustRightInd w:val="0"/>
              <w:snapToGrid w:val="0"/>
              <w:spacing w:line="240" w:lineRule="auto"/>
              <w:ind w:firstLine="0" w:firstLineChars="0"/>
              <w:jc w:val="center"/>
              <w:textAlignment w:val="auto"/>
              <w:rPr>
                <w:rFonts w:hint="default" w:ascii="Times New Roman" w:hAnsi="Times New Roman" w:eastAsia="宋体" w:cs="Times New Roman"/>
                <w:b w:val="0"/>
                <w:bCs w:val="0"/>
                <w:spacing w:val="9"/>
                <w:kern w:val="2"/>
                <w:sz w:val="21"/>
                <w:szCs w:val="21"/>
                <w:lang w:val="en-US" w:eastAsia="en-US" w:bidi="ar-SA"/>
                <w14:ligatures w14:val="standardContextual"/>
              </w:rPr>
            </w:pPr>
          </w:p>
        </w:tc>
        <w:tc>
          <w:tcPr>
            <w:tcW w:w="858" w:type="dxa"/>
            <w:vMerge w:val="continue"/>
            <w:tcBorders>
              <w:bottom w:val="single" w:color="auto" w:sz="4" w:space="0"/>
              <w:right w:val="single" w:color="auto" w:sz="4" w:space="0"/>
            </w:tcBorders>
            <w:vAlign w:val="center"/>
          </w:tcPr>
          <w:p w14:paraId="6C7758C5">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spacing w:val="21"/>
                <w:sz w:val="21"/>
                <w:szCs w:val="21"/>
              </w:rPr>
            </w:pPr>
          </w:p>
        </w:tc>
        <w:tc>
          <w:tcPr>
            <w:tcW w:w="3209" w:type="dxa"/>
            <w:tcBorders>
              <w:left w:val="single" w:color="auto" w:sz="4" w:space="0"/>
            </w:tcBorders>
            <w:vAlign w:val="center"/>
          </w:tcPr>
          <w:p w14:paraId="550834BD">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8"/>
                <w:sz w:val="21"/>
                <w:szCs w:val="21"/>
              </w:rPr>
              <w:t>仪表联锁等设施</w:t>
            </w:r>
          </w:p>
        </w:tc>
        <w:tc>
          <w:tcPr>
            <w:tcW w:w="4352" w:type="dxa"/>
            <w:tcBorders>
              <w:right w:val="single" w:color="000000" w:sz="10" w:space="0"/>
            </w:tcBorders>
            <w:vAlign w:val="center"/>
          </w:tcPr>
          <w:p w14:paraId="3C85E679">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both"/>
              <w:textAlignment w:val="auto"/>
              <w:rPr>
                <w:rFonts w:hint="default" w:ascii="Times New Roman" w:hAnsi="Times New Roman" w:eastAsia="宋体" w:cs="Times New Roman"/>
                <w:spacing w:val="13"/>
                <w:sz w:val="21"/>
                <w:szCs w:val="21"/>
              </w:rPr>
            </w:pPr>
            <w:r>
              <w:rPr>
                <w:rFonts w:hint="default" w:ascii="Times New Roman" w:hAnsi="Times New Roman" w:eastAsia="宋体" w:cs="Times New Roman"/>
                <w:spacing w:val="7"/>
                <w:sz w:val="21"/>
                <w:szCs w:val="21"/>
              </w:rPr>
              <w:t>该项目无仪表联锁。</w:t>
            </w:r>
          </w:p>
        </w:tc>
      </w:tr>
      <w:tr w14:paraId="09E0A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restart"/>
            <w:tcBorders>
              <w:left w:val="single" w:color="auto" w:sz="4" w:space="0"/>
            </w:tcBorders>
            <w:textDirection w:val="tbRlV"/>
            <w:vAlign w:val="center"/>
          </w:tcPr>
          <w:p w14:paraId="0E87B8A3">
            <w:pPr>
              <w:pStyle w:val="131"/>
              <w:keepNext w:val="0"/>
              <w:keepLines w:val="0"/>
              <w:pageBreakBefore w:val="0"/>
              <w:widowControl w:val="0"/>
              <w:kinsoku/>
              <w:wordWrap/>
              <w:overflowPunct/>
              <w:topLinePunct w:val="0"/>
              <w:autoSpaceDE/>
              <w:autoSpaceDN/>
              <w:bidi/>
              <w:adjustRightInd w:val="0"/>
              <w:snapToGrid w:val="0"/>
              <w:spacing w:line="240" w:lineRule="auto"/>
              <w:ind w:left="0" w:right="0" w:firstLine="0" w:firstLineChars="0"/>
              <w:jc w:val="center"/>
              <w:textAlignment w:val="auto"/>
              <w:rPr>
                <w:rFonts w:hint="default" w:ascii="Times New Roman" w:hAnsi="Times New Roman" w:eastAsia="宋体" w:cs="Times New Roman"/>
                <w:b w:val="0"/>
                <w:bCs w:val="0"/>
                <w:spacing w:val="9"/>
                <w:kern w:val="2"/>
                <w:sz w:val="21"/>
                <w:szCs w:val="21"/>
                <w:lang w:val="en-US" w:eastAsia="en-US" w:bidi="ar-SA"/>
                <w14:ligatures w14:val="standardContextual"/>
              </w:rPr>
            </w:pPr>
            <w:r>
              <w:rPr>
                <w:rFonts w:hint="default" w:ascii="Times New Roman" w:hAnsi="Times New Roman" w:eastAsia="宋体" w:cs="Times New Roman"/>
                <w:b w:val="0"/>
                <w:bCs w:val="0"/>
                <w:spacing w:val="9"/>
                <w:kern w:val="2"/>
                <w:sz w:val="21"/>
                <w:szCs w:val="21"/>
                <w:lang w:val="en-US" w:eastAsia="en-US" w:bidi="ar-SA"/>
                <w14:ligatures w14:val="standardContextual"/>
              </w:rPr>
              <w:t>减少与消除事故影响设施</w:t>
            </w:r>
          </w:p>
        </w:tc>
        <w:tc>
          <w:tcPr>
            <w:tcW w:w="858" w:type="dxa"/>
            <w:tcBorders>
              <w:top w:val="single" w:color="auto" w:sz="4" w:space="0"/>
              <w:bottom w:val="single" w:color="auto" w:sz="4" w:space="0"/>
              <w:right w:val="single" w:color="auto" w:sz="4" w:space="0"/>
            </w:tcBorders>
            <w:vAlign w:val="center"/>
          </w:tcPr>
          <w:p w14:paraId="221576D9">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18"/>
                <w:sz w:val="21"/>
                <w:szCs w:val="21"/>
              </w:rPr>
              <w:t>防止火</w:t>
            </w:r>
          </w:p>
          <w:p w14:paraId="2CB7A446">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pacing w:val="21"/>
                <w:sz w:val="21"/>
                <w:szCs w:val="21"/>
              </w:rPr>
            </w:pPr>
            <w:r>
              <w:rPr>
                <w:rFonts w:hint="default" w:ascii="Times New Roman" w:hAnsi="Times New Roman" w:eastAsia="宋体" w:cs="Times New Roman"/>
                <w:spacing w:val="21"/>
                <w:sz w:val="21"/>
                <w:szCs w:val="21"/>
              </w:rPr>
              <w:t>灾蔓延</w:t>
            </w:r>
            <w:r>
              <w:rPr>
                <w:rFonts w:hint="default" w:ascii="Times New Roman" w:hAnsi="Times New Roman" w:eastAsia="宋体" w:cs="Times New Roman"/>
                <w:spacing w:val="3"/>
                <w:sz w:val="21"/>
                <w:szCs w:val="21"/>
              </w:rPr>
              <w:t>设施</w:t>
            </w:r>
          </w:p>
        </w:tc>
        <w:tc>
          <w:tcPr>
            <w:tcW w:w="3209" w:type="dxa"/>
            <w:tcBorders>
              <w:left w:val="single" w:color="auto" w:sz="4" w:space="0"/>
            </w:tcBorders>
            <w:vAlign w:val="center"/>
          </w:tcPr>
          <w:p w14:paraId="37D9BBB5">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6"/>
                <w:sz w:val="21"/>
                <w:szCs w:val="21"/>
              </w:rPr>
              <w:t>阻火器、安全水封、止逆阀等设施</w:t>
            </w:r>
          </w:p>
        </w:tc>
        <w:tc>
          <w:tcPr>
            <w:tcW w:w="4352" w:type="dxa"/>
            <w:tcBorders>
              <w:right w:val="single" w:color="000000" w:sz="10" w:space="0"/>
            </w:tcBorders>
            <w:vAlign w:val="center"/>
          </w:tcPr>
          <w:p w14:paraId="3C1A1B8A">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13"/>
                <w:sz w:val="21"/>
                <w:szCs w:val="21"/>
                <w:lang w:val="en-US" w:eastAsia="zh-CN"/>
              </w:rPr>
            </w:pPr>
            <w:r>
              <w:rPr>
                <w:rFonts w:hint="default" w:ascii="Times New Roman" w:hAnsi="Times New Roman" w:eastAsia="宋体" w:cs="Times New Roman"/>
                <w:spacing w:val="13"/>
                <w:sz w:val="21"/>
                <w:szCs w:val="21"/>
              </w:rPr>
              <w:t>该项目不涉及安全水封，阻火器</w:t>
            </w:r>
            <w:r>
              <w:rPr>
                <w:rFonts w:hint="eastAsia" w:ascii="Times New Roman" w:hAnsi="Times New Roman" w:cs="Times New Roman"/>
                <w:spacing w:val="13"/>
                <w:sz w:val="21"/>
                <w:szCs w:val="21"/>
                <w:lang w:eastAsia="zh-CN"/>
              </w:rPr>
              <w:t>，</w:t>
            </w:r>
            <w:r>
              <w:rPr>
                <w:rFonts w:hint="eastAsia" w:ascii="Times New Roman" w:hAnsi="Times New Roman" w:cs="Times New Roman"/>
                <w:spacing w:val="13"/>
                <w:sz w:val="21"/>
                <w:szCs w:val="21"/>
                <w:lang w:val="en-US" w:eastAsia="zh-CN"/>
              </w:rPr>
              <w:t>加油油气回收管上安装止回阀。</w:t>
            </w:r>
          </w:p>
        </w:tc>
      </w:tr>
      <w:tr w14:paraId="10F69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top"/>
          </w:tcPr>
          <w:p w14:paraId="27588758">
            <w:pPr>
              <w:ind w:firstLine="420" w:firstLineChars="200"/>
              <w:rPr>
                <w:rFonts w:hint="default" w:ascii="Times New Roman" w:hAnsi="Times New Roman" w:eastAsia="宋体" w:cs="Times New Roman"/>
                <w:b w:val="0"/>
                <w:bCs w:val="0"/>
                <w:sz w:val="21"/>
                <w:szCs w:val="21"/>
              </w:rPr>
            </w:pPr>
          </w:p>
        </w:tc>
        <w:tc>
          <w:tcPr>
            <w:tcW w:w="858" w:type="dxa"/>
            <w:vMerge w:val="restart"/>
            <w:tcBorders>
              <w:top w:val="single" w:color="auto" w:sz="4" w:space="0"/>
              <w:right w:val="single" w:color="auto" w:sz="4" w:space="0"/>
            </w:tcBorders>
            <w:vAlign w:val="center"/>
          </w:tcPr>
          <w:p w14:paraId="3F546C69">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pacing w:val="3"/>
                <w:sz w:val="21"/>
                <w:szCs w:val="21"/>
              </w:rPr>
            </w:pPr>
            <w:r>
              <w:rPr>
                <w:rFonts w:hint="default" w:ascii="Times New Roman" w:hAnsi="Times New Roman" w:eastAsia="宋体" w:cs="Times New Roman"/>
                <w:spacing w:val="3"/>
                <w:sz w:val="21"/>
                <w:szCs w:val="21"/>
              </w:rPr>
              <w:t>灭火</w:t>
            </w:r>
          </w:p>
          <w:p w14:paraId="57C99FEE">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pacing w:val="21"/>
                <w:sz w:val="21"/>
                <w:szCs w:val="21"/>
              </w:rPr>
            </w:pPr>
            <w:r>
              <w:rPr>
                <w:rFonts w:hint="default" w:ascii="Times New Roman" w:hAnsi="Times New Roman" w:eastAsia="宋体" w:cs="Times New Roman"/>
                <w:spacing w:val="3"/>
                <w:sz w:val="21"/>
                <w:szCs w:val="21"/>
              </w:rPr>
              <w:t>设施</w:t>
            </w:r>
          </w:p>
        </w:tc>
        <w:tc>
          <w:tcPr>
            <w:tcW w:w="3209" w:type="dxa"/>
            <w:tcBorders>
              <w:left w:val="single" w:color="auto" w:sz="4" w:space="0"/>
            </w:tcBorders>
            <w:vAlign w:val="center"/>
          </w:tcPr>
          <w:p w14:paraId="4B0E1FB4">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8"/>
                <w:sz w:val="21"/>
                <w:szCs w:val="21"/>
              </w:rPr>
              <w:t>灭火器等灭火设施</w:t>
            </w:r>
          </w:p>
        </w:tc>
        <w:tc>
          <w:tcPr>
            <w:tcW w:w="4352" w:type="dxa"/>
            <w:tcBorders>
              <w:right w:val="single" w:color="000000" w:sz="10" w:space="0"/>
            </w:tcBorders>
            <w:vAlign w:val="center"/>
          </w:tcPr>
          <w:p w14:paraId="14287C34">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13"/>
                <w:sz w:val="21"/>
                <w:szCs w:val="21"/>
                <w:lang w:val="en-US" w:eastAsia="zh-CN"/>
              </w:rPr>
            </w:pPr>
            <w:r>
              <w:rPr>
                <w:rFonts w:hint="eastAsia" w:ascii="Times New Roman" w:hAnsi="Times New Roman" w:cs="Times New Roman"/>
                <w:spacing w:val="13"/>
                <w:sz w:val="21"/>
                <w:szCs w:val="21"/>
                <w:lang w:val="en-US" w:eastAsia="zh-CN"/>
              </w:rPr>
              <w:t>配备足够的灭火器，详见2.7-1</w:t>
            </w:r>
          </w:p>
        </w:tc>
      </w:tr>
      <w:tr w14:paraId="49756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top"/>
          </w:tcPr>
          <w:p w14:paraId="74CF87A5">
            <w:pPr>
              <w:ind w:firstLine="420" w:firstLineChars="200"/>
              <w:rPr>
                <w:rFonts w:hint="default" w:ascii="Times New Roman" w:hAnsi="Times New Roman" w:eastAsia="宋体" w:cs="Times New Roman"/>
                <w:b w:val="0"/>
                <w:bCs w:val="0"/>
                <w:sz w:val="21"/>
                <w:szCs w:val="21"/>
              </w:rPr>
            </w:pPr>
          </w:p>
        </w:tc>
        <w:tc>
          <w:tcPr>
            <w:tcW w:w="858" w:type="dxa"/>
            <w:vMerge w:val="continue"/>
            <w:tcBorders>
              <w:bottom w:val="single" w:color="auto" w:sz="4" w:space="0"/>
              <w:right w:val="single" w:color="auto" w:sz="4" w:space="0"/>
            </w:tcBorders>
            <w:vAlign w:val="center"/>
          </w:tcPr>
          <w:p w14:paraId="1799613C">
            <w:pPr>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spacing w:val="21"/>
                <w:sz w:val="21"/>
                <w:szCs w:val="21"/>
              </w:rPr>
            </w:pPr>
          </w:p>
        </w:tc>
        <w:tc>
          <w:tcPr>
            <w:tcW w:w="3209" w:type="dxa"/>
            <w:tcBorders>
              <w:left w:val="single" w:color="auto" w:sz="4" w:space="0"/>
            </w:tcBorders>
            <w:vAlign w:val="center"/>
          </w:tcPr>
          <w:p w14:paraId="112C861C">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2"/>
                <w:sz w:val="21"/>
                <w:szCs w:val="21"/>
              </w:rPr>
              <w:t>消火栓、消防水龙带、消防水管网、</w:t>
            </w:r>
            <w:r>
              <w:rPr>
                <w:rFonts w:hint="default" w:ascii="Times New Roman" w:hAnsi="Times New Roman" w:eastAsia="宋体" w:cs="Times New Roman"/>
                <w:spacing w:val="6"/>
                <w:sz w:val="21"/>
                <w:szCs w:val="21"/>
              </w:rPr>
              <w:t>消防站等</w:t>
            </w:r>
          </w:p>
        </w:tc>
        <w:tc>
          <w:tcPr>
            <w:tcW w:w="4352" w:type="dxa"/>
            <w:tcBorders>
              <w:right w:val="single" w:color="000000" w:sz="10" w:space="0"/>
            </w:tcBorders>
            <w:vAlign w:val="center"/>
          </w:tcPr>
          <w:p w14:paraId="50735E1D">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13"/>
                <w:sz w:val="21"/>
                <w:szCs w:val="21"/>
              </w:rPr>
            </w:pPr>
            <w:r>
              <w:rPr>
                <w:rFonts w:hint="default" w:ascii="Times New Roman" w:hAnsi="Times New Roman" w:eastAsia="宋体" w:cs="Times New Roman"/>
                <w:spacing w:val="14"/>
                <w:sz w:val="21"/>
                <w:szCs w:val="21"/>
              </w:rPr>
              <w:t>无需设置消火栓、消防水龙带、消防水</w:t>
            </w:r>
            <w:r>
              <w:rPr>
                <w:rFonts w:hint="default" w:ascii="Times New Roman" w:hAnsi="Times New Roman" w:eastAsia="宋体" w:cs="Times New Roman"/>
                <w:spacing w:val="6"/>
                <w:sz w:val="21"/>
                <w:szCs w:val="21"/>
              </w:rPr>
              <w:t>管网、消防站。</w:t>
            </w:r>
          </w:p>
        </w:tc>
      </w:tr>
      <w:tr w14:paraId="7D5AE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top"/>
          </w:tcPr>
          <w:p w14:paraId="7BA54120">
            <w:pPr>
              <w:ind w:firstLine="420" w:firstLineChars="200"/>
              <w:rPr>
                <w:rFonts w:hint="default" w:ascii="Times New Roman" w:hAnsi="Times New Roman" w:eastAsia="宋体" w:cs="Times New Roman"/>
                <w:b w:val="0"/>
                <w:bCs w:val="0"/>
                <w:sz w:val="21"/>
                <w:szCs w:val="21"/>
              </w:rPr>
            </w:pPr>
          </w:p>
        </w:tc>
        <w:tc>
          <w:tcPr>
            <w:tcW w:w="858" w:type="dxa"/>
            <w:tcBorders>
              <w:top w:val="single" w:color="auto" w:sz="4" w:space="0"/>
              <w:bottom w:val="single" w:color="auto" w:sz="4" w:space="0"/>
              <w:right w:val="single" w:color="auto" w:sz="4" w:space="0"/>
            </w:tcBorders>
            <w:vAlign w:val="center"/>
          </w:tcPr>
          <w:p w14:paraId="0E7D82AD">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21"/>
                <w:sz w:val="21"/>
                <w:szCs w:val="21"/>
              </w:rPr>
              <w:t>紧急个</w:t>
            </w:r>
          </w:p>
          <w:p w14:paraId="6ECA88BE">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pacing w:val="21"/>
                <w:sz w:val="21"/>
                <w:szCs w:val="21"/>
              </w:rPr>
            </w:pPr>
            <w:r>
              <w:rPr>
                <w:rFonts w:hint="default" w:ascii="Times New Roman" w:hAnsi="Times New Roman" w:eastAsia="宋体" w:cs="Times New Roman"/>
                <w:spacing w:val="22"/>
                <w:sz w:val="21"/>
                <w:szCs w:val="21"/>
              </w:rPr>
              <w:t>体处置</w:t>
            </w:r>
            <w:r>
              <w:rPr>
                <w:rFonts w:hint="default" w:ascii="Times New Roman" w:hAnsi="Times New Roman" w:eastAsia="宋体" w:cs="Times New Roman"/>
                <w:spacing w:val="3"/>
                <w:sz w:val="21"/>
                <w:szCs w:val="21"/>
              </w:rPr>
              <w:t>设施</w:t>
            </w:r>
          </w:p>
        </w:tc>
        <w:tc>
          <w:tcPr>
            <w:tcW w:w="3209" w:type="dxa"/>
            <w:tcBorders>
              <w:left w:val="single" w:color="auto" w:sz="4" w:space="0"/>
            </w:tcBorders>
            <w:vAlign w:val="center"/>
          </w:tcPr>
          <w:p w14:paraId="69C3C593">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2"/>
                <w:sz w:val="21"/>
                <w:szCs w:val="21"/>
              </w:rPr>
              <w:t>洗眼器、喷淋器、逃生器、逃生索、</w:t>
            </w:r>
            <w:r>
              <w:rPr>
                <w:rFonts w:hint="default" w:ascii="Times New Roman" w:hAnsi="Times New Roman" w:eastAsia="宋体" w:cs="Times New Roman"/>
                <w:spacing w:val="7"/>
                <w:sz w:val="21"/>
                <w:szCs w:val="21"/>
              </w:rPr>
              <w:t>应急照明等设施。</w:t>
            </w:r>
          </w:p>
        </w:tc>
        <w:tc>
          <w:tcPr>
            <w:tcW w:w="4352" w:type="dxa"/>
            <w:tcBorders>
              <w:right w:val="single" w:color="000000" w:sz="10" w:space="0"/>
            </w:tcBorders>
            <w:vAlign w:val="center"/>
          </w:tcPr>
          <w:p w14:paraId="63B7E347">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13"/>
                <w:sz w:val="21"/>
                <w:szCs w:val="21"/>
              </w:rPr>
            </w:pPr>
            <w:r>
              <w:rPr>
                <w:rFonts w:hint="default" w:ascii="Times New Roman" w:hAnsi="Times New Roman" w:eastAsia="宋体" w:cs="Times New Roman"/>
                <w:spacing w:val="14"/>
                <w:sz w:val="21"/>
                <w:szCs w:val="21"/>
              </w:rPr>
              <w:t>在站房内内、罩棚下设置应急照明灯，</w:t>
            </w:r>
            <w:r>
              <w:rPr>
                <w:rFonts w:hint="default" w:ascii="Times New Roman" w:hAnsi="Times New Roman" w:eastAsia="宋体" w:cs="Times New Roman"/>
                <w:spacing w:val="5"/>
                <w:sz w:val="21"/>
                <w:szCs w:val="21"/>
              </w:rPr>
              <w:t>采用专用蓄电池供电，可以保证连续照明</w:t>
            </w:r>
            <w:r>
              <w:rPr>
                <w:rFonts w:hint="default" w:ascii="Times New Roman" w:hAnsi="Times New Roman" w:eastAsia="宋体" w:cs="Times New Roman"/>
                <w:spacing w:val="-19"/>
                <w:sz w:val="21"/>
                <w:szCs w:val="21"/>
              </w:rPr>
              <w:t xml:space="preserve"> </w:t>
            </w:r>
            <w:r>
              <w:rPr>
                <w:rFonts w:hint="default" w:ascii="Times New Roman" w:hAnsi="Times New Roman" w:eastAsia="宋体" w:cs="Times New Roman"/>
                <w:spacing w:val="5"/>
                <w:sz w:val="21"/>
                <w:szCs w:val="21"/>
              </w:rPr>
              <w:t>1.5h。</w:t>
            </w:r>
            <w:r>
              <w:rPr>
                <w:rFonts w:hint="default" w:ascii="Times New Roman" w:hAnsi="Times New Roman" w:eastAsia="宋体" w:cs="Times New Roman"/>
                <w:spacing w:val="8"/>
                <w:sz w:val="21"/>
                <w:szCs w:val="21"/>
              </w:rPr>
              <w:t>罩棚下灯具的防护等级为</w:t>
            </w:r>
            <w:r>
              <w:rPr>
                <w:rFonts w:hint="default" w:ascii="Times New Roman" w:hAnsi="Times New Roman" w:eastAsia="宋体" w:cs="Times New Roman"/>
                <w:spacing w:val="-37"/>
                <w:sz w:val="21"/>
                <w:szCs w:val="21"/>
              </w:rPr>
              <w:t xml:space="preserve"> </w:t>
            </w:r>
            <w:r>
              <w:rPr>
                <w:rFonts w:hint="default" w:ascii="Times New Roman" w:hAnsi="Times New Roman" w:eastAsia="宋体" w:cs="Times New Roman"/>
                <w:sz w:val="21"/>
                <w:szCs w:val="21"/>
              </w:rPr>
              <w:t>IP</w:t>
            </w:r>
            <w:r>
              <w:rPr>
                <w:rFonts w:hint="default" w:ascii="Times New Roman" w:hAnsi="Times New Roman" w:eastAsia="宋体" w:cs="Times New Roman"/>
                <w:spacing w:val="8"/>
                <w:sz w:val="21"/>
                <w:szCs w:val="21"/>
              </w:rPr>
              <w:t>44。</w:t>
            </w:r>
          </w:p>
        </w:tc>
      </w:tr>
      <w:tr w14:paraId="70C95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top"/>
          </w:tcPr>
          <w:p w14:paraId="5DA553E7">
            <w:pPr>
              <w:ind w:firstLine="420" w:firstLineChars="200"/>
              <w:rPr>
                <w:rFonts w:hint="default" w:ascii="Times New Roman" w:hAnsi="Times New Roman" w:eastAsia="宋体" w:cs="Times New Roman"/>
                <w:b w:val="0"/>
                <w:bCs w:val="0"/>
                <w:sz w:val="21"/>
                <w:szCs w:val="21"/>
              </w:rPr>
            </w:pPr>
          </w:p>
        </w:tc>
        <w:tc>
          <w:tcPr>
            <w:tcW w:w="858" w:type="dxa"/>
            <w:tcBorders>
              <w:top w:val="single" w:color="auto" w:sz="4" w:space="0"/>
              <w:bottom w:val="single" w:color="auto" w:sz="4" w:space="0"/>
              <w:right w:val="single" w:color="auto" w:sz="4" w:space="0"/>
            </w:tcBorders>
            <w:vAlign w:val="center"/>
          </w:tcPr>
          <w:p w14:paraId="1428924C">
            <w:pPr>
              <w:pStyle w:val="131"/>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pacing w:val="23"/>
                <w:sz w:val="21"/>
                <w:szCs w:val="21"/>
              </w:rPr>
              <w:t>应急救</w:t>
            </w:r>
          </w:p>
          <w:p w14:paraId="335DA9D4">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eastAsia="宋体" w:cs="Times New Roman"/>
                <w:spacing w:val="21"/>
                <w:sz w:val="21"/>
                <w:szCs w:val="21"/>
              </w:rPr>
            </w:pPr>
            <w:r>
              <w:rPr>
                <w:rFonts w:hint="default" w:ascii="Times New Roman" w:hAnsi="Times New Roman" w:eastAsia="宋体" w:cs="Times New Roman"/>
                <w:spacing w:val="6"/>
                <w:sz w:val="21"/>
                <w:szCs w:val="21"/>
              </w:rPr>
              <w:t>援设施</w:t>
            </w:r>
          </w:p>
        </w:tc>
        <w:tc>
          <w:tcPr>
            <w:tcW w:w="3209" w:type="dxa"/>
            <w:tcBorders>
              <w:left w:val="single" w:color="auto" w:sz="4" w:space="0"/>
            </w:tcBorders>
            <w:vAlign w:val="center"/>
          </w:tcPr>
          <w:p w14:paraId="0E4B5EE2">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7"/>
                <w:sz w:val="21"/>
                <w:szCs w:val="21"/>
              </w:rPr>
              <w:t>堵漏、工程抢险装备、现场受伤人员医疗抢救装备</w:t>
            </w:r>
          </w:p>
        </w:tc>
        <w:tc>
          <w:tcPr>
            <w:tcW w:w="4352" w:type="dxa"/>
            <w:tcBorders>
              <w:right w:val="single" w:color="000000" w:sz="10" w:space="0"/>
            </w:tcBorders>
            <w:vAlign w:val="center"/>
          </w:tcPr>
          <w:p w14:paraId="7C81EC0D">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both"/>
              <w:textAlignment w:val="auto"/>
              <w:rPr>
                <w:rFonts w:hint="default" w:ascii="Times New Roman" w:hAnsi="Times New Roman" w:eastAsia="宋体" w:cs="Times New Roman"/>
                <w:spacing w:val="13"/>
                <w:sz w:val="21"/>
                <w:szCs w:val="21"/>
              </w:rPr>
            </w:pPr>
            <w:r>
              <w:rPr>
                <w:rFonts w:hint="default" w:ascii="Times New Roman" w:hAnsi="Times New Roman" w:eastAsia="宋体" w:cs="Times New Roman"/>
                <w:spacing w:val="7"/>
                <w:sz w:val="21"/>
                <w:szCs w:val="21"/>
              </w:rPr>
              <w:t>公司配备相应急救设施。</w:t>
            </w:r>
          </w:p>
        </w:tc>
      </w:tr>
      <w:tr w14:paraId="1C9EA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top"/>
          </w:tcPr>
          <w:p w14:paraId="5AB18135">
            <w:pPr>
              <w:ind w:firstLine="420" w:firstLineChars="200"/>
              <w:rPr>
                <w:rFonts w:hint="default" w:ascii="Times New Roman" w:hAnsi="Times New Roman" w:eastAsia="宋体" w:cs="Times New Roman"/>
                <w:b w:val="0"/>
                <w:bCs w:val="0"/>
                <w:sz w:val="21"/>
                <w:szCs w:val="21"/>
              </w:rPr>
            </w:pPr>
          </w:p>
        </w:tc>
        <w:tc>
          <w:tcPr>
            <w:tcW w:w="858" w:type="dxa"/>
            <w:tcBorders>
              <w:top w:val="single" w:color="auto" w:sz="4" w:space="0"/>
              <w:bottom w:val="single" w:color="auto" w:sz="4" w:space="0"/>
              <w:right w:val="single" w:color="auto" w:sz="4" w:space="0"/>
            </w:tcBorders>
            <w:vAlign w:val="center"/>
          </w:tcPr>
          <w:p w14:paraId="456A75E1">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pacing w:val="21"/>
                <w:sz w:val="21"/>
                <w:szCs w:val="21"/>
              </w:rPr>
            </w:pPr>
            <w:r>
              <w:rPr>
                <w:rFonts w:hint="default" w:ascii="Times New Roman" w:hAnsi="Times New Roman" w:eastAsia="宋体" w:cs="Times New Roman"/>
                <w:spacing w:val="22"/>
                <w:sz w:val="21"/>
                <w:szCs w:val="21"/>
              </w:rPr>
              <w:t>逃生避</w:t>
            </w:r>
            <w:r>
              <w:rPr>
                <w:rFonts w:hint="default" w:ascii="Times New Roman" w:hAnsi="Times New Roman" w:eastAsia="宋体" w:cs="Times New Roman"/>
                <w:spacing w:val="7"/>
                <w:sz w:val="21"/>
                <w:szCs w:val="21"/>
              </w:rPr>
              <w:t>难设施</w:t>
            </w:r>
          </w:p>
        </w:tc>
        <w:tc>
          <w:tcPr>
            <w:tcW w:w="3209" w:type="dxa"/>
            <w:tcBorders>
              <w:left w:val="single" w:color="auto" w:sz="4" w:space="0"/>
            </w:tcBorders>
            <w:vAlign w:val="center"/>
          </w:tcPr>
          <w:p w14:paraId="14717E61">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7"/>
                <w:sz w:val="21"/>
                <w:szCs w:val="21"/>
              </w:rPr>
              <w:t>逃生和避难的安全通道（梯）、安全避难所（带空气呼吸系统）、避</w:t>
            </w:r>
            <w:r>
              <w:rPr>
                <w:rFonts w:hint="default" w:ascii="Times New Roman" w:hAnsi="Times New Roman" w:eastAsia="宋体" w:cs="Times New Roman"/>
                <w:spacing w:val="6"/>
                <w:sz w:val="21"/>
                <w:szCs w:val="21"/>
              </w:rPr>
              <w:t>难信号等。</w:t>
            </w:r>
          </w:p>
        </w:tc>
        <w:tc>
          <w:tcPr>
            <w:tcW w:w="4352" w:type="dxa"/>
            <w:tcBorders>
              <w:right w:val="single" w:color="000000" w:sz="10" w:space="0"/>
            </w:tcBorders>
            <w:vAlign w:val="center"/>
          </w:tcPr>
          <w:p w14:paraId="39419321">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13"/>
                <w:sz w:val="21"/>
                <w:szCs w:val="21"/>
              </w:rPr>
            </w:pPr>
            <w:r>
              <w:rPr>
                <w:rFonts w:hint="default" w:ascii="Times New Roman" w:hAnsi="Times New Roman" w:eastAsia="宋体" w:cs="Times New Roman"/>
                <w:spacing w:val="11"/>
                <w:sz w:val="21"/>
                <w:szCs w:val="21"/>
              </w:rPr>
              <w:t>站房为一层，加油区为半敞开式布置，</w:t>
            </w:r>
            <w:r>
              <w:rPr>
                <w:rFonts w:hint="default" w:ascii="Times New Roman" w:hAnsi="Times New Roman" w:eastAsia="宋体" w:cs="Times New Roman"/>
                <w:spacing w:val="8"/>
                <w:sz w:val="21"/>
                <w:szCs w:val="21"/>
              </w:rPr>
              <w:t>一旦发生事故能迅速疏散。</w:t>
            </w:r>
          </w:p>
        </w:tc>
      </w:tr>
      <w:tr w14:paraId="2ECEF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62" w:type="dxa"/>
            <w:vMerge w:val="continue"/>
            <w:tcBorders>
              <w:left w:val="single" w:color="auto" w:sz="4" w:space="0"/>
            </w:tcBorders>
            <w:textDirection w:val="tbRlV"/>
            <w:vAlign w:val="top"/>
          </w:tcPr>
          <w:p w14:paraId="4B9ED282">
            <w:pPr>
              <w:ind w:firstLine="420" w:firstLineChars="200"/>
              <w:rPr>
                <w:rFonts w:hint="default" w:ascii="Times New Roman" w:hAnsi="Times New Roman" w:eastAsia="宋体" w:cs="Times New Roman"/>
                <w:b w:val="0"/>
                <w:bCs w:val="0"/>
                <w:sz w:val="21"/>
                <w:szCs w:val="21"/>
              </w:rPr>
            </w:pPr>
          </w:p>
        </w:tc>
        <w:tc>
          <w:tcPr>
            <w:tcW w:w="858" w:type="dxa"/>
            <w:tcBorders>
              <w:top w:val="single" w:color="auto" w:sz="4" w:space="0"/>
              <w:bottom w:val="single" w:color="auto" w:sz="4" w:space="0"/>
              <w:right w:val="single" w:color="auto" w:sz="4" w:space="0"/>
            </w:tcBorders>
            <w:vAlign w:val="center"/>
          </w:tcPr>
          <w:p w14:paraId="7657CBFF">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pacing w:val="21"/>
                <w:sz w:val="21"/>
                <w:szCs w:val="21"/>
              </w:rPr>
            </w:pPr>
            <w:r>
              <w:rPr>
                <w:rFonts w:hint="default" w:ascii="Times New Roman" w:hAnsi="Times New Roman" w:eastAsia="宋体" w:cs="Times New Roman"/>
                <w:spacing w:val="5"/>
                <w:sz w:val="21"/>
                <w:szCs w:val="21"/>
              </w:rPr>
              <w:t>劳动</w:t>
            </w:r>
            <w:r>
              <w:rPr>
                <w:rFonts w:hint="default" w:ascii="Times New Roman" w:hAnsi="Times New Roman" w:eastAsia="宋体" w:cs="Times New Roman"/>
                <w:spacing w:val="-53"/>
                <w:sz w:val="21"/>
                <w:szCs w:val="21"/>
              </w:rPr>
              <w:t xml:space="preserve"> </w:t>
            </w:r>
            <w:r>
              <w:rPr>
                <w:rFonts w:hint="default" w:ascii="Times New Roman" w:hAnsi="Times New Roman" w:eastAsia="宋体" w:cs="Times New Roman"/>
                <w:spacing w:val="5"/>
                <w:sz w:val="21"/>
                <w:szCs w:val="21"/>
              </w:rPr>
              <w:t>防</w:t>
            </w:r>
            <w:r>
              <w:rPr>
                <w:rFonts w:hint="default" w:ascii="Times New Roman" w:hAnsi="Times New Roman" w:eastAsia="宋体" w:cs="Times New Roman"/>
                <w:spacing w:val="22"/>
                <w:sz w:val="21"/>
                <w:szCs w:val="21"/>
              </w:rPr>
              <w:t>护用品</w:t>
            </w:r>
            <w:r>
              <w:rPr>
                <w:rFonts w:hint="default" w:ascii="Times New Roman" w:hAnsi="Times New Roman" w:eastAsia="宋体" w:cs="Times New Roman"/>
                <w:spacing w:val="6"/>
                <w:sz w:val="21"/>
                <w:szCs w:val="21"/>
              </w:rPr>
              <w:t>和装备</w:t>
            </w:r>
          </w:p>
        </w:tc>
        <w:tc>
          <w:tcPr>
            <w:tcW w:w="3209" w:type="dxa"/>
            <w:tcBorders>
              <w:left w:val="single" w:color="auto" w:sz="4" w:space="0"/>
            </w:tcBorders>
            <w:vAlign w:val="center"/>
          </w:tcPr>
          <w:p w14:paraId="6CFFB2D6">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6"/>
                <w:sz w:val="21"/>
                <w:szCs w:val="21"/>
              </w:rPr>
            </w:pPr>
            <w:r>
              <w:rPr>
                <w:rFonts w:hint="default" w:ascii="Times New Roman" w:hAnsi="Times New Roman" w:eastAsia="宋体" w:cs="Times New Roman"/>
                <w:spacing w:val="7"/>
                <w:sz w:val="21"/>
                <w:szCs w:val="21"/>
              </w:rPr>
              <w:t>包括头部，面部，视觉、呼吸、听</w:t>
            </w:r>
            <w:r>
              <w:rPr>
                <w:rFonts w:hint="default" w:ascii="Times New Roman" w:hAnsi="Times New Roman" w:eastAsia="宋体" w:cs="Times New Roman"/>
                <w:spacing w:val="10"/>
                <w:sz w:val="21"/>
                <w:szCs w:val="21"/>
              </w:rPr>
              <w:t>觉器官，四肢，躯干防火、防毒、</w:t>
            </w:r>
            <w:r>
              <w:rPr>
                <w:rFonts w:hint="default" w:ascii="Times New Roman" w:hAnsi="Times New Roman" w:eastAsia="宋体" w:cs="Times New Roman"/>
                <w:spacing w:val="-2"/>
                <w:sz w:val="21"/>
                <w:szCs w:val="21"/>
              </w:rPr>
              <w:t>防灼烫、防腐蚀、防噪声、防光射、</w:t>
            </w:r>
            <w:r>
              <w:rPr>
                <w:rFonts w:hint="default" w:ascii="Times New Roman" w:hAnsi="Times New Roman" w:eastAsia="宋体" w:cs="Times New Roman"/>
                <w:spacing w:val="6"/>
                <w:sz w:val="21"/>
                <w:szCs w:val="21"/>
              </w:rPr>
              <w:t>防高处坠落、防砸击、防刺伤等免受作业场所物理、化学因素伤害的</w:t>
            </w:r>
            <w:r>
              <w:rPr>
                <w:rFonts w:hint="default" w:ascii="Times New Roman" w:hAnsi="Times New Roman" w:eastAsia="宋体" w:cs="Times New Roman"/>
                <w:spacing w:val="7"/>
                <w:sz w:val="21"/>
                <w:szCs w:val="21"/>
              </w:rPr>
              <w:t>劳动防护用品和装备。</w:t>
            </w:r>
          </w:p>
        </w:tc>
        <w:tc>
          <w:tcPr>
            <w:tcW w:w="4352" w:type="dxa"/>
            <w:tcBorders>
              <w:right w:val="single" w:color="000000" w:sz="10" w:space="0"/>
            </w:tcBorders>
            <w:vAlign w:val="center"/>
          </w:tcPr>
          <w:p w14:paraId="27E66F4E">
            <w:pPr>
              <w:pStyle w:val="13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Times New Roman" w:hAnsi="Times New Roman" w:eastAsia="宋体" w:cs="Times New Roman"/>
                <w:spacing w:val="13"/>
                <w:sz w:val="21"/>
                <w:szCs w:val="21"/>
              </w:rPr>
            </w:pPr>
            <w:r>
              <w:rPr>
                <w:rFonts w:hint="default" w:ascii="Times New Roman" w:hAnsi="Times New Roman" w:eastAsia="宋体" w:cs="Times New Roman"/>
                <w:spacing w:val="12"/>
                <w:sz w:val="21"/>
                <w:szCs w:val="21"/>
              </w:rPr>
              <w:t>配备必要的劳动防护用品，如防静电工作服、</w:t>
            </w:r>
            <w:r>
              <w:rPr>
                <w:rFonts w:hint="default" w:ascii="Times New Roman" w:hAnsi="Times New Roman" w:eastAsia="宋体" w:cs="Times New Roman"/>
                <w:spacing w:val="5"/>
                <w:sz w:val="21"/>
                <w:szCs w:val="21"/>
              </w:rPr>
              <w:t>防静电工作鞋等。</w:t>
            </w:r>
          </w:p>
        </w:tc>
      </w:tr>
    </w:tbl>
    <w:p w14:paraId="2B34110B">
      <w:pPr>
        <w:keepNext w:val="0"/>
        <w:keepLines w:val="0"/>
        <w:pageBreakBefore w:val="0"/>
        <w:widowControl w:val="0"/>
        <w:kinsoku/>
        <w:wordWrap/>
        <w:overflowPunct/>
        <w:topLinePunct w:val="0"/>
        <w:autoSpaceDE/>
        <w:autoSpaceDN/>
        <w:bidi w:val="0"/>
        <w:adjustRightInd w:val="0"/>
        <w:snapToGrid w:val="0"/>
        <w:spacing w:before="157" w:beforeLines="50"/>
        <w:ind w:firstLine="560"/>
        <w:textAlignment w:val="auto"/>
        <w:rPr>
          <w:rFonts w:ascii="Times New Roman" w:hAnsi="Times New Roman" w:eastAsia="宋体"/>
        </w:rPr>
      </w:pPr>
      <w:r>
        <w:rPr>
          <w:rFonts w:ascii="Times New Roman" w:hAnsi="Times New Roman" w:eastAsia="宋体"/>
        </w:rPr>
        <w:t>（2）借鉴国内外同类建设项目所采取（用）的安全设施</w:t>
      </w:r>
    </w:p>
    <w:p w14:paraId="077E8CC5">
      <w:pPr>
        <w:ind w:firstLine="560"/>
        <w:rPr>
          <w:rFonts w:ascii="Times New Roman" w:hAnsi="Times New Roman" w:eastAsia="宋体"/>
        </w:rPr>
      </w:pPr>
      <w:r>
        <w:rPr>
          <w:rFonts w:ascii="Times New Roman" w:hAnsi="Times New Roman" w:eastAsia="宋体"/>
        </w:rPr>
        <w:t>目前，国内外加油站主要采用的工艺大多为密闭卸油、</w:t>
      </w:r>
      <w:r>
        <w:rPr>
          <w:rFonts w:hint="eastAsia" w:ascii="Times New Roman" w:hAnsi="Times New Roman" w:eastAsia="宋体"/>
        </w:rPr>
        <w:t>潜油泵</w:t>
      </w:r>
      <w:r>
        <w:rPr>
          <w:rFonts w:hint="eastAsia" w:ascii="Times New Roman" w:hAnsi="Times New Roman" w:eastAsia="宋体"/>
          <w:lang w:val="en-US" w:eastAsia="zh-CN"/>
        </w:rPr>
        <w:t>式</w:t>
      </w:r>
      <w:r>
        <w:rPr>
          <w:rFonts w:hint="eastAsia" w:ascii="Times New Roman" w:hAnsi="Times New Roman" w:eastAsia="宋体"/>
          <w:lang w:eastAsia="zh-CN"/>
        </w:rPr>
        <w:t>、</w:t>
      </w:r>
      <w:r>
        <w:rPr>
          <w:rFonts w:hint="eastAsia" w:ascii="Times New Roman" w:hAnsi="Times New Roman" w:eastAsia="宋体"/>
          <w:lang w:val="en-US" w:eastAsia="zh-CN"/>
        </w:rPr>
        <w:t>自吸</w:t>
      </w:r>
      <w:r>
        <w:rPr>
          <w:rFonts w:ascii="Times New Roman" w:hAnsi="Times New Roman" w:eastAsia="宋体"/>
        </w:rPr>
        <w:t>式加油工艺、SF型双层埋地储油罐，本项目与同类项目相比，采取的安全设施齐全，较为先进。</w:t>
      </w:r>
    </w:p>
    <w:p w14:paraId="1CEB16C5">
      <w:pPr>
        <w:ind w:firstLine="560"/>
        <w:rPr>
          <w:rFonts w:ascii="Times New Roman" w:hAnsi="Times New Roman" w:eastAsia="宋体"/>
        </w:rPr>
      </w:pPr>
      <w:r>
        <w:rPr>
          <w:rFonts w:ascii="Times New Roman" w:hAnsi="Times New Roman" w:eastAsia="宋体"/>
        </w:rPr>
        <w:t>（3）未采取（用）设计的安全设施</w:t>
      </w:r>
    </w:p>
    <w:p w14:paraId="176D860A">
      <w:pPr>
        <w:ind w:firstLine="560"/>
        <w:rPr>
          <w:rFonts w:ascii="Times New Roman" w:hAnsi="Times New Roman" w:eastAsia="宋体"/>
        </w:rPr>
      </w:pPr>
      <w:r>
        <w:rPr>
          <w:rFonts w:hint="eastAsia" w:ascii="Times New Roman" w:hAnsi="Times New Roman" w:eastAsia="宋体"/>
        </w:rPr>
        <w:t>本</w:t>
      </w:r>
      <w:r>
        <w:rPr>
          <w:rFonts w:ascii="Times New Roman" w:hAnsi="Times New Roman" w:eastAsia="宋体"/>
        </w:rPr>
        <w:t>项目的施工全部采纳了安全设施设计专篇提出的要求，安全设施设置较为完善，安全状态良好，需要检验检测的安全设施经检验检测合格，处于有效期内。</w:t>
      </w:r>
    </w:p>
    <w:p w14:paraId="16E798D1">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6.3.2安全生产管理情况</w:t>
      </w:r>
    </w:p>
    <w:p w14:paraId="4DDE51A2">
      <w:pPr>
        <w:ind w:firstLine="560"/>
        <w:rPr>
          <w:rFonts w:ascii="Times New Roman" w:hAnsi="Times New Roman" w:eastAsia="宋体"/>
        </w:rPr>
      </w:pPr>
      <w:r>
        <w:rPr>
          <w:rFonts w:ascii="Times New Roman" w:hAnsi="Times New Roman" w:eastAsia="宋体"/>
        </w:rPr>
        <w:t>（1）安全生产责任制的建立和执行情况</w:t>
      </w:r>
    </w:p>
    <w:p w14:paraId="64EE9E2C">
      <w:pPr>
        <w:ind w:firstLine="560"/>
        <w:rPr>
          <w:rFonts w:ascii="Times New Roman" w:hAnsi="Times New Roman" w:eastAsia="宋体"/>
        </w:rPr>
      </w:pPr>
      <w:r>
        <w:rPr>
          <w:rFonts w:ascii="Times New Roman" w:hAnsi="Times New Roman" w:eastAsia="宋体"/>
        </w:rPr>
        <w:t>站内建立了主要负责人、安全管理人员、岗位安全责任制度，并组织相关人员进行学习。通过现场询问相关人员，本项目各岗位人员熟知自己的安全职责。</w:t>
      </w:r>
    </w:p>
    <w:p w14:paraId="3136F486">
      <w:pPr>
        <w:ind w:firstLine="560"/>
        <w:rPr>
          <w:rFonts w:ascii="Times New Roman" w:hAnsi="Times New Roman" w:eastAsia="宋体"/>
        </w:rPr>
      </w:pPr>
      <w:r>
        <w:rPr>
          <w:rFonts w:ascii="Times New Roman" w:hAnsi="Times New Roman" w:eastAsia="宋体"/>
        </w:rPr>
        <w:t>（2）安全生产管理制度的制定和执行情况</w:t>
      </w:r>
    </w:p>
    <w:p w14:paraId="244F79CB">
      <w:pPr>
        <w:ind w:firstLine="560"/>
        <w:rPr>
          <w:rFonts w:ascii="Times New Roman" w:hAnsi="Times New Roman" w:eastAsia="宋体"/>
        </w:rPr>
      </w:pPr>
      <w:r>
        <w:rPr>
          <w:rFonts w:ascii="Times New Roman" w:hAnsi="Times New Roman" w:eastAsia="宋体"/>
        </w:rPr>
        <w:t>站内针对运营特点并按照国家相应的法律、标准和规范要求，制订了安全生产管理制度，并贯彻执行，使工作人员熟悉掌握各项安全生产管理制度。通过现场询问及调查了解，</w:t>
      </w:r>
      <w:r>
        <w:rPr>
          <w:rFonts w:hint="eastAsia" w:ascii="Times New Roman" w:hAnsi="Times New Roman" w:eastAsia="宋体"/>
        </w:rPr>
        <w:t>本</w:t>
      </w:r>
      <w:r>
        <w:rPr>
          <w:rFonts w:ascii="Times New Roman" w:hAnsi="Times New Roman" w:eastAsia="宋体"/>
        </w:rPr>
        <w:t>项目的人员熟知本单位的各项安全管理制度。</w:t>
      </w:r>
    </w:p>
    <w:p w14:paraId="180034AB">
      <w:pPr>
        <w:ind w:firstLine="560"/>
        <w:rPr>
          <w:rFonts w:ascii="Times New Roman" w:hAnsi="Times New Roman" w:eastAsia="宋体"/>
        </w:rPr>
      </w:pPr>
      <w:r>
        <w:rPr>
          <w:rFonts w:ascii="Times New Roman" w:hAnsi="Times New Roman" w:eastAsia="宋体"/>
        </w:rPr>
        <w:t>（3）安全技术规程和作业安全规程的制定和执行情况</w:t>
      </w:r>
    </w:p>
    <w:p w14:paraId="5AF14861">
      <w:pPr>
        <w:ind w:firstLine="560"/>
        <w:rPr>
          <w:rFonts w:ascii="Times New Roman" w:hAnsi="Times New Roman" w:eastAsia="宋体"/>
        </w:rPr>
      </w:pPr>
      <w:r>
        <w:rPr>
          <w:rFonts w:ascii="Times New Roman" w:hAnsi="Times New Roman" w:eastAsia="宋体"/>
        </w:rPr>
        <w:t>站内针对危险作业岗位，如加油、卸油和计量作业，制订了安全技术规程，并集中对各岗位人员按照操作规程要求，采用理论培训和模拟操作的形式进行反复培训，通过现场询问及调查了解，岗位人员熟练掌握本岗位操作技能，熟记本岗位生产操作规程和作业规程，能够达到正常生产操作，并熟知异常情况的紧急处理措施，并对储存经营过程中的危险有害因素有深刻的认识，能够掌握本岗位的灭火、自救常识。</w:t>
      </w:r>
    </w:p>
    <w:p w14:paraId="75729D48">
      <w:pPr>
        <w:ind w:firstLine="560"/>
        <w:rPr>
          <w:rFonts w:ascii="Times New Roman" w:hAnsi="Times New Roman" w:eastAsia="宋体"/>
        </w:rPr>
      </w:pPr>
      <w:r>
        <w:rPr>
          <w:rFonts w:ascii="Times New Roman" w:hAnsi="Times New Roman" w:eastAsia="宋体"/>
        </w:rPr>
        <w:t>（4）安全生产管理机构的设置和专职安全生产管理人员的配备情况</w:t>
      </w:r>
    </w:p>
    <w:p w14:paraId="4908D083">
      <w:pPr>
        <w:ind w:firstLine="560"/>
        <w:rPr>
          <w:rFonts w:ascii="Times New Roman" w:hAnsi="Times New Roman" w:eastAsia="宋体"/>
        </w:rPr>
      </w:pPr>
      <w:r>
        <w:rPr>
          <w:rFonts w:ascii="Times New Roman" w:hAnsi="Times New Roman" w:eastAsia="宋体"/>
        </w:rPr>
        <w:t>站内成立了安全管理领导小组，有专职安全管理人员。</w:t>
      </w:r>
    </w:p>
    <w:p w14:paraId="72340715">
      <w:pPr>
        <w:ind w:firstLine="560"/>
        <w:rPr>
          <w:rFonts w:ascii="Times New Roman" w:hAnsi="Times New Roman" w:eastAsia="宋体"/>
        </w:rPr>
      </w:pPr>
      <w:r>
        <w:rPr>
          <w:rFonts w:ascii="Times New Roman" w:hAnsi="Times New Roman" w:eastAsia="宋体"/>
        </w:rPr>
        <w:t>（5）主要负责人和安全管理人员管理能力</w:t>
      </w:r>
    </w:p>
    <w:p w14:paraId="51009422">
      <w:pPr>
        <w:ind w:firstLine="560"/>
        <w:rPr>
          <w:rFonts w:ascii="Times New Roman" w:hAnsi="Times New Roman" w:eastAsia="宋体"/>
        </w:rPr>
      </w:pPr>
      <w:r>
        <w:rPr>
          <w:rFonts w:ascii="Times New Roman" w:hAnsi="Times New Roman" w:eastAsia="宋体"/>
        </w:rPr>
        <w:t>站内主要负责人、安全生产管理人员取得了相应的考核合格证（安全生产知识和管理能力），具有一定的管理能力和安全素养。通过现场询问及调查了解，他们熟悉国家相关的法律、法规，具有良好的管理能力和素质，能够保证安全有效运行。</w:t>
      </w:r>
    </w:p>
    <w:p w14:paraId="1E3FBE96">
      <w:pPr>
        <w:ind w:firstLine="560"/>
        <w:rPr>
          <w:rFonts w:ascii="Times New Roman" w:hAnsi="Times New Roman" w:eastAsia="宋体"/>
        </w:rPr>
      </w:pPr>
      <w:r>
        <w:rPr>
          <w:rFonts w:ascii="Times New Roman" w:hAnsi="Times New Roman" w:eastAsia="宋体"/>
        </w:rPr>
        <w:t>（6）其他从业人员掌握安全知识、专业技术和应急救援知识的情况</w:t>
      </w:r>
    </w:p>
    <w:p w14:paraId="0E7F38FE">
      <w:pPr>
        <w:ind w:firstLine="560"/>
        <w:rPr>
          <w:rFonts w:ascii="Times New Roman" w:hAnsi="Times New Roman" w:eastAsia="宋体"/>
        </w:rPr>
      </w:pPr>
      <w:r>
        <w:rPr>
          <w:rFonts w:ascii="Times New Roman" w:hAnsi="Times New Roman" w:eastAsia="宋体"/>
        </w:rPr>
        <w:t>站内其他从业人员均经安全教育培训，具有本岗位的安全知识、专业技术应急救援知识。经调查了解得知，他们了解国家相关的法律、法规，熟悉本岗位安全经营知识，掌握本岗位的专业技能。并参加加油站组织的安全教育培训，不断加强安全管理及安全经营方面的知识学习。</w:t>
      </w:r>
    </w:p>
    <w:p w14:paraId="41BA1A1A">
      <w:pPr>
        <w:ind w:firstLine="560"/>
        <w:rPr>
          <w:rFonts w:ascii="Times New Roman" w:hAnsi="Times New Roman" w:eastAsia="宋体"/>
        </w:rPr>
      </w:pPr>
      <w:r>
        <w:rPr>
          <w:rFonts w:ascii="Times New Roman" w:hAnsi="Times New Roman" w:eastAsia="宋体"/>
        </w:rPr>
        <w:t>（7）安全投入的情况</w:t>
      </w:r>
    </w:p>
    <w:p w14:paraId="1B882945">
      <w:pPr>
        <w:ind w:firstLine="560"/>
        <w:rPr>
          <w:rFonts w:ascii="Times New Roman" w:hAnsi="Times New Roman" w:eastAsia="宋体"/>
        </w:rPr>
      </w:pPr>
      <w:r>
        <w:rPr>
          <w:rFonts w:ascii="Times New Roman" w:hAnsi="Times New Roman" w:eastAsia="宋体"/>
        </w:rPr>
        <w:t>本</w:t>
      </w:r>
      <w:r>
        <w:rPr>
          <w:rFonts w:ascii="Times New Roman" w:hAnsi="Times New Roman" w:eastAsia="宋体"/>
          <w:highlight w:val="none"/>
        </w:rPr>
        <w:t>项目安全投入费用为</w:t>
      </w:r>
      <w:r>
        <w:rPr>
          <w:rFonts w:hint="eastAsia" w:ascii="Times New Roman" w:hAnsi="Times New Roman" w:eastAsia="宋体"/>
          <w:highlight w:val="none"/>
          <w:lang w:val="en-US" w:eastAsia="zh-CN"/>
        </w:rPr>
        <w:t>2.5</w:t>
      </w:r>
      <w:r>
        <w:rPr>
          <w:rFonts w:ascii="Times New Roman" w:hAnsi="Times New Roman" w:eastAsia="宋体"/>
          <w:highlight w:val="none"/>
        </w:rPr>
        <w:t>万元，占比项目投资</w:t>
      </w:r>
      <w:r>
        <w:rPr>
          <w:rFonts w:hint="eastAsia" w:ascii="Times New Roman" w:hAnsi="Times New Roman" w:eastAsia="宋体"/>
          <w:highlight w:val="none"/>
          <w:lang w:val="en-US" w:eastAsia="zh-CN"/>
        </w:rPr>
        <w:t>8.3</w:t>
      </w:r>
      <w:r>
        <w:rPr>
          <w:rFonts w:ascii="Times New Roman" w:hAnsi="Times New Roman" w:eastAsia="宋体"/>
          <w:highlight w:val="none"/>
        </w:rPr>
        <w:t>%，其</w:t>
      </w:r>
      <w:r>
        <w:rPr>
          <w:rFonts w:ascii="Times New Roman" w:hAnsi="Times New Roman" w:eastAsia="宋体"/>
        </w:rPr>
        <w:t>中一部分用于人员培训，一部分用于检测检验设施，一部分用于消防器材、避雷、防静电设施、安全报警设备设施的建设，一部分用于劳动防护用品的购买等。</w:t>
      </w:r>
    </w:p>
    <w:p w14:paraId="51A3FD07">
      <w:pPr>
        <w:ind w:firstLine="560"/>
        <w:rPr>
          <w:rFonts w:ascii="Times New Roman" w:hAnsi="Times New Roman" w:eastAsia="宋体"/>
        </w:rPr>
      </w:pPr>
      <w:r>
        <w:rPr>
          <w:rFonts w:ascii="Times New Roman" w:hAnsi="Times New Roman" w:eastAsia="宋体"/>
        </w:rPr>
        <w:t>（8）安全生产的检查情况</w:t>
      </w:r>
    </w:p>
    <w:p w14:paraId="1B2EE1E4">
      <w:pPr>
        <w:ind w:firstLine="560"/>
        <w:rPr>
          <w:rFonts w:ascii="Times New Roman" w:hAnsi="Times New Roman" w:eastAsia="宋体"/>
        </w:rPr>
      </w:pPr>
      <w:r>
        <w:rPr>
          <w:rFonts w:ascii="Times New Roman" w:hAnsi="Times New Roman" w:eastAsia="宋体"/>
        </w:rPr>
        <w:t>本项目制定了安全风险管理制度，包括：加油站卸油、加油前安全条件检查。根据安全经营检查的规定，如期进行了检查，并形成了安全记录，对在检查中发现的问题提出了整改的意见和要求，及时跟踪整改情况，安全检查能够有效实施，起到了良好的监督和促进的作用。</w:t>
      </w:r>
    </w:p>
    <w:p w14:paraId="709CB454">
      <w:pPr>
        <w:ind w:firstLine="560"/>
        <w:rPr>
          <w:rFonts w:ascii="Times New Roman" w:hAnsi="Times New Roman" w:eastAsia="宋体"/>
        </w:rPr>
      </w:pPr>
      <w:r>
        <w:rPr>
          <w:rFonts w:ascii="Times New Roman" w:hAnsi="Times New Roman" w:eastAsia="宋体"/>
        </w:rPr>
        <w:t>（9）重大危险源的辨识和已确定的重大危险源检测、评估和监控情况</w:t>
      </w:r>
    </w:p>
    <w:p w14:paraId="46BEE5D0">
      <w:pPr>
        <w:ind w:firstLine="560"/>
        <w:rPr>
          <w:rFonts w:ascii="Times New Roman" w:hAnsi="Times New Roman" w:eastAsia="宋体"/>
        </w:rPr>
      </w:pPr>
      <w:r>
        <w:rPr>
          <w:rFonts w:ascii="Times New Roman" w:hAnsi="Times New Roman" w:eastAsia="宋体"/>
        </w:rPr>
        <w:t>本项目未构成危险化学品重大危险源，具体辨识过程详见附件F3.4。</w:t>
      </w:r>
    </w:p>
    <w:p w14:paraId="24833A99">
      <w:pPr>
        <w:ind w:firstLine="560"/>
        <w:rPr>
          <w:rFonts w:ascii="Times New Roman" w:hAnsi="Times New Roman" w:eastAsia="宋体"/>
        </w:rPr>
      </w:pPr>
      <w:r>
        <w:rPr>
          <w:rFonts w:ascii="Times New Roman" w:hAnsi="Times New Roman" w:eastAsia="宋体"/>
        </w:rPr>
        <w:t>（10）从业人员劳动防护用品的配备及检修、维护和法定检验、检测情况</w:t>
      </w:r>
    </w:p>
    <w:p w14:paraId="596BD7D9">
      <w:pPr>
        <w:ind w:firstLine="560"/>
        <w:rPr>
          <w:rFonts w:ascii="Times New Roman" w:hAnsi="Times New Roman" w:eastAsia="宋体"/>
        </w:rPr>
      </w:pPr>
      <w:r>
        <w:rPr>
          <w:rFonts w:ascii="Times New Roman" w:hAnsi="Times New Roman" w:eastAsia="宋体"/>
        </w:rPr>
        <w:t>站内依据国家有关规定及相关岗位要求，为从业人员配备了工作服、手套、工作鞋等劳动保护用品，定期对从业人员的劳动防护用品进行</w:t>
      </w:r>
      <w:r>
        <w:rPr>
          <w:rFonts w:hint="eastAsia" w:ascii="Times New Roman" w:hAnsi="Times New Roman" w:eastAsia="宋体"/>
        </w:rPr>
        <w:t>更换</w:t>
      </w:r>
      <w:r>
        <w:rPr>
          <w:rFonts w:ascii="Times New Roman" w:hAnsi="Times New Roman" w:eastAsia="宋体"/>
        </w:rPr>
        <w:t>。并做了定期发放、监督佩戴的规定。对需要检验的劳动防护用品已进行检测。</w:t>
      </w:r>
    </w:p>
    <w:p w14:paraId="194478A0">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6.3.3技术、工艺情况分析</w:t>
      </w:r>
    </w:p>
    <w:p w14:paraId="72D44EF7">
      <w:pPr>
        <w:ind w:firstLine="560"/>
        <w:rPr>
          <w:rFonts w:ascii="Times New Roman" w:hAnsi="Times New Roman" w:eastAsia="宋体"/>
        </w:rPr>
      </w:pPr>
      <w:r>
        <w:rPr>
          <w:rFonts w:ascii="Times New Roman" w:hAnsi="Times New Roman" w:eastAsia="宋体"/>
        </w:rPr>
        <w:t>（1）建设项目试运</w:t>
      </w:r>
      <w:r>
        <w:rPr>
          <w:rFonts w:hint="eastAsia" w:ascii="Times New Roman" w:hAnsi="Times New Roman" w:eastAsia="宋体"/>
        </w:rPr>
        <w:t>行</w:t>
      </w:r>
      <w:r>
        <w:rPr>
          <w:rFonts w:ascii="Times New Roman" w:hAnsi="Times New Roman" w:eastAsia="宋体"/>
        </w:rPr>
        <w:t>的情况</w:t>
      </w:r>
    </w:p>
    <w:p w14:paraId="55E64673">
      <w:pPr>
        <w:ind w:firstLine="560"/>
        <w:rPr>
          <w:rFonts w:ascii="Times New Roman" w:hAnsi="Times New Roman" w:eastAsia="宋体"/>
          <w:color w:val="EE0000"/>
        </w:rPr>
      </w:pPr>
      <w:r>
        <w:rPr>
          <w:rFonts w:ascii="Times New Roman" w:hAnsi="Times New Roman" w:eastAsia="宋体"/>
        </w:rPr>
        <w:t>站内从人员组织、职工培训、安全管理、经营设备</w:t>
      </w:r>
      <w:r>
        <w:rPr>
          <w:rFonts w:hint="eastAsia" w:ascii="Times New Roman" w:hAnsi="Times New Roman" w:eastAsia="宋体"/>
        </w:rPr>
        <w:t>等</w:t>
      </w:r>
      <w:r>
        <w:rPr>
          <w:rFonts w:ascii="Times New Roman" w:hAnsi="Times New Roman" w:eastAsia="宋体"/>
        </w:rPr>
        <w:t>调试</w:t>
      </w:r>
      <w:r>
        <w:rPr>
          <w:rFonts w:hint="eastAsia" w:ascii="Times New Roman" w:hAnsi="Times New Roman" w:eastAsia="宋体"/>
        </w:rPr>
        <w:t>、</w:t>
      </w:r>
      <w:r>
        <w:rPr>
          <w:rFonts w:ascii="Times New Roman" w:hAnsi="Times New Roman" w:eastAsia="宋体"/>
        </w:rPr>
        <w:t>公用工程和应急预案等方面做了充分的准备，按操作规程进行试操作，对油罐液位监测系统、</w:t>
      </w:r>
      <w:r>
        <w:rPr>
          <w:rFonts w:hint="eastAsia" w:ascii="Times New Roman" w:hAnsi="Times New Roman" w:eastAsia="宋体"/>
        </w:rPr>
        <w:t>油罐</w:t>
      </w:r>
      <w:r>
        <w:rPr>
          <w:rFonts w:ascii="Times New Roman" w:hAnsi="Times New Roman" w:eastAsia="宋体"/>
        </w:rPr>
        <w:t>防渗检测系统</w:t>
      </w:r>
      <w:r>
        <w:rPr>
          <w:rFonts w:hint="eastAsia" w:ascii="Times New Roman" w:hAnsi="Times New Roman" w:eastAsia="宋体"/>
        </w:rPr>
        <w:t>、双层管道防渗检测系统</w:t>
      </w:r>
      <w:r>
        <w:rPr>
          <w:rFonts w:ascii="Times New Roman" w:hAnsi="Times New Roman" w:eastAsia="宋体"/>
        </w:rPr>
        <w:t>及</w:t>
      </w:r>
      <w:r>
        <w:rPr>
          <w:rFonts w:hint="eastAsia" w:ascii="Times New Roman" w:hAnsi="Times New Roman" w:eastAsia="宋体"/>
        </w:rPr>
        <w:t>其他</w:t>
      </w:r>
      <w:r>
        <w:rPr>
          <w:rFonts w:ascii="Times New Roman" w:hAnsi="Times New Roman" w:eastAsia="宋体"/>
        </w:rPr>
        <w:t>安全设施</w:t>
      </w:r>
      <w:r>
        <w:rPr>
          <w:rFonts w:hint="eastAsia" w:ascii="Times New Roman" w:hAnsi="Times New Roman" w:eastAsia="宋体"/>
        </w:rPr>
        <w:t>等</w:t>
      </w:r>
      <w:r>
        <w:rPr>
          <w:rFonts w:ascii="Times New Roman" w:hAnsi="Times New Roman" w:eastAsia="宋体"/>
        </w:rPr>
        <w:t>进行试运行，试</w:t>
      </w:r>
      <w:r>
        <w:rPr>
          <w:rFonts w:hint="eastAsia" w:ascii="Times New Roman" w:hAnsi="Times New Roman" w:eastAsia="宋体"/>
        </w:rPr>
        <w:t>运行</w:t>
      </w:r>
      <w:r>
        <w:rPr>
          <w:rFonts w:ascii="Times New Roman" w:hAnsi="Times New Roman" w:eastAsia="宋体"/>
        </w:rPr>
        <w:t>过程持续稳定。</w:t>
      </w:r>
    </w:p>
    <w:p w14:paraId="7E299931">
      <w:pPr>
        <w:ind w:firstLine="560"/>
        <w:rPr>
          <w:rFonts w:ascii="Times New Roman" w:hAnsi="Times New Roman" w:eastAsia="宋体"/>
        </w:rPr>
      </w:pPr>
      <w:r>
        <w:rPr>
          <w:rFonts w:ascii="Times New Roman" w:hAnsi="Times New Roman" w:eastAsia="宋体"/>
        </w:rPr>
        <w:t>（2）经营、储存过程控制系统及安全联锁系统等运行情况</w:t>
      </w:r>
    </w:p>
    <w:p w14:paraId="1CE6F0D4">
      <w:pPr>
        <w:ind w:firstLine="560"/>
        <w:rPr>
          <w:rFonts w:ascii="Times New Roman" w:hAnsi="Times New Roman" w:eastAsia="宋体"/>
        </w:rPr>
      </w:pPr>
      <w:r>
        <w:rPr>
          <w:rFonts w:ascii="Times New Roman" w:hAnsi="Times New Roman" w:eastAsia="宋体"/>
        </w:rPr>
        <w:t>站内不构成重大危险源，储存经营的危险化学品为车用乙醇汽油、柴油，采用工艺技术成熟可靠。</w:t>
      </w:r>
    </w:p>
    <w:p w14:paraId="62B1AA96">
      <w:pPr>
        <w:ind w:firstLine="560"/>
        <w:rPr>
          <w:rFonts w:ascii="Times New Roman" w:hAnsi="Times New Roman" w:eastAsia="宋体"/>
        </w:rPr>
      </w:pPr>
      <w:r>
        <w:rPr>
          <w:rFonts w:ascii="Times New Roman" w:hAnsi="Times New Roman" w:eastAsia="宋体"/>
        </w:rPr>
        <w:t>站内设置液位仪和液位远传系统的联锁装置，设置防渗漏检测装置，采取防满溢措施，采用磁致伸缩液位计和机械式卸油防溢阀。</w:t>
      </w:r>
    </w:p>
    <w:p w14:paraId="54EA37D3">
      <w:pPr>
        <w:ind w:firstLine="560"/>
        <w:rPr>
          <w:rFonts w:ascii="Times New Roman" w:hAnsi="Times New Roman" w:eastAsia="宋体"/>
        </w:rPr>
      </w:pPr>
      <w:r>
        <w:rPr>
          <w:rFonts w:ascii="Times New Roman" w:hAnsi="Times New Roman" w:eastAsia="宋体"/>
        </w:rPr>
        <w:t>站内设置紧急切断系统，该系统能在事故状态下迅速切断加油泵电源，具有失效保护功能。</w:t>
      </w:r>
    </w:p>
    <w:p w14:paraId="386C72BE">
      <w:pPr>
        <w:keepNext/>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6.3.4装置、设备、设施的施工、检验、检测情况</w:t>
      </w:r>
    </w:p>
    <w:p w14:paraId="337ABBBD">
      <w:pPr>
        <w:ind w:firstLine="560"/>
        <w:rPr>
          <w:rFonts w:ascii="Times New Roman" w:hAnsi="Times New Roman" w:eastAsia="宋体"/>
        </w:rPr>
      </w:pPr>
      <w:r>
        <w:rPr>
          <w:rFonts w:ascii="Times New Roman" w:hAnsi="Times New Roman" w:eastAsia="宋体"/>
        </w:rPr>
        <w:t>（1）安全设施的施工质量情况</w:t>
      </w:r>
    </w:p>
    <w:p w14:paraId="06811DE7">
      <w:pPr>
        <w:ind w:firstLine="560"/>
        <w:rPr>
          <w:rFonts w:ascii="Times New Roman" w:hAnsi="Times New Roman" w:eastAsia="宋体"/>
        </w:rPr>
      </w:pPr>
      <w:r>
        <w:rPr>
          <w:rFonts w:ascii="Times New Roman" w:hAnsi="Times New Roman" w:eastAsia="宋体"/>
        </w:rPr>
        <w:t>站内的设计单位、施工单位均为有资质的单位承担，安全设施的施工质量可以保证。项目所涉及的检测仪表、报警器、消防设施等预防、控制、减少与消除事故影安全设施均采用正规生产厂家的产品。</w:t>
      </w:r>
    </w:p>
    <w:p w14:paraId="2264CB09">
      <w:pPr>
        <w:ind w:firstLine="560"/>
        <w:rPr>
          <w:rFonts w:ascii="Times New Roman" w:hAnsi="Times New Roman" w:eastAsia="宋体"/>
        </w:rPr>
      </w:pPr>
      <w:r>
        <w:rPr>
          <w:rFonts w:ascii="Times New Roman" w:hAnsi="Times New Roman" w:eastAsia="宋体"/>
        </w:rPr>
        <w:t>（2）安全设施在施工前后的检验、检测及有效性情况</w:t>
      </w:r>
    </w:p>
    <w:p w14:paraId="0FCDE0E1">
      <w:pPr>
        <w:ind w:firstLine="560"/>
        <w:rPr>
          <w:rFonts w:ascii="Times New Roman" w:hAnsi="Times New Roman" w:eastAsia="宋体"/>
        </w:rPr>
      </w:pPr>
      <w:r>
        <w:rPr>
          <w:rFonts w:ascii="Times New Roman" w:hAnsi="Times New Roman" w:eastAsia="宋体"/>
        </w:rPr>
        <w:t>站内防雷装置由</w:t>
      </w:r>
      <w:r>
        <w:rPr>
          <w:rFonts w:hint="eastAsia" w:ascii="Times New Roman" w:hAnsi="Times New Roman" w:eastAsia="宋体"/>
        </w:rPr>
        <w:t>辽宁华云检测有限公司</w:t>
      </w:r>
      <w:r>
        <w:rPr>
          <w:rFonts w:ascii="Times New Roman" w:hAnsi="Times New Roman" w:eastAsia="宋体"/>
        </w:rPr>
        <w:t>进行了检测，</w:t>
      </w:r>
      <w:r>
        <w:rPr>
          <w:rFonts w:hint="eastAsia" w:ascii="Times New Roman" w:hAnsi="Times New Roman" w:eastAsia="宋体"/>
        </w:rPr>
        <w:t>有效期至</w:t>
      </w:r>
      <w:r>
        <w:rPr>
          <w:rFonts w:ascii="Times New Roman" w:hAnsi="Times New Roman" w:eastAsia="宋体"/>
        </w:rPr>
        <w:t>202</w:t>
      </w:r>
      <w:r>
        <w:rPr>
          <w:rFonts w:hint="eastAsia" w:ascii="Times New Roman" w:hAnsi="Times New Roman" w:eastAsia="宋体"/>
        </w:rPr>
        <w:t>6</w:t>
      </w:r>
      <w:r>
        <w:rPr>
          <w:rFonts w:ascii="Times New Roman" w:hAnsi="Times New Roman" w:eastAsia="宋体"/>
        </w:rPr>
        <w:t>年</w:t>
      </w:r>
      <w:r>
        <w:rPr>
          <w:rFonts w:hint="eastAsia" w:ascii="Times New Roman" w:hAnsi="Times New Roman" w:eastAsia="宋体"/>
          <w:lang w:val="en-US" w:eastAsia="zh-CN"/>
        </w:rPr>
        <w:t>09</w:t>
      </w:r>
      <w:r>
        <w:rPr>
          <w:rFonts w:ascii="Times New Roman" w:hAnsi="Times New Roman" w:eastAsia="宋体"/>
        </w:rPr>
        <w:t>月</w:t>
      </w:r>
      <w:r>
        <w:rPr>
          <w:rFonts w:hint="eastAsia" w:ascii="Times New Roman" w:hAnsi="Times New Roman" w:eastAsia="宋体"/>
          <w:lang w:val="en-US" w:eastAsia="zh-CN"/>
        </w:rPr>
        <w:t>07</w:t>
      </w:r>
      <w:r>
        <w:rPr>
          <w:rFonts w:ascii="Times New Roman" w:hAnsi="Times New Roman" w:eastAsia="宋体"/>
        </w:rPr>
        <w:t>日。</w:t>
      </w:r>
    </w:p>
    <w:p w14:paraId="6838CB96">
      <w:pPr>
        <w:ind w:firstLine="560"/>
        <w:rPr>
          <w:rFonts w:ascii="Times New Roman" w:hAnsi="Times New Roman" w:eastAsia="宋体"/>
        </w:rPr>
      </w:pPr>
      <w:r>
        <w:rPr>
          <w:rFonts w:ascii="Times New Roman" w:hAnsi="Times New Roman" w:eastAsia="宋体"/>
        </w:rPr>
        <w:t>站内的设备、设施施工单位具有相关设计、制造、安装资质，检测、检验单位的检测、检验结果也具有法律效力。</w:t>
      </w:r>
    </w:p>
    <w:p w14:paraId="65E72E01">
      <w:pPr>
        <w:ind w:firstLine="560"/>
        <w:rPr>
          <w:rFonts w:ascii="Times New Roman" w:hAnsi="Times New Roman" w:eastAsia="宋体"/>
        </w:rPr>
      </w:pPr>
      <w:r>
        <w:rPr>
          <w:rFonts w:ascii="Times New Roman" w:hAnsi="Times New Roman" w:eastAsia="宋体"/>
        </w:rPr>
        <w:t>（3）装置、设备和设施的检修、维护情况</w:t>
      </w:r>
    </w:p>
    <w:p w14:paraId="70DCC782">
      <w:pPr>
        <w:ind w:firstLine="560"/>
        <w:rPr>
          <w:rFonts w:ascii="Times New Roman" w:hAnsi="Times New Roman" w:eastAsia="宋体"/>
        </w:rPr>
      </w:pPr>
      <w:r>
        <w:rPr>
          <w:rFonts w:ascii="Times New Roman" w:hAnsi="Times New Roman" w:eastAsia="宋体"/>
        </w:rPr>
        <w:t>站内专职安全管理人员每天均对装置、设备及设施进行巡检并定期维护，在巡检过程中一旦发现问题，立即对相关装置、设备或设施进行检修，以保证工艺装置的正常运行，且建立了加油站设备管理</w:t>
      </w:r>
      <w:r>
        <w:rPr>
          <w:rFonts w:hint="eastAsia" w:ascii="Times New Roman" w:hAnsi="Times New Roman" w:eastAsia="宋体"/>
        </w:rPr>
        <w:t>和维护</w:t>
      </w:r>
      <w:r>
        <w:rPr>
          <w:rFonts w:ascii="Times New Roman" w:hAnsi="Times New Roman" w:eastAsia="宋体"/>
        </w:rPr>
        <w:t>制度。</w:t>
      </w:r>
    </w:p>
    <w:p w14:paraId="60DEBCB0">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6.3.5原料、辅助材料和产品情况分析</w:t>
      </w:r>
    </w:p>
    <w:p w14:paraId="5BF98C85">
      <w:pPr>
        <w:ind w:firstLine="560"/>
        <w:rPr>
          <w:rFonts w:ascii="Times New Roman" w:hAnsi="Times New Roman" w:eastAsia="宋体"/>
        </w:rPr>
      </w:pPr>
      <w:r>
        <w:rPr>
          <w:rFonts w:ascii="Times New Roman" w:hAnsi="Times New Roman" w:eastAsia="宋体"/>
        </w:rPr>
        <w:t>站内涉及的主要为危险化学品车用乙醇汽油和柴油，其中车用乙醇汽油是重点监管危险化学品。站内设有</w:t>
      </w:r>
      <w:r>
        <w:rPr>
          <w:rFonts w:hint="eastAsia" w:ascii="Times New Roman" w:hAnsi="Times New Roman" w:eastAsia="宋体"/>
          <w:lang w:val="en-US" w:eastAsia="zh-CN"/>
        </w:rPr>
        <w:t>2</w:t>
      </w:r>
      <w:r>
        <w:rPr>
          <w:rFonts w:ascii="Times New Roman" w:hAnsi="Times New Roman" w:eastAsia="宋体"/>
        </w:rPr>
        <w:t>座</w:t>
      </w:r>
      <w:r>
        <w:rPr>
          <w:rFonts w:hint="eastAsia" w:ascii="Times New Roman" w:hAnsi="Times New Roman" w:eastAsia="宋体"/>
          <w:lang w:val="en-US" w:eastAsia="zh-CN"/>
        </w:rPr>
        <w:t>5</w:t>
      </w:r>
      <w:r>
        <w:rPr>
          <w:rFonts w:ascii="Times New Roman" w:hAnsi="Times New Roman" w:eastAsia="宋体"/>
        </w:rPr>
        <w:t>0m</w:t>
      </w:r>
      <w:r>
        <w:rPr>
          <w:rFonts w:hint="eastAsia" w:ascii="Times New Roman" w:hAnsi="Times New Roman" w:eastAsia="宋体"/>
          <w:vertAlign w:val="superscript"/>
        </w:rPr>
        <w:t>3</w:t>
      </w:r>
      <w:r>
        <w:rPr>
          <w:rFonts w:hint="eastAsia" w:ascii="Times New Roman" w:hAnsi="Times New Roman" w:eastAsia="宋体"/>
        </w:rPr>
        <w:t>车用乙醇汽</w:t>
      </w:r>
      <w:r>
        <w:rPr>
          <w:rFonts w:ascii="Times New Roman" w:hAnsi="Times New Roman" w:eastAsia="宋体"/>
        </w:rPr>
        <w:t>油SF双层储罐</w:t>
      </w:r>
      <w:r>
        <w:rPr>
          <w:rFonts w:hint="eastAsia" w:ascii="Times New Roman" w:hAnsi="Times New Roman" w:eastAsia="宋体"/>
        </w:rPr>
        <w:t>、</w:t>
      </w:r>
      <w:r>
        <w:rPr>
          <w:rFonts w:hint="eastAsia" w:ascii="Times New Roman" w:hAnsi="Times New Roman" w:eastAsia="宋体"/>
          <w:lang w:val="en-US" w:eastAsia="zh-CN"/>
        </w:rPr>
        <w:t>2</w:t>
      </w:r>
      <w:r>
        <w:rPr>
          <w:rFonts w:ascii="Times New Roman" w:hAnsi="Times New Roman" w:eastAsia="宋体"/>
        </w:rPr>
        <w:t>座</w:t>
      </w:r>
      <w:r>
        <w:rPr>
          <w:rFonts w:hint="eastAsia" w:ascii="Times New Roman" w:hAnsi="Times New Roman" w:eastAsia="宋体"/>
          <w:lang w:val="en-US" w:eastAsia="zh-CN"/>
        </w:rPr>
        <w:t>5</w:t>
      </w:r>
      <w:r>
        <w:rPr>
          <w:rFonts w:ascii="Times New Roman" w:hAnsi="Times New Roman" w:eastAsia="宋体"/>
        </w:rPr>
        <w:t>0m</w:t>
      </w:r>
      <w:r>
        <w:rPr>
          <w:rFonts w:hint="eastAsia" w:ascii="Times New Roman" w:hAnsi="Times New Roman" w:eastAsia="宋体"/>
          <w:vertAlign w:val="superscript"/>
        </w:rPr>
        <w:t>3</w:t>
      </w:r>
      <w:r>
        <w:rPr>
          <w:rFonts w:hint="eastAsia" w:ascii="Times New Roman" w:hAnsi="Times New Roman" w:eastAsia="宋体"/>
        </w:rPr>
        <w:t>柴油</w:t>
      </w:r>
      <w:r>
        <w:rPr>
          <w:rFonts w:ascii="Times New Roman" w:hAnsi="Times New Roman" w:eastAsia="宋体"/>
        </w:rPr>
        <w:t>SF双层储罐。能够满足运营需要。</w:t>
      </w:r>
    </w:p>
    <w:p w14:paraId="0F90A954">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6.3.6作业场所职业危害分析</w:t>
      </w:r>
    </w:p>
    <w:p w14:paraId="3BBCBB48">
      <w:pPr>
        <w:ind w:firstLine="560"/>
        <w:rPr>
          <w:rFonts w:ascii="Times New Roman" w:hAnsi="Times New Roman" w:eastAsia="宋体"/>
        </w:rPr>
      </w:pPr>
      <w:r>
        <w:rPr>
          <w:rFonts w:ascii="Times New Roman" w:hAnsi="Times New Roman" w:eastAsia="宋体"/>
        </w:rPr>
        <w:t>（1）职业危害防护设施的设置情况</w:t>
      </w:r>
    </w:p>
    <w:p w14:paraId="526982BC">
      <w:pPr>
        <w:ind w:firstLine="560"/>
        <w:rPr>
          <w:rFonts w:ascii="Times New Roman" w:hAnsi="Times New Roman" w:eastAsia="宋体"/>
        </w:rPr>
      </w:pPr>
      <w:r>
        <w:rPr>
          <w:rFonts w:ascii="Times New Roman" w:hAnsi="Times New Roman" w:eastAsia="宋体"/>
        </w:rPr>
        <w:t>站内已按《个体防护装备配备规范 第2部分 石油、化工、天然气》（GB39800.2-2020）的相关要求，根据各操作岗位的特点配置必需的防护用具和用品，并定期进行检修，对不合格用品及时进行更换。</w:t>
      </w:r>
    </w:p>
    <w:p w14:paraId="34C94E60">
      <w:pPr>
        <w:ind w:firstLine="560"/>
        <w:rPr>
          <w:rFonts w:ascii="Times New Roman" w:hAnsi="Times New Roman" w:eastAsia="宋体"/>
        </w:rPr>
      </w:pPr>
      <w:r>
        <w:rPr>
          <w:rFonts w:ascii="Times New Roman" w:hAnsi="Times New Roman" w:eastAsia="宋体"/>
        </w:rPr>
        <w:t>（2）职业危害防护设施的检修和维护情况</w:t>
      </w:r>
    </w:p>
    <w:p w14:paraId="29D077D1">
      <w:pPr>
        <w:ind w:firstLine="560"/>
        <w:rPr>
          <w:rFonts w:ascii="Times New Roman" w:hAnsi="Times New Roman" w:eastAsia="宋体"/>
        </w:rPr>
      </w:pPr>
      <w:r>
        <w:rPr>
          <w:rFonts w:ascii="Times New Roman" w:hAnsi="Times New Roman" w:eastAsia="宋体"/>
        </w:rPr>
        <w:t>个体防护装备由专人发放，定期进行检测、检验、淘汰、更新所使用的职业危害防护用品，保证其适用性、安全性、有效性。</w:t>
      </w:r>
    </w:p>
    <w:p w14:paraId="3D915695">
      <w:pPr>
        <w:ind w:firstLine="560"/>
        <w:rPr>
          <w:rFonts w:ascii="Times New Roman" w:hAnsi="Times New Roman" w:eastAsia="宋体"/>
        </w:rPr>
      </w:pPr>
      <w:r>
        <w:rPr>
          <w:rFonts w:ascii="Times New Roman" w:hAnsi="Times New Roman" w:eastAsia="宋体"/>
        </w:rPr>
        <w:t>（3）作业场所的法定职业危害监测、监控情况</w:t>
      </w:r>
    </w:p>
    <w:p w14:paraId="0BB35AD0">
      <w:pPr>
        <w:ind w:firstLine="560"/>
        <w:rPr>
          <w:rFonts w:ascii="Times New Roman" w:hAnsi="Times New Roman" w:eastAsia="宋体"/>
        </w:rPr>
      </w:pPr>
      <w:r>
        <w:rPr>
          <w:rFonts w:ascii="Times New Roman" w:hAnsi="Times New Roman" w:eastAsia="宋体"/>
        </w:rPr>
        <w:t>站内已进行法定职业危害监测、监控，符合要求。</w:t>
      </w:r>
    </w:p>
    <w:p w14:paraId="7AAF9861">
      <w:pPr>
        <w:ind w:firstLine="560"/>
        <w:rPr>
          <w:rFonts w:ascii="Times New Roman" w:hAnsi="Times New Roman" w:eastAsia="宋体"/>
        </w:rPr>
      </w:pPr>
      <w:r>
        <w:rPr>
          <w:rFonts w:ascii="Times New Roman" w:hAnsi="Times New Roman" w:eastAsia="宋体"/>
        </w:rPr>
        <w:t>（4）建（构）筑物的建设情况</w:t>
      </w:r>
    </w:p>
    <w:p w14:paraId="3D75B1A2">
      <w:pPr>
        <w:ind w:firstLine="560"/>
        <w:rPr>
          <w:rFonts w:ascii="Times New Roman" w:hAnsi="Times New Roman" w:eastAsia="宋体"/>
        </w:rPr>
      </w:pPr>
      <w:r>
        <w:rPr>
          <w:rFonts w:ascii="Times New Roman" w:hAnsi="Times New Roman" w:eastAsia="宋体"/>
        </w:rPr>
        <w:t>站内建（构）筑物为有相关资质单位进行设计、施工，建设情况符合要求。</w:t>
      </w:r>
    </w:p>
    <w:p w14:paraId="672C5902">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6.3.7事故及应急管理</w:t>
      </w:r>
    </w:p>
    <w:p w14:paraId="2B5F94AB">
      <w:pPr>
        <w:ind w:firstLine="560"/>
        <w:rPr>
          <w:rFonts w:ascii="Times New Roman" w:hAnsi="Times New Roman" w:eastAsia="宋体"/>
        </w:rPr>
      </w:pPr>
      <w:r>
        <w:rPr>
          <w:rFonts w:ascii="Times New Roman" w:hAnsi="Times New Roman" w:eastAsia="宋体"/>
        </w:rPr>
        <w:t>（1）可能发生的事故应急救援预案的编制情况</w:t>
      </w:r>
    </w:p>
    <w:p w14:paraId="0CD73007">
      <w:pPr>
        <w:ind w:firstLine="560"/>
        <w:rPr>
          <w:rFonts w:hint="default" w:ascii="Times New Roman" w:hAnsi="Times New Roman" w:eastAsia="宋体"/>
          <w:lang w:val="en-US" w:eastAsia="zh-CN"/>
        </w:rPr>
      </w:pPr>
      <w:r>
        <w:rPr>
          <w:rFonts w:ascii="Times New Roman" w:hAnsi="Times New Roman" w:eastAsia="宋体"/>
        </w:rPr>
        <w:t>站内建立了应急预案体系，由综合预案、专项预案和现场处置方案组成。于202</w:t>
      </w:r>
      <w:r>
        <w:rPr>
          <w:rFonts w:hint="eastAsia" w:ascii="Times New Roman" w:hAnsi="Times New Roman" w:eastAsia="宋体"/>
        </w:rPr>
        <w:t>5</w:t>
      </w:r>
      <w:r>
        <w:rPr>
          <w:rFonts w:ascii="Times New Roman" w:hAnsi="Times New Roman" w:eastAsia="宋体"/>
        </w:rPr>
        <w:t>年</w:t>
      </w:r>
      <w:r>
        <w:rPr>
          <w:rFonts w:hint="eastAsia" w:ascii="Times New Roman" w:hAnsi="Times New Roman" w:eastAsia="宋体"/>
          <w:lang w:val="en-US" w:eastAsia="zh-CN"/>
        </w:rPr>
        <w:t>10</w:t>
      </w:r>
      <w:r>
        <w:rPr>
          <w:rFonts w:ascii="Times New Roman" w:hAnsi="Times New Roman" w:eastAsia="宋体"/>
        </w:rPr>
        <w:t>月编制，并经专家评审，于202</w:t>
      </w:r>
      <w:r>
        <w:rPr>
          <w:rFonts w:hint="eastAsia" w:ascii="Times New Roman" w:hAnsi="Times New Roman" w:eastAsia="宋体"/>
          <w:lang w:val="en-US" w:eastAsia="zh-CN"/>
        </w:rPr>
        <w:t>6</w:t>
      </w:r>
      <w:r>
        <w:rPr>
          <w:rFonts w:ascii="Times New Roman" w:hAnsi="Times New Roman" w:eastAsia="宋体"/>
        </w:rPr>
        <w:t>年</w:t>
      </w:r>
      <w:r>
        <w:rPr>
          <w:rFonts w:hint="eastAsia" w:ascii="Times New Roman" w:hAnsi="Times New Roman" w:eastAsia="宋体"/>
          <w:lang w:val="en-US" w:eastAsia="zh-CN"/>
        </w:rPr>
        <w:t>03</w:t>
      </w:r>
      <w:r>
        <w:rPr>
          <w:rFonts w:ascii="Times New Roman" w:hAnsi="Times New Roman" w:eastAsia="宋体"/>
        </w:rPr>
        <w:t>月</w:t>
      </w:r>
      <w:r>
        <w:rPr>
          <w:rFonts w:hint="eastAsia" w:ascii="Times New Roman" w:hAnsi="Times New Roman" w:eastAsia="宋体"/>
          <w:lang w:val="en-US" w:eastAsia="zh-CN"/>
        </w:rPr>
        <w:t>12</w:t>
      </w:r>
      <w:r>
        <w:rPr>
          <w:rFonts w:ascii="Times New Roman" w:hAnsi="Times New Roman" w:eastAsia="宋体"/>
        </w:rPr>
        <w:t>日经</w:t>
      </w:r>
      <w:r>
        <w:rPr>
          <w:rFonts w:hint="eastAsia" w:ascii="Times New Roman" w:hAnsi="Times New Roman" w:eastAsia="宋体"/>
          <w:lang w:eastAsia="zh-CN"/>
        </w:rPr>
        <w:t>沈阳市</w:t>
      </w:r>
      <w:r>
        <w:rPr>
          <w:rFonts w:ascii="Times New Roman" w:hAnsi="Times New Roman" w:eastAsia="宋体"/>
        </w:rPr>
        <w:t>应急管理局备案。应急预案备案登记表见附件</w:t>
      </w:r>
      <w:r>
        <w:rPr>
          <w:rFonts w:hint="eastAsia" w:ascii="Times New Roman" w:hAnsi="Times New Roman" w:eastAsia="宋体"/>
          <w:lang w:val="en-US" w:eastAsia="zh-CN"/>
        </w:rPr>
        <w:t>。</w:t>
      </w:r>
    </w:p>
    <w:p w14:paraId="365A3018">
      <w:pPr>
        <w:ind w:firstLine="560"/>
        <w:rPr>
          <w:rFonts w:ascii="Times New Roman" w:hAnsi="Times New Roman" w:eastAsia="宋体"/>
        </w:rPr>
      </w:pPr>
      <w:r>
        <w:rPr>
          <w:rFonts w:ascii="Times New Roman" w:hAnsi="Times New Roman" w:eastAsia="宋体"/>
        </w:rPr>
        <w:t>（2）事故应急救援组织的建立和人员的配备情况</w:t>
      </w:r>
    </w:p>
    <w:p w14:paraId="3CF3E15C">
      <w:pPr>
        <w:ind w:firstLine="560"/>
        <w:rPr>
          <w:rFonts w:ascii="Times New Roman" w:hAnsi="Times New Roman" w:eastAsia="宋体"/>
        </w:rPr>
      </w:pPr>
      <w:r>
        <w:rPr>
          <w:rFonts w:ascii="Times New Roman" w:hAnsi="Times New Roman" w:eastAsia="宋体"/>
        </w:rPr>
        <w:t>站内建立了公司生产安全事故应急组织机构，由安全管理机构构成，各级人员有明确的职责，站内设置的应急救援组织和人员能够满足应急救援要求。</w:t>
      </w:r>
    </w:p>
    <w:p w14:paraId="73195BB0">
      <w:pPr>
        <w:ind w:firstLine="560"/>
        <w:rPr>
          <w:rFonts w:ascii="Times New Roman" w:hAnsi="Times New Roman" w:eastAsia="宋体"/>
        </w:rPr>
      </w:pPr>
      <w:r>
        <w:rPr>
          <w:rFonts w:ascii="Times New Roman" w:hAnsi="Times New Roman" w:eastAsia="宋体"/>
        </w:rPr>
        <w:t>（3）事故应急救援预案的演练情况</w:t>
      </w:r>
    </w:p>
    <w:p w14:paraId="2EDF63E7">
      <w:pPr>
        <w:ind w:firstLine="560"/>
        <w:rPr>
          <w:rFonts w:ascii="Times New Roman" w:hAnsi="Times New Roman" w:eastAsia="宋体"/>
        </w:rPr>
      </w:pPr>
      <w:r>
        <w:rPr>
          <w:rFonts w:ascii="Times New Roman" w:hAnsi="Times New Roman" w:eastAsia="宋体"/>
        </w:rPr>
        <w:t>站内组织了预案演练，在演练前对有关人员进行培训，演练结束后对应急预案演练情况进行总结和评估，撰写评估报告，分析存在的问题，提出应急预案修订意见及下一步工作计划。站内综合预案中的演练要求，符合《生产安全事故应急预案管理办法》的相关要求。</w:t>
      </w:r>
    </w:p>
    <w:p w14:paraId="4B085D39">
      <w:pPr>
        <w:ind w:firstLine="560"/>
        <w:rPr>
          <w:rFonts w:ascii="Times New Roman" w:hAnsi="Times New Roman" w:eastAsia="宋体"/>
        </w:rPr>
      </w:pPr>
      <w:r>
        <w:rPr>
          <w:rFonts w:ascii="Times New Roman" w:hAnsi="Times New Roman" w:eastAsia="宋体"/>
        </w:rPr>
        <w:t>（4）事故应急救援器材、设备的配备情况</w:t>
      </w:r>
    </w:p>
    <w:p w14:paraId="1AED386A">
      <w:pPr>
        <w:ind w:firstLine="560"/>
        <w:rPr>
          <w:rFonts w:ascii="Times New Roman" w:hAnsi="Times New Roman" w:eastAsia="宋体"/>
        </w:rPr>
      </w:pPr>
      <w:r>
        <w:rPr>
          <w:rFonts w:ascii="Times New Roman" w:hAnsi="Times New Roman" w:eastAsia="宋体"/>
        </w:rPr>
        <w:t>站内应急救援物资配备情况，见表2.7-1。</w:t>
      </w:r>
    </w:p>
    <w:p w14:paraId="1999F2C8">
      <w:pPr>
        <w:keepNext/>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6.3.8其他方面</w:t>
      </w:r>
    </w:p>
    <w:p w14:paraId="1A3217E9">
      <w:pPr>
        <w:ind w:firstLine="560"/>
        <w:rPr>
          <w:rFonts w:ascii="Times New Roman" w:hAnsi="Times New Roman" w:eastAsia="宋体"/>
        </w:rPr>
      </w:pPr>
      <w:r>
        <w:rPr>
          <w:rFonts w:ascii="Times New Roman" w:hAnsi="Times New Roman" w:eastAsia="宋体"/>
        </w:rPr>
        <w:t>站内供电由市政提供，供电电压为380/220V，生活用水来自站内</w:t>
      </w:r>
      <w:r>
        <w:rPr>
          <w:rFonts w:hint="eastAsia" w:ascii="Times New Roman" w:hAnsi="Times New Roman" w:eastAsia="宋体"/>
        </w:rPr>
        <w:t>自备水井</w:t>
      </w:r>
      <w:r>
        <w:rPr>
          <w:rFonts w:ascii="Times New Roman" w:hAnsi="Times New Roman" w:eastAsia="宋体"/>
        </w:rPr>
        <w:t>，采暖气源依托</w:t>
      </w:r>
      <w:r>
        <w:rPr>
          <w:rFonts w:hint="eastAsia" w:ascii="Times New Roman" w:hAnsi="Times New Roman" w:eastAsia="宋体"/>
          <w:lang w:val="en-US" w:eastAsia="zh-CN"/>
        </w:rPr>
        <w:t>市政集中供暖</w:t>
      </w:r>
      <w:r>
        <w:rPr>
          <w:rFonts w:ascii="Times New Roman" w:hAnsi="Times New Roman" w:eastAsia="宋体"/>
        </w:rPr>
        <w:t>，能够满足站内基本需求。</w:t>
      </w:r>
    </w:p>
    <w:p w14:paraId="0629F10C">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67" w:name="_Toc218437750"/>
      <w:r>
        <w:rPr>
          <w:rFonts w:ascii="Times New Roman" w:hAnsi="Times New Roman" w:eastAsia="楷体" w:cs="Times New Roman"/>
          <w:b/>
          <w:bCs/>
          <w:sz w:val="32"/>
          <w:szCs w:val="32"/>
        </w:rPr>
        <w:t>6.4事故案例分析</w:t>
      </w:r>
      <w:bookmarkEnd w:id="67"/>
    </w:p>
    <w:p w14:paraId="1D4B287A">
      <w:pPr>
        <w:ind w:firstLine="560"/>
        <w:rPr>
          <w:rFonts w:ascii="Times New Roman" w:hAnsi="Times New Roman" w:eastAsia="宋体"/>
        </w:rPr>
      </w:pPr>
      <w:r>
        <w:rPr>
          <w:rFonts w:ascii="Times New Roman" w:hAnsi="Times New Roman" w:eastAsia="宋体"/>
        </w:rPr>
        <w:t>案例</w:t>
      </w:r>
      <w:r>
        <w:rPr>
          <w:rFonts w:hint="eastAsia" w:ascii="Times New Roman" w:hAnsi="Times New Roman" w:eastAsia="宋体"/>
        </w:rPr>
        <w:t>一</w:t>
      </w:r>
      <w:r>
        <w:rPr>
          <w:rFonts w:ascii="Times New Roman" w:hAnsi="Times New Roman" w:eastAsia="宋体"/>
        </w:rPr>
        <w:t>：临海市顺风加油站爆燃事故</w:t>
      </w:r>
    </w:p>
    <w:p w14:paraId="675C7FF9">
      <w:pPr>
        <w:ind w:firstLine="560"/>
        <w:rPr>
          <w:rFonts w:ascii="Times New Roman" w:hAnsi="Times New Roman" w:eastAsia="宋体"/>
        </w:rPr>
      </w:pPr>
      <w:r>
        <w:rPr>
          <w:rFonts w:ascii="Times New Roman" w:hAnsi="Times New Roman" w:eastAsia="宋体"/>
        </w:rPr>
        <w:t>（1）加油站基本状况</w:t>
      </w:r>
    </w:p>
    <w:p w14:paraId="62A66160">
      <w:pPr>
        <w:ind w:firstLine="560"/>
        <w:rPr>
          <w:rFonts w:ascii="Times New Roman" w:hAnsi="Times New Roman" w:eastAsia="宋体"/>
        </w:rPr>
      </w:pPr>
      <w:r>
        <w:rPr>
          <w:rFonts w:ascii="Times New Roman" w:hAnsi="Times New Roman" w:eastAsia="宋体"/>
        </w:rPr>
        <w:t>临海市顺风加油站，位于临海市桃渚镇项庄村西边马路旁，法人代表：项某。加油站储备、经营93号车用乙醇汽油和0号柴油两种成品油。站内有两个地下储油罐，每个储油罐约24吨。</w:t>
      </w:r>
    </w:p>
    <w:p w14:paraId="23F28BA0">
      <w:pPr>
        <w:ind w:firstLine="560"/>
        <w:rPr>
          <w:rFonts w:ascii="Times New Roman" w:hAnsi="Times New Roman" w:eastAsia="宋体"/>
        </w:rPr>
      </w:pPr>
      <w:r>
        <w:rPr>
          <w:rFonts w:ascii="Times New Roman" w:hAnsi="Times New Roman" w:eastAsia="宋体"/>
        </w:rPr>
        <w:t>（2）事故经过</w:t>
      </w:r>
    </w:p>
    <w:p w14:paraId="2AE3343F">
      <w:pPr>
        <w:ind w:firstLine="560"/>
        <w:rPr>
          <w:rFonts w:ascii="Times New Roman" w:hAnsi="Times New Roman" w:eastAsia="宋体"/>
        </w:rPr>
      </w:pPr>
      <w:r>
        <w:rPr>
          <w:rFonts w:ascii="Times New Roman" w:hAnsi="Times New Roman" w:eastAsia="宋体"/>
        </w:rPr>
        <w:t>2022年6月1日中午，满载车用乙醇汽油（29.48t）的浙BR257大油罐车到达临海市顺风加油站，并在11点50分左右起先向加油站地下储油罐卸油，当时加油站卸油作业现场人员有林某（浙BR257大油罐车驾驶员，事故发生时在副驾驶室）、潘某（浙BR257大油罐车押送员）、朱某（加油站工作人员，小油罐车浙J76829驾驶员）等3人。</w:t>
      </w:r>
    </w:p>
    <w:p w14:paraId="6958146C">
      <w:pPr>
        <w:ind w:firstLine="560"/>
        <w:rPr>
          <w:rFonts w:ascii="Times New Roman" w:hAnsi="Times New Roman" w:eastAsia="宋体"/>
        </w:rPr>
      </w:pPr>
      <w:r>
        <w:rPr>
          <w:rFonts w:ascii="Times New Roman" w:hAnsi="Times New Roman" w:eastAsia="宋体"/>
        </w:rPr>
        <w:t>在车用乙醇汽油槽罐车卸油的同时，加油站工作人员朱某考虑到地下储油罐装不下这么多油，就开来一辆小油罐车，停到大油罐车旁，从大油罐吸油，来分装一部分车用乙醇汽油。现场由潘某跟朱某两人负责卸油和抽油作业，潘某站在大油罐车车顶负责看护，朱某操作浙J76829小型油罐车从大油罐车吸油。因为抽油时，须要开启抽油泵，抽油泵利用小油罐车的发动机作为动力，因此整个抽油作业过程中小油罐车的发动机并未熄火。12点30分左右，当朱某从小油罐车车顶下来，去开车门的时候，突然发生爆燃，瞬间火焰高窜，朱某被火焰烧伤。火焰甚至喷到距地面有5米高的潘某，将其右脸颊和手灼伤。</w:t>
      </w:r>
    </w:p>
    <w:p w14:paraId="731474A2">
      <w:pPr>
        <w:ind w:firstLine="560"/>
        <w:rPr>
          <w:rFonts w:ascii="Times New Roman" w:hAnsi="Times New Roman" w:eastAsia="宋体"/>
        </w:rPr>
      </w:pPr>
      <w:r>
        <w:rPr>
          <w:rFonts w:ascii="Times New Roman" w:hAnsi="Times New Roman" w:eastAsia="宋体"/>
        </w:rPr>
        <w:t>12时40分，临海市消防大队接到临海市公安局指挥中心指令，马上出动7辆消防车和42名消防官兵赶往火灾现场。经过消防官兵奋力扑救，大火于15时左右被扑灭，此次火灾造成2人受伤。</w:t>
      </w:r>
    </w:p>
    <w:p w14:paraId="72CB5F4A">
      <w:pPr>
        <w:ind w:firstLine="560"/>
        <w:rPr>
          <w:rFonts w:ascii="Times New Roman" w:hAnsi="Times New Roman" w:eastAsia="宋体"/>
        </w:rPr>
      </w:pPr>
      <w:r>
        <w:rPr>
          <w:rFonts w:ascii="Times New Roman" w:hAnsi="Times New Roman" w:eastAsia="宋体"/>
        </w:rPr>
        <w:t>（3）事故缘由</w:t>
      </w:r>
    </w:p>
    <w:p w14:paraId="7F137E35">
      <w:pPr>
        <w:ind w:firstLine="560"/>
        <w:rPr>
          <w:rFonts w:ascii="Times New Roman" w:hAnsi="Times New Roman" w:eastAsia="宋体"/>
        </w:rPr>
      </w:pPr>
      <w:r>
        <w:rPr>
          <w:rFonts w:ascii="Times New Roman" w:hAnsi="Times New Roman" w:eastAsia="宋体"/>
        </w:rPr>
        <w:t>依据当事人笔录反映，及现场勘验状况，消防部门事故调查结论认为：此次火灾爆燃部位初步确定为小油罐车车头部分，火灾缘由不能解除朱某伸手开车门时触发静电、车辆排气管高温过热、车辆发动机及抽油泵过热引发挥发聚集的油蒸气而产生爆燃。</w:t>
      </w:r>
    </w:p>
    <w:p w14:paraId="29DDBFDA">
      <w:pPr>
        <w:ind w:firstLine="560"/>
        <w:rPr>
          <w:rFonts w:ascii="Times New Roman" w:hAnsi="Times New Roman" w:eastAsia="宋体"/>
        </w:rPr>
      </w:pPr>
      <w:r>
        <w:rPr>
          <w:rFonts w:ascii="Times New Roman" w:hAnsi="Times New Roman" w:eastAsia="宋体"/>
        </w:rPr>
        <w:t>（4）事故教训</w:t>
      </w:r>
    </w:p>
    <w:p w14:paraId="3B15C6C4">
      <w:pPr>
        <w:ind w:firstLine="560"/>
        <w:rPr>
          <w:rFonts w:ascii="Times New Roman" w:hAnsi="Times New Roman" w:eastAsia="宋体"/>
        </w:rPr>
      </w:pPr>
      <w:r>
        <w:rPr>
          <w:rFonts w:hint="eastAsia" w:ascii="宋体" w:hAnsi="宋体" w:eastAsia="宋体" w:cs="宋体"/>
        </w:rPr>
        <w:t>①</w:t>
      </w:r>
      <w:r>
        <w:rPr>
          <w:rFonts w:ascii="Times New Roman" w:hAnsi="Times New Roman" w:eastAsia="宋体"/>
        </w:rPr>
        <w:t>加油站工作人员风险防范意识淡薄。加油站工作人员朱某用来分装车用乙醇汽油的小型油罐车没有独立的抽油泵，利用外部抽油泵并利用车辆发动机作为动力，因此整个抽油作业过程中小油罐车的发动机并未熄火，且该车排气管未安装阻火器，在这种状况下，当事人还是贸然利用此车抽吸车用乙醇汽油，导致发生爆燃事故。</w:t>
      </w:r>
    </w:p>
    <w:p w14:paraId="4D772C5D">
      <w:pPr>
        <w:ind w:firstLine="560"/>
        <w:rPr>
          <w:rFonts w:ascii="Times New Roman" w:hAnsi="Times New Roman" w:eastAsia="宋体"/>
        </w:rPr>
      </w:pPr>
      <w:r>
        <w:rPr>
          <w:rFonts w:hint="eastAsia" w:ascii="宋体" w:hAnsi="宋体" w:eastAsia="宋体" w:cs="宋体"/>
        </w:rPr>
        <w:t>②</w:t>
      </w:r>
      <w:r>
        <w:rPr>
          <w:rFonts w:ascii="Times New Roman" w:hAnsi="Times New Roman" w:eastAsia="宋体"/>
        </w:rPr>
        <w:t>加油站安全防范措施不到位。</w:t>
      </w:r>
    </w:p>
    <w:p w14:paraId="6FEDB97C">
      <w:pPr>
        <w:ind w:firstLine="560"/>
        <w:rPr>
          <w:rFonts w:ascii="Times New Roman" w:hAnsi="Times New Roman" w:eastAsia="宋体"/>
        </w:rPr>
      </w:pPr>
      <w:r>
        <w:rPr>
          <w:rFonts w:hint="eastAsia" w:ascii="宋体" w:hAnsi="宋体" w:eastAsia="宋体" w:cs="宋体"/>
        </w:rPr>
        <w:t>③</w:t>
      </w:r>
      <w:r>
        <w:rPr>
          <w:rFonts w:ascii="Times New Roman" w:hAnsi="Times New Roman" w:eastAsia="宋体"/>
        </w:rPr>
        <w:t>作业人员抽、卸油操作不规范。作业人员在操作时同时对地下储罐和小油罐车进行卸、抽油作业。抽油的过程中塑料管一头接小油罐车下方进油接口处，而另一头则干脆插入大油罐车顶部输油口，管线连接密封不到位，导致有大量油蒸气挥发，甚至有车用乙醇汽油外漏，致使小油罐车下方积聚大量油气。</w:t>
      </w:r>
    </w:p>
    <w:p w14:paraId="46B75EEB">
      <w:pPr>
        <w:ind w:firstLine="560"/>
        <w:rPr>
          <w:rFonts w:ascii="Times New Roman" w:hAnsi="Times New Roman" w:eastAsia="宋体"/>
        </w:rPr>
      </w:pPr>
      <w:r>
        <w:rPr>
          <w:rFonts w:ascii="Times New Roman" w:hAnsi="Times New Roman" w:eastAsia="宋体"/>
        </w:rPr>
        <w:t>案例</w:t>
      </w:r>
      <w:r>
        <w:rPr>
          <w:rFonts w:hint="eastAsia" w:ascii="Times New Roman" w:hAnsi="Times New Roman" w:eastAsia="宋体"/>
        </w:rPr>
        <w:t>二</w:t>
      </w:r>
      <w:r>
        <w:rPr>
          <w:rFonts w:ascii="Times New Roman" w:hAnsi="Times New Roman" w:eastAsia="宋体"/>
        </w:rPr>
        <w:t>：山东济南分公司第63加油站施工闪爆事故</w:t>
      </w:r>
    </w:p>
    <w:p w14:paraId="03C12B86">
      <w:pPr>
        <w:ind w:firstLine="560"/>
        <w:rPr>
          <w:rFonts w:ascii="Times New Roman" w:hAnsi="Times New Roman" w:eastAsia="宋体"/>
        </w:rPr>
      </w:pPr>
      <w:r>
        <w:rPr>
          <w:rFonts w:ascii="Times New Roman" w:hAnsi="Times New Roman" w:eastAsia="宋体"/>
        </w:rPr>
        <w:t>（1）事故概况</w:t>
      </w:r>
    </w:p>
    <w:p w14:paraId="24AF7877">
      <w:pPr>
        <w:ind w:firstLine="560"/>
        <w:rPr>
          <w:rFonts w:ascii="Times New Roman" w:hAnsi="Times New Roman" w:eastAsia="宋体"/>
        </w:rPr>
      </w:pPr>
      <w:r>
        <w:rPr>
          <w:rFonts w:ascii="Times New Roman" w:hAnsi="Times New Roman" w:eastAsia="宋体"/>
        </w:rPr>
        <w:t>2022年9月8日15:40左右，山东济南分公司第63加油站在安装加油机和潜油泵过程中，由于油罐人孔盖不符合安装潜油泵的条件，对油罐人孔盖进行改造，承包商天津华北有色建设工程公司山东分公司的施工人员，擅自用自带泵将2号埋地罐中的注水抽空，并在无人监控的状况下，在操作井边沿用气割对油罐法兰盘、管线短管开坡口，切割过程中，引燃油罐内残余油气发生闪爆，李洪革当即受伤，送医院经抢救无效，于9月9日凌晨死亡。</w:t>
      </w:r>
    </w:p>
    <w:p w14:paraId="7AAD3D53">
      <w:pPr>
        <w:ind w:firstLine="560"/>
        <w:rPr>
          <w:rFonts w:ascii="Times New Roman" w:hAnsi="Times New Roman" w:eastAsia="宋体"/>
        </w:rPr>
      </w:pPr>
      <w:r>
        <w:rPr>
          <w:rFonts w:ascii="Times New Roman" w:hAnsi="Times New Roman" w:eastAsia="宋体"/>
        </w:rPr>
        <w:t>（2）事故原因及分析</w:t>
      </w:r>
    </w:p>
    <w:p w14:paraId="6316A005">
      <w:pPr>
        <w:ind w:firstLine="560"/>
        <w:rPr>
          <w:rFonts w:ascii="Times New Roman" w:hAnsi="Times New Roman" w:eastAsia="宋体"/>
        </w:rPr>
      </w:pPr>
      <w:r>
        <w:rPr>
          <w:rFonts w:ascii="Times New Roman" w:hAnsi="Times New Roman" w:eastAsia="宋体"/>
        </w:rPr>
        <w:t>这是一起典型的施工组织混乱、施工安全监管不严、安全制度落实不到位造成的事故。</w:t>
      </w:r>
    </w:p>
    <w:p w14:paraId="7605DE38">
      <w:pPr>
        <w:ind w:firstLine="560"/>
        <w:rPr>
          <w:rFonts w:ascii="Times New Roman" w:hAnsi="Times New Roman" w:eastAsia="宋体"/>
        </w:rPr>
      </w:pPr>
      <w:r>
        <w:rPr>
          <w:rFonts w:hint="eastAsia" w:ascii="宋体" w:hAnsi="宋体" w:eastAsia="宋体" w:cs="宋体"/>
        </w:rPr>
        <w:t>①</w:t>
      </w:r>
      <w:r>
        <w:rPr>
          <w:rFonts w:ascii="Times New Roman" w:hAnsi="Times New Roman" w:eastAsia="宋体"/>
        </w:rPr>
        <w:t>事故发生的直接缘由</w:t>
      </w:r>
    </w:p>
    <w:p w14:paraId="5A2AF497">
      <w:pPr>
        <w:ind w:firstLine="560"/>
        <w:rPr>
          <w:rFonts w:ascii="Times New Roman" w:hAnsi="Times New Roman" w:eastAsia="宋体"/>
        </w:rPr>
      </w:pPr>
      <w:r>
        <w:rPr>
          <w:rFonts w:ascii="Times New Roman" w:hAnsi="Times New Roman" w:eastAsia="宋体"/>
        </w:rPr>
        <w:t>施工单位施工人员严峻违反施工安全管理规定，安装潜油泵过程中将油罐注水抽出，造成油罐及操作井口油气积聚。在当天无动火作业安排、没有办理动火作业票的状况下，施工人员擅自变更作业地点，在靠近油罐口的区域内进行动火作业，造成闪爆。</w:t>
      </w:r>
    </w:p>
    <w:p w14:paraId="3CF63493">
      <w:pPr>
        <w:ind w:firstLine="560"/>
        <w:rPr>
          <w:rFonts w:ascii="Times New Roman" w:hAnsi="Times New Roman" w:eastAsia="宋体"/>
        </w:rPr>
      </w:pPr>
      <w:r>
        <w:rPr>
          <w:rFonts w:hint="eastAsia" w:ascii="宋体" w:hAnsi="宋体" w:eastAsia="宋体" w:cs="宋体"/>
        </w:rPr>
        <w:t>②</w:t>
      </w:r>
      <w:r>
        <w:rPr>
          <w:rFonts w:ascii="Times New Roman" w:hAnsi="Times New Roman" w:eastAsia="宋体"/>
        </w:rPr>
        <w:t>事故发生的间接缘由</w:t>
      </w:r>
    </w:p>
    <w:p w14:paraId="4C4BBE93">
      <w:pPr>
        <w:ind w:firstLine="560"/>
        <w:rPr>
          <w:rFonts w:ascii="Times New Roman" w:hAnsi="Times New Roman" w:eastAsia="宋体"/>
        </w:rPr>
      </w:pPr>
      <w:r>
        <w:rPr>
          <w:rFonts w:ascii="Times New Roman" w:hAnsi="Times New Roman" w:eastAsia="宋体"/>
        </w:rPr>
        <w:t>a.济南分公司没有落实集团公司新、改、扩建项目</w:t>
      </w:r>
      <w:r>
        <w:rPr>
          <w:rFonts w:hint="eastAsia" w:ascii="Times New Roman" w:hAnsi="Times New Roman" w:eastAsia="宋体"/>
        </w:rPr>
        <w:t>“</w:t>
      </w:r>
      <w:r>
        <w:rPr>
          <w:rFonts w:ascii="Times New Roman" w:hAnsi="Times New Roman" w:eastAsia="宋体"/>
        </w:rPr>
        <w:t>三同时</w:t>
      </w:r>
      <w:r>
        <w:rPr>
          <w:rFonts w:hint="eastAsia" w:ascii="Times New Roman" w:hAnsi="Times New Roman" w:eastAsia="宋体"/>
        </w:rPr>
        <w:t>”</w:t>
      </w:r>
      <w:r>
        <w:rPr>
          <w:rFonts w:ascii="Times New Roman" w:hAnsi="Times New Roman" w:eastAsia="宋体"/>
        </w:rPr>
        <w:t>管理规定，对施工单位资质审查不严，导致不具备施工资质的单位进站施工，为事故的发生埋下了隐患。</w:t>
      </w:r>
    </w:p>
    <w:p w14:paraId="10DAD8B5">
      <w:pPr>
        <w:ind w:firstLine="560"/>
        <w:rPr>
          <w:rFonts w:ascii="Times New Roman" w:hAnsi="Times New Roman" w:eastAsia="宋体"/>
        </w:rPr>
      </w:pPr>
      <w:r>
        <w:rPr>
          <w:rFonts w:ascii="Times New Roman" w:hAnsi="Times New Roman" w:eastAsia="宋体"/>
        </w:rPr>
        <w:t>b.济南分公司企管部门负责加油站改造项目，没有制定施工安全管理措施，对施工现场的监督检查流于形式，对安全防护、作业票开具、施工人员持证上岗等方面无一条检查记录，无一条整改要求，对该站施工中多次动火仅办理了一张动火作业票的事实视而不见。</w:t>
      </w:r>
    </w:p>
    <w:p w14:paraId="36B86049">
      <w:pPr>
        <w:ind w:firstLine="560"/>
        <w:rPr>
          <w:rFonts w:ascii="Times New Roman" w:hAnsi="Times New Roman" w:eastAsia="宋体"/>
        </w:rPr>
      </w:pPr>
      <w:r>
        <w:rPr>
          <w:rFonts w:ascii="Times New Roman" w:hAnsi="Times New Roman" w:eastAsia="宋体"/>
        </w:rPr>
        <w:t>c.施工现场监管严重失职，现场监管责任人（站长）对动火等重大安全作业监管不力，现场安全监督职责未执行到位。</w:t>
      </w:r>
    </w:p>
    <w:p w14:paraId="5A52A3C3">
      <w:pPr>
        <w:ind w:firstLine="560"/>
        <w:rPr>
          <w:rFonts w:ascii="Times New Roman" w:hAnsi="Times New Roman" w:eastAsia="宋体"/>
        </w:rPr>
      </w:pPr>
      <w:r>
        <w:rPr>
          <w:rFonts w:ascii="Times New Roman" w:hAnsi="Times New Roman" w:eastAsia="宋体"/>
        </w:rPr>
        <w:t>d.济南分公司对施工人员安全教化制度落实不到位，对外来施工人员安全教化没有针对性、走过场，施工人员对危害不了解，违规施工成为必定。</w:t>
      </w:r>
    </w:p>
    <w:p w14:paraId="2F61687A">
      <w:pPr>
        <w:ind w:firstLine="560"/>
        <w:rPr>
          <w:rFonts w:ascii="Times New Roman" w:hAnsi="Times New Roman" w:eastAsia="宋体"/>
        </w:rPr>
      </w:pPr>
      <w:r>
        <w:rPr>
          <w:rFonts w:ascii="Times New Roman" w:hAnsi="Times New Roman" w:eastAsia="宋体"/>
        </w:rPr>
        <w:t>（3）事故教训</w:t>
      </w:r>
    </w:p>
    <w:p w14:paraId="1C42211A">
      <w:pPr>
        <w:ind w:firstLine="560"/>
        <w:rPr>
          <w:rFonts w:ascii="Times New Roman" w:hAnsi="Times New Roman" w:eastAsia="宋体"/>
        </w:rPr>
      </w:pPr>
      <w:r>
        <w:rPr>
          <w:rFonts w:ascii="Times New Roman" w:hAnsi="Times New Roman" w:eastAsia="宋体"/>
        </w:rPr>
        <w:t>这起事故充分暴露出安全管理中存在的漏洞，尤其是对施工单位和作业现场安全监管上存在的缺陷，主要表现在：对施工方审核不严；各级管理人员安全防范意识淡薄、责任心不强；对施工方进场施工安全教化流于形式；放松了对施工现场安全监管，存在</w:t>
      </w:r>
      <w:r>
        <w:rPr>
          <w:rFonts w:hint="eastAsia" w:ascii="Times New Roman" w:hAnsi="Times New Roman" w:eastAsia="宋体"/>
        </w:rPr>
        <w:t>“</w:t>
      </w:r>
      <w:r>
        <w:rPr>
          <w:rFonts w:ascii="Times New Roman" w:hAnsi="Times New Roman" w:eastAsia="宋体"/>
        </w:rPr>
        <w:t>以包代管</w:t>
      </w:r>
      <w:r>
        <w:rPr>
          <w:rFonts w:hint="eastAsia" w:ascii="Times New Roman" w:hAnsi="Times New Roman" w:eastAsia="宋体"/>
        </w:rPr>
        <w:t>”</w:t>
      </w:r>
      <w:r>
        <w:rPr>
          <w:rFonts w:ascii="Times New Roman" w:hAnsi="Times New Roman" w:eastAsia="宋体"/>
        </w:rPr>
        <w:t>现象。</w:t>
      </w:r>
    </w:p>
    <w:p w14:paraId="6DEA03E3">
      <w:pPr>
        <w:ind w:firstLine="560"/>
        <w:rPr>
          <w:rFonts w:ascii="Times New Roman" w:hAnsi="Times New Roman" w:eastAsia="宋体"/>
        </w:rPr>
      </w:pPr>
      <w:r>
        <w:rPr>
          <w:rFonts w:ascii="Times New Roman" w:hAnsi="Times New Roman" w:eastAsia="宋体"/>
        </w:rPr>
        <w:t>以上加油站火灾、爆炸事故2例案例，从事故案例的分析来看，发生火灾事故的加油站都存在违规建设和违章操作。因此在加油站的设计和施工建设中应严格按《汽车加油加气加氢站技术标准》（GB50156-2021）要求进行。</w:t>
      </w:r>
    </w:p>
    <w:p w14:paraId="4897D492">
      <w:pPr>
        <w:ind w:firstLine="560"/>
        <w:rPr>
          <w:rFonts w:ascii="Times New Roman" w:hAnsi="Times New Roman" w:eastAsia="宋体"/>
        </w:rPr>
      </w:pPr>
      <w:r>
        <w:rPr>
          <w:rFonts w:ascii="Times New Roman" w:hAnsi="Times New Roman" w:eastAsia="宋体"/>
        </w:rPr>
        <w:br w:type="page"/>
      </w:r>
    </w:p>
    <w:p w14:paraId="6DDF1E79">
      <w:pPr>
        <w:spacing w:before="468" w:beforeLines="150" w:after="468" w:afterLines="150"/>
        <w:ind w:firstLine="0" w:firstLineChars="0"/>
        <w:jc w:val="center"/>
        <w:outlineLvl w:val="0"/>
        <w:rPr>
          <w:rFonts w:ascii="Times New Roman" w:hAnsi="Times New Roman" w:eastAsia="黑体" w:cs="Times New Roman"/>
          <w:b/>
          <w:bCs/>
          <w:sz w:val="32"/>
          <w:szCs w:val="32"/>
        </w:rPr>
      </w:pPr>
      <w:bookmarkStart w:id="68" w:name="_Toc218437751"/>
      <w:r>
        <w:rPr>
          <w:rFonts w:ascii="Times New Roman" w:hAnsi="Times New Roman" w:eastAsia="黑体" w:cs="Times New Roman"/>
          <w:b/>
          <w:bCs/>
          <w:sz w:val="32"/>
          <w:szCs w:val="32"/>
        </w:rPr>
        <w:t>7安全设施的施工、检验、检测和调试情况</w:t>
      </w:r>
      <w:bookmarkEnd w:id="68"/>
    </w:p>
    <w:p w14:paraId="23A0F0C9">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69" w:name="_Toc218437752"/>
      <w:r>
        <w:rPr>
          <w:rFonts w:ascii="Times New Roman" w:hAnsi="Times New Roman" w:eastAsia="楷体" w:cs="Times New Roman"/>
          <w:b/>
          <w:bCs/>
          <w:sz w:val="32"/>
          <w:szCs w:val="32"/>
        </w:rPr>
        <w:t>7.1安全设施的施工质量情况</w:t>
      </w:r>
      <w:bookmarkEnd w:id="69"/>
    </w:p>
    <w:p w14:paraId="704206FD">
      <w:pPr>
        <w:ind w:firstLine="560"/>
        <w:rPr>
          <w:rFonts w:ascii="Times New Roman" w:hAnsi="Times New Roman" w:eastAsia="宋体"/>
        </w:rPr>
      </w:pPr>
      <w:r>
        <w:rPr>
          <w:rFonts w:hint="eastAsia" w:ascii="Times New Roman" w:hAnsi="Times New Roman" w:eastAsia="宋体"/>
        </w:rPr>
        <w:t>本</w:t>
      </w:r>
      <w:r>
        <w:rPr>
          <w:rFonts w:ascii="Times New Roman" w:hAnsi="Times New Roman" w:eastAsia="宋体"/>
        </w:rPr>
        <w:t>项目设计单位是</w:t>
      </w:r>
      <w:r>
        <w:rPr>
          <w:rFonts w:hint="eastAsia" w:ascii="Times New Roman" w:hAnsi="Times New Roman" w:eastAsia="宋体"/>
        </w:rPr>
        <w:t>歆辰设计集团有限公司：</w:t>
      </w:r>
      <w:r>
        <w:rPr>
          <w:rFonts w:ascii="Times New Roman" w:hAnsi="Times New Roman" w:eastAsia="宋体"/>
        </w:rPr>
        <w:t>化工石化医药行业乙级等，满足本项目要求；本项目安全设施施工承包单位</w:t>
      </w:r>
      <w:r>
        <w:rPr>
          <w:rFonts w:hint="eastAsia" w:ascii="Times New Roman" w:hAnsi="Times New Roman" w:eastAsia="宋体"/>
        </w:rPr>
        <w:t>是</w:t>
      </w:r>
      <w:r>
        <w:rPr>
          <w:rFonts w:ascii="Times New Roman" w:hAnsi="Times New Roman" w:eastAsia="宋体"/>
        </w:rPr>
        <w:t>辽宁光磊建设工程有限公司：石油化工工程施工总承包贰级等</w:t>
      </w:r>
      <w:r>
        <w:rPr>
          <w:rFonts w:hint="eastAsia" w:ascii="Times New Roman" w:hAnsi="Times New Roman" w:eastAsia="宋体"/>
        </w:rPr>
        <w:t>，</w:t>
      </w:r>
      <w:r>
        <w:rPr>
          <w:rFonts w:ascii="Times New Roman" w:hAnsi="Times New Roman" w:eastAsia="宋体"/>
        </w:rPr>
        <w:t>承包工程范围满足本项目要求</w:t>
      </w:r>
      <w:r>
        <w:rPr>
          <w:rFonts w:hint="eastAsia" w:ascii="Times New Roman" w:hAnsi="Times New Roman" w:eastAsia="宋体"/>
        </w:rPr>
        <w:t>。</w:t>
      </w:r>
    </w:p>
    <w:p w14:paraId="30130C0D">
      <w:pPr>
        <w:ind w:firstLine="560"/>
        <w:rPr>
          <w:rFonts w:ascii="Times New Roman" w:hAnsi="Times New Roman" w:eastAsia="宋体"/>
        </w:rPr>
      </w:pPr>
      <w:r>
        <w:rPr>
          <w:rFonts w:hint="eastAsia" w:ascii="Times New Roman" w:hAnsi="Times New Roman" w:eastAsia="宋体"/>
        </w:rPr>
        <w:t>歆辰设计集团有限公司</w:t>
      </w:r>
      <w:r>
        <w:rPr>
          <w:rFonts w:ascii="Times New Roman" w:hAnsi="Times New Roman" w:eastAsia="宋体"/>
        </w:rPr>
        <w:t>承担了</w:t>
      </w:r>
      <w:r>
        <w:rPr>
          <w:rFonts w:hint="eastAsia" w:ascii="Times New Roman" w:hAnsi="Times New Roman" w:eastAsia="宋体"/>
        </w:rPr>
        <w:t>本</w:t>
      </w:r>
      <w:r>
        <w:rPr>
          <w:rFonts w:ascii="Times New Roman" w:hAnsi="Times New Roman" w:eastAsia="宋体"/>
        </w:rPr>
        <w:t>项目的设计，在设计阶段根据建设项目的特点和过程的危险源及危险和有害因素分析的结果，严格执行现行国家、行业及地方相关法律、法规、标准和规范规定的要求，基于本质安全设计、事故预防优先、可靠性优先等设计原则，采取具有针对性、可操作性和经济合理的安全设施。</w:t>
      </w:r>
    </w:p>
    <w:p w14:paraId="65C2172D">
      <w:pPr>
        <w:ind w:firstLine="560"/>
        <w:rPr>
          <w:rFonts w:ascii="Times New Roman" w:hAnsi="Times New Roman" w:eastAsia="宋体"/>
        </w:rPr>
      </w:pPr>
      <w:r>
        <w:rPr>
          <w:rFonts w:ascii="Times New Roman" w:hAnsi="Times New Roman" w:eastAsia="宋体"/>
        </w:rPr>
        <w:t>辽宁光磊建设工程有限公司承担了</w:t>
      </w:r>
      <w:r>
        <w:rPr>
          <w:rFonts w:hint="eastAsia" w:ascii="Times New Roman" w:hAnsi="Times New Roman" w:eastAsia="宋体"/>
        </w:rPr>
        <w:t>本</w:t>
      </w:r>
      <w:r>
        <w:rPr>
          <w:rFonts w:ascii="Times New Roman" w:hAnsi="Times New Roman" w:eastAsia="宋体"/>
        </w:rPr>
        <w:t>项目的施工建设，施工前期已制定了全套施工方案及质量保证体系，施工过程中，从原材料的进场检验到土建施工及设备安装过程严格受控于施工方案及质量保证体系，具体落实到每个责任人，确保施工质量合格。</w:t>
      </w:r>
    </w:p>
    <w:p w14:paraId="62000BFC">
      <w:pPr>
        <w:keepNext/>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70" w:name="_Toc218437753"/>
      <w:r>
        <w:rPr>
          <w:rFonts w:ascii="Times New Roman" w:hAnsi="Times New Roman" w:eastAsia="楷体" w:cs="Times New Roman"/>
          <w:b/>
          <w:bCs/>
          <w:sz w:val="32"/>
          <w:szCs w:val="32"/>
        </w:rPr>
        <w:t>7.2安全设施在施工前后的检验、检测情况及有效性情况</w:t>
      </w:r>
      <w:bookmarkEnd w:id="70"/>
    </w:p>
    <w:p w14:paraId="36D8BF4E">
      <w:pPr>
        <w:ind w:firstLine="560"/>
        <w:rPr>
          <w:rFonts w:ascii="Times New Roman" w:hAnsi="Times New Roman" w:eastAsia="宋体"/>
        </w:rPr>
      </w:pPr>
      <w:r>
        <w:rPr>
          <w:rFonts w:ascii="Times New Roman" w:hAnsi="Times New Roman" w:eastAsia="宋体"/>
        </w:rPr>
        <w:t>本项目的安全设施在施工进场前，都有专职工程师对照设计蓝图检验是否符合设计要求，同时查验相关质量文件是否齐全，液位仪、防渗漏检测等检测报警设施都进行了报验，进场检查全部合格后，进行现场安装。防雷接地工程施工过程中，对防雷设施用接地摇表测量，未经负责人员验收合格的地下工程，绝不允许回填。</w:t>
      </w:r>
    </w:p>
    <w:p w14:paraId="342FD75F">
      <w:pPr>
        <w:ind w:firstLine="560"/>
        <w:rPr>
          <w:rFonts w:ascii="Times New Roman" w:hAnsi="Times New Roman" w:eastAsia="宋体"/>
        </w:rPr>
      </w:pPr>
      <w:r>
        <w:rPr>
          <w:rFonts w:ascii="Times New Roman" w:hAnsi="Times New Roman" w:eastAsia="宋体"/>
        </w:rPr>
        <w:t>项目施工结束后，对液位仪、防渗漏检测仪、防雷（静电）设施、防火涂料、消防设施等安全设施进行了检验，检验结论都为有效，相关检验报告或合格证见附件。</w:t>
      </w:r>
    </w:p>
    <w:p w14:paraId="2A662EA8">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71" w:name="_Toc218437754"/>
      <w:r>
        <w:rPr>
          <w:rFonts w:ascii="Times New Roman" w:hAnsi="Times New Roman" w:eastAsia="楷体" w:cs="Times New Roman"/>
          <w:b/>
          <w:bCs/>
          <w:sz w:val="32"/>
          <w:szCs w:val="32"/>
        </w:rPr>
        <w:t>7.3安全设施试生产（使用）前的调试情况</w:t>
      </w:r>
      <w:bookmarkEnd w:id="71"/>
    </w:p>
    <w:p w14:paraId="0F392850">
      <w:pPr>
        <w:ind w:firstLine="560"/>
        <w:rPr>
          <w:rFonts w:ascii="Times New Roman" w:hAnsi="Times New Roman" w:eastAsia="宋体"/>
        </w:rPr>
      </w:pPr>
      <w:r>
        <w:rPr>
          <w:rFonts w:ascii="Times New Roman" w:hAnsi="Times New Roman" w:eastAsia="宋体"/>
        </w:rPr>
        <w:t>在试</w:t>
      </w:r>
      <w:r>
        <w:rPr>
          <w:rFonts w:hint="eastAsia" w:ascii="Times New Roman" w:hAnsi="Times New Roman" w:eastAsia="宋体"/>
        </w:rPr>
        <w:t>运行</w:t>
      </w:r>
      <w:r>
        <w:rPr>
          <w:rFonts w:ascii="Times New Roman" w:hAnsi="Times New Roman" w:eastAsia="宋体"/>
        </w:rPr>
        <w:t>前，本项目的主要负责人、安全管理</w:t>
      </w:r>
      <w:r>
        <w:rPr>
          <w:rFonts w:hint="eastAsia" w:ascii="Times New Roman" w:hAnsi="Times New Roman" w:eastAsia="宋体"/>
        </w:rPr>
        <w:t>员</w:t>
      </w:r>
      <w:r>
        <w:rPr>
          <w:rFonts w:ascii="Times New Roman" w:hAnsi="Times New Roman" w:eastAsia="宋体"/>
        </w:rPr>
        <w:t>、维护人员共同对油罐液位监测系统、防渗检测系统及安全设施等进行了检验、检测和调试，保证了安全设施能够正常发挥作用。</w:t>
      </w:r>
    </w:p>
    <w:p w14:paraId="70BA3AEB">
      <w:pPr>
        <w:ind w:firstLine="560"/>
        <w:rPr>
          <w:rFonts w:ascii="Times New Roman" w:hAnsi="Times New Roman" w:eastAsia="宋体"/>
        </w:rPr>
      </w:pPr>
      <w:r>
        <w:rPr>
          <w:rFonts w:ascii="Times New Roman" w:hAnsi="Times New Roman" w:eastAsia="宋体"/>
        </w:rPr>
        <w:br w:type="page"/>
      </w:r>
    </w:p>
    <w:p w14:paraId="3372158C">
      <w:pPr>
        <w:spacing w:before="468" w:beforeLines="150" w:after="468" w:afterLines="150"/>
        <w:ind w:firstLine="0" w:firstLineChars="0"/>
        <w:jc w:val="center"/>
        <w:outlineLvl w:val="0"/>
        <w:rPr>
          <w:rFonts w:ascii="Times New Roman" w:hAnsi="Times New Roman" w:eastAsia="黑体" w:cs="Times New Roman"/>
          <w:b/>
          <w:bCs/>
          <w:sz w:val="32"/>
          <w:szCs w:val="32"/>
        </w:rPr>
      </w:pPr>
      <w:bookmarkStart w:id="72" w:name="_Toc218437755"/>
      <w:r>
        <w:rPr>
          <w:rFonts w:ascii="Times New Roman" w:hAnsi="Times New Roman" w:eastAsia="黑体" w:cs="Times New Roman"/>
          <w:b/>
          <w:bCs/>
          <w:sz w:val="32"/>
          <w:szCs w:val="32"/>
        </w:rPr>
        <w:t>8结论和建议</w:t>
      </w:r>
      <w:bookmarkEnd w:id="72"/>
    </w:p>
    <w:p w14:paraId="3AB173AD">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73" w:name="_Toc218437756"/>
      <w:r>
        <w:rPr>
          <w:rFonts w:ascii="Times New Roman" w:hAnsi="Times New Roman" w:eastAsia="楷体" w:cs="Times New Roman"/>
          <w:b/>
          <w:bCs/>
          <w:sz w:val="32"/>
          <w:szCs w:val="32"/>
        </w:rPr>
        <w:t>8.1结论</w:t>
      </w:r>
      <w:bookmarkEnd w:id="73"/>
    </w:p>
    <w:p w14:paraId="44AF8931">
      <w:pPr>
        <w:ind w:firstLine="560"/>
        <w:rPr>
          <w:rFonts w:ascii="Times New Roman" w:hAnsi="Times New Roman" w:eastAsia="宋体"/>
        </w:rPr>
      </w:pPr>
      <w:r>
        <w:rPr>
          <w:rFonts w:ascii="Times New Roman" w:hAnsi="Times New Roman" w:eastAsia="宋体"/>
        </w:rPr>
        <w:t>根据国家现行有关安全生产法律、法规、部门规章、标准、规范的规定和要求，对</w:t>
      </w:r>
      <w:r>
        <w:rPr>
          <w:rFonts w:hint="eastAsia" w:ascii="Times New Roman" w:hAnsi="Times New Roman" w:eastAsia="宋体"/>
          <w:lang w:eastAsia="zh-CN"/>
        </w:rPr>
        <w:t>沈阳市于洪区大兴乡星火特加油站改建项目</w:t>
      </w:r>
      <w:r>
        <w:rPr>
          <w:rFonts w:ascii="Times New Roman" w:hAnsi="Times New Roman" w:eastAsia="宋体"/>
        </w:rPr>
        <w:t>进行现场核查后，得出安全评价结论。</w:t>
      </w:r>
    </w:p>
    <w:p w14:paraId="1D2EF25F">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8.1.1建设项目所在地的安全条件和与周边的安全防护距离</w:t>
      </w:r>
    </w:p>
    <w:p w14:paraId="1679B3E0">
      <w:pPr>
        <w:ind w:firstLine="560"/>
        <w:rPr>
          <w:rFonts w:ascii="Times New Roman" w:hAnsi="Times New Roman" w:eastAsia="宋体"/>
        </w:rPr>
      </w:pPr>
      <w:r>
        <w:rPr>
          <w:rFonts w:ascii="Times New Roman" w:hAnsi="Times New Roman" w:eastAsia="宋体"/>
        </w:rPr>
        <w:t>本项目与站外其它企业建筑物、设施的安全间距符合《汽车加油加气加氢站技术标准》（GB50156-2021）第4.0.4条的要求。</w:t>
      </w:r>
    </w:p>
    <w:p w14:paraId="55F6513F">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8.1.2建设项目安全设施设计的采纳情况及其安全设施水平</w:t>
      </w:r>
    </w:p>
    <w:p w14:paraId="6597B28E">
      <w:pPr>
        <w:ind w:firstLine="560"/>
        <w:rPr>
          <w:rFonts w:ascii="Times New Roman" w:hAnsi="Times New Roman" w:eastAsia="宋体"/>
        </w:rPr>
      </w:pPr>
      <w:r>
        <w:rPr>
          <w:rFonts w:ascii="Times New Roman" w:hAnsi="Times New Roman" w:eastAsia="宋体"/>
        </w:rPr>
        <w:t>（1）安全设施设计的采纳情况</w:t>
      </w:r>
    </w:p>
    <w:p w14:paraId="07A9D52B">
      <w:pPr>
        <w:ind w:firstLine="560"/>
        <w:rPr>
          <w:rFonts w:ascii="Times New Roman" w:hAnsi="Times New Roman" w:eastAsia="宋体"/>
        </w:rPr>
      </w:pPr>
      <w:r>
        <w:rPr>
          <w:rFonts w:ascii="Times New Roman" w:hAnsi="Times New Roman" w:eastAsia="宋体"/>
        </w:rPr>
        <w:t>本项目的全部采纳了安全设施设计专篇提出的要求，安全设施设置较为完善，安全状态良好，需要检验检测的安全设施经检验检测合格，处于有效期内。</w:t>
      </w:r>
    </w:p>
    <w:p w14:paraId="19639576">
      <w:pPr>
        <w:ind w:firstLine="560"/>
        <w:rPr>
          <w:rFonts w:ascii="Times New Roman" w:hAnsi="Times New Roman" w:eastAsia="宋体"/>
        </w:rPr>
      </w:pPr>
      <w:r>
        <w:rPr>
          <w:rFonts w:ascii="Times New Roman" w:hAnsi="Times New Roman" w:eastAsia="宋体"/>
        </w:rPr>
        <w:t>（2）采纳的安全设施水平</w:t>
      </w:r>
    </w:p>
    <w:p w14:paraId="1C69843F">
      <w:pPr>
        <w:ind w:firstLine="560"/>
        <w:rPr>
          <w:rFonts w:ascii="Times New Roman" w:hAnsi="Times New Roman" w:eastAsia="宋体"/>
        </w:rPr>
      </w:pPr>
      <w:r>
        <w:rPr>
          <w:rFonts w:ascii="Times New Roman" w:hAnsi="Times New Roman" w:eastAsia="宋体"/>
        </w:rPr>
        <w:t>本项目现场的安全设施为目前国内领先水平。</w:t>
      </w:r>
    </w:p>
    <w:p w14:paraId="17031717">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8.1.3技术、工艺和设备、设施的安全、可靠性和安全水平</w:t>
      </w:r>
    </w:p>
    <w:p w14:paraId="6C999BA7">
      <w:pPr>
        <w:ind w:firstLine="560"/>
        <w:rPr>
          <w:rFonts w:ascii="Times New Roman" w:hAnsi="Times New Roman" w:eastAsia="宋体"/>
        </w:rPr>
      </w:pPr>
      <w:r>
        <w:rPr>
          <w:rFonts w:ascii="Times New Roman" w:hAnsi="Times New Roman" w:eastAsia="宋体"/>
        </w:rPr>
        <w:t>采用成熟的工艺技术，具有安全可靠性；选用的设备系专业制造商生产，具有安全可靠性；防雷防静电设施均经相关机构检测合格，具有安全可靠性；各设备、设施日常管理、维护较好，具有较高的安全水平，能够满足安全生产的要求。</w:t>
      </w:r>
    </w:p>
    <w:p w14:paraId="5BF54EC0">
      <w:pPr>
        <w:keepNext/>
        <w:keepLines/>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8.1.4建设项目试生产（使用）中发现的设计缺陷和事故隐患及其整改情况</w:t>
      </w:r>
    </w:p>
    <w:p w14:paraId="6CDB09F8">
      <w:pPr>
        <w:ind w:firstLine="560"/>
        <w:rPr>
          <w:rFonts w:ascii="Times New Roman" w:hAnsi="Times New Roman" w:eastAsia="宋体"/>
        </w:rPr>
      </w:pPr>
      <w:r>
        <w:rPr>
          <w:rFonts w:ascii="Times New Roman" w:hAnsi="Times New Roman" w:eastAsia="宋体"/>
        </w:rPr>
        <w:t>评价组通过现场检查和核查该公司提供的相关工程技术资料，从本项目平面布置、工艺设计、设备设施、自动控制、供配电、消防、有害因素控制措施、安全管理措施等方面编制了安全检查表进行检查，</w:t>
      </w:r>
      <w:r>
        <w:rPr>
          <w:rFonts w:hint="eastAsia" w:ascii="Times New Roman" w:hAnsi="Times New Roman" w:eastAsia="宋体"/>
        </w:rPr>
        <w:t>均符合相关标准要求</w:t>
      </w:r>
      <w:r>
        <w:rPr>
          <w:rFonts w:ascii="Times New Roman" w:hAnsi="Times New Roman" w:eastAsia="宋体"/>
        </w:rPr>
        <w:t>。</w:t>
      </w:r>
      <w:r>
        <w:rPr>
          <w:rFonts w:hint="eastAsia" w:ascii="Times New Roman" w:hAnsi="Times New Roman" w:eastAsia="宋体"/>
        </w:rPr>
        <w:t>企业已按照相关标准规范对其进行整改，</w:t>
      </w:r>
      <w:r>
        <w:rPr>
          <w:rFonts w:ascii="Times New Roman" w:hAnsi="Times New Roman" w:eastAsia="宋体"/>
        </w:rPr>
        <w:t>本项目在试运行过程中未出现设计缺陷和事故隐患。目前，本项目试运行状况良好、稳定，具备了安全验收的基本条件。</w:t>
      </w:r>
    </w:p>
    <w:p w14:paraId="2A1A505A">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8.1.5建设项目具备的安全生产条件</w:t>
      </w:r>
    </w:p>
    <w:p w14:paraId="5AD8E23C">
      <w:pPr>
        <w:ind w:firstLine="560"/>
        <w:rPr>
          <w:rFonts w:ascii="Times New Roman" w:hAnsi="Times New Roman" w:eastAsia="宋体"/>
        </w:rPr>
      </w:pPr>
      <w:r>
        <w:rPr>
          <w:rFonts w:hint="eastAsia" w:ascii="Times New Roman" w:hAnsi="Times New Roman" w:eastAsia="宋体"/>
        </w:rPr>
        <w:t>本</w:t>
      </w:r>
      <w:r>
        <w:rPr>
          <w:rFonts w:ascii="Times New Roman" w:hAnsi="Times New Roman" w:eastAsia="宋体"/>
        </w:rPr>
        <w:t>项目</w:t>
      </w:r>
      <w:r>
        <w:rPr>
          <w:rFonts w:hint="eastAsia" w:ascii="Times New Roman" w:hAnsi="Times New Roman" w:eastAsia="宋体"/>
        </w:rPr>
        <w:t>选址</w:t>
      </w:r>
      <w:r>
        <w:rPr>
          <w:rFonts w:ascii="Times New Roman" w:hAnsi="Times New Roman" w:eastAsia="宋体"/>
        </w:rPr>
        <w:t>符合有关规划、环境保护和防火安全的要求，并选在交通便利、用户使用方便的地点</w:t>
      </w:r>
      <w:r>
        <w:rPr>
          <w:rFonts w:hint="eastAsia" w:ascii="Times New Roman" w:hAnsi="Times New Roman" w:eastAsia="宋体"/>
        </w:rPr>
        <w:t>。</w:t>
      </w:r>
    </w:p>
    <w:p w14:paraId="4E895DD8">
      <w:pPr>
        <w:ind w:firstLine="560"/>
        <w:rPr>
          <w:rFonts w:ascii="Times New Roman" w:hAnsi="Times New Roman" w:eastAsia="宋体"/>
        </w:rPr>
      </w:pPr>
      <w:r>
        <w:rPr>
          <w:rFonts w:hint="eastAsia" w:ascii="Times New Roman" w:hAnsi="Times New Roman" w:eastAsia="宋体"/>
        </w:rPr>
        <w:t>本项目</w:t>
      </w:r>
      <w:r>
        <w:rPr>
          <w:rFonts w:ascii="Times New Roman" w:hAnsi="Times New Roman" w:eastAsia="宋体"/>
        </w:rPr>
        <w:t>与站外其它企业建筑物、设施的安全间距符合《汽车加油加气加氢站技术标准》（GB50156-2021）第4.0.4条的要求。</w:t>
      </w:r>
    </w:p>
    <w:p w14:paraId="06E1F672">
      <w:pPr>
        <w:keepNext/>
        <w:keepLines/>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74" w:name="_Toc218437757"/>
      <w:r>
        <w:rPr>
          <w:rFonts w:ascii="Times New Roman" w:hAnsi="Times New Roman" w:eastAsia="楷体" w:cs="Times New Roman"/>
          <w:b/>
          <w:bCs/>
          <w:sz w:val="32"/>
          <w:szCs w:val="32"/>
        </w:rPr>
        <w:t>8.2对建设项目的建议</w:t>
      </w:r>
      <w:bookmarkEnd w:id="74"/>
    </w:p>
    <w:p w14:paraId="25B83820">
      <w:pPr>
        <w:ind w:firstLine="560"/>
        <w:rPr>
          <w:rFonts w:ascii="Times New Roman" w:hAnsi="Times New Roman" w:eastAsia="宋体"/>
        </w:rPr>
      </w:pPr>
      <w:r>
        <w:rPr>
          <w:rFonts w:ascii="Times New Roman" w:hAnsi="Times New Roman" w:eastAsia="宋体"/>
        </w:rPr>
        <w:t>依据国家有关安全生产法律、法规和部门规章及标准，为确保本项目投产后实现长周期安全、平稳运行，保障作业人员身体健康，从区域安全、生产装置运行安全及持续改进的角度出发，提出如下几方面建议。</w:t>
      </w:r>
    </w:p>
    <w:p w14:paraId="274DECC2">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8.2.1安全设施的更新与改进建议</w:t>
      </w:r>
    </w:p>
    <w:p w14:paraId="73808CBD">
      <w:pPr>
        <w:ind w:firstLine="560"/>
        <w:rPr>
          <w:rFonts w:ascii="Times New Roman" w:hAnsi="Times New Roman" w:eastAsia="宋体"/>
        </w:rPr>
      </w:pPr>
      <w:r>
        <w:rPr>
          <w:rFonts w:ascii="Times New Roman" w:hAnsi="Times New Roman" w:eastAsia="宋体"/>
        </w:rPr>
        <w:t>（1）应重点提高爆炸危险区内的防火防爆安全管理水平，定期开展各类设施、设备的检查、检验、检测，确保安全设施的有效性，避免因仪表设备、设施的防爆功能下降和失效产生潜在的引火源，消除各类安全隐患。</w:t>
      </w:r>
    </w:p>
    <w:p w14:paraId="25A42CB1">
      <w:pPr>
        <w:ind w:firstLine="560"/>
        <w:rPr>
          <w:rFonts w:ascii="Times New Roman" w:hAnsi="Times New Roman" w:eastAsia="宋体"/>
        </w:rPr>
      </w:pPr>
      <w:r>
        <w:rPr>
          <w:rFonts w:ascii="Times New Roman" w:hAnsi="Times New Roman" w:eastAsia="宋体"/>
        </w:rPr>
        <w:t>（2）做好液位检测报警、防渗漏报警等设备的定期校对、检验工作，确保其完好，正常投用。</w:t>
      </w:r>
    </w:p>
    <w:p w14:paraId="265349DC">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8.2.2安全条件和安全生产条件的完善与维护的建议</w:t>
      </w:r>
    </w:p>
    <w:p w14:paraId="6445424E">
      <w:pPr>
        <w:ind w:firstLine="560"/>
        <w:rPr>
          <w:rFonts w:ascii="Times New Roman" w:hAnsi="Times New Roman" w:eastAsia="宋体"/>
        </w:rPr>
      </w:pPr>
      <w:r>
        <w:rPr>
          <w:rFonts w:ascii="Times New Roman" w:hAnsi="Times New Roman" w:eastAsia="宋体"/>
        </w:rPr>
        <w:t>（1）</w:t>
      </w:r>
      <w:r>
        <w:rPr>
          <w:rFonts w:hint="eastAsia" w:ascii="Times New Roman" w:hAnsi="Times New Roman" w:eastAsia="宋体"/>
        </w:rPr>
        <w:t>火灾</w:t>
      </w:r>
      <w:r>
        <w:rPr>
          <w:rFonts w:ascii="Times New Roman" w:hAnsi="Times New Roman" w:eastAsia="宋体"/>
        </w:rPr>
        <w:t>事故发生都存在着潜伏期、发展初期、发展扩大期、发展后期，从安全管理理念和安全理论上讲，在发展初期的5分钟左右若能正确应对，完全可以控制事态的扩大。为此，</w:t>
      </w:r>
      <w:r>
        <w:rPr>
          <w:rFonts w:hint="eastAsia" w:ascii="Times New Roman" w:hAnsi="Times New Roman" w:eastAsia="宋体"/>
        </w:rPr>
        <w:t>企业</w:t>
      </w:r>
      <w:r>
        <w:rPr>
          <w:rFonts w:ascii="Times New Roman" w:hAnsi="Times New Roman" w:eastAsia="宋体"/>
        </w:rPr>
        <w:t>应加强应急救援预案的培训演练，并不断加强员工技能教育，定期组织开展多种形式的应急预案演练，不断对预案的实用性、可操作性进行完善，提高对事故现场的应急处置能力，防止和控制事态的扩大。</w:t>
      </w:r>
    </w:p>
    <w:p w14:paraId="500D8BD1">
      <w:pPr>
        <w:ind w:firstLine="560"/>
        <w:rPr>
          <w:rFonts w:ascii="Times New Roman" w:hAnsi="Times New Roman" w:eastAsia="宋体"/>
        </w:rPr>
      </w:pPr>
      <w:r>
        <w:rPr>
          <w:rFonts w:ascii="Times New Roman" w:hAnsi="Times New Roman" w:eastAsia="宋体"/>
        </w:rPr>
        <w:t>（2）企业应提高现场管理水平，对加油站经营过程中出现的渗漏、滴漏等低标准问题要及时整改。同时对应急防护设施及抢险器材，应定期检查维护，确保其完好有效。</w:t>
      </w:r>
    </w:p>
    <w:p w14:paraId="32B9B6D4">
      <w:pPr>
        <w:ind w:firstLine="560"/>
        <w:rPr>
          <w:rFonts w:ascii="Times New Roman" w:hAnsi="Times New Roman" w:eastAsia="宋体"/>
        </w:rPr>
      </w:pPr>
      <w:r>
        <w:rPr>
          <w:rFonts w:ascii="Times New Roman" w:hAnsi="Times New Roman" w:eastAsia="宋体"/>
        </w:rPr>
        <w:t>（3）加大现场隐患排查力度，及时整改装置运行过程中发现的问题。</w:t>
      </w:r>
    </w:p>
    <w:p w14:paraId="19A7BE0E">
      <w:pPr>
        <w:ind w:firstLine="560"/>
        <w:rPr>
          <w:rFonts w:ascii="Times New Roman" w:hAnsi="Times New Roman" w:eastAsia="宋体"/>
        </w:rPr>
      </w:pPr>
      <w:r>
        <w:rPr>
          <w:rFonts w:ascii="Times New Roman" w:hAnsi="Times New Roman" w:eastAsia="宋体"/>
        </w:rPr>
        <w:t>（4）保证若有新建的建（构）筑物应与站内现有的设备、设施、建（构）筑物的安全间距符合规定要求，特别应加强对周边后建的建（构）筑物与站内的设备、设施、建（构）筑物的安全间距的符合性进行监督，发现问题及时报告相关领导和政府有关部门。</w:t>
      </w:r>
    </w:p>
    <w:p w14:paraId="5332ED29">
      <w:pPr>
        <w:keepNext/>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8.2.3主要设备和特种设备的完善与维护的建议</w:t>
      </w:r>
    </w:p>
    <w:p w14:paraId="63C12212">
      <w:pPr>
        <w:ind w:firstLine="560"/>
        <w:rPr>
          <w:rFonts w:ascii="Times New Roman" w:hAnsi="Times New Roman" w:eastAsia="宋体"/>
        </w:rPr>
      </w:pPr>
      <w:r>
        <w:rPr>
          <w:rFonts w:ascii="Times New Roman" w:hAnsi="Times New Roman" w:eastAsia="宋体"/>
        </w:rPr>
        <w:t>本项目不存在特种设备，对本项目内的主要设备提出以下建议：</w:t>
      </w:r>
    </w:p>
    <w:p w14:paraId="03450720">
      <w:pPr>
        <w:ind w:firstLine="560"/>
        <w:rPr>
          <w:rFonts w:ascii="Times New Roman" w:hAnsi="Times New Roman" w:eastAsia="宋体"/>
        </w:rPr>
      </w:pPr>
      <w:r>
        <w:rPr>
          <w:rFonts w:ascii="Times New Roman" w:hAnsi="Times New Roman" w:eastAsia="宋体"/>
        </w:rPr>
        <w:t>（1）加强工艺、设施、设备的变更管理。变更严格按照程序进行设计、选材、施工，特别是慎重对待设备、设施更换与维修时材质的选取和焊接材料的选用及施工方法，防止改造过程中因人的随意行为导致选材错误、施工缺陷等形成的重大隐患。</w:t>
      </w:r>
    </w:p>
    <w:p w14:paraId="0A2F1066">
      <w:pPr>
        <w:ind w:firstLine="560"/>
        <w:rPr>
          <w:rFonts w:ascii="Times New Roman" w:hAnsi="Times New Roman" w:eastAsia="宋体"/>
        </w:rPr>
      </w:pPr>
      <w:r>
        <w:rPr>
          <w:rFonts w:ascii="Times New Roman" w:hAnsi="Times New Roman" w:eastAsia="宋体"/>
        </w:rPr>
        <w:t>（2）在正常经营过程中，应该从加强安全管理等方面入手，及时发现和消除由设备故障可能造成的安全隐患和危险。</w:t>
      </w:r>
    </w:p>
    <w:p w14:paraId="4A94CE41">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8.2.4安全投入</w:t>
      </w:r>
    </w:p>
    <w:p w14:paraId="49B98319">
      <w:pPr>
        <w:ind w:firstLine="560"/>
        <w:rPr>
          <w:rFonts w:ascii="Times New Roman" w:hAnsi="Times New Roman" w:eastAsia="宋体"/>
        </w:rPr>
      </w:pPr>
      <w:r>
        <w:rPr>
          <w:rFonts w:ascii="Times New Roman" w:hAnsi="Times New Roman" w:eastAsia="宋体"/>
        </w:rPr>
        <w:t>（1）随着本项目启动运行，可能暴露出一些影响安全生产的问题，如安全设施失效、设备出现故障，会给安全生产带来一定的威胁，企业应在该装置通过安全设施竣工验收以后，及时将其纳入正常的生产管理体系，建立长效的安全检查、隐患治理的管理机制。</w:t>
      </w:r>
    </w:p>
    <w:p w14:paraId="6CE72B6C">
      <w:pPr>
        <w:ind w:firstLine="560"/>
        <w:rPr>
          <w:rFonts w:ascii="Times New Roman" w:hAnsi="Times New Roman" w:eastAsia="宋体"/>
        </w:rPr>
      </w:pPr>
      <w:r>
        <w:rPr>
          <w:rFonts w:ascii="Times New Roman" w:hAnsi="Times New Roman" w:eastAsia="宋体"/>
        </w:rPr>
        <w:t>（2）企业应按要求设置专项安全资金，用于治理隐患、配置劳动防护用品、配备应急救援器材和装备、组织安全培训、设置安全奖励金等。</w:t>
      </w:r>
    </w:p>
    <w:p w14:paraId="7B79CA2A">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8.2.5其它方面的建议</w:t>
      </w:r>
    </w:p>
    <w:p w14:paraId="0A4D97E2">
      <w:pPr>
        <w:ind w:firstLine="560"/>
        <w:rPr>
          <w:rFonts w:ascii="Times New Roman" w:hAnsi="Times New Roman" w:eastAsia="宋体"/>
        </w:rPr>
      </w:pPr>
      <w:r>
        <w:rPr>
          <w:rFonts w:ascii="Times New Roman" w:hAnsi="Times New Roman" w:eastAsia="宋体"/>
        </w:rPr>
        <w:t>（</w:t>
      </w:r>
      <w:r>
        <w:rPr>
          <w:rFonts w:hint="eastAsia" w:ascii="Times New Roman" w:hAnsi="Times New Roman" w:eastAsia="宋体"/>
        </w:rPr>
        <w:t>1</w:t>
      </w:r>
      <w:r>
        <w:rPr>
          <w:rFonts w:ascii="Times New Roman" w:hAnsi="Times New Roman" w:eastAsia="宋体"/>
        </w:rPr>
        <w:t>）开展全员、全过程的危害识别和风险评价</w:t>
      </w:r>
    </w:p>
    <w:p w14:paraId="5DC87EDC">
      <w:pPr>
        <w:ind w:firstLine="560"/>
        <w:rPr>
          <w:rFonts w:ascii="Times New Roman" w:hAnsi="Times New Roman" w:eastAsia="宋体"/>
        </w:rPr>
      </w:pPr>
      <w:r>
        <w:rPr>
          <w:rFonts w:ascii="Times New Roman" w:hAnsi="Times New Roman" w:eastAsia="宋体"/>
        </w:rPr>
        <w:t>危害识别和风险评估是企业安全管理的基础，应针对本项目涉及的危险化学品车用乙醇汽油和柴油易燃、可燃特点，从以下两方面做好危害识别和风险评估工作。</w:t>
      </w:r>
    </w:p>
    <w:p w14:paraId="6FB79BE1">
      <w:pPr>
        <w:ind w:firstLine="560"/>
        <w:rPr>
          <w:rFonts w:ascii="Times New Roman" w:hAnsi="Times New Roman" w:eastAsia="宋体"/>
        </w:rPr>
      </w:pPr>
      <w:r>
        <w:rPr>
          <w:rFonts w:ascii="Times New Roman" w:hAnsi="Times New Roman" w:eastAsia="宋体" w:cs="Times New Roman"/>
        </w:rPr>
        <w:t>1）</w:t>
      </w:r>
      <w:r>
        <w:rPr>
          <w:rFonts w:ascii="Times New Roman" w:hAnsi="Times New Roman" w:eastAsia="宋体"/>
        </w:rPr>
        <w:t>全面充分地识别危险化学品的危险有害特性及操作注意事项、应急处理措施，组织培训操作人员学习掌握，达到有效地预知风险的目的。</w:t>
      </w:r>
    </w:p>
    <w:p w14:paraId="71E3FE65">
      <w:pPr>
        <w:ind w:firstLine="560"/>
        <w:rPr>
          <w:rFonts w:ascii="Times New Roman" w:hAnsi="Times New Roman" w:eastAsia="宋体"/>
        </w:rPr>
      </w:pPr>
      <w:r>
        <w:rPr>
          <w:rFonts w:ascii="Times New Roman" w:hAnsi="Times New Roman" w:eastAsia="宋体" w:cs="Times New Roman"/>
        </w:rPr>
        <w:t>2）</w:t>
      </w:r>
      <w:r>
        <w:rPr>
          <w:rFonts w:ascii="Times New Roman" w:hAnsi="Times New Roman" w:eastAsia="宋体"/>
        </w:rPr>
        <w:t>针对作业现场的各项操作、检维修施工作业，尤其是正常操作规程之外的临时作业，必须从人的不安全行为、物的不安全状态、有害的作业环境、管理缺陷等方面全方位开展危害及风险识别和评估，有的放矢地控制重大风险，实现作业的安全。</w:t>
      </w:r>
    </w:p>
    <w:p w14:paraId="52A36C0A">
      <w:pPr>
        <w:ind w:firstLine="560"/>
        <w:rPr>
          <w:rFonts w:ascii="Times New Roman" w:hAnsi="Times New Roman" w:eastAsia="宋体"/>
        </w:rPr>
      </w:pPr>
      <w:r>
        <w:rPr>
          <w:rFonts w:ascii="Times New Roman" w:hAnsi="Times New Roman" w:eastAsia="宋体"/>
        </w:rPr>
        <w:t>（</w:t>
      </w:r>
      <w:r>
        <w:rPr>
          <w:rFonts w:hint="eastAsia" w:ascii="Times New Roman" w:hAnsi="Times New Roman" w:eastAsia="宋体"/>
        </w:rPr>
        <w:t>2</w:t>
      </w:r>
      <w:r>
        <w:rPr>
          <w:rFonts w:ascii="Times New Roman" w:hAnsi="Times New Roman" w:eastAsia="宋体"/>
        </w:rPr>
        <w:t>）加强应急救援预案管理</w:t>
      </w:r>
    </w:p>
    <w:p w14:paraId="3CD8122C">
      <w:pPr>
        <w:ind w:firstLine="560"/>
        <w:rPr>
          <w:rFonts w:ascii="Times New Roman" w:hAnsi="Times New Roman" w:eastAsia="宋体"/>
        </w:rPr>
      </w:pPr>
      <w:r>
        <w:rPr>
          <w:rFonts w:ascii="Times New Roman" w:hAnsi="Times New Roman" w:eastAsia="宋体"/>
        </w:rPr>
        <w:t>通过预案演练，定期检验和评价其有效程度，进一步提高员工的应急处置水平、反应速度、协调能力，真正发挥预案在应急状态下的指导书作用。按规定要求完成应急预案的备案工作，建立与相关部门的沟通、联动机制。</w:t>
      </w:r>
    </w:p>
    <w:p w14:paraId="2FFE38F4">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75" w:name="_Toc218437758"/>
      <w:r>
        <w:rPr>
          <w:rFonts w:ascii="Times New Roman" w:hAnsi="Times New Roman" w:eastAsia="楷体" w:cs="Times New Roman"/>
          <w:b/>
          <w:bCs/>
          <w:sz w:val="32"/>
          <w:szCs w:val="32"/>
        </w:rPr>
        <w:t>8.3建设项目竣工验收安全评价总结论</w:t>
      </w:r>
      <w:bookmarkEnd w:id="75"/>
    </w:p>
    <w:p w14:paraId="46DBC27B">
      <w:pPr>
        <w:ind w:firstLine="560"/>
        <w:rPr>
          <w:rFonts w:ascii="Times New Roman" w:hAnsi="Times New Roman" w:eastAsia="宋体"/>
        </w:rPr>
      </w:pPr>
      <w:r>
        <w:rPr>
          <w:rFonts w:ascii="Times New Roman" w:hAnsi="Times New Roman" w:eastAsia="宋体"/>
        </w:rPr>
        <w:t>通过对本项目的全面调研、检查、分析、验收，得出</w:t>
      </w:r>
      <w:r>
        <w:rPr>
          <w:rFonts w:hint="eastAsia" w:ascii="Times New Roman" w:hAnsi="Times New Roman" w:eastAsia="宋体"/>
          <w:lang w:eastAsia="zh-CN"/>
        </w:rPr>
        <w:t>沈阳市于洪区大兴乡星火特加油站改建项目</w:t>
      </w:r>
      <w:r>
        <w:rPr>
          <w:rFonts w:ascii="Times New Roman" w:hAnsi="Times New Roman" w:eastAsia="宋体"/>
        </w:rPr>
        <w:t>安全设施竣工验收安全评价结论：</w:t>
      </w:r>
    </w:p>
    <w:p w14:paraId="233F01E3">
      <w:pPr>
        <w:ind w:firstLine="560"/>
        <w:rPr>
          <w:rFonts w:ascii="Times New Roman" w:hAnsi="Times New Roman" w:eastAsia="宋体"/>
        </w:rPr>
      </w:pPr>
      <w:r>
        <w:rPr>
          <w:rFonts w:hint="eastAsia" w:ascii="Times New Roman" w:hAnsi="Times New Roman" w:eastAsia="宋体"/>
          <w:lang w:eastAsia="zh-CN"/>
        </w:rPr>
        <w:t>沈阳市于洪区大兴乡星火特加油站罐区增容改造项目</w:t>
      </w:r>
      <w:r>
        <w:rPr>
          <w:rFonts w:ascii="Times New Roman" w:hAnsi="Times New Roman" w:eastAsia="宋体"/>
        </w:rPr>
        <w:t>的安全条件和安全生产条件符合国家安全生产有关法律、法规和标准以及部门规章及标准的要求，具备竣工安全验收条件，满足</w:t>
      </w:r>
      <w:r>
        <w:rPr>
          <w:rFonts w:hint="eastAsia" w:ascii="Times New Roman" w:hAnsi="Times New Roman" w:eastAsia="宋体"/>
        </w:rPr>
        <w:t>储存、经营车用乙醇汽油、柴油的</w:t>
      </w:r>
      <w:r>
        <w:rPr>
          <w:rFonts w:ascii="Times New Roman" w:hAnsi="Times New Roman" w:eastAsia="宋体"/>
        </w:rPr>
        <w:t>条件。</w:t>
      </w:r>
      <w:r>
        <w:rPr>
          <w:rFonts w:ascii="Times New Roman" w:hAnsi="Times New Roman" w:eastAsia="宋体"/>
        </w:rPr>
        <w:br w:type="page"/>
      </w:r>
    </w:p>
    <w:p w14:paraId="7DEF09AD">
      <w:pPr>
        <w:spacing w:before="468" w:beforeLines="150" w:after="468" w:afterLines="150"/>
        <w:ind w:firstLine="0" w:firstLineChars="0"/>
        <w:jc w:val="center"/>
        <w:outlineLvl w:val="0"/>
        <w:rPr>
          <w:rFonts w:ascii="Times New Roman" w:hAnsi="Times New Roman" w:eastAsia="黑体" w:cs="Times New Roman"/>
          <w:b/>
          <w:bCs/>
          <w:sz w:val="32"/>
          <w:szCs w:val="32"/>
        </w:rPr>
      </w:pPr>
      <w:bookmarkStart w:id="76" w:name="_Toc218437759"/>
      <w:r>
        <w:rPr>
          <w:rFonts w:ascii="Times New Roman" w:hAnsi="Times New Roman" w:eastAsia="黑体" w:cs="Times New Roman"/>
          <w:b/>
          <w:bCs/>
          <w:sz w:val="32"/>
          <w:szCs w:val="32"/>
        </w:rPr>
        <w:t>9与建设单位交换意见</w:t>
      </w:r>
      <w:bookmarkEnd w:id="76"/>
    </w:p>
    <w:p w14:paraId="6F1150D7">
      <w:pPr>
        <w:ind w:firstLine="560"/>
        <w:rPr>
          <w:rFonts w:ascii="Times New Roman" w:hAnsi="Times New Roman" w:eastAsia="宋体"/>
        </w:rPr>
      </w:pPr>
      <w:r>
        <w:rPr>
          <w:rFonts w:ascii="Times New Roman" w:hAnsi="Times New Roman" w:eastAsia="宋体"/>
        </w:rPr>
        <w:t>辽宁诺诚安全科技有限公司与</w:t>
      </w:r>
      <w:r>
        <w:rPr>
          <w:rFonts w:hint="eastAsia" w:ascii="Times New Roman" w:hAnsi="Times New Roman" w:eastAsia="宋体"/>
          <w:lang w:eastAsia="zh-CN"/>
        </w:rPr>
        <w:t>沈阳市于洪区大兴乡星火特加油站</w:t>
      </w:r>
      <w:r>
        <w:rPr>
          <w:rFonts w:ascii="Times New Roman" w:hAnsi="Times New Roman" w:eastAsia="宋体"/>
        </w:rPr>
        <w:t>签定了安全设施竣工验收评价技术服务合同后，在评价实施过程中，双方就评价中的问题进行了多次交流，对安全评价内容和评价结果达成了一致意见。</w:t>
      </w:r>
      <w:r>
        <w:rPr>
          <w:rFonts w:ascii="Times New Roman" w:hAnsi="Times New Roman" w:eastAsia="宋体"/>
        </w:rPr>
        <w:br w:type="page"/>
      </w:r>
    </w:p>
    <w:p w14:paraId="2B208159">
      <w:pPr>
        <w:spacing w:before="468" w:beforeLines="150" w:after="468" w:afterLines="150"/>
        <w:ind w:firstLine="0" w:firstLineChars="0"/>
        <w:jc w:val="center"/>
        <w:outlineLvl w:val="0"/>
        <w:rPr>
          <w:rFonts w:ascii="Times New Roman" w:hAnsi="Times New Roman" w:eastAsia="黑体" w:cs="Times New Roman"/>
          <w:b/>
          <w:bCs/>
          <w:sz w:val="32"/>
          <w:szCs w:val="32"/>
        </w:rPr>
      </w:pPr>
      <w:bookmarkStart w:id="77" w:name="_Toc218437760"/>
      <w:r>
        <w:rPr>
          <w:rFonts w:ascii="Times New Roman" w:hAnsi="Times New Roman" w:eastAsia="黑体" w:cs="Times New Roman"/>
          <w:b/>
          <w:bCs/>
          <w:sz w:val="32"/>
          <w:szCs w:val="32"/>
        </w:rPr>
        <w:t>附件1平面布置图等图表</w:t>
      </w:r>
      <w:bookmarkEnd w:id="77"/>
    </w:p>
    <w:p w14:paraId="190F0AED">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78" w:name="_Toc218437761"/>
      <w:r>
        <w:rPr>
          <w:rFonts w:ascii="Times New Roman" w:hAnsi="Times New Roman" w:eastAsia="楷体" w:cs="Times New Roman"/>
          <w:b/>
          <w:bCs/>
          <w:sz w:val="32"/>
          <w:szCs w:val="32"/>
        </w:rPr>
        <w:t>F1.1周边环境及总平面布置示意图</w:t>
      </w:r>
      <w:bookmarkEnd w:id="78"/>
    </w:p>
    <w:p w14:paraId="7122E689">
      <w:pPr>
        <w:ind w:firstLine="560"/>
        <w:rPr>
          <w:rFonts w:ascii="Times New Roman" w:hAnsi="Times New Roman" w:eastAsia="宋体"/>
        </w:rPr>
      </w:pPr>
      <w:r>
        <w:rPr>
          <w:rFonts w:ascii="Times New Roman" w:hAnsi="Times New Roman" w:eastAsia="宋体"/>
        </w:rPr>
        <w:t>本项目总平面布置情况，详见附图。</w:t>
      </w:r>
    </w:p>
    <w:p w14:paraId="62F2F7B3">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79" w:name="_Toc218437762"/>
      <w:r>
        <w:rPr>
          <w:rFonts w:ascii="Times New Roman" w:hAnsi="Times New Roman" w:eastAsia="楷体" w:cs="Times New Roman"/>
          <w:b/>
          <w:bCs/>
          <w:sz w:val="32"/>
          <w:szCs w:val="32"/>
        </w:rPr>
        <w:t>F1.2工艺流程图</w:t>
      </w:r>
      <w:bookmarkEnd w:id="79"/>
    </w:p>
    <w:p w14:paraId="1E157774">
      <w:pPr>
        <w:ind w:firstLine="560"/>
        <w:rPr>
          <w:rFonts w:ascii="Times New Roman" w:hAnsi="Times New Roman" w:eastAsia="宋体"/>
        </w:rPr>
      </w:pPr>
      <w:r>
        <w:rPr>
          <w:rFonts w:ascii="Times New Roman" w:hAnsi="Times New Roman" w:eastAsia="宋体"/>
        </w:rPr>
        <w:t>本项目工艺流程图，详见附图。</w:t>
      </w:r>
    </w:p>
    <w:p w14:paraId="3894666C">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80" w:name="_Toc218437763"/>
      <w:r>
        <w:rPr>
          <w:rFonts w:ascii="Times New Roman" w:hAnsi="Times New Roman" w:eastAsia="楷体" w:cs="Times New Roman"/>
          <w:b/>
          <w:bCs/>
          <w:sz w:val="32"/>
          <w:szCs w:val="32"/>
        </w:rPr>
        <w:t>F1.3爆炸危险区域划分图</w:t>
      </w:r>
      <w:bookmarkEnd w:id="80"/>
    </w:p>
    <w:p w14:paraId="38334300">
      <w:pPr>
        <w:ind w:firstLine="560"/>
        <w:rPr>
          <w:rFonts w:ascii="Times New Roman" w:hAnsi="Times New Roman" w:eastAsia="宋体"/>
        </w:rPr>
      </w:pPr>
      <w:r>
        <w:rPr>
          <w:rFonts w:ascii="Times New Roman" w:hAnsi="Times New Roman" w:eastAsia="宋体"/>
        </w:rPr>
        <w:t>本项目爆炸危险区域划分图，详见附图。</w:t>
      </w:r>
      <w:r>
        <w:rPr>
          <w:rFonts w:ascii="Times New Roman" w:hAnsi="Times New Roman" w:eastAsia="宋体"/>
        </w:rPr>
        <w:br w:type="page"/>
      </w:r>
    </w:p>
    <w:p w14:paraId="55B96CED">
      <w:pPr>
        <w:spacing w:before="468" w:beforeLines="150" w:after="468" w:afterLines="150"/>
        <w:ind w:firstLine="0" w:firstLineChars="0"/>
        <w:jc w:val="center"/>
        <w:outlineLvl w:val="0"/>
        <w:rPr>
          <w:rFonts w:ascii="Times New Roman" w:hAnsi="Times New Roman" w:eastAsia="黑体" w:cs="Times New Roman"/>
          <w:b/>
          <w:bCs/>
          <w:sz w:val="32"/>
          <w:szCs w:val="32"/>
        </w:rPr>
      </w:pPr>
      <w:bookmarkStart w:id="81" w:name="_Toc218437764"/>
      <w:bookmarkStart w:id="82" w:name="_Toc13728"/>
      <w:r>
        <w:rPr>
          <w:rFonts w:ascii="Times New Roman" w:hAnsi="Times New Roman" w:eastAsia="黑体" w:cs="Times New Roman"/>
          <w:b/>
          <w:bCs/>
          <w:sz w:val="32"/>
          <w:szCs w:val="32"/>
        </w:rPr>
        <w:t>附件2选用的安全评价方法简介</w:t>
      </w:r>
      <w:bookmarkEnd w:id="81"/>
      <w:bookmarkEnd w:id="82"/>
    </w:p>
    <w:p w14:paraId="4594ABC5">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83" w:name="_Toc207697495"/>
      <w:bookmarkStart w:id="84" w:name="_Toc4735"/>
      <w:bookmarkStart w:id="85" w:name="_Toc216935518"/>
      <w:bookmarkStart w:id="86" w:name="_Toc192321823"/>
      <w:bookmarkStart w:id="87" w:name="_Toc249942908"/>
      <w:bookmarkStart w:id="88" w:name="_Toc6292"/>
      <w:bookmarkStart w:id="89" w:name="_Toc218437765"/>
      <w:bookmarkStart w:id="90" w:name="_Toc2484"/>
      <w:bookmarkStart w:id="91" w:name="_Toc17981"/>
      <w:r>
        <w:rPr>
          <w:rFonts w:ascii="Times New Roman" w:hAnsi="Times New Roman" w:eastAsia="楷体" w:cs="Times New Roman"/>
          <w:b/>
          <w:bCs/>
          <w:sz w:val="32"/>
          <w:szCs w:val="32"/>
        </w:rPr>
        <w:t>F2.1重大危险源辨识</w:t>
      </w:r>
      <w:bookmarkEnd w:id="83"/>
      <w:bookmarkEnd w:id="84"/>
      <w:bookmarkEnd w:id="85"/>
      <w:bookmarkEnd w:id="86"/>
      <w:bookmarkEnd w:id="87"/>
      <w:bookmarkEnd w:id="88"/>
      <w:bookmarkEnd w:id="89"/>
    </w:p>
    <w:p w14:paraId="206073BE">
      <w:pPr>
        <w:ind w:firstLine="560"/>
        <w:rPr>
          <w:rFonts w:ascii="Times New Roman" w:hAnsi="Times New Roman" w:eastAsia="宋体"/>
        </w:rPr>
      </w:pPr>
      <w:r>
        <w:rPr>
          <w:rFonts w:hint="eastAsia" w:ascii="Times New Roman" w:hAnsi="Times New Roman" w:eastAsia="宋体"/>
        </w:rPr>
        <w:t>根据《危险化学品重大危险源辨识》GB18218-2018的规定，重大危险源的辨识指标如下：</w:t>
      </w:r>
    </w:p>
    <w:p w14:paraId="2F450E8D">
      <w:pPr>
        <w:ind w:firstLine="560"/>
        <w:rPr>
          <w:rFonts w:ascii="Times New Roman" w:hAnsi="Times New Roman" w:eastAsia="宋体"/>
        </w:rPr>
      </w:pPr>
      <w:r>
        <w:rPr>
          <w:rFonts w:hint="eastAsia" w:ascii="Times New Roman" w:hAnsi="Times New Roman" w:eastAsia="宋体"/>
        </w:rPr>
        <w:t>长期地或临时地生产、储存、使用和经营危险化学品，且危险化学品的数量等于或者超过临界量的单元。</w:t>
      </w:r>
    </w:p>
    <w:p w14:paraId="074BF87D">
      <w:pPr>
        <w:ind w:firstLine="560"/>
        <w:rPr>
          <w:rFonts w:ascii="Times New Roman" w:hAnsi="Times New Roman" w:eastAsia="宋体"/>
        </w:rPr>
      </w:pPr>
      <w:r>
        <w:rPr>
          <w:rFonts w:hint="eastAsia" w:ascii="Times New Roman" w:hAnsi="Times New Roman" w:eastAsia="宋体"/>
        </w:rPr>
        <w:t>生产单元：危险化学品的生产、加工及使用等的装置及设施，当装置与设施之间又有切断阀时，以切断阀作为分隔界限划分为独立的单元。</w:t>
      </w:r>
    </w:p>
    <w:p w14:paraId="08888EE8">
      <w:pPr>
        <w:ind w:firstLine="560"/>
        <w:rPr>
          <w:rFonts w:ascii="Times New Roman" w:hAnsi="Times New Roman" w:eastAsia="宋体"/>
        </w:rPr>
      </w:pPr>
      <w:r>
        <w:rPr>
          <w:rFonts w:hint="eastAsia" w:ascii="Times New Roman" w:hAnsi="Times New Roman" w:eastAsia="宋体"/>
        </w:rPr>
        <w:t>储存单元：用于储存危险化学品的储罐或仓库组成的相对独立的区域，储罐区以罐区防火堤为界限划分为独立的单元，从仓库以独立库房（独立建筑物）为界限划分为的独立的单元。</w:t>
      </w:r>
    </w:p>
    <w:p w14:paraId="79DF164C">
      <w:pPr>
        <w:ind w:firstLine="560"/>
        <w:rPr>
          <w:rFonts w:ascii="Times New Roman" w:hAnsi="Times New Roman" w:eastAsia="宋体"/>
        </w:rPr>
      </w:pPr>
      <w:r>
        <w:rPr>
          <w:rFonts w:hint="eastAsia" w:ascii="Times New Roman" w:hAnsi="Times New Roman" w:eastAsia="宋体"/>
        </w:rPr>
        <w:t>生产单元、储存单元内存在危险化学品的数量等于或者出超过表1、表2规定地点临界量，即被定为重大危险源，单元内存在的危险化学品的数量根据危险化学品种类的多少区分为以下两种情况：</w:t>
      </w:r>
    </w:p>
    <w:p w14:paraId="7E674E67">
      <w:pPr>
        <w:ind w:firstLine="560"/>
        <w:rPr>
          <w:rFonts w:ascii="Times New Roman" w:hAnsi="Times New Roman" w:eastAsia="宋体"/>
        </w:rPr>
      </w:pPr>
      <w:r>
        <w:rPr>
          <w:rFonts w:hint="eastAsia" w:ascii="Times New Roman" w:hAnsi="Times New Roman" w:eastAsia="宋体"/>
        </w:rPr>
        <w:t>（1）生产单元、储存单元内存在的危险化学品为单一品种，该危险化学品的数量即为单元内危险化学品的总量，若等于或超过相应的临界量，则定为重大危险源。</w:t>
      </w:r>
    </w:p>
    <w:p w14:paraId="5C37BBBA">
      <w:pPr>
        <w:ind w:firstLine="560"/>
        <w:rPr>
          <w:rFonts w:ascii="Times New Roman" w:hAnsi="Times New Roman" w:eastAsia="宋体"/>
        </w:rPr>
      </w:pPr>
      <w:r>
        <w:rPr>
          <w:rFonts w:hint="eastAsia" w:ascii="Times New Roman" w:hAnsi="Times New Roman" w:eastAsia="宋体"/>
        </w:rPr>
        <w:t>（2）生产单元、储存单元内存在的危险化学品为多品种时，则按下式计算，若满足下面公式，则定为重大危险源：</w:t>
      </w:r>
    </w:p>
    <w:p w14:paraId="6129C794">
      <w:pPr>
        <w:ind w:firstLine="560"/>
        <w:rPr>
          <w:rFonts w:ascii="Times New Roman" w:hAnsi="Times New Roman" w:eastAsia="宋体"/>
        </w:rPr>
      </w:pPr>
      <m:oMathPara>
        <m:oMath>
          <m:r>
            <m:rPr/>
            <w:rPr>
              <w:rFonts w:hint="eastAsia" w:ascii="Cambria Math" w:hAnsi="Cambria Math" w:eastAsia="宋体"/>
            </w:rPr>
            <m:t>S</m:t>
          </m:r>
          <m:r>
            <m:rPr/>
            <w:rPr>
              <w:rFonts w:ascii="Cambria Math" w:hAnsi="Cambria Math" w:eastAsia="宋体"/>
            </w:rPr>
            <m:t>=</m:t>
          </m:r>
          <m:f>
            <m:fPr>
              <m:ctrlPr>
                <w:rPr>
                  <w:rFonts w:ascii="Cambria Math" w:hAnsi="Cambria Math" w:eastAsia="宋体"/>
                  <w:i/>
                </w:rPr>
              </m:ctrlPr>
            </m:fPr>
            <m:num>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1</m:t>
                  </m:r>
                  <m:ctrlPr>
                    <w:rPr>
                      <w:rFonts w:ascii="Cambria Math" w:hAnsi="Cambria Math" w:eastAsia="宋体"/>
                      <w:i/>
                    </w:rPr>
                  </m:ctrlPr>
                </m:sub>
              </m:sSub>
              <m:ctrlPr>
                <w:rPr>
                  <w:rFonts w:ascii="Cambria Math" w:hAnsi="Cambria Math" w:eastAsia="宋体"/>
                  <w:i/>
                </w:rPr>
              </m:ctrlPr>
            </m:num>
            <m:den>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1</m:t>
                  </m:r>
                  <m:ctrlPr>
                    <w:rPr>
                      <w:rFonts w:ascii="Cambria Math" w:hAnsi="Cambria Math" w:eastAsia="宋体"/>
                      <w:i/>
                    </w:rPr>
                  </m:ctrlPr>
                </m:sub>
              </m:sSub>
              <m:ctrlPr>
                <w:rPr>
                  <w:rFonts w:ascii="Cambria Math" w:hAnsi="Cambria Math" w:eastAsia="宋体"/>
                  <w:i/>
                </w:rPr>
              </m:ctrlPr>
            </m:den>
          </m:f>
          <m:r>
            <m:rPr/>
            <w:rPr>
              <w:rFonts w:ascii="Cambria Math" w:hAnsi="Cambria Math" w:eastAsia="宋体"/>
            </w:rPr>
            <m:t>+</m:t>
          </m:r>
          <m:f>
            <m:fPr>
              <m:ctrlPr>
                <w:rPr>
                  <w:rFonts w:ascii="Cambria Math" w:hAnsi="Cambria Math" w:eastAsia="宋体"/>
                  <w:i/>
                </w:rPr>
              </m:ctrlPr>
            </m:fPr>
            <m:num>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2</m:t>
                  </m:r>
                  <m:ctrlPr>
                    <w:rPr>
                      <w:rFonts w:ascii="Cambria Math" w:hAnsi="Cambria Math" w:eastAsia="宋体"/>
                      <w:i/>
                    </w:rPr>
                  </m:ctrlPr>
                </m:sub>
              </m:sSub>
              <m:ctrlPr>
                <w:rPr>
                  <w:rFonts w:ascii="Cambria Math" w:hAnsi="Cambria Math" w:eastAsia="宋体"/>
                  <w:i/>
                </w:rPr>
              </m:ctrlPr>
            </m:num>
            <m:den>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2</m:t>
                  </m:r>
                  <m:ctrlPr>
                    <w:rPr>
                      <w:rFonts w:ascii="Cambria Math" w:hAnsi="Cambria Math" w:eastAsia="宋体"/>
                      <w:i/>
                    </w:rPr>
                  </m:ctrlPr>
                </m:sub>
              </m:sSub>
              <m:ctrlPr>
                <w:rPr>
                  <w:rFonts w:ascii="Cambria Math" w:hAnsi="Cambria Math" w:eastAsia="宋体"/>
                  <w:i/>
                </w:rPr>
              </m:ctrlPr>
            </m:den>
          </m:f>
          <m:r>
            <m:rPr/>
            <w:rPr>
              <w:rFonts w:ascii="Cambria Math" w:hAnsi="Cambria Math" w:eastAsia="宋体"/>
            </w:rPr>
            <m:t>+⋯+</m:t>
          </m:r>
          <m:f>
            <m:fPr>
              <m:ctrlPr>
                <w:rPr>
                  <w:rFonts w:ascii="Cambria Math" w:hAnsi="Cambria Math" w:eastAsia="宋体"/>
                  <w:i/>
                </w:rPr>
              </m:ctrlPr>
            </m:fPr>
            <m:num>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n</m:t>
                  </m:r>
                  <m:ctrlPr>
                    <w:rPr>
                      <w:rFonts w:ascii="Cambria Math" w:hAnsi="Cambria Math" w:eastAsia="宋体"/>
                      <w:i/>
                    </w:rPr>
                  </m:ctrlPr>
                </m:sub>
              </m:sSub>
              <m:ctrlPr>
                <w:rPr>
                  <w:rFonts w:ascii="Cambria Math" w:hAnsi="Cambria Math" w:eastAsia="宋体"/>
                  <w:i/>
                </w:rPr>
              </m:ctrlPr>
            </m:num>
            <m:den>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n</m:t>
                  </m:r>
                  <m:ctrlPr>
                    <w:rPr>
                      <w:rFonts w:ascii="Cambria Math" w:hAnsi="Cambria Math" w:eastAsia="宋体"/>
                      <w:i/>
                    </w:rPr>
                  </m:ctrlPr>
                </m:sub>
              </m:sSub>
              <m:ctrlPr>
                <w:rPr>
                  <w:rFonts w:ascii="Cambria Math" w:hAnsi="Cambria Math" w:eastAsia="宋体"/>
                  <w:i/>
                </w:rPr>
              </m:ctrlPr>
            </m:den>
          </m:f>
          <m:r>
            <m:rPr/>
            <w:rPr>
              <w:rFonts w:ascii="Cambria Math" w:hAnsi="Cambria Math" w:eastAsia="宋体"/>
            </w:rPr>
            <m:t>≥1</m:t>
          </m:r>
        </m:oMath>
      </m:oMathPara>
    </w:p>
    <w:p w14:paraId="1ADA6005">
      <w:pPr>
        <w:ind w:firstLine="560"/>
        <w:rPr>
          <w:rFonts w:ascii="Times New Roman" w:hAnsi="Times New Roman" w:eastAsia="宋体"/>
        </w:rPr>
      </w:pPr>
      <w:r>
        <w:rPr>
          <w:rFonts w:hint="eastAsia" w:ascii="Times New Roman" w:hAnsi="Times New Roman" w:eastAsia="宋体"/>
        </w:rPr>
        <w:t>式中：q</w:t>
      </w:r>
      <w:r>
        <w:rPr>
          <w:rFonts w:hint="eastAsia" w:ascii="Times New Roman" w:hAnsi="Times New Roman" w:eastAsia="宋体"/>
          <w:vertAlign w:val="subscript"/>
        </w:rPr>
        <w:t>1</w:t>
      </w:r>
      <w:r>
        <w:rPr>
          <w:rFonts w:hint="eastAsia" w:ascii="Times New Roman" w:hAnsi="Times New Roman" w:eastAsia="宋体"/>
        </w:rPr>
        <w:t>，q</w:t>
      </w:r>
      <w:r>
        <w:rPr>
          <w:rFonts w:hint="eastAsia" w:ascii="Times New Roman" w:hAnsi="Times New Roman" w:eastAsia="宋体"/>
          <w:vertAlign w:val="subscript"/>
        </w:rPr>
        <w:t>2</w:t>
      </w:r>
      <w:r>
        <w:rPr>
          <w:rFonts w:hint="eastAsia" w:ascii="Times New Roman" w:hAnsi="Times New Roman" w:eastAsia="宋体"/>
        </w:rPr>
        <w:t>，</w:t>
      </w:r>
      <w:r>
        <w:rPr>
          <w:rFonts w:ascii="Times New Roman" w:hAnsi="Times New Roman" w:eastAsia="宋体"/>
        </w:rPr>
        <w:t>…</w:t>
      </w:r>
      <w:r>
        <w:rPr>
          <w:rFonts w:hint="eastAsia" w:ascii="Times New Roman" w:hAnsi="Times New Roman" w:eastAsia="宋体"/>
        </w:rPr>
        <w:t>，q</w:t>
      </w:r>
      <w:r>
        <w:rPr>
          <w:rFonts w:hint="eastAsia" w:ascii="Times New Roman" w:hAnsi="Times New Roman" w:eastAsia="宋体"/>
          <w:vertAlign w:val="subscript"/>
        </w:rPr>
        <w:t>n</w:t>
      </w:r>
      <w:r>
        <w:rPr>
          <w:rFonts w:hint="eastAsia" w:ascii="Times New Roman" w:hAnsi="Times New Roman" w:eastAsia="宋体"/>
        </w:rPr>
        <w:t>—每种危险物质实际存在的量，t。</w:t>
      </w:r>
    </w:p>
    <w:p w14:paraId="46A25ED5">
      <w:pPr>
        <w:ind w:firstLine="1400" w:firstLineChars="500"/>
        <w:rPr>
          <w:rFonts w:ascii="Times New Roman" w:hAnsi="Times New Roman" w:eastAsia="宋体"/>
        </w:rPr>
      </w:pPr>
      <w:r>
        <w:rPr>
          <w:rFonts w:hint="eastAsia" w:ascii="Times New Roman" w:hAnsi="Times New Roman" w:eastAsia="宋体"/>
        </w:rPr>
        <w:t>Q</w:t>
      </w:r>
      <w:r>
        <w:rPr>
          <w:rFonts w:hint="eastAsia" w:ascii="Times New Roman" w:hAnsi="Times New Roman" w:eastAsia="宋体"/>
          <w:vertAlign w:val="subscript"/>
        </w:rPr>
        <w:t>1</w:t>
      </w:r>
      <w:r>
        <w:rPr>
          <w:rFonts w:hint="eastAsia" w:ascii="Times New Roman" w:hAnsi="Times New Roman" w:eastAsia="宋体"/>
        </w:rPr>
        <w:t>，Q</w:t>
      </w:r>
      <w:r>
        <w:rPr>
          <w:rFonts w:hint="eastAsia" w:ascii="Times New Roman" w:hAnsi="Times New Roman" w:eastAsia="宋体"/>
          <w:vertAlign w:val="subscript"/>
        </w:rPr>
        <w:t>2</w:t>
      </w:r>
      <w:r>
        <w:rPr>
          <w:rFonts w:hint="eastAsia" w:ascii="Times New Roman" w:hAnsi="Times New Roman" w:eastAsia="宋体"/>
        </w:rPr>
        <w:t>，</w:t>
      </w:r>
      <w:r>
        <w:rPr>
          <w:rFonts w:ascii="Times New Roman" w:hAnsi="Times New Roman" w:eastAsia="宋体"/>
        </w:rPr>
        <w:t>…</w:t>
      </w:r>
      <w:r>
        <w:rPr>
          <w:rFonts w:hint="eastAsia" w:ascii="Times New Roman" w:hAnsi="Times New Roman" w:eastAsia="宋体"/>
        </w:rPr>
        <w:t>，Q</w:t>
      </w:r>
      <w:r>
        <w:rPr>
          <w:rFonts w:hint="eastAsia" w:ascii="Times New Roman" w:hAnsi="Times New Roman" w:eastAsia="宋体"/>
          <w:vertAlign w:val="subscript"/>
        </w:rPr>
        <w:t>n</w:t>
      </w:r>
      <w:r>
        <w:rPr>
          <w:rFonts w:hint="eastAsia" w:ascii="Times New Roman" w:hAnsi="Times New Roman" w:eastAsia="宋体"/>
        </w:rPr>
        <w:t>—与各危险物质相对应的临界量，t。</w:t>
      </w:r>
    </w:p>
    <w:p w14:paraId="34EAC13A">
      <w:pPr>
        <w:adjustRightInd/>
        <w:snapToGrid/>
        <w:ind w:firstLine="0" w:firstLineChars="0"/>
        <w:jc w:val="center"/>
        <w:rPr>
          <w:rFonts w:ascii="Times New Roman" w:hAnsi="Times New Roman" w:eastAsia="宋体" w:cs="Times New Roman"/>
          <w:bCs/>
          <w:szCs w:val="28"/>
          <w:lang w:val="zh-CN"/>
          <w14:ligatures w14:val="none"/>
        </w:rPr>
      </w:pPr>
    </w:p>
    <w:p w14:paraId="01449C33">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78" w:name="_GoBack"/>
      <w:bookmarkEnd w:id="178"/>
      <w:bookmarkStart w:id="92" w:name="_Toc218437766"/>
      <w:bookmarkStart w:id="93" w:name="_Toc20846"/>
      <w:r>
        <w:rPr>
          <w:rFonts w:ascii="Times New Roman" w:hAnsi="Times New Roman" w:eastAsia="楷体" w:cs="Times New Roman"/>
          <w:b/>
          <w:bCs/>
          <w:sz w:val="32"/>
          <w:szCs w:val="32"/>
        </w:rPr>
        <w:t>F2.2安全检查表法</w:t>
      </w:r>
      <w:bookmarkEnd w:id="90"/>
      <w:bookmarkEnd w:id="91"/>
      <w:bookmarkEnd w:id="92"/>
      <w:bookmarkEnd w:id="93"/>
    </w:p>
    <w:p w14:paraId="4028FA6A">
      <w:pPr>
        <w:ind w:firstLine="560"/>
        <w:rPr>
          <w:rFonts w:ascii="Times New Roman" w:hAnsi="Times New Roman" w:eastAsia="宋体"/>
        </w:rPr>
      </w:pPr>
      <w:r>
        <w:rPr>
          <w:rFonts w:ascii="Times New Roman" w:hAnsi="Times New Roman" w:eastAsia="宋体"/>
        </w:rPr>
        <w:t>安全检查表法是系统安全工程的一种最基础、最简便、最广泛应用的系统安全评价方法。安全检查表不仅用于查找系统中各种潜在的事故隐患，还对检查项目给予量化，用于进行系统安全评价。</w:t>
      </w:r>
    </w:p>
    <w:p w14:paraId="7F1B7C96">
      <w:pPr>
        <w:ind w:firstLine="560"/>
        <w:rPr>
          <w:rFonts w:ascii="Times New Roman" w:hAnsi="Times New Roman" w:eastAsia="宋体"/>
        </w:rPr>
      </w:pPr>
      <w:r>
        <w:rPr>
          <w:rFonts w:ascii="Times New Roman" w:hAnsi="Times New Roman" w:eastAsia="宋体"/>
        </w:rPr>
        <w:t>安全检查表是由一些对工艺过程、机械设备和作业情况熟悉，并富有安全技术、安全管理经验的人员，事先对分析对象进行详尽分析和讨论，列出检查单元和部位、检查项目、检查要求、各项赋分标准、评定系统安全等级分值标准等内容的表格。</w:t>
      </w:r>
    </w:p>
    <w:p w14:paraId="5C87881E">
      <w:pPr>
        <w:ind w:firstLine="560"/>
        <w:rPr>
          <w:rFonts w:ascii="Times New Roman" w:hAnsi="Times New Roman" w:eastAsia="宋体"/>
        </w:rPr>
      </w:pPr>
      <w:r>
        <w:rPr>
          <w:rFonts w:ascii="Times New Roman" w:hAnsi="Times New Roman" w:eastAsia="宋体"/>
        </w:rPr>
        <w:t>对系统进行评价时，对照安全检查表逐项检查、赋分，从而评价出系统的安全等级。</w:t>
      </w:r>
    </w:p>
    <w:p w14:paraId="567DCA07">
      <w:pPr>
        <w:ind w:firstLine="560"/>
        <w:rPr>
          <w:rFonts w:ascii="Times New Roman" w:hAnsi="Times New Roman" w:eastAsia="宋体"/>
        </w:rPr>
      </w:pPr>
      <w:r>
        <w:rPr>
          <w:rFonts w:ascii="Times New Roman" w:hAnsi="Times New Roman" w:eastAsia="宋体"/>
        </w:rPr>
        <w:t>当安全检查表用于设计、维修、环境、管理等方面查找缺陷或隐患时，可省略赋分、评级等内容和步骤。</w:t>
      </w:r>
    </w:p>
    <w:p w14:paraId="32BC544C">
      <w:pPr>
        <w:ind w:firstLine="560"/>
        <w:rPr>
          <w:rFonts w:ascii="Times New Roman" w:hAnsi="Times New Roman" w:eastAsia="宋体"/>
        </w:rPr>
      </w:pPr>
      <w:r>
        <w:rPr>
          <w:rFonts w:ascii="Times New Roman" w:hAnsi="Times New Roman" w:eastAsia="宋体"/>
        </w:rPr>
        <w:t>本次评价所使用的安全检查表为提问型安全检查表，具体形式见附表2.2-1。</w:t>
      </w:r>
    </w:p>
    <w:p w14:paraId="7DFAB4B5">
      <w:pPr>
        <w:keepNext/>
        <w:keepLines/>
        <w:spacing w:before="156" w:beforeLines="50" w:after="156" w:afterLines="50" w:line="240" w:lineRule="auto"/>
        <w:ind w:firstLine="0" w:firstLineChars="0"/>
        <w:jc w:val="center"/>
        <w:rPr>
          <w:rFonts w:ascii="Times New Roman" w:hAnsi="Times New Roman" w:eastAsia="黑体"/>
          <w:sz w:val="24"/>
        </w:rPr>
      </w:pPr>
      <w:r>
        <w:rPr>
          <w:rFonts w:ascii="Times New Roman" w:hAnsi="Times New Roman" w:eastAsia="黑体"/>
          <w:sz w:val="24"/>
        </w:rPr>
        <w:t>附表2.2-1  安全检查表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83"/>
        <w:gridCol w:w="2401"/>
        <w:gridCol w:w="2115"/>
        <w:gridCol w:w="2462"/>
        <w:gridCol w:w="1157"/>
      </w:tblGrid>
      <w:tr w14:paraId="1F74C2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083" w:type="dxa"/>
            <w:vAlign w:val="center"/>
          </w:tcPr>
          <w:p w14:paraId="15F38070">
            <w:pPr>
              <w:adjustRightInd/>
              <w:snapToGrid/>
              <w:spacing w:line="2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序号</w:t>
            </w:r>
          </w:p>
        </w:tc>
        <w:tc>
          <w:tcPr>
            <w:tcW w:w="2401" w:type="dxa"/>
            <w:vAlign w:val="center"/>
          </w:tcPr>
          <w:p w14:paraId="399305C1">
            <w:pPr>
              <w:adjustRightInd/>
              <w:snapToGrid/>
              <w:spacing w:line="2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检查项目</w:t>
            </w:r>
          </w:p>
        </w:tc>
        <w:tc>
          <w:tcPr>
            <w:tcW w:w="2115" w:type="dxa"/>
            <w:vAlign w:val="center"/>
          </w:tcPr>
          <w:p w14:paraId="58509860">
            <w:pPr>
              <w:adjustRightInd/>
              <w:snapToGrid/>
              <w:spacing w:line="2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检查依据</w:t>
            </w:r>
          </w:p>
        </w:tc>
        <w:tc>
          <w:tcPr>
            <w:tcW w:w="2462" w:type="dxa"/>
            <w:vAlign w:val="center"/>
          </w:tcPr>
          <w:p w14:paraId="26F27DDB">
            <w:pPr>
              <w:adjustRightInd/>
              <w:snapToGrid/>
              <w:spacing w:line="2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实际情况</w:t>
            </w:r>
          </w:p>
        </w:tc>
        <w:tc>
          <w:tcPr>
            <w:tcW w:w="1157" w:type="dxa"/>
            <w:vAlign w:val="center"/>
          </w:tcPr>
          <w:p w14:paraId="3FD31260">
            <w:pPr>
              <w:adjustRightInd/>
              <w:snapToGrid/>
              <w:spacing w:line="2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结论</w:t>
            </w:r>
          </w:p>
        </w:tc>
      </w:tr>
      <w:tr w14:paraId="57E516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1083" w:type="dxa"/>
            <w:vAlign w:val="center"/>
          </w:tcPr>
          <w:p w14:paraId="5D4BB3E9">
            <w:pPr>
              <w:spacing w:line="240" w:lineRule="auto"/>
              <w:ind w:firstLine="0" w:firstLineChars="0"/>
              <w:jc w:val="center"/>
              <w:rPr>
                <w:rFonts w:ascii="Times New Roman" w:hAnsi="Times New Roman" w:eastAsia="宋体" w:cs="Times New Roman"/>
                <w:sz w:val="21"/>
                <w:szCs w:val="21"/>
                <w14:ligatures w14:val="none"/>
              </w:rPr>
            </w:pPr>
          </w:p>
        </w:tc>
        <w:tc>
          <w:tcPr>
            <w:tcW w:w="2401" w:type="dxa"/>
            <w:vAlign w:val="center"/>
          </w:tcPr>
          <w:p w14:paraId="3C41DC1E">
            <w:pPr>
              <w:spacing w:line="240" w:lineRule="auto"/>
              <w:ind w:firstLine="0" w:firstLineChars="0"/>
              <w:jc w:val="center"/>
              <w:rPr>
                <w:rFonts w:ascii="Times New Roman" w:hAnsi="Times New Roman" w:eastAsia="宋体" w:cs="Times New Roman"/>
                <w:sz w:val="21"/>
                <w:szCs w:val="21"/>
                <w14:ligatures w14:val="none"/>
              </w:rPr>
            </w:pPr>
          </w:p>
        </w:tc>
        <w:tc>
          <w:tcPr>
            <w:tcW w:w="2115" w:type="dxa"/>
            <w:vAlign w:val="center"/>
          </w:tcPr>
          <w:p w14:paraId="45A64902">
            <w:pPr>
              <w:spacing w:line="240" w:lineRule="auto"/>
              <w:ind w:firstLine="0" w:firstLineChars="0"/>
              <w:jc w:val="center"/>
              <w:rPr>
                <w:rFonts w:ascii="Times New Roman" w:hAnsi="Times New Roman" w:eastAsia="宋体" w:cs="Times New Roman"/>
                <w:sz w:val="21"/>
                <w:szCs w:val="21"/>
                <w14:ligatures w14:val="none"/>
              </w:rPr>
            </w:pPr>
          </w:p>
        </w:tc>
        <w:tc>
          <w:tcPr>
            <w:tcW w:w="2462" w:type="dxa"/>
            <w:vAlign w:val="center"/>
          </w:tcPr>
          <w:p w14:paraId="174BB0F7">
            <w:pPr>
              <w:spacing w:line="240" w:lineRule="auto"/>
              <w:ind w:firstLine="0" w:firstLineChars="0"/>
              <w:jc w:val="center"/>
              <w:rPr>
                <w:rFonts w:ascii="Times New Roman" w:hAnsi="Times New Roman" w:eastAsia="宋体" w:cs="Times New Roman"/>
                <w:sz w:val="21"/>
                <w:szCs w:val="21"/>
                <w14:ligatures w14:val="none"/>
              </w:rPr>
            </w:pPr>
          </w:p>
        </w:tc>
        <w:tc>
          <w:tcPr>
            <w:tcW w:w="1157" w:type="dxa"/>
            <w:vAlign w:val="center"/>
          </w:tcPr>
          <w:p w14:paraId="4DD0A209">
            <w:pPr>
              <w:spacing w:line="240" w:lineRule="auto"/>
              <w:ind w:firstLine="0" w:firstLineChars="0"/>
              <w:jc w:val="center"/>
              <w:rPr>
                <w:rFonts w:ascii="Times New Roman" w:hAnsi="Times New Roman" w:eastAsia="宋体" w:cs="Times New Roman"/>
                <w:sz w:val="21"/>
                <w:szCs w:val="21"/>
                <w14:ligatures w14:val="none"/>
              </w:rPr>
            </w:pPr>
          </w:p>
        </w:tc>
      </w:tr>
    </w:tbl>
    <w:p w14:paraId="0AAA6C09">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94" w:name="_Toc18931"/>
      <w:bookmarkStart w:id="95" w:name="_Toc3683"/>
      <w:bookmarkStart w:id="96" w:name="_Toc218437767"/>
      <w:bookmarkStart w:id="97" w:name="_Toc3450"/>
      <w:bookmarkStart w:id="98" w:name="_Toc10022"/>
      <w:r>
        <w:rPr>
          <w:rFonts w:ascii="Times New Roman" w:hAnsi="Times New Roman" w:eastAsia="楷体" w:cs="Times New Roman"/>
          <w:b/>
          <w:bCs/>
          <w:sz w:val="32"/>
          <w:szCs w:val="32"/>
        </w:rPr>
        <w:t>F2.3</w:t>
      </w:r>
      <w:bookmarkEnd w:id="94"/>
      <w:bookmarkEnd w:id="95"/>
      <w:r>
        <w:rPr>
          <w:rFonts w:ascii="Times New Roman" w:hAnsi="Times New Roman" w:eastAsia="楷体" w:cs="Times New Roman"/>
          <w:b/>
          <w:bCs/>
          <w:sz w:val="32"/>
          <w:szCs w:val="32"/>
        </w:rPr>
        <w:t>作业条件危险性分析法</w:t>
      </w:r>
      <w:bookmarkEnd w:id="96"/>
    </w:p>
    <w:p w14:paraId="46FF49A5">
      <w:pPr>
        <w:ind w:firstLine="560"/>
        <w:rPr>
          <w:rFonts w:ascii="Times New Roman" w:hAnsi="Times New Roman" w:eastAsia="宋体"/>
        </w:rPr>
      </w:pPr>
      <w:r>
        <w:rPr>
          <w:rFonts w:ascii="Times New Roman" w:hAnsi="Times New Roman" w:eastAsia="宋体"/>
        </w:rPr>
        <w:t>作业条件危险性分析法是对危险物质或危险作业场所中可能发生的事故事件进行综合评价和分析，以确定其引发事故的频率和后果的程度，并通过评价结果来加强危险物质或危险作业场所的安全措施的安全评价方法。</w:t>
      </w:r>
    </w:p>
    <w:p w14:paraId="546F26D5">
      <w:pPr>
        <w:ind w:firstLine="560"/>
        <w:rPr>
          <w:rFonts w:hint="eastAsia" w:ascii="Times New Roman" w:hAnsi="宋体" w:eastAsia="宋体" w:cs="Times New Roman"/>
          <w:szCs w:val="28"/>
          <w14:ligatures w14:val="none"/>
        </w:rPr>
      </w:pPr>
      <w:bookmarkStart w:id="99" w:name="_Toc26905"/>
      <w:bookmarkStart w:id="100" w:name="_Toc24219"/>
      <w:r>
        <w:rPr>
          <w:rFonts w:ascii="Times New Roman" w:hAnsi="宋体" w:eastAsia="宋体" w:cs="Times New Roman"/>
          <w:szCs w:val="28"/>
          <w14:ligatures w14:val="none"/>
        </w:rPr>
        <w:t>美国的K.J.格雷厄姆（Keneth J. Graham）和G.F.金尼（Gilbert F. Kinney）研究了人们在具有潜在危险环境中作业的危险性，提出了以所评价的环境与某些作为参考环境的对比为基础，将作业条件的危险性作因变量（D），事故或危险事件发生的可能性（L）、暴露于危险环境的频率（E）及危险严重程度（C）为自变量，用这三个因素分值的乘积表示作业条件的危险性（D），即D＝L.E.C。D值越大，作业条件的危险性就越大。</w:t>
      </w:r>
    </w:p>
    <w:p w14:paraId="47319E4F">
      <w:pPr>
        <w:ind w:firstLine="560"/>
        <w:rPr>
          <w:rFonts w:hint="eastAsia" w:ascii="Times New Roman" w:hAnsi="宋体" w:eastAsia="宋体" w:cs="Times New Roman"/>
          <w:szCs w:val="28"/>
          <w14:ligatures w14:val="none"/>
        </w:rPr>
      </w:pPr>
      <w:r>
        <w:rPr>
          <w:rFonts w:ascii="Times New Roman" w:hAnsi="宋体" w:eastAsia="宋体" w:cs="Times New Roman"/>
          <w:szCs w:val="28"/>
          <w14:ligatures w14:val="none"/>
        </w:rPr>
        <w:t>根据实际经验他们给出了3个自变量的各种不同情况的分数值，采取对所评价的对象根据情况进行“打分”的办法，然后根据公式计算出其危险性分数值，再在按经验将危险性分数值划分的危险程度等级表或图上，查出其危险程度的一种评价方法。这是一种简单易行的评价作业条件危险性的方法。</w:t>
      </w:r>
    </w:p>
    <w:p w14:paraId="559309E0">
      <w:pPr>
        <w:ind w:firstLine="560"/>
        <w:rPr>
          <w:rFonts w:hint="eastAsia" w:ascii="Times New Roman" w:hAnsi="宋体" w:eastAsia="宋体" w:cs="Times New Roman"/>
          <w:szCs w:val="28"/>
          <w14:ligatures w14:val="none"/>
        </w:rPr>
      </w:pPr>
      <w:r>
        <w:rPr>
          <w:rFonts w:ascii="Times New Roman" w:hAnsi="宋体" w:eastAsia="宋体" w:cs="Times New Roman"/>
          <w:szCs w:val="28"/>
          <w14:ligatures w14:val="none"/>
        </w:rPr>
        <w:t>（1）赋分标准</w:t>
      </w:r>
    </w:p>
    <w:p w14:paraId="04EEB3AA">
      <w:pPr>
        <w:ind w:firstLine="560"/>
        <w:rPr>
          <w:rFonts w:hint="eastAsia" w:ascii="Times New Roman" w:hAnsi="宋体" w:eastAsia="宋体" w:cs="Times New Roman"/>
          <w:szCs w:val="28"/>
          <w14:ligatures w14:val="none"/>
        </w:rPr>
      </w:pPr>
      <w:r>
        <w:rPr>
          <w:rFonts w:hint="eastAsia" w:ascii="Times New Roman" w:hAnsi="宋体" w:eastAsia="宋体" w:cs="Times New Roman"/>
          <w:szCs w:val="28"/>
          <w14:ligatures w14:val="none"/>
        </w:rPr>
        <w:t>①</w:t>
      </w:r>
      <w:r>
        <w:rPr>
          <w:rFonts w:ascii="Times New Roman" w:hAnsi="宋体" w:eastAsia="宋体" w:cs="Times New Roman"/>
          <w:szCs w:val="28"/>
          <w14:ligatures w14:val="none"/>
        </w:rPr>
        <w:t>事故发生的可能性（L）</w:t>
      </w:r>
    </w:p>
    <w:p w14:paraId="546F39B4">
      <w:pPr>
        <w:ind w:firstLine="560"/>
        <w:rPr>
          <w:rFonts w:hint="eastAsia" w:ascii="Times New Roman" w:hAnsi="宋体" w:eastAsia="宋体" w:cs="Times New Roman"/>
          <w:szCs w:val="28"/>
          <w14:ligatures w14:val="none"/>
        </w:rPr>
      </w:pPr>
      <w:r>
        <w:rPr>
          <w:rFonts w:ascii="Times New Roman" w:hAnsi="宋体" w:eastAsia="宋体" w:cs="Times New Roman"/>
          <w:szCs w:val="28"/>
          <w14:ligatures w14:val="none"/>
        </w:rPr>
        <w:t>事故发生的可能性（L）定性表达了事故发生概率。必然发生的事故概率为1，规定对应的分值为；绝对不可能发生事故的概率为0，而生产作业中不存在绝对不发生的事故的情况，故规定实际上不可能发生事故的情况对应分值为0.1；以此为基础规定其他情况相对应的分值，见</w:t>
      </w:r>
      <w:r>
        <w:rPr>
          <w:rFonts w:hint="eastAsia" w:ascii="Times New Roman" w:hAnsi="宋体" w:eastAsia="宋体" w:cs="Times New Roman"/>
          <w:szCs w:val="28"/>
          <w14:ligatures w14:val="none"/>
        </w:rPr>
        <w:t>附</w:t>
      </w:r>
      <w:r>
        <w:rPr>
          <w:rFonts w:ascii="Times New Roman" w:hAnsi="宋体" w:eastAsia="宋体" w:cs="Times New Roman"/>
          <w:szCs w:val="28"/>
          <w14:ligatures w14:val="none"/>
        </w:rPr>
        <w:t>表</w:t>
      </w:r>
      <w:r>
        <w:rPr>
          <w:rFonts w:hint="eastAsia" w:ascii="Times New Roman" w:hAnsi="宋体" w:eastAsia="宋体" w:cs="Times New Roman"/>
          <w:szCs w:val="28"/>
          <w14:ligatures w14:val="none"/>
        </w:rPr>
        <w:t>2.3-1</w:t>
      </w:r>
      <w:r>
        <w:rPr>
          <w:rFonts w:ascii="Times New Roman" w:hAnsi="宋体" w:eastAsia="宋体" w:cs="Times New Roman"/>
          <w:szCs w:val="28"/>
          <w14:ligatures w14:val="none"/>
        </w:rPr>
        <w:t>。</w:t>
      </w:r>
    </w:p>
    <w:p w14:paraId="4A058A07">
      <w:pPr>
        <w:spacing w:before="156" w:beforeLines="50" w:after="156" w:afterLines="50" w:line="240" w:lineRule="auto"/>
        <w:ind w:firstLine="0" w:firstLineChars="0"/>
        <w:jc w:val="center"/>
        <w:rPr>
          <w:rFonts w:ascii="Times New Roman" w:hAnsi="Times New Roman" w:eastAsia="黑体" w:cs="Times New Roman"/>
          <w:kern w:val="0"/>
          <w:sz w:val="24"/>
          <w14:ligatures w14:val="none"/>
        </w:rPr>
      </w:pPr>
      <w:r>
        <w:rPr>
          <w:rFonts w:hint="eastAsia" w:ascii="Times New Roman" w:hAnsi="Times New Roman" w:eastAsia="黑体" w:cs="Times New Roman"/>
          <w:kern w:val="0"/>
          <w:sz w:val="24"/>
          <w14:ligatures w14:val="none"/>
        </w:rPr>
        <w:t>附表2.3-1</w:t>
      </w:r>
      <w:r>
        <w:rPr>
          <w:rFonts w:ascii="Times New Roman" w:hAnsi="Times New Roman" w:eastAsia="黑体" w:cs="Times New Roman"/>
          <w:kern w:val="0"/>
          <w:sz w:val="24"/>
          <w14:ligatures w14:val="none"/>
        </w:rPr>
        <w:t xml:space="preserve">  </w:t>
      </w:r>
      <w:r>
        <w:rPr>
          <w:rFonts w:hint="eastAsia" w:ascii="Times New Roman" w:hAnsi="Times New Roman" w:eastAsia="黑体" w:cs="Times New Roman"/>
          <w:kern w:val="0"/>
          <w:sz w:val="24"/>
          <w14:ligatures w14:val="none"/>
        </w:rPr>
        <w:t>事故发生可能性分值（</w:t>
      </w:r>
      <w:r>
        <w:rPr>
          <w:rFonts w:ascii="Times New Roman" w:hAnsi="Times New Roman" w:eastAsia="黑体" w:cs="Times New Roman"/>
          <w:kern w:val="0"/>
          <w:sz w:val="24"/>
          <w14:ligatures w14:val="none"/>
        </w:rPr>
        <w:t>L</w:t>
      </w:r>
      <w:r>
        <w:rPr>
          <w:rFonts w:hint="eastAsia" w:ascii="Times New Roman" w:hAnsi="Times New Roman" w:eastAsia="黑体" w:cs="Times New Roman"/>
          <w:kern w:val="0"/>
          <w:sz w:val="24"/>
          <w14:ligatures w14:val="none"/>
        </w:rPr>
        <w:t>）</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8"/>
        <w:gridCol w:w="3292"/>
        <w:gridCol w:w="1298"/>
        <w:gridCol w:w="3292"/>
      </w:tblGrid>
      <w:tr w14:paraId="5136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blHeader/>
        </w:trPr>
        <w:tc>
          <w:tcPr>
            <w:tcW w:w="707" w:type="pct"/>
            <w:vAlign w:val="center"/>
          </w:tcPr>
          <w:p w14:paraId="518D0E00">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分数值</w:t>
            </w:r>
          </w:p>
        </w:tc>
        <w:tc>
          <w:tcPr>
            <w:tcW w:w="1793" w:type="pct"/>
            <w:vAlign w:val="center"/>
          </w:tcPr>
          <w:p w14:paraId="2B5EFF93">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事故发生可能性</w:t>
            </w:r>
          </w:p>
        </w:tc>
        <w:tc>
          <w:tcPr>
            <w:tcW w:w="707" w:type="pct"/>
            <w:vAlign w:val="center"/>
          </w:tcPr>
          <w:p w14:paraId="767F819E">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分数值</w:t>
            </w:r>
          </w:p>
        </w:tc>
        <w:tc>
          <w:tcPr>
            <w:tcW w:w="1793" w:type="pct"/>
            <w:vAlign w:val="center"/>
          </w:tcPr>
          <w:p w14:paraId="149C74BA">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事故发生可能性</w:t>
            </w:r>
          </w:p>
        </w:tc>
      </w:tr>
      <w:tr w14:paraId="7A4F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07" w:type="pct"/>
            <w:vAlign w:val="center"/>
          </w:tcPr>
          <w:p w14:paraId="39A92996">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10</w:t>
            </w:r>
          </w:p>
          <w:p w14:paraId="29AD2F4B">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6</w:t>
            </w:r>
          </w:p>
          <w:p w14:paraId="73FC14E1">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3</w:t>
            </w:r>
          </w:p>
          <w:p w14:paraId="28B9E444">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1</w:t>
            </w:r>
          </w:p>
        </w:tc>
        <w:tc>
          <w:tcPr>
            <w:tcW w:w="1793" w:type="pct"/>
            <w:vAlign w:val="center"/>
          </w:tcPr>
          <w:p w14:paraId="7E76C729">
            <w:pPr>
              <w:widowControl/>
              <w:adjustRightInd/>
              <w:snapToGrid/>
              <w:spacing w:line="240" w:lineRule="auto"/>
              <w:ind w:firstLine="0" w:firstLineChars="0"/>
              <w:jc w:val="center"/>
              <w:rPr>
                <w:rFonts w:hint="eastAsia" w:ascii="Times New Roman" w:hAnsi="宋体" w:eastAsia="宋体" w:cs="Times New Roman"/>
                <w:kern w:val="0"/>
                <w:sz w:val="21"/>
                <w:szCs w:val="21"/>
                <w14:ligatures w14:val="none"/>
              </w:rPr>
            </w:pPr>
            <w:r>
              <w:rPr>
                <w:rFonts w:ascii="Times New Roman" w:hAnsi="宋体" w:eastAsia="宋体" w:cs="Times New Roman"/>
                <w:kern w:val="0"/>
                <w:sz w:val="21"/>
                <w:szCs w:val="21"/>
                <w14:ligatures w14:val="none"/>
              </w:rPr>
              <w:t>完全会被预料到</w:t>
            </w:r>
          </w:p>
          <w:p w14:paraId="2DC37485">
            <w:pPr>
              <w:widowControl/>
              <w:adjustRightInd/>
              <w:snapToGrid/>
              <w:spacing w:line="240" w:lineRule="auto"/>
              <w:ind w:firstLine="0" w:firstLineChars="0"/>
              <w:jc w:val="center"/>
              <w:rPr>
                <w:rFonts w:hint="eastAsia" w:ascii="Times New Roman" w:hAnsi="宋体" w:eastAsia="宋体" w:cs="Times New Roman"/>
                <w:kern w:val="0"/>
                <w:sz w:val="21"/>
                <w:szCs w:val="21"/>
                <w14:ligatures w14:val="none"/>
              </w:rPr>
            </w:pPr>
            <w:r>
              <w:rPr>
                <w:rFonts w:ascii="Times New Roman" w:hAnsi="宋体" w:eastAsia="宋体" w:cs="Times New Roman"/>
                <w:kern w:val="0"/>
                <w:sz w:val="21"/>
                <w:szCs w:val="21"/>
                <w14:ligatures w14:val="none"/>
              </w:rPr>
              <w:t>相当可能</w:t>
            </w:r>
          </w:p>
          <w:p w14:paraId="3E59D946">
            <w:pPr>
              <w:widowControl/>
              <w:adjustRightInd/>
              <w:snapToGrid/>
              <w:spacing w:line="240" w:lineRule="auto"/>
              <w:ind w:firstLine="0" w:firstLineChars="0"/>
              <w:jc w:val="center"/>
              <w:rPr>
                <w:rFonts w:hint="eastAsia" w:ascii="Times New Roman" w:hAnsi="宋体" w:eastAsia="宋体" w:cs="Times New Roman"/>
                <w:kern w:val="0"/>
                <w:sz w:val="21"/>
                <w:szCs w:val="21"/>
                <w14:ligatures w14:val="none"/>
              </w:rPr>
            </w:pPr>
            <w:r>
              <w:rPr>
                <w:rFonts w:ascii="Times New Roman" w:hAnsi="宋体" w:eastAsia="宋体" w:cs="Times New Roman"/>
                <w:kern w:val="0"/>
                <w:sz w:val="21"/>
                <w:szCs w:val="21"/>
                <w14:ligatures w14:val="none"/>
              </w:rPr>
              <w:t>可能，但不经常</w:t>
            </w:r>
          </w:p>
          <w:p w14:paraId="17F12CCC">
            <w:pPr>
              <w:widowControl/>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kern w:val="0"/>
                <w:sz w:val="21"/>
                <w:szCs w:val="21"/>
                <w14:ligatures w14:val="none"/>
              </w:rPr>
              <w:t>完全意外，很少可能</w:t>
            </w:r>
          </w:p>
        </w:tc>
        <w:tc>
          <w:tcPr>
            <w:tcW w:w="707" w:type="pct"/>
            <w:vAlign w:val="center"/>
          </w:tcPr>
          <w:p w14:paraId="1A5043D6">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0.5</w:t>
            </w:r>
          </w:p>
          <w:p w14:paraId="1447254A">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0.2</w:t>
            </w:r>
          </w:p>
          <w:p w14:paraId="086E325F">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0.1</w:t>
            </w:r>
          </w:p>
        </w:tc>
        <w:tc>
          <w:tcPr>
            <w:tcW w:w="1793" w:type="pct"/>
            <w:vAlign w:val="center"/>
          </w:tcPr>
          <w:p w14:paraId="068F199E">
            <w:pPr>
              <w:widowControl/>
              <w:adjustRightInd/>
              <w:snapToGrid/>
              <w:spacing w:line="240" w:lineRule="auto"/>
              <w:ind w:firstLine="0" w:firstLineChars="0"/>
              <w:jc w:val="center"/>
              <w:rPr>
                <w:rFonts w:hint="eastAsia" w:ascii="Times New Roman" w:hAnsi="宋体" w:eastAsia="宋体" w:cs="Times New Roman"/>
                <w:kern w:val="0"/>
                <w:sz w:val="21"/>
                <w:szCs w:val="21"/>
                <w14:ligatures w14:val="none"/>
              </w:rPr>
            </w:pPr>
            <w:r>
              <w:rPr>
                <w:rFonts w:ascii="Times New Roman" w:hAnsi="宋体" w:eastAsia="宋体" w:cs="Times New Roman"/>
                <w:kern w:val="0"/>
                <w:sz w:val="21"/>
                <w:szCs w:val="21"/>
                <w14:ligatures w14:val="none"/>
              </w:rPr>
              <w:t>可以设想，但不可能</w:t>
            </w:r>
          </w:p>
          <w:p w14:paraId="3AD6713B">
            <w:pPr>
              <w:widowControl/>
              <w:adjustRightInd/>
              <w:snapToGrid/>
              <w:spacing w:line="240" w:lineRule="auto"/>
              <w:ind w:firstLine="0" w:firstLineChars="0"/>
              <w:jc w:val="center"/>
              <w:rPr>
                <w:rFonts w:hint="eastAsia" w:ascii="Times New Roman" w:hAnsi="宋体" w:eastAsia="宋体" w:cs="Times New Roman"/>
                <w:kern w:val="0"/>
                <w:sz w:val="21"/>
                <w:szCs w:val="21"/>
                <w14:ligatures w14:val="none"/>
              </w:rPr>
            </w:pPr>
            <w:r>
              <w:rPr>
                <w:rFonts w:ascii="Times New Roman" w:hAnsi="宋体" w:eastAsia="宋体" w:cs="Times New Roman"/>
                <w:kern w:val="0"/>
                <w:sz w:val="21"/>
                <w:szCs w:val="21"/>
                <w14:ligatures w14:val="none"/>
              </w:rPr>
              <w:t>极不可能</w:t>
            </w:r>
          </w:p>
          <w:p w14:paraId="4FC2AC10">
            <w:pPr>
              <w:widowControl/>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kern w:val="0"/>
                <w:sz w:val="21"/>
                <w:szCs w:val="21"/>
                <w14:ligatures w14:val="none"/>
              </w:rPr>
              <w:t>实际上不可能</w:t>
            </w:r>
          </w:p>
        </w:tc>
      </w:tr>
    </w:tbl>
    <w:p w14:paraId="63991C67">
      <w:pPr>
        <w:ind w:firstLine="560"/>
        <w:rPr>
          <w:rFonts w:hint="eastAsia" w:ascii="Times New Roman" w:hAnsi="宋体" w:eastAsia="宋体" w:cs="Times New Roman"/>
          <w:szCs w:val="28"/>
          <w14:ligatures w14:val="none"/>
        </w:rPr>
      </w:pPr>
      <w:r>
        <w:rPr>
          <w:rFonts w:hint="eastAsia" w:ascii="Times New Roman" w:hAnsi="宋体" w:eastAsia="宋体" w:cs="Times New Roman"/>
          <w:szCs w:val="28"/>
          <w14:ligatures w14:val="none"/>
        </w:rPr>
        <w:t>②</w:t>
      </w:r>
      <w:r>
        <w:rPr>
          <w:rFonts w:ascii="Times New Roman" w:hAnsi="宋体" w:eastAsia="宋体" w:cs="Times New Roman"/>
          <w:szCs w:val="28"/>
          <w14:ligatures w14:val="none"/>
        </w:rPr>
        <w:t>人员暴露于危险环境的频繁程度（E）</w:t>
      </w:r>
    </w:p>
    <w:p w14:paraId="03E381D9">
      <w:pPr>
        <w:ind w:firstLine="560"/>
        <w:rPr>
          <w:rFonts w:hint="eastAsia" w:ascii="Times New Roman" w:hAnsi="宋体" w:eastAsia="宋体" w:cs="Times New Roman"/>
          <w:szCs w:val="28"/>
          <w14:ligatures w14:val="none"/>
        </w:rPr>
      </w:pPr>
      <w:r>
        <w:rPr>
          <w:rFonts w:ascii="Times New Roman" w:hAnsi="宋体" w:eastAsia="宋体" w:cs="Times New Roman"/>
          <w:szCs w:val="28"/>
          <w14:ligatures w14:val="none"/>
        </w:rPr>
        <w:t>人员暴露于危险环境中的时间越多，受到伤害的可能性越大，相应的危险也越大。规定人员连续出现在危险环境的分值为10，最小分值为0.5，分值0表示人员根本不暴露危险环境中的情况没有实际意义。</w:t>
      </w:r>
      <w:r>
        <w:rPr>
          <w:rFonts w:hint="eastAsia" w:ascii="Times New Roman" w:hAnsi="宋体" w:eastAsia="宋体" w:cs="Times New Roman"/>
          <w:szCs w:val="28"/>
          <w14:ligatures w14:val="none"/>
        </w:rPr>
        <w:t>具体打分的标准见附表2.3-2。</w:t>
      </w:r>
    </w:p>
    <w:p w14:paraId="49F920EC">
      <w:pPr>
        <w:spacing w:before="156" w:beforeLines="50" w:after="156" w:afterLines="50" w:line="240" w:lineRule="auto"/>
        <w:ind w:firstLine="0" w:firstLineChars="0"/>
        <w:jc w:val="center"/>
        <w:rPr>
          <w:rFonts w:ascii="Times New Roman" w:hAnsi="Times New Roman" w:eastAsia="黑体" w:cs="Times New Roman"/>
          <w:kern w:val="0"/>
          <w:sz w:val="24"/>
          <w14:ligatures w14:val="none"/>
        </w:rPr>
      </w:pPr>
      <w:r>
        <w:rPr>
          <w:rFonts w:hint="eastAsia" w:ascii="Times New Roman" w:hAnsi="Times New Roman" w:eastAsia="黑体" w:cs="Times New Roman"/>
          <w:kern w:val="0"/>
          <w:sz w:val="24"/>
          <w14:ligatures w14:val="none"/>
        </w:rPr>
        <w:t>附表2.3-2</w:t>
      </w:r>
      <w:r>
        <w:rPr>
          <w:rFonts w:ascii="Times New Roman" w:hAnsi="Times New Roman" w:eastAsia="黑体" w:cs="Times New Roman"/>
          <w:kern w:val="0"/>
          <w:sz w:val="24"/>
          <w14:ligatures w14:val="none"/>
        </w:rPr>
        <w:t xml:space="preserve">  </w:t>
      </w:r>
      <w:r>
        <w:rPr>
          <w:rFonts w:hint="eastAsia" w:ascii="Times New Roman" w:hAnsi="Times New Roman" w:eastAsia="黑体" w:cs="Times New Roman"/>
          <w:kern w:val="0"/>
          <w:sz w:val="24"/>
          <w14:ligatures w14:val="none"/>
        </w:rPr>
        <w:t>暴露于危险环境的频繁程度（</w:t>
      </w:r>
      <w:r>
        <w:rPr>
          <w:rFonts w:ascii="Times New Roman" w:hAnsi="Times New Roman" w:eastAsia="黑体" w:cs="Times New Roman"/>
          <w:kern w:val="0"/>
          <w:sz w:val="24"/>
          <w14:ligatures w14:val="none"/>
        </w:rPr>
        <w:t>E</w:t>
      </w:r>
      <w:r>
        <w:rPr>
          <w:rFonts w:hint="eastAsia" w:ascii="Times New Roman" w:hAnsi="Times New Roman" w:eastAsia="黑体" w:cs="Times New Roman"/>
          <w:kern w:val="0"/>
          <w:sz w:val="24"/>
          <w14:ligatures w14:val="none"/>
        </w:rPr>
        <w:t>）</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3507"/>
        <w:gridCol w:w="1083"/>
        <w:gridCol w:w="3507"/>
      </w:tblGrid>
      <w:tr w14:paraId="2537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1029" w:type="dxa"/>
            <w:vAlign w:val="center"/>
          </w:tcPr>
          <w:p w14:paraId="7570D553">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分数值</w:t>
            </w:r>
          </w:p>
        </w:tc>
        <w:tc>
          <w:tcPr>
            <w:tcW w:w="3331" w:type="dxa"/>
            <w:vAlign w:val="center"/>
          </w:tcPr>
          <w:p w14:paraId="04B4B7F5">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暴露于危险环境的频繁程度</w:t>
            </w:r>
          </w:p>
        </w:tc>
        <w:tc>
          <w:tcPr>
            <w:tcW w:w="1029" w:type="dxa"/>
            <w:vAlign w:val="center"/>
          </w:tcPr>
          <w:p w14:paraId="2401ED93">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分数值</w:t>
            </w:r>
          </w:p>
        </w:tc>
        <w:tc>
          <w:tcPr>
            <w:tcW w:w="3331" w:type="dxa"/>
            <w:vAlign w:val="center"/>
          </w:tcPr>
          <w:p w14:paraId="7903E363">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暴露于危险环境的频繁程度</w:t>
            </w:r>
          </w:p>
        </w:tc>
      </w:tr>
      <w:tr w14:paraId="1EEE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29" w:type="dxa"/>
            <w:vAlign w:val="center"/>
          </w:tcPr>
          <w:p w14:paraId="5211A4FA">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10</w:t>
            </w:r>
          </w:p>
          <w:p w14:paraId="09F2E0D7">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6</w:t>
            </w:r>
          </w:p>
          <w:p w14:paraId="45A85FA9">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3</w:t>
            </w:r>
          </w:p>
        </w:tc>
        <w:tc>
          <w:tcPr>
            <w:tcW w:w="3331" w:type="dxa"/>
            <w:vAlign w:val="center"/>
          </w:tcPr>
          <w:p w14:paraId="676AC224">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连续暴露</w:t>
            </w:r>
          </w:p>
          <w:p w14:paraId="05A6C090">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每天工作时间内暴露</w:t>
            </w:r>
          </w:p>
          <w:p w14:paraId="693613D9">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每周一次或偶然暴露</w:t>
            </w:r>
          </w:p>
        </w:tc>
        <w:tc>
          <w:tcPr>
            <w:tcW w:w="1029" w:type="dxa"/>
            <w:vAlign w:val="center"/>
          </w:tcPr>
          <w:p w14:paraId="5AA46D3B">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2</w:t>
            </w:r>
          </w:p>
          <w:p w14:paraId="70FF64DF">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1</w:t>
            </w:r>
          </w:p>
          <w:p w14:paraId="10CDA332">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0.5</w:t>
            </w:r>
          </w:p>
        </w:tc>
        <w:tc>
          <w:tcPr>
            <w:tcW w:w="3331" w:type="dxa"/>
            <w:vAlign w:val="center"/>
          </w:tcPr>
          <w:p w14:paraId="3BFA6318">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每月暴露一次</w:t>
            </w:r>
          </w:p>
          <w:p w14:paraId="0FB876D3">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每年几次暴露</w:t>
            </w:r>
          </w:p>
          <w:p w14:paraId="32B32DBB">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非常罕见地暴露</w:t>
            </w:r>
          </w:p>
        </w:tc>
      </w:tr>
    </w:tbl>
    <w:p w14:paraId="33DF7749">
      <w:pPr>
        <w:ind w:firstLine="560"/>
        <w:rPr>
          <w:rFonts w:hint="eastAsia" w:ascii="Times New Roman" w:hAnsi="宋体" w:eastAsia="宋体" w:cs="Times New Roman"/>
          <w:szCs w:val="28"/>
          <w14:ligatures w14:val="none"/>
        </w:rPr>
      </w:pPr>
      <w:r>
        <w:rPr>
          <w:rFonts w:hint="eastAsia" w:ascii="Times New Roman" w:hAnsi="宋体" w:eastAsia="宋体" w:cs="Times New Roman"/>
          <w:szCs w:val="28"/>
          <w14:ligatures w14:val="none"/>
        </w:rPr>
        <w:t>③</w:t>
      </w:r>
      <w:r>
        <w:rPr>
          <w:rFonts w:ascii="Times New Roman" w:hAnsi="宋体" w:eastAsia="宋体" w:cs="Times New Roman"/>
          <w:szCs w:val="28"/>
          <w14:ligatures w14:val="none"/>
        </w:rPr>
        <w:t>发生事故可能造成的后果（C）</w:t>
      </w:r>
    </w:p>
    <w:p w14:paraId="1EEFEDC2">
      <w:pPr>
        <w:ind w:firstLine="560"/>
        <w:rPr>
          <w:rFonts w:hint="eastAsia" w:ascii="Times New Roman" w:hAnsi="宋体" w:eastAsia="宋体" w:cs="Times New Roman"/>
          <w:szCs w:val="28"/>
          <w14:ligatures w14:val="none"/>
        </w:rPr>
      </w:pPr>
      <w:r>
        <w:rPr>
          <w:rFonts w:ascii="Times New Roman" w:hAnsi="宋体" w:eastAsia="宋体" w:cs="Times New Roman"/>
          <w:szCs w:val="28"/>
          <w14:ligatures w14:val="none"/>
        </w:rPr>
        <w:t>由于事故造成人员的伤害程度的范围很大，规定把需要治疗的轻伤对应分值为1，许多人同时死亡对应的分值为100，其他情况评分标准见</w:t>
      </w:r>
      <w:r>
        <w:rPr>
          <w:rFonts w:hint="eastAsia" w:ascii="Times New Roman" w:hAnsi="宋体" w:eastAsia="宋体" w:cs="Times New Roman"/>
          <w:szCs w:val="28"/>
          <w14:ligatures w14:val="none"/>
        </w:rPr>
        <w:t>附</w:t>
      </w:r>
      <w:r>
        <w:rPr>
          <w:rFonts w:ascii="Times New Roman" w:hAnsi="宋体" w:eastAsia="宋体" w:cs="Times New Roman"/>
          <w:szCs w:val="28"/>
          <w14:ligatures w14:val="none"/>
        </w:rPr>
        <w:t>表</w:t>
      </w:r>
      <w:r>
        <w:rPr>
          <w:rFonts w:hint="eastAsia" w:ascii="Times New Roman" w:hAnsi="宋体" w:eastAsia="宋体" w:cs="Times New Roman"/>
          <w:szCs w:val="28"/>
          <w14:ligatures w14:val="none"/>
        </w:rPr>
        <w:t>2.3-3</w:t>
      </w:r>
      <w:r>
        <w:rPr>
          <w:rFonts w:ascii="Times New Roman" w:hAnsi="宋体" w:eastAsia="宋体" w:cs="Times New Roman"/>
          <w:szCs w:val="28"/>
          <w14:ligatures w14:val="none"/>
        </w:rPr>
        <w:t>，并可依据事故后果严重程度应用插分法取值、赋分。</w:t>
      </w:r>
    </w:p>
    <w:p w14:paraId="460D7164">
      <w:pPr>
        <w:keepNext/>
        <w:adjustRightInd/>
        <w:snapToGrid/>
        <w:spacing w:before="156" w:beforeLines="50" w:after="156" w:afterLines="50" w:line="240" w:lineRule="auto"/>
        <w:ind w:firstLine="0" w:firstLineChars="0"/>
        <w:jc w:val="center"/>
        <w:rPr>
          <w:rFonts w:ascii="Times New Roman" w:hAnsi="Times New Roman" w:eastAsia="黑体" w:cs="Times New Roman"/>
          <w:kern w:val="0"/>
          <w:sz w:val="24"/>
          <w14:ligatures w14:val="none"/>
        </w:rPr>
      </w:pPr>
      <w:r>
        <w:rPr>
          <w:rFonts w:hint="eastAsia" w:ascii="Times New Roman" w:hAnsi="Times New Roman" w:eastAsia="黑体" w:cs="Times New Roman"/>
          <w:kern w:val="0"/>
          <w:sz w:val="24"/>
          <w14:ligatures w14:val="none"/>
        </w:rPr>
        <w:t>附表2.3-3  事故造成的结果分值（</w:t>
      </w:r>
      <w:r>
        <w:rPr>
          <w:rFonts w:ascii="Times New Roman" w:hAnsi="Times New Roman" w:eastAsia="黑体" w:cs="Times New Roman"/>
          <w:kern w:val="0"/>
          <w:sz w:val="24"/>
          <w14:ligatures w14:val="none"/>
        </w:rPr>
        <w:t>C</w:t>
      </w:r>
      <w:r>
        <w:rPr>
          <w:rFonts w:hint="eastAsia" w:ascii="Times New Roman" w:hAnsi="Times New Roman" w:eastAsia="黑体" w:cs="Times New Roman"/>
          <w:kern w:val="0"/>
          <w:sz w:val="24"/>
          <w14:ligatures w14:val="none"/>
        </w:rPr>
        <w:t>）</w:t>
      </w:r>
    </w:p>
    <w:tbl>
      <w:tblPr>
        <w:tblStyle w:val="3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3529"/>
        <w:gridCol w:w="1019"/>
        <w:gridCol w:w="3571"/>
      </w:tblGrid>
      <w:tr w14:paraId="278EB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1008" w:type="dxa"/>
            <w:vAlign w:val="center"/>
          </w:tcPr>
          <w:p w14:paraId="0CC3DB4E">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分数值</w:t>
            </w:r>
          </w:p>
        </w:tc>
        <w:tc>
          <w:tcPr>
            <w:tcW w:w="3352" w:type="dxa"/>
            <w:vAlign w:val="center"/>
          </w:tcPr>
          <w:p w14:paraId="50C0E7DF">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事故造成的后果</w:t>
            </w:r>
          </w:p>
        </w:tc>
        <w:tc>
          <w:tcPr>
            <w:tcW w:w="968" w:type="dxa"/>
            <w:vAlign w:val="center"/>
          </w:tcPr>
          <w:p w14:paraId="138C3A1E">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分数值</w:t>
            </w:r>
          </w:p>
        </w:tc>
        <w:tc>
          <w:tcPr>
            <w:tcW w:w="3392" w:type="dxa"/>
            <w:vAlign w:val="center"/>
          </w:tcPr>
          <w:p w14:paraId="059E5E27">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事故造成的后果</w:t>
            </w:r>
          </w:p>
        </w:tc>
      </w:tr>
      <w:tr w14:paraId="2B92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08" w:type="dxa"/>
            <w:vAlign w:val="center"/>
          </w:tcPr>
          <w:p w14:paraId="29D166A3">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100</w:t>
            </w:r>
          </w:p>
          <w:p w14:paraId="615B573A">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40</w:t>
            </w:r>
          </w:p>
          <w:p w14:paraId="082E2803">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15</w:t>
            </w:r>
          </w:p>
        </w:tc>
        <w:tc>
          <w:tcPr>
            <w:tcW w:w="3352" w:type="dxa"/>
            <w:vAlign w:val="center"/>
          </w:tcPr>
          <w:p w14:paraId="6DC1A9B1">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十人以上死亡</w:t>
            </w:r>
          </w:p>
          <w:p w14:paraId="3997EAC1">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数人死亡</w:t>
            </w:r>
          </w:p>
          <w:p w14:paraId="1415C6E8">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一人死亡</w:t>
            </w:r>
          </w:p>
        </w:tc>
        <w:tc>
          <w:tcPr>
            <w:tcW w:w="968" w:type="dxa"/>
            <w:vAlign w:val="center"/>
          </w:tcPr>
          <w:p w14:paraId="227C6F20">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7</w:t>
            </w:r>
          </w:p>
          <w:p w14:paraId="1ABFE4FC">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3</w:t>
            </w:r>
          </w:p>
          <w:p w14:paraId="4EC06087">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1</w:t>
            </w:r>
          </w:p>
        </w:tc>
        <w:tc>
          <w:tcPr>
            <w:tcW w:w="3392" w:type="dxa"/>
            <w:vAlign w:val="center"/>
          </w:tcPr>
          <w:p w14:paraId="4543F1BC">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严重伤残</w:t>
            </w:r>
          </w:p>
          <w:p w14:paraId="5A9D9934">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有伤残</w:t>
            </w:r>
          </w:p>
          <w:p w14:paraId="6B0B4CE9">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轻伤，需救护</w:t>
            </w:r>
          </w:p>
        </w:tc>
      </w:tr>
    </w:tbl>
    <w:p w14:paraId="2B32D3DC">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（2）危险性等级划分标准：</w:t>
      </w:r>
    </w:p>
    <w:p w14:paraId="57F667E7">
      <w:pPr>
        <w:ind w:firstLine="560"/>
        <w:rPr>
          <w:rFonts w:hint="eastAsia" w:ascii="Times New Roman" w:hAnsi="宋体" w:eastAsia="宋体" w:cs="Times New Roman"/>
          <w:szCs w:val="28"/>
          <w14:ligatures w14:val="none"/>
        </w:rPr>
      </w:pPr>
      <w:r>
        <w:rPr>
          <w:rFonts w:ascii="Times New Roman" w:hAnsi="宋体" w:eastAsia="宋体" w:cs="Times New Roman"/>
          <w:szCs w:val="28"/>
          <w14:ligatures w14:val="none"/>
        </w:rPr>
        <w:t>根据经验，规定危险性分值在20以下为低危险性，它比日常骑车上班的危险性略低；在70～160之间，有显著的危险性，需要采取措施整改；在160～320之间，有高度危险性，必须立即整改；大于320时，有异常危险性，应立即停止作业，彻底整改。按危险性分值划分危险性等级的标准如</w:t>
      </w:r>
      <w:r>
        <w:rPr>
          <w:rFonts w:hint="eastAsia" w:ascii="Times New Roman" w:hAnsi="宋体" w:eastAsia="宋体" w:cs="Times New Roman"/>
          <w:szCs w:val="28"/>
          <w14:ligatures w14:val="none"/>
        </w:rPr>
        <w:t>附</w:t>
      </w:r>
      <w:r>
        <w:rPr>
          <w:rFonts w:ascii="Times New Roman" w:hAnsi="宋体" w:eastAsia="宋体" w:cs="Times New Roman"/>
          <w:szCs w:val="28"/>
          <w14:ligatures w14:val="none"/>
        </w:rPr>
        <w:t>表</w:t>
      </w:r>
      <w:r>
        <w:rPr>
          <w:rFonts w:hint="eastAsia" w:ascii="Times New Roman" w:hAnsi="宋体" w:eastAsia="宋体" w:cs="Times New Roman"/>
          <w:szCs w:val="28"/>
          <w14:ligatures w14:val="none"/>
        </w:rPr>
        <w:t>2.3-4</w:t>
      </w:r>
      <w:r>
        <w:rPr>
          <w:rFonts w:ascii="Times New Roman" w:hAnsi="宋体" w:eastAsia="宋体" w:cs="Times New Roman"/>
          <w:szCs w:val="28"/>
          <w14:ligatures w14:val="none"/>
        </w:rPr>
        <w:t>：</w:t>
      </w:r>
    </w:p>
    <w:p w14:paraId="22FCDF9D">
      <w:pPr>
        <w:adjustRightInd/>
        <w:snapToGrid/>
        <w:spacing w:before="156" w:beforeLines="50" w:after="156" w:afterLines="50" w:line="240" w:lineRule="auto"/>
        <w:ind w:firstLine="0" w:firstLineChars="0"/>
        <w:jc w:val="center"/>
        <w:rPr>
          <w:rFonts w:ascii="Times New Roman" w:hAnsi="Times New Roman" w:eastAsia="黑体" w:cs="Times New Roman"/>
          <w:kern w:val="0"/>
          <w:sz w:val="24"/>
          <w14:ligatures w14:val="none"/>
        </w:rPr>
      </w:pPr>
      <w:r>
        <w:rPr>
          <w:rFonts w:hint="eastAsia" w:ascii="Times New Roman" w:hAnsi="Times New Roman" w:eastAsia="黑体" w:cs="Times New Roman"/>
          <w:kern w:val="0"/>
          <w:sz w:val="24"/>
          <w14:ligatures w14:val="none"/>
        </w:rPr>
        <w:t>附表2.3-4  危险性等级划分标准</w:t>
      </w:r>
    </w:p>
    <w:tbl>
      <w:tblPr>
        <w:tblStyle w:val="33"/>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754"/>
        <w:gridCol w:w="3067"/>
        <w:gridCol w:w="1855"/>
        <w:gridCol w:w="2500"/>
      </w:tblGrid>
      <w:tr w14:paraId="79156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blHeader/>
        </w:trPr>
        <w:tc>
          <w:tcPr>
            <w:tcW w:w="956" w:type="pct"/>
            <w:vAlign w:val="center"/>
          </w:tcPr>
          <w:p w14:paraId="5A1B4394">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危险性分值（D）</w:t>
            </w:r>
          </w:p>
        </w:tc>
        <w:tc>
          <w:tcPr>
            <w:tcW w:w="1671" w:type="pct"/>
            <w:vAlign w:val="center"/>
          </w:tcPr>
          <w:p w14:paraId="62FC71C9">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事故造成的后果</w:t>
            </w:r>
          </w:p>
        </w:tc>
        <w:tc>
          <w:tcPr>
            <w:tcW w:w="1011" w:type="pct"/>
            <w:vAlign w:val="center"/>
          </w:tcPr>
          <w:p w14:paraId="09A610E0">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危险性分值（D）</w:t>
            </w:r>
          </w:p>
        </w:tc>
        <w:tc>
          <w:tcPr>
            <w:tcW w:w="1362" w:type="pct"/>
            <w:vAlign w:val="center"/>
          </w:tcPr>
          <w:p w14:paraId="42E22795">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事故造成的后果</w:t>
            </w:r>
          </w:p>
        </w:tc>
      </w:tr>
      <w:tr w14:paraId="21982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956" w:type="pct"/>
            <w:vAlign w:val="center"/>
          </w:tcPr>
          <w:p w14:paraId="442546B4">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≥320</w:t>
            </w:r>
          </w:p>
          <w:p w14:paraId="6516469F">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≥160～320</w:t>
            </w:r>
          </w:p>
          <w:p w14:paraId="22A03CCC">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≥70～160</w:t>
            </w:r>
          </w:p>
        </w:tc>
        <w:tc>
          <w:tcPr>
            <w:tcW w:w="1671" w:type="pct"/>
            <w:vAlign w:val="center"/>
          </w:tcPr>
          <w:p w14:paraId="78491B53">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极度危险，不能继续作业</w:t>
            </w:r>
          </w:p>
          <w:p w14:paraId="27AA285A">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高度危险，需要立即整改</w:t>
            </w:r>
          </w:p>
          <w:p w14:paraId="45DADF6F">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显著危险，需要整改</w:t>
            </w:r>
          </w:p>
        </w:tc>
        <w:tc>
          <w:tcPr>
            <w:tcW w:w="1011" w:type="pct"/>
            <w:vAlign w:val="center"/>
          </w:tcPr>
          <w:p w14:paraId="78BA7DE3">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≥20～70</w:t>
            </w:r>
          </w:p>
          <w:p w14:paraId="257C6221">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＜20</w:t>
            </w:r>
          </w:p>
        </w:tc>
        <w:tc>
          <w:tcPr>
            <w:tcW w:w="1362" w:type="pct"/>
            <w:vAlign w:val="center"/>
          </w:tcPr>
          <w:p w14:paraId="2FCD5EC9">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比较危险，需要注意</w:t>
            </w:r>
          </w:p>
          <w:p w14:paraId="74BA13D7">
            <w:pPr>
              <w:autoSpaceDE w:val="0"/>
              <w:autoSpaceDN w:val="0"/>
              <w:adjustRightInd/>
              <w:snapToGrid/>
              <w:spacing w:line="240" w:lineRule="auto"/>
              <w:ind w:firstLine="0" w:firstLineChars="0"/>
              <w:jc w:val="center"/>
              <w:rPr>
                <w:rFonts w:hint="eastAsia" w:ascii="Times New Roman" w:hAnsi="宋体" w:eastAsia="宋体" w:cs="Times New Roman"/>
                <w:sz w:val="21"/>
                <w:szCs w:val="21"/>
                <w:lang w:val="zh-CN"/>
                <w14:ligatures w14:val="none"/>
              </w:rPr>
            </w:pPr>
            <w:r>
              <w:rPr>
                <w:rFonts w:ascii="Times New Roman" w:hAnsi="宋体" w:eastAsia="宋体" w:cs="Times New Roman"/>
                <w:sz w:val="21"/>
                <w:szCs w:val="21"/>
                <w:lang w:val="zh-CN"/>
                <w14:ligatures w14:val="none"/>
              </w:rPr>
              <w:t>稍有危险，可以接受</w:t>
            </w:r>
          </w:p>
        </w:tc>
      </w:tr>
    </w:tbl>
    <w:p w14:paraId="28A09ADF">
      <w:pPr>
        <w:keepNext/>
        <w:keepLines/>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01" w:name="_Toc218437768"/>
      <w:r>
        <w:rPr>
          <w:rFonts w:ascii="Times New Roman" w:hAnsi="Times New Roman" w:eastAsia="楷体" w:cs="Times New Roman"/>
          <w:b/>
          <w:bCs/>
          <w:sz w:val="32"/>
          <w:szCs w:val="32"/>
        </w:rPr>
        <w:t>F2.4</w:t>
      </w:r>
      <w:bookmarkEnd w:id="97"/>
      <w:bookmarkEnd w:id="98"/>
      <w:bookmarkEnd w:id="99"/>
      <w:r>
        <w:rPr>
          <w:rFonts w:ascii="Times New Roman" w:hAnsi="Times New Roman" w:eastAsia="楷体" w:cs="Times New Roman"/>
          <w:b/>
          <w:bCs/>
          <w:sz w:val="32"/>
          <w:szCs w:val="32"/>
        </w:rPr>
        <w:t>TNT当量计算</w:t>
      </w:r>
      <w:bookmarkEnd w:id="100"/>
      <w:bookmarkEnd w:id="101"/>
    </w:p>
    <w:p w14:paraId="346215E2">
      <w:pPr>
        <w:ind w:firstLine="560"/>
        <w:rPr>
          <w:rFonts w:ascii="Times New Roman" w:hAnsi="Times New Roman" w:eastAsia="宋体" w:cs="Times New Roman"/>
          <w:szCs w:val="20"/>
          <w14:ligatures w14:val="none"/>
        </w:rPr>
      </w:pPr>
      <w:r>
        <w:rPr>
          <w:rFonts w:ascii="Times New Roman" w:hAnsi="Times New Roman" w:eastAsia="宋体" w:cs="Times New Roman"/>
          <w:szCs w:val="28"/>
          <w14:ligatures w14:val="none"/>
        </w:rPr>
        <w:t>储罐区物质泄漏后形成蒸汽云，蒸汽云爆炸的能量常用TNT当量描述，即将参与爆炸的可燃气体释放的能量折合为能释放相同能量的TNT炸药描述。</w:t>
      </w:r>
    </w:p>
    <w:p w14:paraId="31EE53C6">
      <w:pPr>
        <w:ind w:firstLine="560"/>
        <w:rPr>
          <w:rFonts w:ascii="Times New Roman" w:hAnsi="Times New Roman" w:eastAsia="宋体" w:cs="Times New Roman"/>
          <w:szCs w:val="28"/>
          <w14:ligatures w14:val="none"/>
        </w:rPr>
      </w:pPr>
      <w:r>
        <w:rPr>
          <w:rFonts w:hint="eastAsia" w:ascii="Times New Roman" w:hAnsi="Times New Roman" w:eastAsia="宋体" w:cs="Times New Roman"/>
          <w:szCs w:val="28"/>
          <w14:ligatures w14:val="none"/>
        </w:rPr>
        <w:t>（1）</w:t>
      </w:r>
      <w:r>
        <w:rPr>
          <w:rFonts w:ascii="Times New Roman" w:hAnsi="Times New Roman" w:eastAsia="宋体" w:cs="Times New Roman"/>
          <w:szCs w:val="28"/>
          <w14:ligatures w14:val="none"/>
        </w:rPr>
        <w:t>TNT当量计算公式如下：</w:t>
      </w:r>
    </w:p>
    <w:p w14:paraId="1F109026">
      <w:pPr>
        <w:ind w:firstLine="560"/>
        <w:rPr>
          <w:rFonts w:ascii="Times New Roman" w:hAnsi="Times New Roman" w:eastAsia="宋体" w:cs="Times New Roman"/>
          <w:szCs w:val="28"/>
          <w14:ligatures w14:val="none"/>
        </w:rPr>
      </w:pPr>
      <w:bookmarkStart w:id="102" w:name="_Toc20236"/>
      <w:r>
        <w:rPr>
          <w:rFonts w:ascii="Times New Roman" w:hAnsi="Times New Roman" w:eastAsia="宋体" w:cs="Times New Roman"/>
          <w:szCs w:val="28"/>
          <w14:ligatures w14:val="none"/>
        </w:rPr>
        <w:t>W</w:t>
      </w:r>
      <w:r>
        <w:rPr>
          <w:rFonts w:ascii="Times New Roman" w:hAnsi="Times New Roman" w:eastAsia="宋体" w:cs="Times New Roman"/>
          <w:szCs w:val="28"/>
          <w:vertAlign w:val="subscript"/>
          <w14:ligatures w14:val="none"/>
        </w:rPr>
        <w:t>TNT</w:t>
      </w:r>
      <w:r>
        <w:rPr>
          <w:rFonts w:ascii="Times New Roman" w:hAnsi="Times New Roman" w:eastAsia="宋体" w:cs="Times New Roman"/>
          <w:szCs w:val="28"/>
          <w14:ligatures w14:val="none"/>
        </w:rPr>
        <w:t>=βAW</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Q</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/Q</w:t>
      </w:r>
      <w:r>
        <w:rPr>
          <w:rFonts w:ascii="Times New Roman" w:hAnsi="Times New Roman" w:eastAsia="宋体" w:cs="Times New Roman"/>
          <w:szCs w:val="28"/>
          <w:vertAlign w:val="subscript"/>
          <w14:ligatures w14:val="none"/>
        </w:rPr>
        <w:t>TNT</w:t>
      </w:r>
      <w:bookmarkEnd w:id="102"/>
    </w:p>
    <w:p w14:paraId="5976C4A4">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式中：W</w:t>
      </w:r>
      <w:r>
        <w:rPr>
          <w:rFonts w:ascii="Times New Roman" w:hAnsi="Times New Roman" w:eastAsia="宋体" w:cs="Times New Roman"/>
          <w:szCs w:val="28"/>
          <w:vertAlign w:val="subscript"/>
          <w14:ligatures w14:val="none"/>
        </w:rPr>
        <w:t>TNT</w:t>
      </w:r>
      <w:r>
        <w:rPr>
          <w:rFonts w:ascii="Times New Roman" w:hAnsi="Times New Roman" w:eastAsia="宋体" w:cs="Times New Roman"/>
          <w:szCs w:val="28"/>
          <w14:ligatures w14:val="none"/>
        </w:rPr>
        <w:t>——蒸气云的TNT当量，kg；</w:t>
      </w:r>
    </w:p>
    <w:p w14:paraId="3C62A251">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 xml:space="preserve">  </w:t>
      </w:r>
      <w:r>
        <w:rPr>
          <w:rFonts w:hint="eastAsia" w:ascii="Times New Roman" w:hAnsi="Times New Roman" w:eastAsia="宋体" w:cs="Times New Roman"/>
          <w:szCs w:val="28"/>
          <w14:ligatures w14:val="none"/>
        </w:rPr>
        <w:t xml:space="preserve">    </w:t>
      </w:r>
      <w:r>
        <w:rPr>
          <w:rFonts w:ascii="Times New Roman" w:hAnsi="Times New Roman" w:eastAsia="宋体" w:cs="Times New Roman"/>
          <w:szCs w:val="28"/>
          <w14:ligatures w14:val="none"/>
        </w:rPr>
        <w:t>β——地面爆炸系数，取β=1.8；</w:t>
      </w:r>
    </w:p>
    <w:p w14:paraId="2EF9D5FE">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 xml:space="preserve">  </w:t>
      </w:r>
      <w:r>
        <w:rPr>
          <w:rFonts w:hint="eastAsia" w:ascii="Times New Roman" w:hAnsi="Times New Roman" w:eastAsia="宋体" w:cs="Times New Roman"/>
          <w:szCs w:val="28"/>
          <w14:ligatures w14:val="none"/>
        </w:rPr>
        <w:t xml:space="preserve">    </w:t>
      </w:r>
      <w:r>
        <w:rPr>
          <w:rFonts w:ascii="Times New Roman" w:hAnsi="Times New Roman" w:eastAsia="宋体" w:cs="Times New Roman"/>
          <w:szCs w:val="28"/>
          <w14:ligatures w14:val="none"/>
        </w:rPr>
        <w:t>A——蒸气云的TNT当量系数，A=4%；</w:t>
      </w:r>
    </w:p>
    <w:p w14:paraId="41933F93">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 xml:space="preserve">  </w:t>
      </w:r>
      <w:r>
        <w:rPr>
          <w:rFonts w:hint="eastAsia" w:ascii="Times New Roman" w:hAnsi="Times New Roman" w:eastAsia="宋体" w:cs="Times New Roman"/>
          <w:szCs w:val="28"/>
          <w14:ligatures w14:val="none"/>
        </w:rPr>
        <w:t xml:space="preserve">    </w:t>
      </w:r>
      <w:r>
        <w:rPr>
          <w:rFonts w:ascii="Times New Roman" w:hAnsi="Times New Roman" w:eastAsia="宋体" w:cs="Times New Roman"/>
          <w:szCs w:val="28"/>
          <w14:ligatures w14:val="none"/>
        </w:rPr>
        <w:t>W</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——蒸气云中燃料的总质量：kg；</w:t>
      </w:r>
    </w:p>
    <w:p w14:paraId="48FABD1F">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 xml:space="preserve">  </w:t>
      </w:r>
      <w:r>
        <w:rPr>
          <w:rFonts w:hint="eastAsia" w:ascii="Times New Roman" w:hAnsi="Times New Roman" w:eastAsia="宋体" w:cs="Times New Roman"/>
          <w:szCs w:val="28"/>
          <w14:ligatures w14:val="none"/>
        </w:rPr>
        <w:t xml:space="preserve">    </w:t>
      </w:r>
      <w:r>
        <w:rPr>
          <w:rFonts w:ascii="Times New Roman" w:hAnsi="Times New Roman" w:eastAsia="宋体" w:cs="Times New Roman"/>
          <w:szCs w:val="28"/>
          <w14:ligatures w14:val="none"/>
        </w:rPr>
        <w:t>Q</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——燃料的燃烧热，kJ/kg；</w:t>
      </w:r>
    </w:p>
    <w:p w14:paraId="56363C7B">
      <w:pPr>
        <w:ind w:firstLine="560"/>
        <w:rPr>
          <w:rFonts w:ascii="Times New Roman" w:hAnsi="Times New Roman" w:eastAsia="宋体" w:cs="Times New Roman"/>
          <w:kern w:val="0"/>
          <w:szCs w:val="20"/>
          <w14:ligatures w14:val="none"/>
        </w:rPr>
      </w:pPr>
      <w:r>
        <w:rPr>
          <w:rFonts w:ascii="Times New Roman" w:hAnsi="Times New Roman" w:eastAsia="宋体" w:cs="Times New Roman"/>
          <w:kern w:val="0"/>
          <w:szCs w:val="28"/>
          <w14:ligatures w14:val="none"/>
        </w:rPr>
        <w:t xml:space="preserve">  </w:t>
      </w:r>
      <w:r>
        <w:rPr>
          <w:rFonts w:hint="eastAsia" w:ascii="Times New Roman" w:hAnsi="Times New Roman" w:eastAsia="宋体" w:cs="Times New Roman"/>
          <w:kern w:val="0"/>
          <w:szCs w:val="28"/>
          <w14:ligatures w14:val="none"/>
        </w:rPr>
        <w:t xml:space="preserve">    </w:t>
      </w:r>
      <w:r>
        <w:rPr>
          <w:rFonts w:ascii="Times New Roman" w:hAnsi="Times New Roman" w:eastAsia="宋体" w:cs="Times New Roman"/>
          <w:kern w:val="0"/>
          <w:szCs w:val="28"/>
          <w14:ligatures w14:val="none"/>
        </w:rPr>
        <w:t>Q</w:t>
      </w:r>
      <w:r>
        <w:rPr>
          <w:rFonts w:ascii="Times New Roman" w:hAnsi="Times New Roman" w:eastAsia="宋体" w:cs="Times New Roman"/>
          <w:kern w:val="0"/>
          <w:szCs w:val="28"/>
          <w:vertAlign w:val="subscript"/>
          <w14:ligatures w14:val="none"/>
        </w:rPr>
        <w:t>TNT</w:t>
      </w:r>
      <w:r>
        <w:rPr>
          <w:rFonts w:ascii="Times New Roman" w:hAnsi="Times New Roman" w:eastAsia="宋体" w:cs="Times New Roman"/>
          <w:kern w:val="0"/>
          <w:szCs w:val="28"/>
          <w14:ligatures w14:val="none"/>
        </w:rPr>
        <w:t>——TNT的爆热，QTNT=4520kJ/kg。</w:t>
      </w:r>
    </w:p>
    <w:p w14:paraId="79BB1BF0">
      <w:pPr>
        <w:ind w:firstLine="560"/>
        <w:rPr>
          <w:rFonts w:ascii="Times New Roman" w:hAnsi="Times New Roman" w:eastAsia="宋体" w:cs="Times New Roman"/>
          <w:szCs w:val="20"/>
          <w14:ligatures w14:val="none"/>
        </w:rPr>
      </w:pPr>
      <w:r>
        <w:rPr>
          <w:rFonts w:ascii="Times New Roman" w:hAnsi="Times New Roman" w:eastAsia="宋体" w:cs="Times New Roman"/>
          <w:szCs w:val="28"/>
          <w14:ligatures w14:val="none"/>
        </w:rPr>
        <w:t>（以汽油储罐蒸汽云爆炸的TNT当量计算为例，可假设参加蒸气云爆炸的量为10%）</w:t>
      </w:r>
    </w:p>
    <w:p w14:paraId="1B138B57">
      <w:pPr>
        <w:tabs>
          <w:tab w:val="left" w:pos="312"/>
        </w:tabs>
        <w:ind w:left="560" w:firstLine="0" w:firstLineChars="0"/>
        <w:rPr>
          <w:rFonts w:ascii="Times New Roman" w:hAnsi="Times New Roman" w:eastAsia="宋体" w:cs="Times New Roman"/>
          <w:szCs w:val="28"/>
          <w14:ligatures w14:val="none"/>
        </w:rPr>
      </w:pPr>
      <w:r>
        <w:rPr>
          <w:rFonts w:hint="eastAsia" w:ascii="Times New Roman" w:hAnsi="Times New Roman" w:eastAsia="宋体" w:cs="Times New Roman"/>
          <w:szCs w:val="28"/>
          <w14:ligatures w14:val="none"/>
        </w:rPr>
        <w:t>（2）</w:t>
      </w:r>
      <w:r>
        <w:rPr>
          <w:rFonts w:ascii="Times New Roman" w:hAnsi="Times New Roman" w:eastAsia="宋体" w:cs="Times New Roman"/>
          <w:szCs w:val="28"/>
          <w14:ligatures w14:val="none"/>
        </w:rPr>
        <w:t>死亡半径计算根据超压-冲量准则和概率模型得出的死亡半径公式如下：R</w:t>
      </w:r>
      <w:r>
        <w:rPr>
          <w:rFonts w:ascii="Times New Roman" w:hAnsi="Times New Roman" w:eastAsia="宋体" w:cs="Times New Roman"/>
          <w:szCs w:val="28"/>
          <w:vertAlign w:val="subscript"/>
          <w14:ligatures w14:val="none"/>
        </w:rPr>
        <w:t>0.5</w:t>
      </w:r>
      <w:r>
        <w:rPr>
          <w:rFonts w:ascii="Times New Roman" w:hAnsi="Times New Roman" w:eastAsia="宋体" w:cs="Times New Roman"/>
          <w:szCs w:val="28"/>
          <w14:ligatures w14:val="none"/>
        </w:rPr>
        <w:t>=13.6</w:t>
      </w:r>
      <w:r>
        <w:rPr>
          <w:rFonts w:hint="eastAsia" w:ascii="Times New Roman" w:hAnsi="Times New Roman" w:eastAsia="宋体" w:cs="Times New Roman"/>
          <w:szCs w:val="28"/>
          <w14:ligatures w14:val="none"/>
        </w:rPr>
        <w:t>（</w:t>
      </w:r>
      <w:r>
        <w:rPr>
          <w:rFonts w:ascii="Times New Roman" w:hAnsi="Times New Roman" w:eastAsia="宋体" w:cs="Times New Roman"/>
          <w:szCs w:val="28"/>
          <w14:ligatures w14:val="none"/>
        </w:rPr>
        <w:t>W</w:t>
      </w:r>
      <w:r>
        <w:rPr>
          <w:rFonts w:ascii="Times New Roman" w:hAnsi="Times New Roman" w:eastAsia="宋体" w:cs="Times New Roman"/>
          <w:szCs w:val="28"/>
          <w:vertAlign w:val="subscript"/>
          <w14:ligatures w14:val="none"/>
        </w:rPr>
        <w:t>TNT</w:t>
      </w:r>
      <w:r>
        <w:rPr>
          <w:rFonts w:ascii="Times New Roman" w:hAnsi="Times New Roman" w:eastAsia="宋体" w:cs="Times New Roman"/>
          <w:szCs w:val="28"/>
          <w14:ligatures w14:val="none"/>
        </w:rPr>
        <w:t>/1000</w:t>
      </w:r>
      <w:r>
        <w:rPr>
          <w:rFonts w:hint="eastAsia" w:ascii="Times New Roman" w:hAnsi="Times New Roman" w:eastAsia="宋体" w:cs="Times New Roman"/>
          <w:szCs w:val="28"/>
          <w14:ligatures w14:val="none"/>
        </w:rPr>
        <w:t>）</w:t>
      </w:r>
      <w:r>
        <w:rPr>
          <w:rFonts w:ascii="Times New Roman" w:hAnsi="Times New Roman" w:eastAsia="宋体" w:cs="Times New Roman"/>
          <w:szCs w:val="28"/>
          <w:vertAlign w:val="superscript"/>
          <w14:ligatures w14:val="none"/>
        </w:rPr>
        <w:t>0.37</w:t>
      </w:r>
    </w:p>
    <w:p w14:paraId="667BB49F">
      <w:pPr>
        <w:ind w:firstLine="560"/>
        <w:rPr>
          <w:rFonts w:ascii="Times New Roman" w:hAnsi="Times New Roman" w:eastAsia="宋体"/>
        </w:rPr>
      </w:pPr>
      <w:r>
        <w:rPr>
          <w:rFonts w:ascii="Times New Roman" w:hAnsi="Times New Roman" w:eastAsia="宋体"/>
        </w:rPr>
        <w:br w:type="page"/>
      </w:r>
    </w:p>
    <w:p w14:paraId="6D3D8058">
      <w:pPr>
        <w:spacing w:before="468" w:beforeLines="150" w:after="468" w:afterLines="150"/>
        <w:ind w:firstLine="0" w:firstLineChars="0"/>
        <w:jc w:val="center"/>
        <w:outlineLvl w:val="0"/>
        <w:rPr>
          <w:rFonts w:ascii="Times New Roman" w:hAnsi="Times New Roman" w:eastAsia="黑体" w:cs="Times New Roman"/>
          <w:b/>
          <w:bCs/>
          <w:sz w:val="32"/>
          <w:szCs w:val="32"/>
        </w:rPr>
      </w:pPr>
      <w:bookmarkStart w:id="103" w:name="_Toc12207"/>
      <w:bookmarkStart w:id="104" w:name="_Toc218437769"/>
      <w:bookmarkStart w:id="105" w:name="_Toc31303"/>
      <w:r>
        <w:rPr>
          <w:rFonts w:ascii="Times New Roman" w:hAnsi="Times New Roman" w:eastAsia="黑体" w:cs="Times New Roman"/>
          <w:b/>
          <w:bCs/>
          <w:sz w:val="32"/>
          <w:szCs w:val="32"/>
        </w:rPr>
        <w:t>附件3危险有害因素分析</w:t>
      </w:r>
      <w:bookmarkEnd w:id="103"/>
      <w:bookmarkEnd w:id="104"/>
      <w:bookmarkEnd w:id="105"/>
    </w:p>
    <w:p w14:paraId="6B71956B">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06" w:name="_Toc16310"/>
      <w:bookmarkStart w:id="107" w:name="_Toc12863"/>
      <w:bookmarkStart w:id="108" w:name="_Toc218437770"/>
      <w:r>
        <w:rPr>
          <w:rFonts w:ascii="Times New Roman" w:hAnsi="Times New Roman" w:eastAsia="楷体" w:cs="Times New Roman"/>
          <w:b/>
          <w:bCs/>
          <w:sz w:val="32"/>
          <w:szCs w:val="32"/>
        </w:rPr>
        <w:t>F3.1危险化学品的理化性能指标与危险特性</w:t>
      </w:r>
      <w:bookmarkEnd w:id="106"/>
      <w:bookmarkEnd w:id="107"/>
      <w:bookmarkEnd w:id="108"/>
    </w:p>
    <w:p w14:paraId="7F7E27F9">
      <w:pPr>
        <w:ind w:firstLine="560"/>
        <w:rPr>
          <w:rFonts w:ascii="Times New Roman" w:hAnsi="Times New Roman" w:eastAsia="宋体" w:cs="Times New Roman"/>
          <w:szCs w:val="22"/>
          <w14:ligatures w14:val="none"/>
        </w:rPr>
      </w:pPr>
      <w:r>
        <w:rPr>
          <w:rFonts w:ascii="Times New Roman" w:hAnsi="Times New Roman" w:eastAsia="宋体" w:cs="Times New Roman"/>
          <w:szCs w:val="22"/>
          <w14:ligatures w14:val="none"/>
        </w:rPr>
        <w:t>危险化学品车用乙醇汽油、柴油的理化性能指标与危险特性的信息来源：</w:t>
      </w:r>
      <w:r>
        <w:rPr>
          <w:rFonts w:hint="eastAsia" w:ascii="Times New Roman" w:hAnsi="Times New Roman" w:eastAsia="宋体" w:cs="Times New Roman"/>
          <w:szCs w:val="22"/>
          <w14:ligatures w14:val="none"/>
        </w:rPr>
        <w:t>《危险化学品目录（2015版）》（原安全监管总局、工业和信息化部、公安部、环境保护部、交通运输部、农业部、国家卫生计生委、质检总局、铁路局、民航局公告2015第5号，应急管理部公告〔2022〕8号修正，应急管理部等10部门公告2026年第3号新增）</w:t>
      </w:r>
      <w:r>
        <w:rPr>
          <w:rFonts w:ascii="Times New Roman" w:hAnsi="Times New Roman" w:eastAsia="宋体" w:cs="Times New Roman"/>
          <w:szCs w:val="22"/>
          <w14:ligatures w14:val="none"/>
        </w:rPr>
        <w:t>、《首批重点监管的危险化学品安全措施和应急处置原则的通知》（安监总厅管三〔2011〕142号）、《危险化学品安全技术全书（第三版）》（化学工业出版社）。</w:t>
      </w:r>
    </w:p>
    <w:p w14:paraId="25D07046">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F3.1.1车用乙醇汽油</w:t>
      </w:r>
    </w:p>
    <w:p w14:paraId="486FE7CC">
      <w:pPr>
        <w:keepNext/>
        <w:keepLines/>
        <w:spacing w:before="156" w:beforeLines="50" w:after="156" w:afterLines="50" w:line="240" w:lineRule="auto"/>
        <w:ind w:firstLine="0" w:firstLineChars="0"/>
        <w:jc w:val="center"/>
        <w:rPr>
          <w:rFonts w:ascii="Times New Roman" w:hAnsi="Times New Roman" w:eastAsia="黑体"/>
          <w:sz w:val="24"/>
        </w:rPr>
      </w:pPr>
      <w:r>
        <w:rPr>
          <w:rFonts w:ascii="Times New Roman" w:hAnsi="Times New Roman" w:eastAsia="黑体"/>
          <w:sz w:val="24"/>
        </w:rPr>
        <w:t>附表3.1-1  车用乙醇汽油的理化性质表</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502"/>
      </w:tblGrid>
      <w:tr w14:paraId="16B6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Borders>
              <w:top w:val="single" w:color="auto" w:sz="4" w:space="0"/>
              <w:left w:val="single" w:color="auto" w:sz="4" w:space="0"/>
              <w:bottom w:val="single" w:color="auto" w:sz="4" w:space="0"/>
              <w:right w:val="single" w:color="auto" w:sz="4" w:space="0"/>
            </w:tcBorders>
            <w:vAlign w:val="center"/>
          </w:tcPr>
          <w:p w14:paraId="081C6A0F">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特别警示</w:t>
            </w:r>
          </w:p>
        </w:tc>
        <w:tc>
          <w:tcPr>
            <w:tcW w:w="8502" w:type="dxa"/>
            <w:tcBorders>
              <w:top w:val="single" w:color="auto" w:sz="4" w:space="0"/>
              <w:left w:val="single" w:color="auto" w:sz="4" w:space="0"/>
              <w:bottom w:val="single" w:color="auto" w:sz="4" w:space="0"/>
              <w:right w:val="single" w:color="auto" w:sz="4" w:space="0"/>
            </w:tcBorders>
            <w:vAlign w:val="center"/>
          </w:tcPr>
          <w:p w14:paraId="451D78F9">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高度易燃液体；不得使用直流水扑救（用水灭火无效）。</w:t>
            </w:r>
          </w:p>
        </w:tc>
      </w:tr>
      <w:tr w14:paraId="0905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9F5AA0C">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理</w:t>
            </w:r>
          </w:p>
          <w:p w14:paraId="6089972D">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化</w:t>
            </w:r>
          </w:p>
          <w:p w14:paraId="19798D44">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特</w:t>
            </w:r>
          </w:p>
          <w:p w14:paraId="672D1D1A">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性</w:t>
            </w:r>
          </w:p>
        </w:tc>
        <w:tc>
          <w:tcPr>
            <w:tcW w:w="8502" w:type="dxa"/>
            <w:vAlign w:val="center"/>
          </w:tcPr>
          <w:p w14:paraId="48C25F83">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无色到浅黄色的透明液体。</w:t>
            </w:r>
          </w:p>
          <w:p w14:paraId="63D70219">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依据《车用无铅汽油》(GB17930)生产的车用无铅汽油，按研究法辛烷值(RON)分为9</w:t>
            </w:r>
            <w:r>
              <w:rPr>
                <w:rFonts w:hint="eastAsia" w:ascii="Times New Roman" w:hAnsi="Times New Roman" w:eastAsia="宋体" w:cs="宋体"/>
                <w:kern w:val="0"/>
                <w:sz w:val="21"/>
                <w:szCs w:val="21"/>
                <w14:ligatures w14:val="none"/>
              </w:rPr>
              <w:t>2</w:t>
            </w:r>
            <w:r>
              <w:rPr>
                <w:rFonts w:ascii="Times New Roman" w:hAnsi="Times New Roman" w:eastAsia="宋体" w:cs="宋体"/>
                <w:kern w:val="0"/>
                <w:sz w:val="21"/>
                <w:szCs w:val="21"/>
                <w14:ligatures w14:val="none"/>
              </w:rPr>
              <w:t>号、9</w:t>
            </w:r>
            <w:r>
              <w:rPr>
                <w:rFonts w:hint="eastAsia" w:ascii="Times New Roman" w:hAnsi="Times New Roman" w:eastAsia="宋体" w:cs="宋体"/>
                <w:kern w:val="0"/>
                <w:sz w:val="21"/>
                <w:szCs w:val="21"/>
                <w14:ligatures w14:val="none"/>
              </w:rPr>
              <w:t>5</w:t>
            </w:r>
            <w:r>
              <w:rPr>
                <w:rFonts w:ascii="Times New Roman" w:hAnsi="Times New Roman" w:eastAsia="宋体" w:cs="宋体"/>
                <w:kern w:val="0"/>
                <w:sz w:val="21"/>
                <w:szCs w:val="21"/>
                <w14:ligatures w14:val="none"/>
              </w:rPr>
              <w:t>号和9</w:t>
            </w:r>
            <w:r>
              <w:rPr>
                <w:rFonts w:hint="eastAsia" w:ascii="Times New Roman" w:hAnsi="Times New Roman" w:eastAsia="宋体" w:cs="宋体"/>
                <w:kern w:val="0"/>
                <w:sz w:val="21"/>
                <w:szCs w:val="21"/>
                <w14:ligatures w14:val="none"/>
              </w:rPr>
              <w:t>8</w:t>
            </w:r>
            <w:r>
              <w:rPr>
                <w:rFonts w:ascii="Times New Roman" w:hAnsi="Times New Roman" w:eastAsia="宋体" w:cs="宋体"/>
                <w:kern w:val="0"/>
                <w:sz w:val="21"/>
                <w:szCs w:val="21"/>
                <w14:ligatures w14:val="none"/>
              </w:rPr>
              <w:t>号三个牌号，相对密度（水=1）0.70～0.80，相对蒸气密度（空气=1）3～4，闪点-46℃，爆炸极限1.4～7.6%（体积比），自燃温度415～530℃，最大爆炸压力0.813MPa。</w:t>
            </w:r>
          </w:p>
          <w:p w14:paraId="4A786D4C">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主要用途：汽油主要用作汽油机的燃料, 可用于橡胶、制鞋、印刷、制革、颜料等行业, 也可用作机械零件的去污剂。</w:t>
            </w:r>
          </w:p>
        </w:tc>
      </w:tr>
      <w:tr w14:paraId="46D9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E6B7DAF">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危</w:t>
            </w:r>
          </w:p>
          <w:p w14:paraId="3CC18195">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害</w:t>
            </w:r>
          </w:p>
          <w:p w14:paraId="66951741">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信</w:t>
            </w:r>
          </w:p>
          <w:p w14:paraId="00AA088F">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息</w:t>
            </w:r>
          </w:p>
        </w:tc>
        <w:tc>
          <w:tcPr>
            <w:tcW w:w="8502" w:type="dxa"/>
            <w:vAlign w:val="center"/>
          </w:tcPr>
          <w:p w14:paraId="161717AA">
            <w:pPr>
              <w:widowControl/>
              <w:adjustRightInd/>
              <w:snapToGrid/>
              <w:spacing w:line="360" w:lineRule="exact"/>
              <w:ind w:firstLine="0" w:firstLineChars="0"/>
              <w:rPr>
                <w:rFonts w:ascii="Times New Roman" w:hAnsi="Times New Roman" w:eastAsia="宋体" w:cs="宋体"/>
                <w:b/>
                <w:kern w:val="0"/>
                <w:sz w:val="21"/>
                <w:szCs w:val="21"/>
                <w14:ligatures w14:val="none"/>
              </w:rPr>
            </w:pPr>
            <w:r>
              <w:rPr>
                <w:rFonts w:hint="eastAsia" w:ascii="Times New Roman" w:hAnsi="Times New Roman" w:eastAsia="宋体" w:cs="宋体"/>
                <w:kern w:val="0"/>
                <w:sz w:val="21"/>
                <w:szCs w:val="21"/>
                <w14:ligatures w14:val="none"/>
              </w:rPr>
              <w:t>【燃烧和爆炸危险性】</w:t>
            </w:r>
          </w:p>
          <w:p w14:paraId="0EF393B4">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高度易燃，蒸气与空气能形成爆炸性混合物，遇明火、高热能引起燃烧爆炸。高速冲击、流动、激荡后可因产生静电火花放电引起燃烧爆炸。蒸气比空气重，能在较低处扩散到相当远的地方，遇火源会着火回燃和爆炸。</w:t>
            </w:r>
          </w:p>
          <w:p w14:paraId="31760F2F">
            <w:pPr>
              <w:widowControl/>
              <w:adjustRightInd/>
              <w:snapToGrid/>
              <w:spacing w:line="360" w:lineRule="exact"/>
              <w:ind w:firstLine="0" w:firstLineChars="0"/>
              <w:jc w:val="left"/>
              <w:rPr>
                <w:rFonts w:ascii="Times New Roman" w:hAnsi="Times New Roman" w:eastAsia="宋体" w:cs="宋体"/>
                <w:b/>
                <w:kern w:val="0"/>
                <w:sz w:val="21"/>
                <w:szCs w:val="21"/>
                <w14:ligatures w14:val="none"/>
              </w:rPr>
            </w:pPr>
            <w:r>
              <w:rPr>
                <w:rFonts w:hint="eastAsia" w:ascii="Times New Roman" w:hAnsi="Times New Roman" w:eastAsia="宋体" w:cs="宋体"/>
                <w:kern w:val="0"/>
                <w:sz w:val="21"/>
                <w:szCs w:val="21"/>
                <w14:ligatures w14:val="none"/>
              </w:rPr>
              <w:t>【健康危害】</w:t>
            </w:r>
          </w:p>
          <w:p w14:paraId="19315568">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汽油为麻醉性毒物，高浓度吸入出现中毒性脑病，极高浓度吸入引起意识突然丧失、反射性呼吸停止。误将汽油吸入呼吸道可引起吸入性肺炎。</w:t>
            </w:r>
          </w:p>
          <w:p w14:paraId="14A63204">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职业接触限值：PC-TWA(时间加权平均容许浓度)(mg/m</w:t>
            </w:r>
            <w:r>
              <w:rPr>
                <w:rFonts w:ascii="Times New Roman" w:hAnsi="Times New Roman" w:eastAsia="宋体" w:cs="宋体"/>
                <w:kern w:val="0"/>
                <w:sz w:val="21"/>
                <w:szCs w:val="21"/>
                <w:vertAlign w:val="superscript"/>
                <w14:ligatures w14:val="none"/>
              </w:rPr>
              <w:t>3</w:t>
            </w:r>
            <w:r>
              <w:rPr>
                <w:rFonts w:ascii="Times New Roman" w:hAnsi="Times New Roman" w:eastAsia="宋体" w:cs="宋体"/>
                <w:kern w:val="0"/>
                <w:sz w:val="21"/>
                <w:szCs w:val="21"/>
                <w14:ligatures w14:val="none"/>
              </w:rPr>
              <w:t>):300（汽油）。</w:t>
            </w:r>
          </w:p>
        </w:tc>
      </w:tr>
      <w:tr w14:paraId="6CE5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20344461">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安</w:t>
            </w:r>
          </w:p>
          <w:p w14:paraId="10300BEB">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全</w:t>
            </w:r>
          </w:p>
          <w:p w14:paraId="1E45DF36">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措</w:t>
            </w:r>
          </w:p>
          <w:p w14:paraId="7990CDDD">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施</w:t>
            </w:r>
          </w:p>
        </w:tc>
        <w:tc>
          <w:tcPr>
            <w:tcW w:w="8502" w:type="dxa"/>
            <w:vAlign w:val="center"/>
          </w:tcPr>
          <w:p w14:paraId="4336A0C7">
            <w:pPr>
              <w:widowControl/>
              <w:adjustRightInd/>
              <w:snapToGrid/>
              <w:spacing w:line="360" w:lineRule="exact"/>
              <w:ind w:firstLine="0" w:firstLineChars="0"/>
              <w:jc w:val="left"/>
              <w:rPr>
                <w:rFonts w:ascii="Times New Roman" w:hAnsi="Times New Roman" w:eastAsia="宋体" w:cs="宋体"/>
                <w:b/>
                <w:kern w:val="0"/>
                <w:sz w:val="21"/>
                <w:szCs w:val="21"/>
                <w14:ligatures w14:val="none"/>
              </w:rPr>
            </w:pPr>
            <w:r>
              <w:rPr>
                <w:rFonts w:hint="eastAsia" w:ascii="Times New Roman" w:hAnsi="Times New Roman" w:eastAsia="宋体" w:cs="宋体"/>
                <w:kern w:val="0"/>
                <w:sz w:val="21"/>
                <w:szCs w:val="21"/>
                <w14:ligatures w14:val="none"/>
              </w:rPr>
              <w:t>【一般要求】</w:t>
            </w:r>
          </w:p>
          <w:p w14:paraId="21C2D81F">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操作人员必须经过专门培训，严格遵守操作规程，熟练掌握操作技能，具备应急处置知识。</w:t>
            </w:r>
          </w:p>
          <w:p w14:paraId="4AE9F155">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密闭操作，防止泄漏，工作场所全面通风。远离火种、热源，工作场所严禁吸烟。配备易燃气体泄漏监测报警仪，使用防爆型通风系统和设备，配备两套以上重型防护服。操作人员穿防静电工作服，戴耐油橡胶手套。</w:t>
            </w:r>
          </w:p>
          <w:p w14:paraId="0BDC1C14">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储罐等容器和设备应设置液位计、温度计，并应装有带液位、温度远传记录和报警功能的安全装置。</w:t>
            </w:r>
          </w:p>
          <w:p w14:paraId="162DE8B6">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避免与氧化剂接触。</w:t>
            </w:r>
          </w:p>
          <w:p w14:paraId="7A453F7E">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生产、储存区域应设置安全警示标志。灌装时应控制流速，且有接地装置，防止静电积聚。搬运时要轻装轻卸，防止包装及容器损坏。配备相应品种和数量的消防器材及泄漏应急处理设备。</w:t>
            </w:r>
          </w:p>
          <w:p w14:paraId="4DA1B983">
            <w:pPr>
              <w:widowControl/>
              <w:adjustRightInd/>
              <w:snapToGrid/>
              <w:spacing w:line="360" w:lineRule="exact"/>
              <w:ind w:firstLine="0" w:firstLineChars="0"/>
              <w:jc w:val="left"/>
              <w:rPr>
                <w:rFonts w:ascii="Times New Roman" w:hAnsi="Times New Roman" w:eastAsia="宋体" w:cs="宋体"/>
                <w:b/>
                <w:kern w:val="0"/>
                <w:sz w:val="21"/>
                <w:szCs w:val="21"/>
                <w14:ligatures w14:val="none"/>
              </w:rPr>
            </w:pPr>
            <w:r>
              <w:rPr>
                <w:rFonts w:hint="eastAsia" w:ascii="Times New Roman" w:hAnsi="Times New Roman" w:eastAsia="宋体" w:cs="宋体"/>
                <w:kern w:val="0"/>
                <w:sz w:val="21"/>
                <w:szCs w:val="21"/>
                <w14:ligatures w14:val="none"/>
              </w:rPr>
              <w:t>【特殊要求】</w:t>
            </w:r>
          </w:p>
          <w:p w14:paraId="5056B06E">
            <w:pPr>
              <w:widowControl/>
              <w:adjustRightInd/>
              <w:snapToGrid/>
              <w:spacing w:line="360" w:lineRule="exact"/>
              <w:ind w:firstLine="422"/>
              <w:jc w:val="left"/>
              <w:rPr>
                <w:rFonts w:ascii="Times New Roman" w:hAnsi="Times New Roman" w:eastAsia="宋体" w:cs="宋体"/>
                <w:kern w:val="0"/>
                <w:sz w:val="21"/>
                <w:szCs w:val="21"/>
                <w14:ligatures w14:val="none"/>
              </w:rPr>
            </w:pPr>
            <w:r>
              <w:rPr>
                <w:rFonts w:hint="eastAsia" w:ascii="Times New Roman" w:hAnsi="Times New Roman" w:eastAsia="宋体" w:cs="宋体"/>
                <w:b/>
                <w:kern w:val="0"/>
                <w:sz w:val="21"/>
                <w:szCs w:val="21"/>
                <w14:ligatures w14:val="none"/>
              </w:rPr>
              <w:t>【</w:t>
            </w:r>
            <w:r>
              <w:rPr>
                <w:rFonts w:ascii="Times New Roman" w:hAnsi="Times New Roman" w:eastAsia="宋体" w:cs="宋体"/>
                <w:kern w:val="0"/>
                <w:sz w:val="21"/>
                <w:szCs w:val="21"/>
                <w14:ligatures w14:val="none"/>
              </w:rPr>
              <w:t>操作安全</w:t>
            </w:r>
            <w:r>
              <w:rPr>
                <w:rFonts w:hint="eastAsia" w:ascii="Times New Roman" w:hAnsi="Times New Roman" w:eastAsia="宋体" w:cs="宋体"/>
                <w:b/>
                <w:kern w:val="0"/>
                <w:sz w:val="21"/>
                <w:szCs w:val="21"/>
                <w14:ligatures w14:val="none"/>
              </w:rPr>
              <w:t>】</w:t>
            </w:r>
          </w:p>
          <w:p w14:paraId="28BB3DA2">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（1）油罐及贮存桶装汽油附近要严禁烟火。禁止将汽油与其他易燃物放在一起。</w:t>
            </w:r>
          </w:p>
          <w:p w14:paraId="3238493E">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2）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p w14:paraId="345E9DC0">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（3）当进行灌装汽油时，邻近的汽车、拖拉机的排气管要戴上防火帽后才能发动，存汽油地点附近严禁检修车辆。</w:t>
            </w:r>
          </w:p>
          <w:p w14:paraId="2CD69A81">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（4）汽油油罐和贮存汽油区的上空，不应有电线通过。油罐、库房与电线的距离要为电杆长度的1.5倍以上。</w:t>
            </w:r>
          </w:p>
          <w:p w14:paraId="3FF212D7">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（5）注意仓库及操作场所的通风，使油蒸气容易逸散。</w:t>
            </w:r>
          </w:p>
          <w:p w14:paraId="44C9A2FD">
            <w:pPr>
              <w:adjustRightInd/>
              <w:snapToGrid/>
              <w:spacing w:line="360" w:lineRule="exact"/>
              <w:ind w:firstLine="420"/>
              <w:rPr>
                <w:rFonts w:ascii="Times New Roman" w:hAnsi="Times New Roman" w:eastAsia="宋体" w:cs="宋体"/>
                <w:b/>
                <w:kern w:val="0"/>
                <w:sz w:val="21"/>
                <w:szCs w:val="21"/>
                <w14:ligatures w14:val="none"/>
              </w:rPr>
            </w:pPr>
            <w:r>
              <w:rPr>
                <w:rFonts w:hint="eastAsia" w:ascii="Times New Roman" w:hAnsi="Times New Roman" w:eastAsia="宋体" w:cs="宋体"/>
                <w:kern w:val="0"/>
                <w:sz w:val="21"/>
                <w:szCs w:val="21"/>
                <w14:ligatures w14:val="none"/>
              </w:rPr>
              <w:t>【储存安全】</w:t>
            </w:r>
          </w:p>
          <w:p w14:paraId="067E986F">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（1）储存于阴凉、通风的库房。远离火种、热源。库房温度不宜超过30℃。炎热季节应采取喷淋、通风等降温措施。</w:t>
            </w:r>
          </w:p>
          <w:p w14:paraId="41AA899B">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（2）应与氧化剂分开存放，切忌混储。用储罐、铁桶等容器盛装，不要用塑料桶来存放汽油。盛装时，切不可充满，要留出必要的安全空间。</w:t>
            </w:r>
          </w:p>
          <w:p w14:paraId="466DCA63">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（3）采用防爆型照明、通风设施。禁止使用易产生火花的机械设备和工具。储存区应备有泄漏应急处理设备和合适的收容材料。罐储时要有防火防爆技术措施。对于1000m</w:t>
            </w:r>
            <w:r>
              <w:rPr>
                <w:rFonts w:ascii="Times New Roman" w:hAnsi="Times New Roman" w:eastAsia="宋体" w:cs="宋体"/>
                <w:kern w:val="0"/>
                <w:sz w:val="21"/>
                <w:szCs w:val="21"/>
                <w:vertAlign w:val="superscript"/>
                <w14:ligatures w14:val="none"/>
              </w:rPr>
              <w:t>3</w:t>
            </w:r>
            <w:r>
              <w:rPr>
                <w:rFonts w:ascii="Times New Roman" w:hAnsi="Times New Roman" w:eastAsia="宋体" w:cs="宋体"/>
                <w:kern w:val="0"/>
                <w:sz w:val="21"/>
                <w:szCs w:val="21"/>
                <w14:ligatures w14:val="none"/>
              </w:rPr>
              <w:t>及以上的储罐顶部应有泡沫灭火设施等。</w:t>
            </w:r>
          </w:p>
          <w:p w14:paraId="7CFA11F3">
            <w:pPr>
              <w:adjustRightInd/>
              <w:snapToGrid/>
              <w:spacing w:line="360" w:lineRule="exact"/>
              <w:ind w:firstLine="420"/>
              <w:rPr>
                <w:rFonts w:ascii="Times New Roman" w:hAnsi="Times New Roman" w:eastAsia="宋体" w:cs="宋体"/>
                <w:b/>
                <w:kern w:val="0"/>
                <w:sz w:val="21"/>
                <w:szCs w:val="21"/>
                <w14:ligatures w14:val="none"/>
              </w:rPr>
            </w:pPr>
            <w:r>
              <w:rPr>
                <w:rFonts w:hint="eastAsia" w:ascii="Times New Roman" w:hAnsi="Times New Roman" w:eastAsia="宋体" w:cs="宋体"/>
                <w:kern w:val="0"/>
                <w:sz w:val="21"/>
                <w:szCs w:val="21"/>
                <w14:ligatures w14:val="none"/>
              </w:rPr>
              <w:t>【运输安全】</w:t>
            </w:r>
          </w:p>
          <w:p w14:paraId="208F9D40">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（1）运输车辆应有危险货物运输标志、安装具有行驶记录功能的卫星定位装置。未经公安机关批准，运输车辆不得进入危险化学品运输车辆限制通行的区域。</w:t>
            </w:r>
          </w:p>
          <w:p w14:paraId="40907166">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（2）汽油装于专用的槽车(船)内运输，槽车(船)应定期清理；用其他包装容器运输时，容器须用盖密封。运送汽油的油罐汽车，必须有导静电拖线。对有每分钟0.5m</w:t>
            </w:r>
            <w:r>
              <w:rPr>
                <w:rFonts w:ascii="Times New Roman" w:hAnsi="Times New Roman" w:eastAsia="宋体" w:cs="宋体"/>
                <w:kern w:val="0"/>
                <w:sz w:val="21"/>
                <w:szCs w:val="21"/>
                <w:vertAlign w:val="superscript"/>
                <w14:ligatures w14:val="none"/>
              </w:rPr>
              <w:t>3</w:t>
            </w:r>
            <w:r>
              <w:rPr>
                <w:rFonts w:ascii="Times New Roman" w:hAnsi="Times New Roman" w:eastAsia="宋体" w:cs="宋体"/>
                <w:kern w:val="0"/>
                <w:sz w:val="21"/>
                <w:szCs w:val="21"/>
                <w14:ligatures w14:val="none"/>
              </w:rPr>
              <w:t>以上的快速装卸油设备的油罐汽车，在装卸油时，除了保证铁链接地外，更要将车上油罐的接地线插入地下并不得浅于100mm。运输时运输车辆应配备相应品种和数量的消防器材。装运该物品的车辆排气管必须配备阻火装置，禁止使用易产生火花的机械设备和工具装卸。汽车槽罐内可设孔隔板以减少震荡产生静电。</w:t>
            </w:r>
          </w:p>
          <w:p w14:paraId="005B2509">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（3）严禁与氧化剂等混装混运。夏季最好早晚运输，运输途中应防曝晒、防雨淋、防高温。中途停留时应远离火种、热源、高温区及人口密集地段。</w:t>
            </w:r>
          </w:p>
          <w:p w14:paraId="43A8689E">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4）输送汽油的管道不应靠近热源敷设；管道采用地上敷设时，应在人员活动较多和易遭车辆、外来物撞击的地段，采取保护措施并设置明显的警示标志；汽油管道架空敷设时，管道应敷设在非燃烧体的支架或栈桥上。在已敷设的汽油管道下面，不得修建与汽油管道无关的建筑物和堆放易燃物品；汽油管道外壁颜色、标志应执行《工业管道的基本识别色、识别符号和安全标识》（GB 7231）的规定。</w:t>
            </w:r>
          </w:p>
          <w:p w14:paraId="2EC23E88">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（5）输油管道地下铺设时，沿线应设置里程桩、转角桩、标志桩和测试桩，并设警示标志。运行应符合有关法律法规规定。</w:t>
            </w:r>
          </w:p>
        </w:tc>
      </w:tr>
      <w:tr w14:paraId="723A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3397652">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应</w:t>
            </w:r>
          </w:p>
          <w:p w14:paraId="0E7CFDBC">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急</w:t>
            </w:r>
          </w:p>
          <w:p w14:paraId="6C1ED5E2">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处</w:t>
            </w:r>
          </w:p>
          <w:p w14:paraId="76002EF7">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置</w:t>
            </w:r>
          </w:p>
          <w:p w14:paraId="0016C148">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原</w:t>
            </w:r>
          </w:p>
          <w:p w14:paraId="04018AE7">
            <w:pPr>
              <w:adjustRightInd/>
              <w:snapToGrid/>
              <w:spacing w:line="360" w:lineRule="exact"/>
              <w:ind w:firstLine="0" w:firstLineChars="0"/>
              <w:jc w:val="center"/>
              <w:rPr>
                <w:rFonts w:ascii="Times New Roman" w:hAnsi="Times New Roman" w:eastAsia="宋体" w:cs="宋体"/>
                <w:bCs/>
                <w:kern w:val="0"/>
                <w:sz w:val="21"/>
                <w:szCs w:val="21"/>
                <w14:ligatures w14:val="none"/>
              </w:rPr>
            </w:pPr>
            <w:r>
              <w:rPr>
                <w:rFonts w:hint="eastAsia" w:ascii="Times New Roman" w:hAnsi="Times New Roman" w:eastAsia="宋体" w:cs="宋体"/>
                <w:bCs/>
                <w:kern w:val="0"/>
                <w:sz w:val="21"/>
                <w:szCs w:val="21"/>
                <w14:ligatures w14:val="none"/>
              </w:rPr>
              <w:t>则</w:t>
            </w:r>
          </w:p>
        </w:tc>
        <w:tc>
          <w:tcPr>
            <w:tcW w:w="8502" w:type="dxa"/>
            <w:vAlign w:val="center"/>
          </w:tcPr>
          <w:p w14:paraId="4A3A65AF">
            <w:pPr>
              <w:adjustRightInd/>
              <w:snapToGrid/>
              <w:spacing w:line="360" w:lineRule="exact"/>
              <w:ind w:firstLine="420"/>
              <w:rPr>
                <w:rFonts w:ascii="Times New Roman" w:hAnsi="Times New Roman" w:eastAsia="宋体" w:cs="宋体"/>
                <w:b/>
                <w:kern w:val="0"/>
                <w:sz w:val="21"/>
                <w:szCs w:val="21"/>
                <w14:ligatures w14:val="none"/>
              </w:rPr>
            </w:pPr>
            <w:r>
              <w:rPr>
                <w:rFonts w:hint="eastAsia" w:ascii="Times New Roman" w:hAnsi="Times New Roman" w:eastAsia="宋体" w:cs="宋体"/>
                <w:kern w:val="0"/>
                <w:sz w:val="21"/>
                <w:szCs w:val="21"/>
                <w14:ligatures w14:val="none"/>
              </w:rPr>
              <w:t>【急救措施】</w:t>
            </w:r>
          </w:p>
          <w:p w14:paraId="3D5BC0B0">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吸入：迅速脱离现场至空气新鲜处。保持呼吸道通畅。如呼吸困难，给氧。如呼吸停止，立即进行人工呼吸。就医。</w:t>
            </w:r>
          </w:p>
          <w:p w14:paraId="03FBE699">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食入：给饮牛奶或用植物油洗胃和灌肠。就医。</w:t>
            </w:r>
          </w:p>
          <w:p w14:paraId="71CA3A12">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皮肤接触：立即脱去污染的衣着，用肥皂水和清水彻底冲洗皮肤。就医。</w:t>
            </w:r>
          </w:p>
          <w:p w14:paraId="7622B11B">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眼睛接触：立即提起眼睑，用大量流动清水或生理盐水彻底冲洗至少15分钟。就医。</w:t>
            </w:r>
          </w:p>
          <w:p w14:paraId="2BF160A8">
            <w:pPr>
              <w:adjustRightInd/>
              <w:snapToGrid/>
              <w:spacing w:line="360" w:lineRule="exact"/>
              <w:ind w:firstLine="420"/>
              <w:rPr>
                <w:rFonts w:ascii="Times New Roman" w:hAnsi="Times New Roman" w:eastAsia="宋体" w:cs="宋体"/>
                <w:b/>
                <w:kern w:val="0"/>
                <w:sz w:val="21"/>
                <w:szCs w:val="21"/>
                <w14:ligatures w14:val="none"/>
              </w:rPr>
            </w:pPr>
            <w:r>
              <w:rPr>
                <w:rFonts w:hint="eastAsia" w:ascii="Times New Roman" w:hAnsi="Times New Roman" w:eastAsia="宋体" w:cs="宋体"/>
                <w:kern w:val="0"/>
                <w:sz w:val="21"/>
                <w:szCs w:val="21"/>
                <w14:ligatures w14:val="none"/>
              </w:rPr>
              <w:t>【灭火方法】</w:t>
            </w:r>
          </w:p>
          <w:p w14:paraId="6615CCA5">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喷水冷却容器，尽可能将容器从火场移至空旷处。</w:t>
            </w:r>
          </w:p>
          <w:p w14:paraId="6D58B7F2">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灭火剂：泡沫、干粉、二氧化碳。用水灭火无效。</w:t>
            </w:r>
          </w:p>
          <w:p w14:paraId="7F95AF3A">
            <w:pPr>
              <w:adjustRightInd/>
              <w:snapToGrid/>
              <w:spacing w:line="360" w:lineRule="exact"/>
              <w:ind w:firstLine="420"/>
              <w:rPr>
                <w:rFonts w:ascii="Times New Roman" w:hAnsi="Times New Roman" w:eastAsia="宋体" w:cs="宋体"/>
                <w:b/>
                <w:kern w:val="0"/>
                <w:sz w:val="21"/>
                <w:szCs w:val="21"/>
                <w14:ligatures w14:val="none"/>
              </w:rPr>
            </w:pPr>
            <w:r>
              <w:rPr>
                <w:rFonts w:hint="eastAsia" w:ascii="Times New Roman" w:hAnsi="Times New Roman" w:eastAsia="宋体" w:cs="宋体"/>
                <w:kern w:val="0"/>
                <w:sz w:val="21"/>
                <w:szCs w:val="21"/>
                <w14:ligatures w14:val="none"/>
              </w:rPr>
              <w:t>【泄漏应急处置】</w:t>
            </w:r>
          </w:p>
          <w:p w14:paraId="2C704F10">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小量泄漏：用砂土或其它不燃材料吸收。使用洁净的无火花工具收集吸收材料。大量泄漏：构筑围堤或挖坑收容。用泡沫覆盖，减少蒸发。喷水雾能减少蒸发，但不能降低泄漏物在受限制空间内的易燃性。用防爆泵转移至槽车或专用收集器内。</w:t>
            </w:r>
          </w:p>
          <w:p w14:paraId="6B95F08D">
            <w:pPr>
              <w:widowControl/>
              <w:adjustRightInd/>
              <w:snapToGrid/>
              <w:spacing w:line="360" w:lineRule="exact"/>
              <w:ind w:firstLine="420"/>
              <w:jc w:val="left"/>
              <w:rPr>
                <w:rFonts w:ascii="Times New Roman" w:hAnsi="Times New Roman" w:eastAsia="宋体" w:cs="宋体"/>
                <w:kern w:val="0"/>
                <w:sz w:val="21"/>
                <w:szCs w:val="21"/>
                <w14:ligatures w14:val="none"/>
              </w:rPr>
            </w:pPr>
            <w:r>
              <w:rPr>
                <w:rFonts w:ascii="Times New Roman" w:hAnsi="Times New Roman" w:eastAsia="宋体" w:cs="宋体"/>
                <w:kern w:val="0"/>
                <w:sz w:val="21"/>
                <w:szCs w:val="21"/>
                <w14:ligatures w14:val="none"/>
              </w:rPr>
              <w:t>作为一项紧急预防措施，泄漏隔离距离至少为50m。如果为大量泄漏，下风向的初始疏散距离应至少为300m。</w:t>
            </w:r>
          </w:p>
        </w:tc>
      </w:tr>
    </w:tbl>
    <w:p w14:paraId="0CFF6B01">
      <w:pPr>
        <w:spacing w:before="156" w:beforeLines="50" w:after="156" w:afterLines="50"/>
        <w:ind w:firstLine="562"/>
        <w:outlineLvl w:val="2"/>
        <w:rPr>
          <w:rFonts w:ascii="Times New Roman" w:hAnsi="Times New Roman" w:eastAsia="黑体" w:cs="Times New Roman"/>
          <w:b/>
          <w:bCs/>
        </w:rPr>
      </w:pPr>
      <w:r>
        <w:rPr>
          <w:rFonts w:ascii="Times New Roman" w:hAnsi="Times New Roman" w:eastAsia="黑体" w:cs="Times New Roman"/>
          <w:b/>
          <w:bCs/>
        </w:rPr>
        <w:t>F3.1.2柴油</w:t>
      </w:r>
    </w:p>
    <w:p w14:paraId="3DB8BF5C">
      <w:pPr>
        <w:keepNext/>
        <w:keepLines/>
        <w:spacing w:before="156" w:beforeLines="50" w:after="156" w:afterLines="50" w:line="240" w:lineRule="auto"/>
        <w:ind w:firstLine="0" w:firstLineChars="0"/>
        <w:jc w:val="center"/>
        <w:rPr>
          <w:rFonts w:ascii="Times New Roman" w:hAnsi="Times New Roman" w:eastAsia="黑体"/>
          <w:sz w:val="24"/>
        </w:rPr>
      </w:pPr>
      <w:r>
        <w:rPr>
          <w:rFonts w:ascii="Times New Roman" w:hAnsi="Times New Roman" w:eastAsia="黑体"/>
          <w:sz w:val="24"/>
        </w:rPr>
        <w:t>附表3.1-2  柴油的理化特性表</w:t>
      </w:r>
    </w:p>
    <w:tbl>
      <w:tblPr>
        <w:tblStyle w:val="33"/>
        <w:tblW w:w="9319"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44"/>
        <w:gridCol w:w="8575"/>
      </w:tblGrid>
      <w:tr w14:paraId="675511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44" w:type="dxa"/>
            <w:vAlign w:val="center"/>
          </w:tcPr>
          <w:p w14:paraId="7391F686">
            <w:pPr>
              <w:spacing w:line="240" w:lineRule="auto"/>
              <w:ind w:firstLine="0" w:firstLineChars="0"/>
              <w:jc w:val="center"/>
              <w:rPr>
                <w:rFonts w:ascii="Times New Roman" w:hAnsi="Times New Roman" w:eastAsia="宋体" w:cs="Times New Roman"/>
                <w:bCs/>
                <w:sz w:val="21"/>
                <w14:ligatures w14:val="none"/>
              </w:rPr>
            </w:pPr>
            <w:r>
              <w:rPr>
                <w:rFonts w:ascii="Times New Roman" w:hAnsi="Times New Roman" w:eastAsia="宋体" w:cs="Times New Roman"/>
                <w:bCs/>
                <w:kern w:val="0"/>
                <w:sz w:val="21"/>
                <w14:ligatures w14:val="none"/>
              </w:rPr>
              <w:t>特别警示</w:t>
            </w:r>
          </w:p>
        </w:tc>
        <w:tc>
          <w:tcPr>
            <w:tcW w:w="8575" w:type="dxa"/>
          </w:tcPr>
          <w:p w14:paraId="41AB652C">
            <w:pPr>
              <w:widowControl/>
              <w:spacing w:line="240" w:lineRule="auto"/>
              <w:ind w:firstLine="0" w:firstLineChars="0"/>
              <w:rPr>
                <w:rFonts w:ascii="Times New Roman" w:hAnsi="Times New Roman" w:eastAsia="宋体" w:cs="Times New Roman"/>
                <w:sz w:val="21"/>
                <w:szCs w:val="22"/>
                <w14:ligatures w14:val="none"/>
              </w:rPr>
            </w:pPr>
            <w:r>
              <w:rPr>
                <w:rFonts w:ascii="Times New Roman" w:hAnsi="Times New Roman" w:eastAsia="宋体" w:cs="Times New Roman"/>
                <w:kern w:val="0"/>
                <w:sz w:val="21"/>
                <w:szCs w:val="22"/>
                <w14:ligatures w14:val="none"/>
              </w:rPr>
              <w:t>该物质对环境有危害，建议不要让其进入环境。对水体和大气可造成污染，破坏水生生物呼吸系统。对海藻应给予特别注意。</w:t>
            </w:r>
          </w:p>
        </w:tc>
      </w:tr>
      <w:tr w14:paraId="576EC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44" w:type="dxa"/>
            <w:vAlign w:val="center"/>
          </w:tcPr>
          <w:p w14:paraId="458AE854">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理</w:t>
            </w:r>
          </w:p>
          <w:p w14:paraId="7CFFB4E8">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化</w:t>
            </w:r>
          </w:p>
          <w:p w14:paraId="78CC12AD">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特</w:t>
            </w:r>
          </w:p>
          <w:p w14:paraId="47F5745A">
            <w:pPr>
              <w:spacing w:line="240" w:lineRule="auto"/>
              <w:ind w:firstLine="0" w:firstLineChars="0"/>
              <w:jc w:val="center"/>
              <w:rPr>
                <w:rFonts w:ascii="Times New Roman" w:hAnsi="Times New Roman" w:eastAsia="宋体" w:cs="Times New Roman"/>
                <w:bCs/>
                <w:sz w:val="21"/>
                <w14:ligatures w14:val="none"/>
              </w:rPr>
            </w:pPr>
            <w:r>
              <w:rPr>
                <w:rFonts w:ascii="Times New Roman" w:hAnsi="Times New Roman" w:eastAsia="宋体" w:cs="Times New Roman"/>
                <w:bCs/>
                <w:kern w:val="0"/>
                <w:sz w:val="21"/>
                <w14:ligatures w14:val="none"/>
              </w:rPr>
              <w:t>性</w:t>
            </w:r>
          </w:p>
        </w:tc>
        <w:tc>
          <w:tcPr>
            <w:tcW w:w="8575" w:type="dxa"/>
          </w:tcPr>
          <w:p w14:paraId="2E7D8420">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szCs w:val="22"/>
                <w14:ligatures w14:val="none"/>
              </w:rPr>
              <w:t>稍有粘性的棕色液体。</w:t>
            </w:r>
          </w:p>
          <w:p w14:paraId="20429AE4">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szCs w:val="22"/>
                <w14:ligatures w14:val="none"/>
              </w:rPr>
              <w:t>相对密度（水=1）0.79～0.85，闪点（闭口）（℃）：其中5号、0号、-10号柴油的闪点不低于60℃；-20号柴油闪点不低于50℃；-35号、-50号柴油的闪点不低于45℃，沸点282-338℃，引燃温度257℃。</w:t>
            </w:r>
          </w:p>
          <w:p w14:paraId="363CD972">
            <w:pPr>
              <w:widowControl/>
              <w:spacing w:line="240" w:lineRule="auto"/>
              <w:ind w:firstLine="0" w:firstLineChars="0"/>
              <w:rPr>
                <w:rFonts w:ascii="Times New Roman" w:hAnsi="Times New Roman" w:eastAsia="宋体" w:cs="Times New Roman"/>
                <w:sz w:val="21"/>
                <w:szCs w:val="22"/>
                <w14:ligatures w14:val="none"/>
              </w:rPr>
            </w:pPr>
            <w:r>
              <w:rPr>
                <w:rFonts w:ascii="Times New Roman" w:hAnsi="Times New Roman" w:eastAsia="宋体" w:cs="Times New Roman"/>
                <w:kern w:val="0"/>
                <w:sz w:val="21"/>
                <w:szCs w:val="22"/>
                <w14:ligatures w14:val="none"/>
              </w:rPr>
              <w:t>主要用途：柴油主要用作柴油机的燃料。</w:t>
            </w:r>
          </w:p>
        </w:tc>
      </w:tr>
      <w:tr w14:paraId="741A0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44" w:type="dxa"/>
            <w:vAlign w:val="center"/>
          </w:tcPr>
          <w:p w14:paraId="4F1E26C7">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危</w:t>
            </w:r>
          </w:p>
          <w:p w14:paraId="52C275DC">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害</w:t>
            </w:r>
          </w:p>
          <w:p w14:paraId="09306366">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信</w:t>
            </w:r>
          </w:p>
          <w:p w14:paraId="2061F7CE">
            <w:pPr>
              <w:spacing w:line="240" w:lineRule="auto"/>
              <w:ind w:firstLine="0" w:firstLineChars="0"/>
              <w:jc w:val="center"/>
              <w:rPr>
                <w:rFonts w:ascii="Times New Roman" w:hAnsi="Times New Roman" w:eastAsia="宋体" w:cs="Times New Roman"/>
                <w:bCs/>
                <w:sz w:val="21"/>
                <w14:ligatures w14:val="none"/>
              </w:rPr>
            </w:pPr>
            <w:r>
              <w:rPr>
                <w:rFonts w:ascii="Times New Roman" w:hAnsi="Times New Roman" w:eastAsia="宋体" w:cs="Times New Roman"/>
                <w:bCs/>
                <w:kern w:val="0"/>
                <w:sz w:val="21"/>
                <w14:ligatures w14:val="none"/>
              </w:rPr>
              <w:t>息</w:t>
            </w:r>
          </w:p>
        </w:tc>
        <w:tc>
          <w:tcPr>
            <w:tcW w:w="8575" w:type="dxa"/>
          </w:tcPr>
          <w:p w14:paraId="696C52B4">
            <w:pPr>
              <w:widowControl/>
              <w:spacing w:line="240" w:lineRule="auto"/>
              <w:ind w:firstLine="0" w:firstLineChars="0"/>
              <w:rPr>
                <w:rFonts w:ascii="Times New Roman" w:hAnsi="Times New Roman" w:eastAsia="宋体" w:cs="Times New Roman"/>
                <w:b/>
                <w:kern w:val="0"/>
                <w:sz w:val="21"/>
                <w14:ligatures w14:val="none"/>
              </w:rPr>
            </w:pPr>
            <w:r>
              <w:rPr>
                <w:rFonts w:ascii="Times New Roman" w:hAnsi="Times New Roman" w:eastAsia="宋体" w:cs="Times New Roman"/>
                <w:kern w:val="0"/>
                <w:sz w:val="21"/>
                <w14:ligatures w14:val="none"/>
              </w:rPr>
              <w:t>【燃烧和爆炸危险性】</w:t>
            </w:r>
          </w:p>
          <w:p w14:paraId="7BADBE6B">
            <w:pPr>
              <w:widowControl/>
              <w:spacing w:line="240" w:lineRule="auto"/>
              <w:ind w:firstLine="0" w:firstLineChars="0"/>
              <w:rPr>
                <w:rFonts w:ascii="Times New Roman" w:hAnsi="Times New Roman" w:eastAsia="宋体" w:cs="Times New Roman"/>
                <w:kern w:val="0"/>
                <w:sz w:val="21"/>
                <w:szCs w:val="22"/>
                <w14:ligatures w14:val="none"/>
              </w:rPr>
            </w:pPr>
            <w:r>
              <w:rPr>
                <w:rFonts w:ascii="Times New Roman" w:hAnsi="Times New Roman" w:eastAsia="宋体" w:cs="Times New Roman"/>
                <w:kern w:val="0"/>
                <w:sz w:val="21"/>
                <w:szCs w:val="22"/>
                <w14:ligatures w14:val="none"/>
              </w:rPr>
              <w:t>本品易燃，具刺激性。遇明火、高热或与氧化剂接触，有引起燃烧爆炸的危险。若遇高热，容器内压增大，有开裂和爆炸的危险。</w:t>
            </w:r>
          </w:p>
          <w:p w14:paraId="536F18D0">
            <w:pPr>
              <w:widowControl/>
              <w:spacing w:line="240" w:lineRule="auto"/>
              <w:ind w:firstLine="0" w:firstLineChars="0"/>
              <w:rPr>
                <w:rFonts w:ascii="Times New Roman" w:hAnsi="Times New Roman" w:eastAsia="宋体" w:cs="Times New Roman"/>
                <w:b/>
                <w:kern w:val="0"/>
                <w:sz w:val="21"/>
                <w14:ligatures w14:val="none"/>
              </w:rPr>
            </w:pPr>
            <w:r>
              <w:rPr>
                <w:rFonts w:ascii="Times New Roman" w:hAnsi="Times New Roman" w:eastAsia="宋体" w:cs="Times New Roman"/>
                <w:kern w:val="0"/>
                <w:sz w:val="21"/>
                <w14:ligatures w14:val="none"/>
              </w:rPr>
              <w:t>【健康危害】</w:t>
            </w:r>
          </w:p>
          <w:p w14:paraId="6817CCD6">
            <w:pPr>
              <w:widowControl/>
              <w:spacing w:line="240" w:lineRule="auto"/>
              <w:ind w:firstLine="0" w:firstLineChars="0"/>
              <w:rPr>
                <w:rFonts w:ascii="Times New Roman" w:hAnsi="Times New Roman" w:eastAsia="宋体" w:cs="Times New Roman"/>
                <w:sz w:val="21"/>
                <w:szCs w:val="20"/>
                <w14:ligatures w14:val="none"/>
              </w:rPr>
            </w:pPr>
            <w:r>
              <w:rPr>
                <w:rFonts w:ascii="Times New Roman" w:hAnsi="Times New Roman" w:eastAsia="宋体" w:cs="Times New Roman"/>
                <w:kern w:val="0"/>
                <w:sz w:val="21"/>
                <w:szCs w:val="22"/>
                <w14:ligatures w14:val="none"/>
              </w:rPr>
              <w:t>皮肤接触可为主要吸收途径，可致急性肾脏损害。柴油可引起接触性皮炎、油性痤疮。吸入其雾滴或液体呛入可引起吸入性肺炎。能经胎盘进入胎儿血中。柴油废气可引起眼、鼻刺激症状，头晕及头痛。</w:t>
            </w:r>
          </w:p>
        </w:tc>
      </w:tr>
      <w:tr w14:paraId="248398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44" w:type="dxa"/>
            <w:vAlign w:val="center"/>
          </w:tcPr>
          <w:p w14:paraId="26CF8339">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安</w:t>
            </w:r>
          </w:p>
          <w:p w14:paraId="01E9F076">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全</w:t>
            </w:r>
          </w:p>
          <w:p w14:paraId="06BA8EAD">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措</w:t>
            </w:r>
          </w:p>
          <w:p w14:paraId="3E0031FB">
            <w:pPr>
              <w:spacing w:line="240" w:lineRule="auto"/>
              <w:ind w:firstLine="0" w:firstLineChars="0"/>
              <w:jc w:val="center"/>
              <w:rPr>
                <w:rFonts w:ascii="Times New Roman" w:hAnsi="Times New Roman" w:eastAsia="宋体" w:cs="Times New Roman"/>
                <w:bCs/>
                <w:sz w:val="21"/>
                <w14:ligatures w14:val="none"/>
              </w:rPr>
            </w:pPr>
            <w:r>
              <w:rPr>
                <w:rFonts w:ascii="Times New Roman" w:hAnsi="Times New Roman" w:eastAsia="宋体" w:cs="Times New Roman"/>
                <w:bCs/>
                <w:kern w:val="0"/>
                <w:sz w:val="21"/>
                <w14:ligatures w14:val="none"/>
              </w:rPr>
              <w:t>施</w:t>
            </w:r>
          </w:p>
        </w:tc>
        <w:tc>
          <w:tcPr>
            <w:tcW w:w="8575" w:type="dxa"/>
          </w:tcPr>
          <w:p w14:paraId="288A3E52">
            <w:pPr>
              <w:widowControl/>
              <w:spacing w:line="240" w:lineRule="auto"/>
              <w:ind w:firstLine="0" w:firstLineChars="0"/>
              <w:rPr>
                <w:rFonts w:ascii="Times New Roman" w:hAnsi="Times New Roman" w:eastAsia="宋体" w:cs="Times New Roman"/>
                <w:b/>
                <w:kern w:val="0"/>
                <w:sz w:val="21"/>
                <w14:ligatures w14:val="none"/>
              </w:rPr>
            </w:pPr>
            <w:r>
              <w:rPr>
                <w:rFonts w:ascii="Times New Roman" w:hAnsi="Times New Roman" w:eastAsia="宋体" w:cs="Times New Roman"/>
                <w:kern w:val="0"/>
                <w:sz w:val="21"/>
                <w14:ligatures w14:val="none"/>
              </w:rPr>
              <w:t>【一般要求】</w:t>
            </w:r>
          </w:p>
          <w:p w14:paraId="5A8599AB">
            <w:pPr>
              <w:widowControl/>
              <w:spacing w:line="240" w:lineRule="auto"/>
              <w:ind w:firstLine="0" w:firstLineChars="0"/>
              <w:rPr>
                <w:rFonts w:ascii="Times New Roman" w:hAnsi="Times New Roman" w:eastAsia="宋体" w:cs="Times New Roman"/>
                <w:b/>
                <w:kern w:val="0"/>
                <w:sz w:val="21"/>
                <w14:ligatures w14:val="none"/>
              </w:rPr>
            </w:pPr>
            <w:r>
              <w:rPr>
                <w:rFonts w:ascii="Times New Roman" w:hAnsi="Times New Roman" w:eastAsia="宋体" w:cs="Times New Roman"/>
                <w:kern w:val="0"/>
                <w:sz w:val="21"/>
                <w:szCs w:val="22"/>
                <w14:ligatures w14:val="none"/>
              </w:rPr>
              <w:t>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p w14:paraId="526512B5">
            <w:pPr>
              <w:spacing w:line="240" w:lineRule="auto"/>
              <w:ind w:firstLine="0" w:firstLineChars="0"/>
              <w:rPr>
                <w:rFonts w:ascii="Times New Roman" w:hAnsi="Times New Roman" w:eastAsia="宋体" w:cs="Times New Roman"/>
                <w:b/>
                <w:kern w:val="0"/>
                <w:sz w:val="21"/>
                <w14:ligatures w14:val="none"/>
              </w:rPr>
            </w:pPr>
            <w:r>
              <w:rPr>
                <w:rFonts w:ascii="Times New Roman" w:hAnsi="Times New Roman" w:eastAsia="宋体" w:cs="Times New Roman"/>
                <w:kern w:val="0"/>
                <w:sz w:val="21"/>
                <w14:ligatures w14:val="none"/>
              </w:rPr>
              <w:t>【储存安全】</w:t>
            </w:r>
          </w:p>
          <w:p w14:paraId="0A8B7E94">
            <w:pPr>
              <w:widowControl/>
              <w:spacing w:line="240" w:lineRule="auto"/>
              <w:ind w:firstLine="0" w:firstLineChars="0"/>
              <w:rPr>
                <w:rFonts w:ascii="Times New Roman" w:hAnsi="Times New Roman" w:eastAsia="宋体" w:cs="Times New Roman"/>
                <w:sz w:val="21"/>
                <w:szCs w:val="22"/>
                <w14:ligatures w14:val="none"/>
              </w:rPr>
            </w:pPr>
            <w:r>
              <w:rPr>
                <w:rFonts w:ascii="Times New Roman" w:hAnsi="Times New Roman" w:eastAsia="宋体" w:cs="Times New Roman"/>
                <w:kern w:val="0"/>
                <w:sz w:val="21"/>
                <w:szCs w:val="22"/>
                <w14:ligatures w14:val="none"/>
              </w:rPr>
              <w:t>储存于阴凉、通风的库房。远离火种、热源。应与氧化剂、卤素分开存放，切忌混储。采用防爆型照明、通风设施。禁止使用易产生火花的机械设备和工具。储区应备有泄漏应急处理设备和合适的收容材料。</w:t>
            </w:r>
          </w:p>
        </w:tc>
      </w:tr>
      <w:tr w14:paraId="1D1DEA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44" w:type="dxa"/>
            <w:vAlign w:val="center"/>
          </w:tcPr>
          <w:p w14:paraId="6780608B">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应</w:t>
            </w:r>
          </w:p>
          <w:p w14:paraId="43048FFC">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急</w:t>
            </w:r>
          </w:p>
          <w:p w14:paraId="21148812">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处</w:t>
            </w:r>
          </w:p>
          <w:p w14:paraId="2BB4E5FE">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置</w:t>
            </w:r>
          </w:p>
          <w:p w14:paraId="55E817BD">
            <w:pPr>
              <w:spacing w:line="240" w:lineRule="auto"/>
              <w:ind w:firstLine="0" w:firstLineChars="0"/>
              <w:jc w:val="center"/>
              <w:rPr>
                <w:rFonts w:ascii="Times New Roman" w:hAnsi="Times New Roman" w:eastAsia="宋体" w:cs="Times New Roman"/>
                <w:bCs/>
                <w:kern w:val="0"/>
                <w:sz w:val="21"/>
                <w14:ligatures w14:val="none"/>
              </w:rPr>
            </w:pPr>
            <w:r>
              <w:rPr>
                <w:rFonts w:ascii="Times New Roman" w:hAnsi="Times New Roman" w:eastAsia="宋体" w:cs="Times New Roman"/>
                <w:bCs/>
                <w:kern w:val="0"/>
                <w:sz w:val="21"/>
                <w14:ligatures w14:val="none"/>
              </w:rPr>
              <w:t>原</w:t>
            </w:r>
          </w:p>
          <w:p w14:paraId="43E39F07">
            <w:pPr>
              <w:spacing w:line="240" w:lineRule="auto"/>
              <w:ind w:firstLine="0" w:firstLineChars="0"/>
              <w:jc w:val="center"/>
              <w:rPr>
                <w:rFonts w:ascii="Times New Roman" w:hAnsi="Times New Roman" w:eastAsia="宋体" w:cs="Times New Roman"/>
                <w:bCs/>
                <w:sz w:val="21"/>
                <w14:ligatures w14:val="none"/>
              </w:rPr>
            </w:pPr>
            <w:r>
              <w:rPr>
                <w:rFonts w:ascii="Times New Roman" w:hAnsi="Times New Roman" w:eastAsia="宋体" w:cs="Times New Roman"/>
                <w:bCs/>
                <w:kern w:val="0"/>
                <w:sz w:val="21"/>
                <w14:ligatures w14:val="none"/>
              </w:rPr>
              <w:t>则</w:t>
            </w:r>
          </w:p>
        </w:tc>
        <w:tc>
          <w:tcPr>
            <w:tcW w:w="8575" w:type="dxa"/>
          </w:tcPr>
          <w:p w14:paraId="0E58A291">
            <w:pPr>
              <w:adjustRightInd/>
              <w:snapToGrid/>
              <w:ind w:firstLine="0" w:firstLineChars="0"/>
              <w:rPr>
                <w:rFonts w:ascii="Times New Roman" w:hAnsi="Times New Roman" w:eastAsia="宋体" w:cs="Times New Roman"/>
                <w:b/>
                <w:kern w:val="0"/>
                <w:sz w:val="21"/>
                <w14:ligatures w14:val="none"/>
              </w:rPr>
            </w:pPr>
            <w:r>
              <w:rPr>
                <w:rFonts w:ascii="Times New Roman" w:hAnsi="Times New Roman" w:eastAsia="宋体" w:cs="Times New Roman"/>
                <w:kern w:val="0"/>
                <w:sz w:val="21"/>
                <w14:ligatures w14:val="none"/>
              </w:rPr>
              <w:t>【急救措施】</w:t>
            </w:r>
          </w:p>
          <w:p w14:paraId="7961520A">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szCs w:val="22"/>
                <w14:ligatures w14:val="none"/>
              </w:rPr>
              <w:t>吸入：迅速脱离现场至空气新鲜处。保持呼吸道通畅。如呼吸困难，给输氧。如呼吸停止，立即进行人工呼吸。就医。</w:t>
            </w:r>
          </w:p>
          <w:p w14:paraId="259540C5">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szCs w:val="22"/>
                <w14:ligatures w14:val="none"/>
              </w:rPr>
              <w:t>食入：尽快彻底洗胃。就医。</w:t>
            </w:r>
          </w:p>
          <w:p w14:paraId="69E29836">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szCs w:val="22"/>
                <w14:ligatures w14:val="none"/>
              </w:rPr>
              <w:t>皮肤接触：立即脱去污染的衣着，用肥皂水和清水彻底冲洗皮肤。就医。</w:t>
            </w:r>
          </w:p>
          <w:p w14:paraId="34F636DF">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szCs w:val="22"/>
                <w14:ligatures w14:val="none"/>
              </w:rPr>
              <w:t>眼睛接触：提起眼睑，用流动清水或生理盐水冲洗。就医。</w:t>
            </w:r>
          </w:p>
          <w:p w14:paraId="64A3C806">
            <w:pPr>
              <w:adjustRightInd/>
              <w:snapToGrid/>
              <w:ind w:firstLine="0" w:firstLineChars="0"/>
              <w:rPr>
                <w:rFonts w:ascii="Times New Roman" w:hAnsi="Times New Roman" w:eastAsia="宋体" w:cs="Times New Roman"/>
                <w:b/>
                <w:kern w:val="0"/>
                <w:sz w:val="21"/>
                <w14:ligatures w14:val="none"/>
              </w:rPr>
            </w:pPr>
            <w:r>
              <w:rPr>
                <w:rFonts w:ascii="Times New Roman" w:hAnsi="Times New Roman" w:eastAsia="宋体" w:cs="Times New Roman"/>
                <w:kern w:val="0"/>
                <w:sz w:val="21"/>
                <w14:ligatures w14:val="none"/>
              </w:rPr>
              <w:t>【灭火方法】</w:t>
            </w:r>
          </w:p>
          <w:p w14:paraId="7A3D852A">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szCs w:val="22"/>
                <w14:ligatures w14:val="none"/>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252A872F">
            <w:pPr>
              <w:widowControl/>
              <w:spacing w:line="240" w:lineRule="auto"/>
              <w:ind w:firstLine="0" w:firstLineChars="0"/>
              <w:rPr>
                <w:rFonts w:ascii="Times New Roman" w:hAnsi="Times New Roman" w:eastAsia="宋体" w:cs="Times New Roman"/>
                <w:kern w:val="0"/>
                <w:sz w:val="21"/>
                <w14:ligatures w14:val="none"/>
              </w:rPr>
            </w:pPr>
            <w:r>
              <w:rPr>
                <w:rFonts w:ascii="Times New Roman" w:hAnsi="Times New Roman" w:eastAsia="宋体" w:cs="Times New Roman"/>
                <w:kern w:val="0"/>
                <w:sz w:val="21"/>
                <w:szCs w:val="22"/>
                <w14:ligatures w14:val="none"/>
              </w:rPr>
              <w:t>灭火剂：雾状水、泡沫、干粉、二氧化碳、砂土。</w:t>
            </w:r>
          </w:p>
          <w:p w14:paraId="6B90D157">
            <w:pPr>
              <w:adjustRightInd/>
              <w:snapToGrid/>
              <w:ind w:firstLine="0" w:firstLineChars="0"/>
              <w:rPr>
                <w:rFonts w:ascii="Times New Roman" w:hAnsi="Times New Roman" w:eastAsia="宋体" w:cs="Times New Roman"/>
                <w:b/>
                <w:kern w:val="0"/>
                <w:sz w:val="21"/>
                <w14:ligatures w14:val="none"/>
              </w:rPr>
            </w:pPr>
            <w:r>
              <w:rPr>
                <w:rFonts w:ascii="Times New Roman" w:hAnsi="Times New Roman" w:eastAsia="宋体" w:cs="Times New Roman"/>
                <w:kern w:val="0"/>
                <w:sz w:val="21"/>
                <w14:ligatures w14:val="none"/>
              </w:rPr>
              <w:t>【泄漏应急处置】</w:t>
            </w:r>
          </w:p>
          <w:p w14:paraId="2DBBEA72">
            <w:pPr>
              <w:widowControl/>
              <w:spacing w:line="240" w:lineRule="auto"/>
              <w:ind w:firstLine="0" w:firstLineChars="0"/>
              <w:rPr>
                <w:rFonts w:ascii="Times New Roman" w:hAnsi="Times New Roman" w:eastAsia="宋体" w:cs="Times New Roman"/>
                <w:sz w:val="21"/>
                <w:szCs w:val="20"/>
                <w14:ligatures w14:val="none"/>
              </w:rPr>
            </w:pPr>
            <w:r>
              <w:rPr>
                <w:rFonts w:ascii="Times New Roman" w:hAnsi="Times New Roman" w:eastAsia="宋体" w:cs="Times New Roman"/>
                <w:kern w:val="0"/>
                <w:sz w:val="21"/>
                <w:szCs w:val="22"/>
                <w14:ligatures w14:val="none"/>
              </w:rPr>
              <w:t>迅速撤离泄漏污染区人员至安全区，并进行隔离，严格限制出入。切断火源。建议应急处理人员戴自给正压式呼吸器，穿一般作业工作服。尽可能切断泄漏源。防止流入下水道、排洪沟等限制性空间。小量泄漏：用活性炭或其它惰性材料吸收。大量泄漏：构筑围堤或挖坑收容。用泵转移至槽车或专用收集器内，回收并运至废物处理厂处置。</w:t>
            </w:r>
          </w:p>
        </w:tc>
      </w:tr>
    </w:tbl>
    <w:p w14:paraId="14190105">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09" w:name="_Toc218437771"/>
      <w:r>
        <w:rPr>
          <w:rFonts w:ascii="Times New Roman" w:hAnsi="Times New Roman" w:eastAsia="楷体" w:cs="Times New Roman"/>
          <w:b/>
          <w:bCs/>
          <w:sz w:val="32"/>
          <w:szCs w:val="32"/>
        </w:rPr>
        <w:t>F3.2火灾、爆炸、中毒和窒息事故分析</w:t>
      </w:r>
      <w:bookmarkEnd w:id="109"/>
    </w:p>
    <w:p w14:paraId="2CF82005">
      <w:pPr>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w:t>
      </w:r>
      <w:r>
        <w:rPr>
          <w:rFonts w:ascii="Times New Roman" w:hAnsi="Times New Roman" w:eastAsia="黑体" w:cs="Times New Roman"/>
          <w:b/>
          <w:bCs/>
        </w:rPr>
        <w:t>.2.1火灾</w:t>
      </w:r>
    </w:p>
    <w:p w14:paraId="5975BBC5">
      <w:pPr>
        <w:ind w:firstLine="560"/>
        <w:rPr>
          <w:rFonts w:hint="eastAsia" w:ascii="Times New Roman" w:hAnsi="Times New Roman" w:eastAsia="宋体"/>
        </w:rPr>
      </w:pPr>
      <w:r>
        <w:rPr>
          <w:rFonts w:hint="eastAsia" w:ascii="Times New Roman" w:hAnsi="Times New Roman" w:eastAsia="宋体"/>
        </w:rPr>
        <w:t>（1）油品装卸过程</w:t>
      </w:r>
    </w:p>
    <w:p w14:paraId="18E18854">
      <w:pPr>
        <w:ind w:firstLine="560"/>
        <w:rPr>
          <w:rFonts w:hint="eastAsia" w:ascii="Times New Roman" w:hAnsi="Times New Roman" w:eastAsia="宋体"/>
        </w:rPr>
      </w:pPr>
      <w:r>
        <w:rPr>
          <w:rFonts w:hint="eastAsia" w:ascii="Times New Roman" w:hAnsi="Times New Roman" w:eastAsia="宋体"/>
        </w:rPr>
        <w:t>加油站是为机动车充装车用乙醇汽油、柴油的专门场所。如果装卸油品过程中因设备泄漏跑油、灌装过满冒油或卸油时逸散油气，遇明火、机械火星、静电火花、雷电、烟囱飞火等点火源，有导致火灾、爆炸的危险。</w:t>
      </w:r>
    </w:p>
    <w:p w14:paraId="35D7C8BA">
      <w:pPr>
        <w:ind w:firstLine="560"/>
        <w:rPr>
          <w:rFonts w:hint="eastAsia" w:ascii="Times New Roman" w:hAnsi="Times New Roman" w:eastAsia="宋体"/>
        </w:rPr>
      </w:pPr>
      <w:r>
        <w:rPr>
          <w:rFonts w:hint="eastAsia" w:ascii="Times New Roman" w:hAnsi="Times New Roman" w:eastAsia="宋体"/>
        </w:rPr>
        <w:t>在接卸油品或加油的作业中，汽车油罐车不熄火、静电接地不良、卸油时连通软管静电传导性能差；雷雨天往油罐卸油或往汽车油箱加油速度过快；加油操作失误；密闭卸油接口处漏油；对明火源管理不严等，都会导致火灾、爆炸、设备损坏或人身伤亡事故。</w:t>
      </w:r>
    </w:p>
    <w:p w14:paraId="62A133B1">
      <w:pPr>
        <w:ind w:firstLine="560"/>
        <w:rPr>
          <w:rFonts w:hint="eastAsia" w:ascii="Times New Roman" w:hAnsi="Times New Roman" w:eastAsia="宋体"/>
        </w:rPr>
      </w:pPr>
      <w:r>
        <w:rPr>
          <w:rFonts w:hint="eastAsia" w:ascii="Times New Roman" w:hAnsi="Times New Roman" w:eastAsia="宋体"/>
        </w:rPr>
        <w:t>（2）埋地储罐</w:t>
      </w:r>
    </w:p>
    <w:p w14:paraId="18598EDE">
      <w:pPr>
        <w:ind w:firstLine="560"/>
        <w:rPr>
          <w:rFonts w:hint="eastAsia" w:ascii="Times New Roman" w:hAnsi="Times New Roman" w:eastAsia="宋体"/>
        </w:rPr>
      </w:pPr>
      <w:r>
        <w:rPr>
          <w:rFonts w:hint="eastAsia" w:ascii="Times New Roman" w:hAnsi="Times New Roman" w:eastAsia="宋体"/>
        </w:rPr>
        <w:t>加油站的卧式油罐埋地设置是比较安全的。从国内外的有关调查资料统计来看，油罐埋地设置，火灾发生概率较低，即使油罐发生着火，也容易扑救。</w:t>
      </w:r>
    </w:p>
    <w:p w14:paraId="2063646D">
      <w:pPr>
        <w:ind w:firstLine="560"/>
        <w:rPr>
          <w:rFonts w:hint="eastAsia" w:ascii="Times New Roman" w:hAnsi="Times New Roman" w:eastAsia="宋体"/>
        </w:rPr>
      </w:pPr>
      <w:r>
        <w:rPr>
          <w:rFonts w:hint="eastAsia" w:ascii="Times New Roman" w:hAnsi="Times New Roman" w:eastAsia="宋体"/>
        </w:rPr>
        <w:t>在加油站的各类事故中，油罐和管道发生的事故占很大比例。如地面水进入地下油罐，使油品溢出；油罐管线腐蚀穿孔或外力，如抗浮措施不当、机械损害等造成管线断裂而发生漏油、跑油；埋地油罐注油过量溢出；卸油时油气外逸明火引爆；油罐、卸油接管等处接地不良，通气管遇雷击或静电闪火均会引起燃爆事故的发生。</w:t>
      </w:r>
    </w:p>
    <w:p w14:paraId="74DC966B">
      <w:pPr>
        <w:ind w:firstLine="560"/>
        <w:rPr>
          <w:rFonts w:hint="eastAsia" w:ascii="Times New Roman" w:hAnsi="Times New Roman" w:eastAsia="宋体"/>
        </w:rPr>
      </w:pPr>
      <w:r>
        <w:rPr>
          <w:rFonts w:hint="eastAsia" w:ascii="Times New Roman" w:hAnsi="Times New Roman" w:eastAsia="宋体"/>
        </w:rPr>
        <w:t>（3）加油场地</w:t>
      </w:r>
    </w:p>
    <w:p w14:paraId="5ECFDCFC">
      <w:pPr>
        <w:ind w:firstLine="560"/>
        <w:rPr>
          <w:rFonts w:hint="eastAsia" w:ascii="Times New Roman" w:hAnsi="Times New Roman" w:eastAsia="宋体"/>
        </w:rPr>
      </w:pPr>
      <w:r>
        <w:rPr>
          <w:rFonts w:hint="eastAsia" w:ascii="Times New Roman" w:hAnsi="Times New Roman" w:eastAsia="宋体"/>
        </w:rPr>
        <w:t>加油场地是安装有不同种类加油机专为各种机动车辆加油的作业区域。由于人员、车辆流动频繁，不安全因素较多，是加油站事故多发高发的危险场所。譬如：摩托车未按规定在指定地点加油、机动车未熄火加油、油箱漏油、加油过满溢出、加油机漏油、电器故障加油作业过程中因修车或机械碰撞产生火花等原因，均容易引发火灾、爆炸事故。当违章用油枪往塑料桶（瓶）注车用乙醇汽油等，也会引发爆炸与火灾事故的发生。</w:t>
      </w:r>
    </w:p>
    <w:p w14:paraId="1F4334BB">
      <w:pPr>
        <w:ind w:firstLine="560"/>
        <w:rPr>
          <w:rFonts w:hint="eastAsia" w:ascii="Times New Roman" w:hAnsi="Times New Roman" w:eastAsia="宋体"/>
        </w:rPr>
      </w:pPr>
      <w:r>
        <w:rPr>
          <w:rFonts w:hint="eastAsia" w:ascii="Times New Roman" w:hAnsi="Times New Roman" w:eastAsia="宋体"/>
        </w:rPr>
        <w:t>（4）站房</w:t>
      </w:r>
    </w:p>
    <w:p w14:paraId="6FFD92CF">
      <w:pPr>
        <w:ind w:firstLine="560"/>
        <w:rPr>
          <w:rFonts w:hint="eastAsia" w:ascii="Times New Roman" w:hAnsi="Times New Roman" w:eastAsia="宋体"/>
        </w:rPr>
      </w:pPr>
      <w:r>
        <w:rPr>
          <w:rFonts w:hint="eastAsia" w:ascii="Times New Roman" w:hAnsi="Times New Roman" w:eastAsia="宋体"/>
        </w:rPr>
        <w:t>站房作为加油站必不可少的重要建筑物，其耐火等级和站内设施之间的防火距离是至关重要的。如有油蒸气窜入站房，遇到明火，随意吸烟，以及电气设备过载、短路、断线、接点松动、接触不良、绝缘下降等故障会产生电热和电火花，引燃油蒸气或周围可燃物，都有可能发生火灾或爆炸事故。</w:t>
      </w:r>
    </w:p>
    <w:p w14:paraId="56BEC422">
      <w:pPr>
        <w:numPr>
          <w:ilvl w:val="0"/>
          <w:numId w:val="1"/>
        </w:numPr>
        <w:ind w:left="0" w:leftChars="0" w:firstLine="560" w:firstLineChars="200"/>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柴油发电机</w:t>
      </w:r>
    </w:p>
    <w:p w14:paraId="73BC2B75">
      <w:pPr>
        <w:keepNext w:val="0"/>
        <w:keepLines w:val="0"/>
        <w:pageBreakBefore w:val="0"/>
        <w:widowControl w:val="0"/>
        <w:numPr>
          <w:ilvl w:val="0"/>
          <w:numId w:val="0"/>
        </w:numPr>
        <w:kinsoku/>
        <w:wordWrap/>
        <w:overflowPunct/>
        <w:topLinePunct w:val="0"/>
        <w:autoSpaceDE/>
        <w:autoSpaceDN/>
        <w:bidi w:val="0"/>
        <w:adjustRightInd w:val="0"/>
        <w:snapToGrid w:val="0"/>
        <w:ind w:leftChars="0" w:firstLine="5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柴油属于易燃液体，发电机运行时产生的高温、电火花等都可能点燃柴油，引发火灾。柴油泄漏到高温部件上极易起火，而且柴发间内如果通风不良，柴油挥发形成的可燃混合气积聚，遇到火源也会引发火灾。发电机在运行过程中会产生高电压，如果电气设备安装不规范、绝缘损坏等，可能导致人员触电。同时，电气线路过载、短路等故障还可能引发电气火灾。柴油储存不当，如储存容器不合格、储存环境不符合要求等，可能导致柴油泄漏、挥发，增加火灾的风险。</w:t>
      </w:r>
    </w:p>
    <w:p w14:paraId="62199780">
      <w:pPr>
        <w:ind w:firstLine="560"/>
        <w:rPr>
          <w:rFonts w:hint="eastAsia" w:ascii="Times New Roman" w:hAnsi="Times New Roman" w:eastAsia="宋体"/>
        </w:rPr>
      </w:pPr>
      <w:r>
        <w:rPr>
          <w:rFonts w:hint="eastAsia" w:ascii="Times New Roman" w:hAnsi="Times New Roman" w:eastAsia="宋体"/>
        </w:rPr>
        <w:t>（</w:t>
      </w:r>
      <w:r>
        <w:rPr>
          <w:rFonts w:hint="eastAsia" w:ascii="Times New Roman" w:hAnsi="Times New Roman" w:eastAsia="宋体"/>
          <w:lang w:val="en-US" w:eastAsia="zh-CN"/>
        </w:rPr>
        <w:t>6</w:t>
      </w:r>
      <w:r>
        <w:rPr>
          <w:rFonts w:hint="eastAsia" w:ascii="Times New Roman" w:hAnsi="Times New Roman" w:eastAsia="宋体"/>
        </w:rPr>
        <w:t>）其他</w:t>
      </w:r>
    </w:p>
    <w:p w14:paraId="7C1CCFB7">
      <w:pPr>
        <w:ind w:firstLine="560"/>
        <w:rPr>
          <w:rFonts w:ascii="Times New Roman" w:hAnsi="Times New Roman" w:eastAsia="宋体"/>
        </w:rPr>
      </w:pPr>
      <w:r>
        <w:rPr>
          <w:rFonts w:hint="eastAsia" w:ascii="Times New Roman" w:hAnsi="Times New Roman" w:eastAsia="宋体"/>
        </w:rPr>
        <w:t>在进行量油作业过程中，可能会有油气外逸至作业附近，可能会由于作业人员未穿戴防静电服装、使用铁制工具等因素，导致发生火灾、爆炸事故。</w:t>
      </w:r>
    </w:p>
    <w:p w14:paraId="785996C3">
      <w:pPr>
        <w:ind w:firstLine="560"/>
        <w:rPr>
          <w:rFonts w:ascii="Times New Roman" w:hAnsi="Times New Roman" w:eastAsia="宋体"/>
        </w:rPr>
      </w:pPr>
      <w:r>
        <w:rPr>
          <w:rFonts w:ascii="Times New Roman" w:hAnsi="Times New Roman" w:eastAsia="宋体"/>
        </w:rPr>
        <w:t>（</w:t>
      </w:r>
      <w:r>
        <w:rPr>
          <w:rFonts w:hint="eastAsia" w:ascii="Times New Roman" w:hAnsi="Times New Roman" w:eastAsia="宋体"/>
          <w:lang w:val="en-US" w:eastAsia="zh-CN"/>
        </w:rPr>
        <w:t>7</w:t>
      </w:r>
      <w:r>
        <w:rPr>
          <w:rFonts w:ascii="Times New Roman" w:hAnsi="Times New Roman" w:eastAsia="宋体"/>
        </w:rPr>
        <w:t>）检维修</w:t>
      </w:r>
    </w:p>
    <w:p w14:paraId="1FF9BDA3">
      <w:pPr>
        <w:ind w:firstLine="560"/>
        <w:rPr>
          <w:rFonts w:ascii="Times New Roman" w:hAnsi="Times New Roman" w:eastAsia="宋体"/>
        </w:rPr>
      </w:pPr>
      <w:r>
        <w:rPr>
          <w:rFonts w:ascii="Times New Roman" w:hAnsi="Times New Roman" w:eastAsia="宋体" w:cs="Times New Roman"/>
        </w:rPr>
        <w:t>1）</w:t>
      </w:r>
      <w:r>
        <w:rPr>
          <w:rFonts w:ascii="Times New Roman" w:hAnsi="Times New Roman" w:eastAsia="宋体"/>
        </w:rPr>
        <w:t>在加油作业区修理加油机是加油站火灾隐患之一，因为在加油机的拆卸过程中难免会洒出一些油品，修理过程中使用工具对零部件进行敲打，容易引起火花，遇到混合性爆炸气体，容易引起火灾爆炸事故。</w:t>
      </w:r>
    </w:p>
    <w:p w14:paraId="4AECE75D">
      <w:pPr>
        <w:ind w:firstLine="560"/>
        <w:rPr>
          <w:rFonts w:ascii="Times New Roman" w:hAnsi="Times New Roman" w:eastAsia="宋体" w:cs="Times New Roman"/>
        </w:rPr>
      </w:pPr>
      <w:r>
        <w:rPr>
          <w:rFonts w:ascii="Times New Roman" w:hAnsi="Times New Roman" w:eastAsia="宋体" w:cs="Times New Roman"/>
        </w:rPr>
        <w:t>2）在卸油作业的防爆区域内作业时，使用工具敲打容易产生火花或有其他明火，可引起爆炸事故。</w:t>
      </w:r>
    </w:p>
    <w:p w14:paraId="7D74A9C2">
      <w:pPr>
        <w:ind w:firstLine="560"/>
        <w:rPr>
          <w:rFonts w:ascii="Times New Roman" w:hAnsi="Times New Roman" w:eastAsia="宋体" w:cs="Times New Roman"/>
        </w:rPr>
      </w:pPr>
      <w:r>
        <w:rPr>
          <w:rFonts w:ascii="Times New Roman" w:hAnsi="Times New Roman" w:eastAsia="宋体" w:cs="Times New Roman"/>
        </w:rPr>
        <w:t>3）在储罐区检修管道、油罐时，如没按要求进行置换、清洗、检测油品蒸汽，违章动火极易发生火灾爆炸事故。</w:t>
      </w:r>
    </w:p>
    <w:p w14:paraId="7FA1628C">
      <w:pPr>
        <w:ind w:firstLine="560"/>
        <w:rPr>
          <w:rFonts w:ascii="Times New Roman" w:hAnsi="Times New Roman" w:eastAsia="宋体" w:cs="Times New Roman"/>
        </w:rPr>
      </w:pPr>
      <w:r>
        <w:rPr>
          <w:rFonts w:ascii="Times New Roman" w:hAnsi="Times New Roman" w:eastAsia="宋体" w:cs="Times New Roman"/>
        </w:rPr>
        <w:t>4）违反动火作业制度，作业前未按规定进行风险辨识等开动火或临电票据，或在电气设施及罐区等存在电火火灾危害及爆炸危险区域范围内进行动火作业及临时用电作业，容易产生火灾爆炸事故。</w:t>
      </w:r>
    </w:p>
    <w:p w14:paraId="6D4E846D">
      <w:pPr>
        <w:ind w:firstLine="560"/>
        <w:rPr>
          <w:rFonts w:ascii="Times New Roman" w:hAnsi="Times New Roman" w:eastAsia="宋体" w:cs="Times New Roman"/>
        </w:rPr>
      </w:pPr>
      <w:r>
        <w:rPr>
          <w:rFonts w:ascii="Times New Roman" w:hAnsi="Times New Roman" w:eastAsia="宋体" w:cs="Times New Roman"/>
        </w:rPr>
        <w:t>5）进行清罐作业时，穿戴化纤服装、使用化纤物品、气液或液固摩擦产生静电火花、不规范使用电器设备引起电火花、穿带铁钉的鞋、用铁制工具作业引起装机火花、通风不良至油气浓度在爆炸极限内都易引起火灾爆炸事故。</w:t>
      </w:r>
    </w:p>
    <w:p w14:paraId="28A8A086">
      <w:pPr>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w:t>
      </w:r>
      <w:r>
        <w:rPr>
          <w:rFonts w:ascii="Times New Roman" w:hAnsi="Times New Roman" w:eastAsia="黑体" w:cs="Times New Roman"/>
          <w:b/>
          <w:bCs/>
        </w:rPr>
        <w:t>.2.2</w:t>
      </w:r>
      <w:r>
        <w:rPr>
          <w:rFonts w:hint="eastAsia" w:ascii="Times New Roman" w:hAnsi="Times New Roman" w:eastAsia="黑体" w:cs="Times New Roman"/>
          <w:b/>
          <w:bCs/>
        </w:rPr>
        <w:t>可燃液体蒸汽爆炸</w:t>
      </w:r>
    </w:p>
    <w:p w14:paraId="782A8D86">
      <w:pPr>
        <w:adjustRightInd w:val="0"/>
        <w:snapToGrid w:val="0"/>
        <w:spacing w:after="0" w:line="360" w:lineRule="auto"/>
        <w:ind w:firstLine="560" w:firstLineChars="200"/>
        <w:rPr>
          <w:rFonts w:hint="default" w:ascii="Times New Roman" w:hAnsi="Times New Roman" w:eastAsia="宋体" w:cs="Times New Roman"/>
          <w:color w:val="auto"/>
          <w:kern w:val="28"/>
          <w:sz w:val="28"/>
          <w:szCs w:val="28"/>
          <w:lang w:val="en-US" w:eastAsia="zh-CN"/>
          <w14:ligatures w14:val="none"/>
        </w:rPr>
      </w:pPr>
      <w:r>
        <w:rPr>
          <w:rFonts w:hint="default" w:ascii="Times New Roman" w:hAnsi="Times New Roman" w:eastAsia="宋体" w:cs="Times New Roman"/>
          <w:color w:val="auto"/>
          <w:kern w:val="28"/>
          <w:sz w:val="28"/>
          <w:szCs w:val="28"/>
          <w:lang w:val="en-US" w:eastAsia="zh-CN"/>
          <w14:ligatures w14:val="none"/>
        </w:rPr>
        <w:t>可燃液体蒸汽爆炸是可燃液体蒸气与空气(氧气或其他氧化性气体)形成爆炸性混合物,遇点火源发生爆炸造成的事故。</w:t>
      </w:r>
    </w:p>
    <w:p w14:paraId="16213A71">
      <w:pPr>
        <w:adjustRightInd w:val="0"/>
        <w:snapToGrid w:val="0"/>
        <w:spacing w:after="0" w:line="360" w:lineRule="auto"/>
        <w:ind w:firstLine="560" w:firstLineChars="200"/>
        <w:rPr>
          <w:rFonts w:hint="default" w:ascii="Times New Roman" w:hAnsi="Times New Roman" w:eastAsia="宋体" w:cs="Times New Roman"/>
          <w:color w:val="auto"/>
          <w:kern w:val="28"/>
          <w:sz w:val="28"/>
          <w:szCs w:val="28"/>
          <w:lang w:val="en-US" w:eastAsia="zh-CN"/>
          <w14:ligatures w14:val="none"/>
        </w:rPr>
      </w:pPr>
      <w:r>
        <w:rPr>
          <w:rFonts w:hint="default" w:ascii="Times New Roman" w:hAnsi="Times New Roman" w:eastAsia="宋体" w:cs="Times New Roman"/>
          <w:color w:val="auto"/>
          <w:kern w:val="28"/>
          <w:sz w:val="28"/>
          <w:szCs w:val="28"/>
          <w:lang w:val="en-US" w:eastAsia="zh-CN"/>
          <w14:ligatures w14:val="none"/>
        </w:rPr>
        <w:t>油品发生泄漏、跑油、逸散油气，其蒸汽会与空气充分形成爆炸性混合气体，一旦遇到明火、机械火星、静电火花、雷电、烟囱飞火等点火源，极易引发火灾、爆炸的危险。</w:t>
      </w:r>
    </w:p>
    <w:p w14:paraId="572CE333">
      <w:pPr>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w:t>
      </w:r>
      <w:r>
        <w:rPr>
          <w:rFonts w:ascii="Times New Roman" w:hAnsi="Times New Roman" w:eastAsia="黑体" w:cs="Times New Roman"/>
          <w:b/>
          <w:bCs/>
        </w:rPr>
        <w:t>.2.</w:t>
      </w:r>
      <w:r>
        <w:rPr>
          <w:rFonts w:hint="eastAsia" w:ascii="Times New Roman" w:hAnsi="Times New Roman" w:eastAsia="黑体" w:cs="Times New Roman"/>
          <w:b/>
          <w:bCs/>
          <w:lang w:val="en-US" w:eastAsia="zh-CN"/>
        </w:rPr>
        <w:t>3管道</w:t>
      </w:r>
      <w:r>
        <w:rPr>
          <w:rFonts w:hint="eastAsia" w:ascii="Times New Roman" w:hAnsi="Times New Roman" w:eastAsia="黑体" w:cs="Times New Roman"/>
          <w:b/>
          <w:bCs/>
        </w:rPr>
        <w:t>爆炸</w:t>
      </w:r>
    </w:p>
    <w:p w14:paraId="616910B7">
      <w:pPr>
        <w:adjustRightInd w:val="0"/>
        <w:snapToGrid w:val="0"/>
        <w:spacing w:after="0" w:line="360" w:lineRule="auto"/>
        <w:ind w:firstLine="560" w:firstLineChars="200"/>
        <w:rPr>
          <w:rFonts w:hint="eastAsia" w:ascii="Times New Roman" w:hAnsi="Times New Roman" w:eastAsia="宋体" w:cs="Times New Roman"/>
          <w:color w:val="auto"/>
          <w:kern w:val="28"/>
          <w:sz w:val="28"/>
          <w:szCs w:val="28"/>
          <w:lang w:val="en-US" w:eastAsia="zh-CN"/>
          <w14:ligatures w14:val="none"/>
        </w:rPr>
      </w:pPr>
      <w:r>
        <w:rPr>
          <w:rFonts w:hint="eastAsia" w:ascii="Times New Roman" w:hAnsi="Times New Roman" w:eastAsia="宋体" w:cs="Times New Roman"/>
          <w:color w:val="auto"/>
          <w:kern w:val="28"/>
          <w:sz w:val="28"/>
          <w:szCs w:val="28"/>
          <w:lang w:val="en-US" w:eastAsia="zh-CN"/>
          <w14:ligatures w14:val="none"/>
        </w:rPr>
        <w:t>管道爆炸是各类管道由于质量缺陷、使用不当或维护不当等原因发生爆炸造成的事故。</w:t>
      </w:r>
    </w:p>
    <w:p w14:paraId="45D72383">
      <w:pPr>
        <w:adjustRightInd w:val="0"/>
        <w:snapToGrid w:val="0"/>
        <w:spacing w:after="0" w:line="360" w:lineRule="auto"/>
        <w:ind w:firstLine="560" w:firstLineChars="200"/>
        <w:rPr>
          <w:rFonts w:hint="eastAsia" w:ascii="Times New Roman" w:hAnsi="Times New Roman" w:eastAsia="宋体" w:cs="Times New Roman"/>
          <w:color w:val="auto"/>
          <w:kern w:val="28"/>
          <w:sz w:val="28"/>
          <w:szCs w:val="28"/>
          <w:lang w:val="en-US" w:eastAsia="zh-CN"/>
          <w14:ligatures w14:val="none"/>
        </w:rPr>
      </w:pPr>
      <w:r>
        <w:rPr>
          <w:rFonts w:hint="eastAsia" w:ascii="Times New Roman" w:hAnsi="Times New Roman" w:eastAsia="宋体" w:cs="Times New Roman"/>
          <w:color w:val="auto"/>
          <w:kern w:val="28"/>
          <w:sz w:val="28"/>
          <w:szCs w:val="28"/>
          <w:lang w:val="en-US" w:eastAsia="zh-CN"/>
          <w14:ligatures w14:val="none"/>
        </w:rPr>
        <w:t>加油站内若管道质量存在缺陷，或部分老旧管道长期使用未及时更换，易出现腐蚀、老化、壁厚减薄等问题，油品在输送过程中极易从缺陷部位发生漏油、跑油，与空气混合形成爆炸性混合气体，遇到火源即可引发火灾、爆炸、造成管道及设备损坏，甚至导致人员伤亡。</w:t>
      </w:r>
    </w:p>
    <w:p w14:paraId="180EADD8">
      <w:pPr>
        <w:adjustRightInd w:val="0"/>
        <w:snapToGrid w:val="0"/>
        <w:spacing w:after="0" w:line="360" w:lineRule="auto"/>
        <w:ind w:firstLine="560" w:firstLineChars="200"/>
        <w:rPr>
          <w:rFonts w:hint="eastAsia" w:ascii="Times New Roman" w:hAnsi="Times New Roman" w:eastAsia="宋体" w:cs="Times New Roman"/>
          <w:color w:val="auto"/>
          <w:kern w:val="28"/>
          <w:sz w:val="28"/>
          <w:szCs w:val="28"/>
          <w:lang w:val="en-US" w:eastAsia="zh-CN"/>
          <w14:ligatures w14:val="none"/>
        </w:rPr>
      </w:pPr>
      <w:r>
        <w:rPr>
          <w:rFonts w:hint="eastAsia" w:ascii="Times New Roman" w:hAnsi="Times New Roman" w:eastAsia="宋体" w:cs="Times New Roman"/>
          <w:color w:val="auto"/>
          <w:kern w:val="28"/>
          <w:sz w:val="28"/>
          <w:szCs w:val="28"/>
          <w:lang w:val="en-US" w:eastAsia="zh-CN"/>
          <w14:ligatures w14:val="none"/>
        </w:rPr>
        <w:t>使用操作不当是引发管道爆炸的直接诱因，加油站运营过程中，若操作人员未严格执行安全操作规程，极易诱发各类安全风险。</w:t>
      </w:r>
    </w:p>
    <w:p w14:paraId="4ABE5213">
      <w:pPr>
        <w:adjustRightInd w:val="0"/>
        <w:snapToGrid w:val="0"/>
        <w:spacing w:after="0" w:line="360" w:lineRule="auto"/>
        <w:ind w:firstLine="560" w:firstLineChars="200"/>
        <w:rPr>
          <w:rFonts w:hint="default" w:ascii="Times New Roman" w:hAnsi="Times New Roman" w:eastAsia="宋体" w:cs="Times New Roman"/>
          <w:color w:val="auto"/>
          <w:kern w:val="28"/>
          <w:sz w:val="28"/>
          <w:szCs w:val="28"/>
          <w:lang w:val="en-US" w:eastAsia="zh-CN"/>
          <w14:ligatures w14:val="none"/>
        </w:rPr>
      </w:pPr>
      <w:r>
        <w:rPr>
          <w:rFonts w:hint="eastAsia" w:ascii="Times New Roman" w:hAnsi="Times New Roman" w:eastAsia="宋体" w:cs="Times New Roman"/>
          <w:color w:val="auto"/>
          <w:kern w:val="28"/>
          <w:sz w:val="28"/>
          <w:szCs w:val="28"/>
          <w:lang w:val="en-US" w:eastAsia="zh-CN"/>
          <w14:ligatures w14:val="none"/>
        </w:rPr>
        <w:t>日常维护保养不当则是造成管道爆炸隐患长期积累的关键因素，管道长期使用过程中会受到土壤腐蚀、大气及输送介质等多重腐蚀，若未定期开展腐蚀检测、修补防腐层，会加剧管道腐蚀，导致壁厚持续减弱，最终引发破损泄漏；同时，对于管道接口、阀门、法兰等易泄漏部位，若未定期检查密封性能、及时更换老化密封件，也会造成密封失效，油品渗漏，渗漏的易燃液体蒸汽与空气混合形成爆炸性混合气体，遇到明火、静电火花、机械火星等点火源，极易引发火灾、爆炸事故。</w:t>
      </w:r>
    </w:p>
    <w:p w14:paraId="783B3544">
      <w:pPr>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w:t>
      </w:r>
      <w:r>
        <w:rPr>
          <w:rFonts w:ascii="Times New Roman" w:hAnsi="Times New Roman" w:eastAsia="黑体" w:cs="Times New Roman"/>
          <w:b/>
          <w:bCs/>
        </w:rPr>
        <w:t>.2.</w:t>
      </w:r>
      <w:r>
        <w:rPr>
          <w:rFonts w:hint="eastAsia" w:ascii="Times New Roman" w:hAnsi="Times New Roman" w:eastAsia="黑体" w:cs="Times New Roman"/>
          <w:b/>
          <w:bCs/>
          <w:lang w:val="en-US" w:eastAsia="zh-CN"/>
        </w:rPr>
        <w:t>4</w:t>
      </w:r>
      <w:r>
        <w:rPr>
          <w:rFonts w:ascii="Times New Roman" w:hAnsi="Times New Roman" w:eastAsia="黑体" w:cs="Times New Roman"/>
          <w:b/>
          <w:bCs/>
        </w:rPr>
        <w:t>中毒</w:t>
      </w:r>
    </w:p>
    <w:p w14:paraId="64C590B5">
      <w:pPr>
        <w:ind w:firstLine="560"/>
        <w:rPr>
          <w:rFonts w:hint="eastAsia" w:ascii="Times New Roman" w:hAnsi="Times New Roman" w:eastAsia="宋体"/>
        </w:rPr>
      </w:pPr>
      <w:r>
        <w:rPr>
          <w:rFonts w:hint="eastAsia" w:ascii="Times New Roman" w:hAnsi="Times New Roman" w:eastAsia="宋体"/>
        </w:rPr>
        <w:t>中毒是人体经消化系统、呼吸系统摄入或皮肤接触有毒物质造成的急性中毒事故。</w:t>
      </w:r>
    </w:p>
    <w:p w14:paraId="3FBC3C73">
      <w:pPr>
        <w:ind w:firstLine="560"/>
        <w:rPr>
          <w:rFonts w:hint="eastAsia" w:ascii="Times New Roman" w:hAnsi="Times New Roman" w:eastAsia="宋体"/>
        </w:rPr>
      </w:pPr>
      <w:r>
        <w:rPr>
          <w:rFonts w:hint="eastAsia" w:ascii="Times New Roman" w:hAnsi="Times New Roman" w:eastAsia="宋体"/>
        </w:rPr>
        <w:t>根据前面物料的危险有害因素分析，车用乙醇汽油、柴油均有一定的毒性，且毒性物质在密闭管道内运行。正常作业情况下，作业场所的毒性物质污染较少，但有部分工序还需手工操作完成（如：连接装卸管线等）及各种原因引起的跑、冒、漏气等现象，可使作业场所受到一定的污染。</w:t>
      </w:r>
    </w:p>
    <w:p w14:paraId="3C777715">
      <w:pPr>
        <w:ind w:firstLine="560"/>
        <w:rPr>
          <w:rFonts w:hint="eastAsia" w:ascii="Times New Roman" w:hAnsi="Times New Roman" w:eastAsia="宋体"/>
        </w:rPr>
      </w:pPr>
      <w:r>
        <w:rPr>
          <w:rFonts w:hint="eastAsia" w:ascii="Times New Roman" w:hAnsi="Times New Roman" w:eastAsia="宋体"/>
        </w:rPr>
        <w:t>在量油作业过程中，可能会发生油气外逸，若长时间聚集导致浓度过高，作业人员不小心吸入可能会发生中毒。</w:t>
      </w:r>
    </w:p>
    <w:p w14:paraId="73F283AF">
      <w:pPr>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w:t>
      </w:r>
      <w:r>
        <w:rPr>
          <w:rFonts w:ascii="Times New Roman" w:hAnsi="Times New Roman" w:eastAsia="黑体" w:cs="Times New Roman"/>
          <w:b/>
          <w:bCs/>
        </w:rPr>
        <w:t>.2.</w:t>
      </w:r>
      <w:r>
        <w:rPr>
          <w:rFonts w:hint="eastAsia" w:ascii="Times New Roman" w:hAnsi="Times New Roman" w:eastAsia="黑体" w:cs="Times New Roman"/>
          <w:b/>
          <w:bCs/>
          <w:lang w:val="en-US" w:eastAsia="zh-CN"/>
        </w:rPr>
        <w:t>5窒息</w:t>
      </w:r>
    </w:p>
    <w:p w14:paraId="792574F1">
      <w:pPr>
        <w:pStyle w:val="8"/>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heme="minorBidi"/>
          <w:kern w:val="2"/>
          <w:sz w:val="28"/>
          <w:szCs w:val="24"/>
          <w:lang w:val="en-US" w:eastAsia="zh-CN" w:bidi="ar-SA"/>
          <w14:ligatures w14:val="standardContextual"/>
        </w:rPr>
      </w:pPr>
      <w:r>
        <w:rPr>
          <w:rFonts w:hint="eastAsia" w:ascii="Times New Roman" w:hAnsi="Times New Roman" w:eastAsia="宋体" w:cstheme="minorBidi"/>
          <w:kern w:val="2"/>
          <w:sz w:val="28"/>
          <w:szCs w:val="24"/>
          <w:lang w:val="en-US" w:eastAsia="zh-CN" w:bidi="ar-SA"/>
          <w14:ligatures w14:val="standardContextual"/>
        </w:rPr>
        <w:t>窒息是由于环境缺氧或机械性窒息造成的事故。</w:t>
      </w:r>
    </w:p>
    <w:p w14:paraId="46AEFBBE">
      <w:pPr>
        <w:pStyle w:val="8"/>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heme="minorBidi"/>
          <w:kern w:val="2"/>
          <w:sz w:val="28"/>
          <w:szCs w:val="24"/>
          <w:lang w:val="en-US" w:eastAsia="zh-CN" w:bidi="ar-SA"/>
          <w14:ligatures w14:val="standardContextual"/>
        </w:rPr>
      </w:pPr>
      <w:r>
        <w:rPr>
          <w:rFonts w:hint="eastAsia" w:ascii="Times New Roman" w:hAnsi="Times New Roman" w:eastAsia="宋体" w:cstheme="minorBidi"/>
          <w:kern w:val="2"/>
          <w:sz w:val="28"/>
          <w:szCs w:val="24"/>
          <w:lang w:val="en-US" w:eastAsia="zh-CN" w:bidi="ar-SA"/>
          <w14:ligatures w14:val="standardContextual"/>
        </w:rPr>
        <w:t>在检维修、清罐作业过程中，采用氮气吹扫或工作人员在受限空间内进行操作，如违规操作或个体防护不当均有可能造成人员窒息。</w:t>
      </w:r>
    </w:p>
    <w:p w14:paraId="60033B80">
      <w:pPr>
        <w:pStyle w:val="8"/>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heme="minorBidi"/>
          <w:kern w:val="2"/>
          <w:sz w:val="28"/>
          <w:szCs w:val="24"/>
          <w:lang w:val="en-US" w:eastAsia="zh-CN" w:bidi="ar-SA"/>
          <w14:ligatures w14:val="standardContextual"/>
        </w:rPr>
      </w:pPr>
      <w:r>
        <w:rPr>
          <w:rFonts w:hint="eastAsia" w:ascii="Times New Roman" w:hAnsi="Times New Roman" w:eastAsia="宋体" w:cstheme="minorBidi"/>
          <w:kern w:val="2"/>
          <w:sz w:val="28"/>
          <w:szCs w:val="24"/>
          <w:lang w:val="en-US" w:eastAsia="zh-CN" w:bidi="ar-SA"/>
          <w14:ligatures w14:val="standardContextual"/>
        </w:rPr>
        <w:t>2006年7月海城市某加油站雇佣盘锦市某工程队清罐，一人下罐后无作业声音，另一监护人下去抢救人也没有上来。加油站老板见事情不好，拨打电话119，请消防队员佩戴压缩空气呼吸器将2人救出，经抢救无效死亡。</w:t>
      </w:r>
    </w:p>
    <w:p w14:paraId="79415EFE">
      <w:pPr>
        <w:keepNext/>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10" w:name="_Toc218437772"/>
      <w:r>
        <w:rPr>
          <w:rFonts w:ascii="Times New Roman" w:hAnsi="Times New Roman" w:eastAsia="楷体" w:cs="Times New Roman"/>
          <w:b/>
          <w:bCs/>
          <w:sz w:val="32"/>
          <w:szCs w:val="32"/>
        </w:rPr>
        <w:t>F3.3可能造成作业人员伤亡的其它危险、有害因素分析</w:t>
      </w:r>
      <w:bookmarkEnd w:id="110"/>
    </w:p>
    <w:p w14:paraId="3AF42FCE">
      <w:pPr>
        <w:keepNext/>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w:t>
      </w:r>
      <w:r>
        <w:rPr>
          <w:rFonts w:ascii="Times New Roman" w:hAnsi="Times New Roman" w:eastAsia="黑体" w:cs="Times New Roman"/>
          <w:b/>
          <w:bCs/>
        </w:rPr>
        <w:t>.</w:t>
      </w:r>
      <w:r>
        <w:rPr>
          <w:rFonts w:hint="eastAsia" w:ascii="Times New Roman" w:hAnsi="Times New Roman" w:eastAsia="黑体" w:cs="Times New Roman"/>
          <w:b/>
          <w:bCs/>
        </w:rPr>
        <w:t>3</w:t>
      </w:r>
      <w:r>
        <w:rPr>
          <w:rFonts w:ascii="Times New Roman" w:hAnsi="Times New Roman" w:eastAsia="黑体" w:cs="Times New Roman"/>
          <w:b/>
          <w:bCs/>
        </w:rPr>
        <w:t>.</w:t>
      </w:r>
      <w:r>
        <w:rPr>
          <w:rFonts w:hint="eastAsia" w:ascii="Times New Roman" w:hAnsi="Times New Roman" w:eastAsia="黑体" w:cs="Times New Roman"/>
          <w:b/>
          <w:bCs/>
        </w:rPr>
        <w:t>1</w:t>
      </w:r>
      <w:r>
        <w:rPr>
          <w:rFonts w:ascii="Times New Roman" w:hAnsi="Times New Roman" w:eastAsia="黑体" w:cs="Times New Roman"/>
          <w:b/>
          <w:bCs/>
        </w:rPr>
        <w:t>触电</w:t>
      </w:r>
    </w:p>
    <w:p w14:paraId="44DABECA">
      <w:pPr>
        <w:ind w:firstLine="560"/>
        <w:rPr>
          <w:rFonts w:ascii="Times New Roman" w:hAnsi="Times New Roman" w:eastAsia="宋体"/>
        </w:rPr>
      </w:pPr>
      <w:r>
        <w:rPr>
          <w:rFonts w:ascii="Times New Roman" w:hAnsi="Times New Roman" w:eastAsia="宋体"/>
        </w:rPr>
        <w:t>（1）触电伤害</w:t>
      </w:r>
    </w:p>
    <w:p w14:paraId="16D613C4">
      <w:pPr>
        <w:ind w:firstLine="560"/>
        <w:rPr>
          <w:rFonts w:ascii="Times New Roman" w:hAnsi="Times New Roman" w:eastAsia="宋体"/>
        </w:rPr>
      </w:pPr>
      <w:r>
        <w:rPr>
          <w:rFonts w:ascii="Times New Roman" w:hAnsi="Times New Roman" w:eastAsia="宋体"/>
        </w:rPr>
        <w:t>电流对人体的伤害有两种类型：电击和电伤。电击通常是指电流通过人体内部所造成的伤害，主要影响呼吸、心脏和神经系统，对人体内部组织造成破坏甚至死亡。电伤是指电流通过人体外部组织所造成的伤害，包括电弧烧伤、熔化的金属微粒渗入皮肤等，它通常分为灼伤、烙伤和皮肤金属化三种。</w:t>
      </w:r>
    </w:p>
    <w:p w14:paraId="2DC10B83">
      <w:pPr>
        <w:ind w:firstLine="560"/>
        <w:rPr>
          <w:rFonts w:ascii="Times New Roman" w:hAnsi="Times New Roman" w:eastAsia="宋体"/>
        </w:rPr>
      </w:pPr>
      <w:r>
        <w:rPr>
          <w:rFonts w:ascii="Times New Roman" w:hAnsi="Times New Roman" w:eastAsia="宋体"/>
        </w:rPr>
        <w:t>通常绝大部分的触电事故都属于电击，而电击伤害的严重程度与通过人体电流的大小，持续时间、部位、电流频率有关。通过人体的电流强度越大，允许持续时间越短；通过人体的电流频率越高，对人体的危害性越小。</w:t>
      </w:r>
    </w:p>
    <w:p w14:paraId="61E37B1A">
      <w:pPr>
        <w:ind w:firstLine="560"/>
        <w:rPr>
          <w:rFonts w:ascii="Times New Roman" w:hAnsi="Times New Roman" w:eastAsia="宋体"/>
        </w:rPr>
      </w:pPr>
      <w:r>
        <w:rPr>
          <w:rFonts w:hint="eastAsia" w:ascii="Times New Roman" w:hAnsi="Times New Roman" w:eastAsia="宋体"/>
        </w:rPr>
        <w:t>本</w:t>
      </w:r>
      <w:r>
        <w:rPr>
          <w:rFonts w:ascii="Times New Roman" w:hAnsi="Times New Roman" w:eastAsia="宋体"/>
        </w:rPr>
        <w:t>项目用电系统的电气设备、线路和正常不带电的金属部件等，在异常情况下均有可能对人体造成电击和电伤。</w:t>
      </w:r>
    </w:p>
    <w:p w14:paraId="6EF67E77">
      <w:pPr>
        <w:ind w:firstLine="560"/>
        <w:rPr>
          <w:rFonts w:ascii="Times New Roman" w:hAnsi="Times New Roman" w:eastAsia="宋体"/>
        </w:rPr>
      </w:pPr>
      <w:r>
        <w:rPr>
          <w:rFonts w:ascii="Times New Roman" w:hAnsi="Times New Roman" w:eastAsia="宋体"/>
        </w:rPr>
        <w:t>（2）静电伤害</w:t>
      </w:r>
    </w:p>
    <w:p w14:paraId="015E9C43">
      <w:pPr>
        <w:ind w:firstLine="560"/>
        <w:rPr>
          <w:rFonts w:ascii="Times New Roman" w:hAnsi="Times New Roman" w:eastAsia="宋体"/>
        </w:rPr>
      </w:pPr>
      <w:r>
        <w:rPr>
          <w:rFonts w:ascii="Times New Roman" w:hAnsi="Times New Roman" w:eastAsia="宋体"/>
        </w:rPr>
        <w:t>汽柴油在流动、充装等过程中不断地进行相对运动、摩擦、碰撞，会产生静电、积聚静电荷。当静电荷积聚到一定的程度时就可能发生火花放电，从而可能引起爆炸和着火。因此应严格对金属管道、设备、构架的金属构件，进行等电位连接并接地。</w:t>
      </w:r>
    </w:p>
    <w:p w14:paraId="259D61BA">
      <w:pPr>
        <w:ind w:firstLine="560"/>
        <w:rPr>
          <w:rFonts w:ascii="Times New Roman" w:hAnsi="Times New Roman" w:eastAsia="宋体"/>
        </w:rPr>
      </w:pPr>
      <w:r>
        <w:rPr>
          <w:rFonts w:ascii="Times New Roman" w:hAnsi="Times New Roman" w:eastAsia="宋体"/>
        </w:rPr>
        <w:t>（</w:t>
      </w:r>
      <w:r>
        <w:rPr>
          <w:rFonts w:hint="eastAsia" w:ascii="Times New Roman" w:hAnsi="Times New Roman" w:eastAsia="宋体"/>
        </w:rPr>
        <w:t>3</w:t>
      </w:r>
      <w:r>
        <w:rPr>
          <w:rFonts w:ascii="Times New Roman" w:hAnsi="Times New Roman" w:eastAsia="宋体"/>
        </w:rPr>
        <w:t>）雷电伤害</w:t>
      </w:r>
    </w:p>
    <w:p w14:paraId="21BAD691">
      <w:pPr>
        <w:ind w:firstLine="560"/>
        <w:rPr>
          <w:rFonts w:ascii="Times New Roman" w:hAnsi="Times New Roman" w:eastAsia="宋体"/>
        </w:rPr>
      </w:pPr>
      <w:r>
        <w:rPr>
          <w:rFonts w:ascii="Times New Roman" w:hAnsi="Times New Roman" w:eastAsia="宋体"/>
        </w:rPr>
        <w:t>加油站工艺设施、罩棚、站房等建（构）筑物在雷雨天气存在着被雷击的危险。由于雷电具有电流很大、电压很高、冲击性很强的特点，一旦被雷电击中，不但有可能损坏生产设备和设施，造成停电，而且还会导致火灾和爆炸，造成人员伤亡事故。</w:t>
      </w:r>
    </w:p>
    <w:p w14:paraId="17C64E49">
      <w:pPr>
        <w:ind w:firstLine="560"/>
        <w:rPr>
          <w:rFonts w:ascii="Times New Roman" w:hAnsi="Times New Roman" w:eastAsia="宋体"/>
        </w:rPr>
      </w:pPr>
      <w:r>
        <w:rPr>
          <w:rFonts w:ascii="Times New Roman" w:hAnsi="Times New Roman" w:eastAsia="宋体"/>
        </w:rPr>
        <w:t>雷电伤害的方式：直接雷击放电、二次放电、雷电流的热量可能引起爆炸和火灾；雷击的直接击中、跨步电压的作用及火灾爆炸的间接作用会造成人员伤亡；直接损坏建（构）筑物，导致电气设备击穿或烧毁；变压器、电力线路等遭受雷击，可导致大规模停电事故。</w:t>
      </w:r>
    </w:p>
    <w:p w14:paraId="2DB5FAEF">
      <w:pPr>
        <w:ind w:firstLine="560"/>
        <w:rPr>
          <w:rFonts w:ascii="Times New Roman" w:hAnsi="Times New Roman" w:eastAsia="宋体"/>
        </w:rPr>
      </w:pPr>
      <w:r>
        <w:rPr>
          <w:rFonts w:ascii="Times New Roman" w:hAnsi="Times New Roman" w:eastAsia="宋体"/>
        </w:rPr>
        <w:t>伤害的途径：由直击雷、雷蜗居感应、雷电波的电性质、热性质、机械性质的破坏作用引起。</w:t>
      </w:r>
    </w:p>
    <w:p w14:paraId="39686BB1">
      <w:pPr>
        <w:ind w:firstLine="560"/>
        <w:rPr>
          <w:rFonts w:ascii="Times New Roman" w:hAnsi="Times New Roman" w:eastAsia="宋体"/>
        </w:rPr>
      </w:pPr>
      <w:r>
        <w:rPr>
          <w:rFonts w:ascii="Times New Roman" w:hAnsi="Times New Roman" w:eastAsia="宋体"/>
        </w:rPr>
        <w:t>从雷电防护的角度分析，雷电危险因素的产生原因主要有：</w:t>
      </w:r>
    </w:p>
    <w:p w14:paraId="75F844B8">
      <w:pPr>
        <w:ind w:firstLine="560"/>
        <w:rPr>
          <w:rFonts w:ascii="Times New Roman" w:hAnsi="Times New Roman" w:eastAsia="宋体" w:cs="Times New Roman"/>
        </w:rPr>
      </w:pPr>
      <w:r>
        <w:rPr>
          <w:rFonts w:ascii="Times New Roman" w:hAnsi="Times New Roman" w:eastAsia="宋体" w:cs="Times New Roman"/>
        </w:rPr>
        <w:t>1）防雷装置设计不合理；</w:t>
      </w:r>
    </w:p>
    <w:p w14:paraId="50714014">
      <w:pPr>
        <w:ind w:firstLine="560"/>
        <w:rPr>
          <w:rFonts w:ascii="Times New Roman" w:hAnsi="Times New Roman" w:eastAsia="宋体" w:cs="Times New Roman"/>
        </w:rPr>
      </w:pPr>
      <w:r>
        <w:rPr>
          <w:rFonts w:ascii="Times New Roman" w:hAnsi="Times New Roman" w:eastAsia="宋体" w:cs="Times New Roman"/>
        </w:rPr>
        <w:t>2）防雷装置安装存在缺陷；</w:t>
      </w:r>
    </w:p>
    <w:p w14:paraId="23B41536">
      <w:pPr>
        <w:ind w:firstLine="560"/>
        <w:rPr>
          <w:rFonts w:ascii="Times New Roman" w:hAnsi="Times New Roman" w:eastAsia="宋体" w:cs="Times New Roman"/>
        </w:rPr>
      </w:pPr>
      <w:r>
        <w:rPr>
          <w:rFonts w:ascii="Times New Roman" w:hAnsi="Times New Roman" w:eastAsia="宋体" w:cs="Times New Roman"/>
        </w:rPr>
        <w:t>3）防雷装置失效，防雷接地体接地电阻不符合要求；</w:t>
      </w:r>
    </w:p>
    <w:p w14:paraId="4E9E7934">
      <w:pPr>
        <w:ind w:firstLine="560"/>
        <w:rPr>
          <w:rFonts w:ascii="Times New Roman" w:hAnsi="Times New Roman" w:eastAsia="宋体" w:cs="Times New Roman"/>
        </w:rPr>
      </w:pPr>
      <w:r>
        <w:rPr>
          <w:rFonts w:ascii="Times New Roman" w:hAnsi="Times New Roman" w:eastAsia="宋体" w:cs="Times New Roman"/>
        </w:rPr>
        <w:t>4）缺乏必要的人身防雷安全知识等。</w:t>
      </w:r>
    </w:p>
    <w:p w14:paraId="309CAFC3">
      <w:pPr>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F3.3.2</w:t>
      </w:r>
      <w:r>
        <w:rPr>
          <w:rFonts w:ascii="Times New Roman" w:hAnsi="Times New Roman" w:eastAsia="黑体" w:cs="Times New Roman"/>
          <w:b/>
          <w:bCs/>
        </w:rPr>
        <w:t>物体打击</w:t>
      </w:r>
    </w:p>
    <w:p w14:paraId="060F8696">
      <w:pPr>
        <w:ind w:firstLine="560"/>
        <w:rPr>
          <w:rFonts w:ascii="Times New Roman" w:hAnsi="Times New Roman" w:eastAsia="宋体"/>
        </w:rPr>
      </w:pPr>
      <w:r>
        <w:rPr>
          <w:rFonts w:ascii="Times New Roman" w:hAnsi="Times New Roman" w:eastAsia="宋体"/>
        </w:rPr>
        <w:t>对站房进行检修作业时，高处作业时作业人员从高处随意乱抛物体；或在检修作业过程中工器具脱落飞出；或在检修作业过程中物体受到打击后边、角飞出。从而造成对作业人员或其周围人员的伤害。</w:t>
      </w:r>
    </w:p>
    <w:p w14:paraId="1CAAEB8E">
      <w:pPr>
        <w:keepNext/>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F3.3.3厂（场）内车辆致害</w:t>
      </w:r>
    </w:p>
    <w:p w14:paraId="48554CF2">
      <w:pPr>
        <w:ind w:firstLine="560"/>
        <w:rPr>
          <w:rFonts w:hint="eastAsia" w:ascii="Times New Roman" w:hAnsi="Times New Roman" w:eastAsia="宋体"/>
        </w:rPr>
      </w:pPr>
      <w:r>
        <w:rPr>
          <w:rFonts w:hint="eastAsia" w:ascii="Times New Roman" w:hAnsi="Times New Roman" w:eastAsia="宋体"/>
        </w:rPr>
        <w:t>厂（场）内车辆致害是指车辆在生产经营单位内部或生产作业场所内进行生产经营活动过程中由于碰撞、刮擦、碾压、挤压、翻车、脱轨等造成的事故。如果车速过快，车辆技术状况不好，如：制动失灵、转向失灵、灯光音响信号损坏失灵，或安全标志不全、道路设计不合理、转弯处没有反光镜等，均容易导致车辆致害，造成人员伤亡或财产损失。</w:t>
      </w:r>
    </w:p>
    <w:p w14:paraId="1D62D094">
      <w:pPr>
        <w:ind w:firstLine="560"/>
        <w:rPr>
          <w:rFonts w:hint="eastAsia" w:ascii="Times New Roman" w:hAnsi="Times New Roman" w:eastAsia="宋体"/>
        </w:rPr>
      </w:pPr>
      <w:r>
        <w:rPr>
          <w:rFonts w:hint="eastAsia" w:ascii="Times New Roman" w:hAnsi="Times New Roman" w:eastAsia="宋体"/>
        </w:rPr>
        <w:t>当汽车进站加油时，罩棚及罩棚柱、加油机和作业人员可能受到车辆的碰撞，造成财产损失和人员伤害。</w:t>
      </w:r>
    </w:p>
    <w:p w14:paraId="7CC6719E">
      <w:pPr>
        <w:ind w:firstLine="560"/>
        <w:rPr>
          <w:rFonts w:ascii="Times New Roman" w:hAnsi="Times New Roman" w:eastAsia="宋体"/>
        </w:rPr>
      </w:pPr>
      <w:r>
        <w:rPr>
          <w:rFonts w:hint="eastAsia" w:ascii="Times New Roman" w:hAnsi="Times New Roman" w:eastAsia="宋体"/>
        </w:rPr>
        <w:t>另外，当汽车槽车入站卸油时，若操作不当或事先未进行车辆人员疏导，易造成人员、车辆致害。</w:t>
      </w:r>
    </w:p>
    <w:p w14:paraId="6401A8EA">
      <w:pPr>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F3.3.4</w:t>
      </w:r>
      <w:r>
        <w:rPr>
          <w:rFonts w:ascii="Times New Roman" w:hAnsi="Times New Roman" w:eastAsia="黑体" w:cs="Times New Roman"/>
          <w:b/>
          <w:bCs/>
        </w:rPr>
        <w:t>高处坠落</w:t>
      </w:r>
    </w:p>
    <w:p w14:paraId="2EBA1637">
      <w:pPr>
        <w:ind w:firstLine="560"/>
        <w:rPr>
          <w:rFonts w:ascii="Times New Roman" w:hAnsi="Times New Roman" w:eastAsia="宋体"/>
        </w:rPr>
      </w:pPr>
      <w:r>
        <w:rPr>
          <w:rFonts w:ascii="Times New Roman" w:hAnsi="Times New Roman" w:eastAsia="宋体"/>
        </w:rPr>
        <w:t>高处坠落是指作业人员在坠落高度基准面2m以上（含2m）的可能坠落的高处进行作业时，因为未防护、防护不好或作业不当而发生人或物的坠落。</w:t>
      </w:r>
    </w:p>
    <w:p w14:paraId="33F30377">
      <w:pPr>
        <w:keepNext/>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F3.3.5</w:t>
      </w:r>
      <w:r>
        <w:rPr>
          <w:rFonts w:ascii="Times New Roman" w:hAnsi="Times New Roman" w:eastAsia="黑体" w:cs="Times New Roman"/>
          <w:b/>
          <w:bCs/>
        </w:rPr>
        <w:t>坍塌</w:t>
      </w:r>
    </w:p>
    <w:p w14:paraId="0CD8AAA6">
      <w:pPr>
        <w:ind w:firstLine="560"/>
        <w:rPr>
          <w:rFonts w:ascii="Times New Roman" w:hAnsi="Times New Roman" w:eastAsia="宋体"/>
        </w:rPr>
      </w:pPr>
      <w:r>
        <w:rPr>
          <w:rFonts w:ascii="Times New Roman" w:hAnsi="Times New Roman" w:eastAsia="宋体"/>
        </w:rPr>
        <w:t>坍塌是指物体在外力和重力的作用下，超过自身极限强度，结构稳定失衡塌落。大风尤以春季多发、暴雪和外腐蚀等原因，容易造成站内站房等建（构）筑物坍塌，对作业人员、加油机及车辆造成伤害。</w:t>
      </w:r>
    </w:p>
    <w:p w14:paraId="55862556">
      <w:pPr>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F3.3.6机械</w:t>
      </w:r>
      <w:r>
        <w:rPr>
          <w:rFonts w:hint="eastAsia" w:ascii="Times New Roman" w:hAnsi="Times New Roman" w:eastAsia="黑体" w:cs="Times New Roman"/>
          <w:b/>
          <w:bCs/>
          <w:lang w:val="en-US" w:eastAsia="zh-CN"/>
        </w:rPr>
        <w:t>致</w:t>
      </w:r>
      <w:r>
        <w:rPr>
          <w:rFonts w:hint="eastAsia" w:ascii="Times New Roman" w:hAnsi="Times New Roman" w:eastAsia="黑体" w:cs="Times New Roman"/>
          <w:b/>
          <w:bCs/>
        </w:rPr>
        <w:t>害</w:t>
      </w:r>
    </w:p>
    <w:p w14:paraId="3FD1C7F3">
      <w:pPr>
        <w:ind w:firstLine="560"/>
        <w:rPr>
          <w:rFonts w:hint="eastAsia" w:ascii="Times New Roman" w:hAnsi="Times New Roman" w:eastAsia="宋体"/>
        </w:rPr>
      </w:pPr>
      <w:r>
        <w:rPr>
          <w:rFonts w:hint="eastAsia" w:ascii="Times New Roman" w:hAnsi="Times New Roman" w:eastAsia="宋体"/>
        </w:rPr>
        <w:t>机械致害是指机械设备运动（静止）部件、工具、加工件直接与人体接触引起的夹击、碰撞、剪切、卷入、绞、碾、割、刺等伤害，不包括车辆、起重机械引起的机械伤害。如果出现设备故障、防护设施存在缺陷、违规操作；或在事故检修等特殊情况下都有可能出现机械伤害。</w:t>
      </w:r>
    </w:p>
    <w:p w14:paraId="1653331B">
      <w:pPr>
        <w:ind w:firstLine="560"/>
        <w:rPr>
          <w:rFonts w:hint="eastAsia" w:ascii="Times New Roman" w:hAnsi="Times New Roman" w:eastAsia="宋体"/>
        </w:rPr>
      </w:pPr>
      <w:r>
        <w:rPr>
          <w:rFonts w:hint="eastAsia" w:ascii="Times New Roman" w:hAnsi="Times New Roman" w:eastAsia="宋体"/>
        </w:rPr>
        <w:t>在清罐作业和设备检修过程中可能会受到机械设备的传动部件、挤压部件以及外露突出部件或所使用工具的伤害。</w:t>
      </w:r>
    </w:p>
    <w:p w14:paraId="47B0F78F">
      <w:pPr>
        <w:spacing w:before="156" w:beforeLines="50" w:after="156" w:afterLines="50"/>
        <w:ind w:firstLine="562"/>
        <w:outlineLvl w:val="2"/>
        <w:rPr>
          <w:rFonts w:hint="eastAsia" w:ascii="Times New Roman" w:hAnsi="Times New Roman" w:eastAsia="黑体" w:cs="Times New Roman"/>
          <w:b/>
          <w:bCs/>
          <w:lang w:val="en-US" w:eastAsia="zh-CN"/>
        </w:rPr>
      </w:pPr>
      <w:r>
        <w:rPr>
          <w:rFonts w:hint="eastAsia" w:ascii="Times New Roman" w:hAnsi="Times New Roman" w:eastAsia="黑体" w:cs="Times New Roman"/>
          <w:b/>
          <w:bCs/>
        </w:rPr>
        <w:t>F3.3.</w:t>
      </w:r>
      <w:r>
        <w:rPr>
          <w:rFonts w:hint="eastAsia" w:ascii="Times New Roman" w:hAnsi="Times New Roman" w:eastAsia="黑体" w:cs="Times New Roman"/>
          <w:b/>
          <w:bCs/>
          <w:lang w:val="en-US" w:eastAsia="zh-CN"/>
        </w:rPr>
        <w:t>7泄漏</w:t>
      </w:r>
    </w:p>
    <w:p w14:paraId="534ACB0F">
      <w:pPr>
        <w:ind w:firstLine="560"/>
        <w:rPr>
          <w:rFonts w:hint="default" w:ascii="Times New Roman" w:hAnsi="Times New Roman" w:eastAsia="宋体"/>
          <w:lang w:val="en-US" w:eastAsia="zh-CN"/>
        </w:rPr>
      </w:pPr>
      <w:r>
        <w:rPr>
          <w:rFonts w:hint="default" w:ascii="Times New Roman" w:hAnsi="Times New Roman" w:eastAsia="宋体"/>
          <w:lang w:val="en-US" w:eastAsia="zh-CN"/>
        </w:rPr>
        <w:t>加油站在油品装卸作业全过程中，引发油品泄漏的原因主要集中在设备、操作、管理及外部环境等方面。</w:t>
      </w:r>
    </w:p>
    <w:p w14:paraId="09422C9A">
      <w:pPr>
        <w:ind w:firstLine="560"/>
        <w:rPr>
          <w:rFonts w:hint="default" w:ascii="Times New Roman" w:hAnsi="Times New Roman" w:eastAsia="宋体"/>
          <w:lang w:val="en-US" w:eastAsia="zh-CN"/>
        </w:rPr>
      </w:pPr>
      <w:r>
        <w:rPr>
          <w:rFonts w:hint="default" w:ascii="Times New Roman" w:hAnsi="Times New Roman" w:eastAsia="宋体"/>
          <w:lang w:val="en-US" w:eastAsia="zh-CN"/>
        </w:rPr>
        <w:t>在装卸作业前，卸油接口、阀门密封件老化缺失、油罐液位核查不准、油气回收装置密封不良等，均易存在渗漏和冒罐隐患；连接软管时，若接口对接不到位、软管破损开裂或阀门阀芯损坏，易造成油品滴漏、喷溅。</w:t>
      </w:r>
    </w:p>
    <w:p w14:paraId="6ADA2795">
      <w:pPr>
        <w:ind w:firstLine="560"/>
        <w:rPr>
          <w:rFonts w:hint="default" w:ascii="Times New Roman" w:hAnsi="Times New Roman" w:eastAsia="宋体"/>
          <w:lang w:val="en-US" w:eastAsia="zh-CN"/>
        </w:rPr>
      </w:pPr>
      <w:r>
        <w:rPr>
          <w:rFonts w:hint="default" w:ascii="Times New Roman" w:hAnsi="Times New Roman" w:eastAsia="宋体"/>
          <w:lang w:val="en-US" w:eastAsia="zh-CN"/>
        </w:rPr>
        <w:t>作业过程中，现场无人监护、液位报警失效、开阀过快引发水击、罐车切断阀内漏等情况，可能导致冒罐溢流和管线崩裂泄漏；卸油结束后，未按顺序关阀拆管、软管残油未妥善回收，也会造成洒漏。</w:t>
      </w:r>
    </w:p>
    <w:p w14:paraId="49F325BC">
      <w:pPr>
        <w:ind w:firstLine="560"/>
        <w:rPr>
          <w:rFonts w:hint="default" w:ascii="Times New Roman" w:hAnsi="Times New Roman" w:eastAsia="宋体"/>
          <w:lang w:val="en-US" w:eastAsia="zh-CN"/>
        </w:rPr>
      </w:pPr>
      <w:r>
        <w:rPr>
          <w:rFonts w:hint="default" w:ascii="Times New Roman" w:hAnsi="Times New Roman" w:eastAsia="宋体"/>
          <w:lang w:val="en-US" w:eastAsia="zh-CN"/>
        </w:rPr>
        <w:t>除此之外，油罐及埋地管线腐蚀穿孔、地基沉降拉裂管路、车辆碰撞碾压、员工违规操作离岗，以及设备维保不到位、安全管理制度不落实等问题，均会直接或间接引发油品泄漏。</w:t>
      </w:r>
    </w:p>
    <w:p w14:paraId="4B39F7B4">
      <w:pPr>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F3.3.</w:t>
      </w:r>
      <w:r>
        <w:rPr>
          <w:rFonts w:hint="eastAsia" w:ascii="Times New Roman" w:hAnsi="Times New Roman" w:eastAsia="黑体" w:cs="Times New Roman"/>
          <w:b/>
          <w:bCs/>
          <w:lang w:val="en-US" w:eastAsia="zh-CN"/>
        </w:rPr>
        <w:t>8跌落</w:t>
      </w:r>
    </w:p>
    <w:p w14:paraId="18A49612">
      <w:pPr>
        <w:ind w:firstLine="560"/>
        <w:rPr>
          <w:rFonts w:hint="eastAsia" w:ascii="Times New Roman" w:hAnsi="Times New Roman" w:eastAsia="宋体"/>
        </w:rPr>
      </w:pPr>
      <w:r>
        <w:rPr>
          <w:rFonts w:hint="eastAsia" w:ascii="Times New Roman" w:hAnsi="Times New Roman" w:eastAsia="宋体"/>
        </w:rPr>
        <w:t>跌落指非高处作业时，坠落或跌倒至非液体或非液态物质基准面造成的事故，发生在坠落高度基准面2米以下的作业或活动场景，因滑倒、绊倒等原因致身体摔倒受伤，高度差一般较小。</w:t>
      </w:r>
    </w:p>
    <w:p w14:paraId="2C4154A8">
      <w:pPr>
        <w:ind w:firstLine="560"/>
        <w:rPr>
          <w:rFonts w:hint="eastAsia" w:ascii="Times New Roman" w:hAnsi="Times New Roman" w:eastAsia="宋体"/>
        </w:rPr>
      </w:pPr>
      <w:r>
        <w:rPr>
          <w:rFonts w:hint="eastAsia" w:ascii="Times New Roman" w:hAnsi="Times New Roman" w:eastAsia="宋体"/>
          <w:lang w:eastAsia="zh-CN"/>
        </w:rPr>
        <w:t>（</w:t>
      </w:r>
      <w:r>
        <w:rPr>
          <w:rFonts w:hint="eastAsia" w:ascii="Times New Roman" w:hAnsi="Times New Roman" w:eastAsia="宋体"/>
          <w:lang w:val="en-US" w:eastAsia="zh-CN"/>
        </w:rPr>
        <w:t>1</w:t>
      </w:r>
      <w:r>
        <w:rPr>
          <w:rFonts w:hint="eastAsia" w:ascii="Times New Roman" w:hAnsi="Times New Roman" w:eastAsia="宋体"/>
          <w:lang w:eastAsia="zh-CN"/>
        </w:rPr>
        <w:t>）</w:t>
      </w:r>
      <w:r>
        <w:rPr>
          <w:rFonts w:hint="eastAsia" w:ascii="Times New Roman" w:hAnsi="Times New Roman" w:eastAsia="宋体"/>
        </w:rPr>
        <w:t>湿滑地面导致滑倒跌落</w:t>
      </w:r>
    </w:p>
    <w:p w14:paraId="10BE49DB">
      <w:pPr>
        <w:ind w:firstLine="560"/>
        <w:rPr>
          <w:rFonts w:hint="eastAsia" w:ascii="Times New Roman" w:hAnsi="Times New Roman" w:eastAsia="宋体"/>
        </w:rPr>
      </w:pPr>
      <w:r>
        <w:rPr>
          <w:rFonts w:hint="eastAsia" w:ascii="Times New Roman" w:hAnsi="Times New Roman" w:eastAsia="宋体"/>
          <w:lang w:val="en-US" w:eastAsia="zh-CN"/>
        </w:rPr>
        <w:t>1）</w:t>
      </w:r>
      <w:r>
        <w:rPr>
          <w:rFonts w:hint="eastAsia" w:ascii="Times New Roman" w:hAnsi="Times New Roman" w:eastAsia="宋体"/>
        </w:rPr>
        <w:t>加油站罩棚下、加油区、卸油区、营业室门口等硬化地面，雨雪天气易积水、积雪、结冰。车辆进出、融雪等产生的水分在低温下结冰，降低地面摩擦系数，人员易滑倒摔伤。地面排水坡度不足或排水沟堵塞致积水滞留，加剧滑倒风险，可能造成骨折、软组织挫伤、颅脑损伤等伤害。</w:t>
      </w:r>
    </w:p>
    <w:p w14:paraId="35D91995">
      <w:pPr>
        <w:ind w:firstLine="560"/>
        <w:rPr>
          <w:rFonts w:hint="eastAsia" w:ascii="Times New Roman" w:hAnsi="Times New Roman" w:eastAsia="宋体"/>
        </w:rPr>
      </w:pPr>
      <w:r>
        <w:rPr>
          <w:rFonts w:hint="eastAsia" w:ascii="Times New Roman" w:hAnsi="Times New Roman" w:eastAsia="宋体"/>
          <w:lang w:val="en-US" w:eastAsia="zh-CN"/>
        </w:rPr>
        <w:t>2）</w:t>
      </w:r>
      <w:r>
        <w:rPr>
          <w:rFonts w:hint="eastAsia" w:ascii="Times New Roman" w:hAnsi="Times New Roman" w:eastAsia="宋体"/>
        </w:rPr>
        <w:t>卸油作业油品泄漏、加油油枪滴油、车辆油箱溢油、设备维修油品洒落等造成地面油污，使摩擦系数急剧下降，湿滑程度远超水渍，人员易滑倒。油罐车卸油区、加油机周边、维修作业区是油污高发区。油污不及时清理，高温下挥发影响环境，且夜间光线不足时油污难被发现，跌落事故更隐蔽。</w:t>
      </w:r>
    </w:p>
    <w:p w14:paraId="00F0ED2A">
      <w:pPr>
        <w:ind w:firstLine="560"/>
        <w:rPr>
          <w:rFonts w:hint="eastAsia" w:ascii="Times New Roman" w:hAnsi="Times New Roman" w:eastAsia="宋体"/>
        </w:rPr>
      </w:pPr>
      <w:r>
        <w:rPr>
          <w:rFonts w:hint="eastAsia" w:ascii="Times New Roman" w:hAnsi="Times New Roman" w:eastAsia="宋体"/>
          <w:lang w:val="en-US" w:eastAsia="zh-CN"/>
        </w:rPr>
        <w:t>3）</w:t>
      </w:r>
      <w:r>
        <w:rPr>
          <w:rFonts w:hint="eastAsia" w:ascii="Times New Roman" w:hAnsi="Times New Roman" w:eastAsia="宋体"/>
        </w:rPr>
        <w:t>加油站罩棚排水系统设计不当或维护不及时，雨水从排水槽溢出或沿棚柱流下，在加油区地面形成积水区域，人员行走或加油操作时易滑倒。排水管堵塞或断裂，水流至人行通道和作业区域，扩大湿滑范围。</w:t>
      </w:r>
    </w:p>
    <w:p w14:paraId="6107603C">
      <w:pPr>
        <w:ind w:firstLine="560"/>
        <w:rPr>
          <w:rFonts w:hint="eastAsia" w:ascii="Times New Roman" w:hAnsi="Times New Roman" w:eastAsia="宋体"/>
        </w:rPr>
      </w:pPr>
      <w:r>
        <w:rPr>
          <w:rFonts w:hint="eastAsia" w:ascii="Times New Roman" w:hAnsi="Times New Roman" w:eastAsia="宋体"/>
          <w:lang w:eastAsia="zh-CN"/>
        </w:rPr>
        <w:t>（</w:t>
      </w:r>
      <w:r>
        <w:rPr>
          <w:rFonts w:hint="eastAsia" w:ascii="Times New Roman" w:hAnsi="Times New Roman" w:eastAsia="宋体"/>
          <w:lang w:val="en-US" w:eastAsia="zh-CN"/>
        </w:rPr>
        <w:t>2</w:t>
      </w:r>
      <w:r>
        <w:rPr>
          <w:rFonts w:hint="eastAsia" w:ascii="Times New Roman" w:hAnsi="Times New Roman" w:eastAsia="宋体"/>
          <w:lang w:eastAsia="zh-CN"/>
        </w:rPr>
        <w:t>）</w:t>
      </w:r>
      <w:r>
        <w:rPr>
          <w:rFonts w:hint="eastAsia" w:ascii="Times New Roman" w:hAnsi="Times New Roman" w:eastAsia="宋体"/>
        </w:rPr>
        <w:t>障碍物导致绊倒跌落</w:t>
      </w:r>
    </w:p>
    <w:p w14:paraId="50781403">
      <w:pPr>
        <w:ind w:firstLine="560"/>
        <w:rPr>
          <w:rFonts w:hint="eastAsia" w:ascii="Times New Roman" w:hAnsi="Times New Roman" w:eastAsia="宋体"/>
        </w:rPr>
      </w:pPr>
      <w:r>
        <w:rPr>
          <w:rFonts w:hint="eastAsia" w:ascii="Times New Roman" w:hAnsi="Times New Roman" w:eastAsia="宋体"/>
        </w:rPr>
        <w:t>加油站场地内堆放工具、设备配件、清洁用品、消防器材、临时管线等未按规定摆放整齐，散落通道和作业区域，人员易被绊倒。加油区加油软管未规范盘挂横置地面形成隐患，施工改造期间脚手架、材料、废料等临时堆放占用行走空间，人员视线受阻易绊倒。夜间或照明不足时，障碍物难被发现，绊倒风险增加。</w:t>
      </w:r>
    </w:p>
    <w:p w14:paraId="631B100A">
      <w:pPr>
        <w:ind w:firstLine="560"/>
        <w:rPr>
          <w:rFonts w:hint="eastAsia" w:ascii="Times New Roman" w:hAnsi="Times New Roman" w:eastAsia="宋体"/>
        </w:rPr>
      </w:pPr>
      <w:r>
        <w:rPr>
          <w:rFonts w:hint="eastAsia" w:ascii="Times New Roman" w:hAnsi="Times New Roman" w:eastAsia="宋体"/>
          <w:lang w:eastAsia="zh-CN"/>
        </w:rPr>
        <w:t>（</w:t>
      </w:r>
      <w:r>
        <w:rPr>
          <w:rFonts w:hint="eastAsia" w:ascii="Times New Roman" w:hAnsi="Times New Roman" w:eastAsia="宋体"/>
          <w:lang w:val="en-US" w:eastAsia="zh-CN"/>
        </w:rPr>
        <w:t>3</w:t>
      </w:r>
      <w:r>
        <w:rPr>
          <w:rFonts w:hint="eastAsia" w:ascii="Times New Roman" w:hAnsi="Times New Roman" w:eastAsia="宋体"/>
          <w:lang w:eastAsia="zh-CN"/>
        </w:rPr>
        <w:t>）</w:t>
      </w:r>
      <w:r>
        <w:rPr>
          <w:rFonts w:hint="eastAsia" w:ascii="Times New Roman" w:hAnsi="Times New Roman" w:eastAsia="宋体"/>
        </w:rPr>
        <w:t>结构缺陷导致跌落</w:t>
      </w:r>
    </w:p>
    <w:p w14:paraId="0A6F75E3">
      <w:pPr>
        <w:ind w:firstLine="560"/>
        <w:rPr>
          <w:rFonts w:hint="eastAsia" w:ascii="Times New Roman" w:hAnsi="Times New Roman" w:eastAsia="宋体"/>
        </w:rPr>
      </w:pPr>
      <w:r>
        <w:rPr>
          <w:rFonts w:hint="eastAsia" w:ascii="Times New Roman" w:hAnsi="Times New Roman" w:eastAsia="宋体"/>
          <w:lang w:val="en-US" w:eastAsia="zh-CN"/>
        </w:rPr>
        <w:t>1）</w:t>
      </w:r>
      <w:r>
        <w:rPr>
          <w:rFonts w:hint="eastAsia" w:ascii="Times New Roman" w:hAnsi="Times New Roman" w:eastAsia="宋体"/>
        </w:rPr>
        <w:t>加油站不同区域间存在地面高差，如便利店门口与加油区、站房与罩棚之间。若高差处未设警示标识或防护设施，人员行走易踩空跌落。</w:t>
      </w:r>
    </w:p>
    <w:p w14:paraId="01E73EF5">
      <w:pPr>
        <w:ind w:firstLine="560"/>
        <w:rPr>
          <w:rFonts w:hint="eastAsia" w:ascii="Times New Roman" w:hAnsi="Times New Roman" w:eastAsia="宋体"/>
        </w:rPr>
      </w:pPr>
      <w:r>
        <w:rPr>
          <w:rFonts w:hint="eastAsia" w:ascii="Times New Roman" w:hAnsi="Times New Roman" w:eastAsia="宋体"/>
          <w:lang w:val="en-US" w:eastAsia="zh-CN"/>
        </w:rPr>
        <w:t>2）</w:t>
      </w:r>
      <w:r>
        <w:rPr>
          <w:rFonts w:hint="eastAsia" w:ascii="Times New Roman" w:hAnsi="Times New Roman" w:eastAsia="宋体"/>
        </w:rPr>
        <w:t>加油岛高出地面，加油员频繁上下。若台阶踏步尺寸不规范、防滑措施不到位，或加油岛边缘未涂刷警示色，人员易踏空或滑倒，从加油岛跌至地面。加油站与外部道路连接处存在高差</w:t>
      </w:r>
      <w:r>
        <w:rPr>
          <w:rFonts w:hint="eastAsia" w:ascii="Times New Roman" w:hAnsi="Times New Roman" w:eastAsia="宋体"/>
          <w:lang w:eastAsia="zh-CN"/>
        </w:rPr>
        <w:t>（</w:t>
      </w:r>
      <w:r>
        <w:rPr>
          <w:rFonts w:hint="eastAsia" w:ascii="Times New Roman" w:hAnsi="Times New Roman" w:eastAsia="宋体"/>
        </w:rPr>
        <w:t>如站内地面高于外部路面30cm以上</w:t>
      </w:r>
      <w:r>
        <w:rPr>
          <w:rFonts w:hint="eastAsia" w:ascii="Times New Roman" w:hAnsi="Times New Roman" w:eastAsia="宋体"/>
          <w:lang w:eastAsia="zh-CN"/>
        </w:rPr>
        <w:t>）</w:t>
      </w:r>
      <w:r>
        <w:rPr>
          <w:rFonts w:hint="eastAsia" w:ascii="Times New Roman" w:hAnsi="Times New Roman" w:eastAsia="宋体"/>
        </w:rPr>
        <w:t>，未设警示带或防护栏，人员从站内走出时存在踩空跌落风险。</w:t>
      </w:r>
    </w:p>
    <w:p w14:paraId="6F17618B">
      <w:pPr>
        <w:spacing w:before="156" w:beforeLines="50" w:after="156" w:afterLines="50"/>
        <w:ind w:firstLine="562"/>
        <w:outlineLvl w:val="2"/>
        <w:rPr>
          <w:rFonts w:ascii="Times New Roman" w:hAnsi="Times New Roman" w:eastAsia="黑体" w:cs="Times New Roman"/>
          <w:b/>
          <w:bCs/>
        </w:rPr>
      </w:pPr>
      <w:r>
        <w:rPr>
          <w:rFonts w:hint="eastAsia" w:ascii="Times New Roman" w:hAnsi="Times New Roman" w:eastAsia="黑体" w:cs="Times New Roman"/>
          <w:b/>
          <w:bCs/>
        </w:rPr>
        <w:t>F3.3.</w:t>
      </w:r>
      <w:r>
        <w:rPr>
          <w:rFonts w:hint="eastAsia" w:ascii="Times New Roman" w:hAnsi="Times New Roman" w:eastAsia="黑体" w:cs="Times New Roman"/>
          <w:b/>
          <w:bCs/>
          <w:lang w:val="en-US" w:eastAsia="zh-CN"/>
        </w:rPr>
        <w:t>9其他（</w:t>
      </w:r>
      <w:r>
        <w:rPr>
          <w:rFonts w:ascii="Times New Roman" w:hAnsi="Times New Roman" w:eastAsia="黑体" w:cs="Times New Roman"/>
          <w:b/>
          <w:bCs/>
        </w:rPr>
        <w:t>噪声</w:t>
      </w:r>
      <w:r>
        <w:rPr>
          <w:rFonts w:hint="eastAsia" w:ascii="Times New Roman" w:hAnsi="Times New Roman" w:eastAsia="黑体" w:cs="Times New Roman"/>
          <w:b/>
          <w:bCs/>
          <w:lang w:val="en-US" w:eastAsia="zh-CN"/>
        </w:rPr>
        <w:t>）</w:t>
      </w:r>
    </w:p>
    <w:p w14:paraId="30ED30F8">
      <w:pPr>
        <w:ind w:firstLine="560"/>
        <w:rPr>
          <w:rFonts w:ascii="Times New Roman" w:hAnsi="Times New Roman" w:eastAsia="宋体"/>
        </w:rPr>
      </w:pPr>
      <w:r>
        <w:rPr>
          <w:rFonts w:hint="eastAsia" w:ascii="Times New Roman" w:hAnsi="Times New Roman" w:eastAsia="宋体"/>
        </w:rPr>
        <w:t>噪声主要来自于加油机和加油车辆。噪声作用于人体会产生各方面影响及危害，长期接触高强度噪声会使听力下降，甚至耳聋，噪声作用于人体的神经系统，从而诱发许多疾病，如头晕、失眠多梦、消化不良及高血压，降低脑力工作效率，使人体疲劳，降低劳动生产率。另外噪声干扰报警信号，引发事故，影响安全生产。高强度的噪声还能造成建筑物结构的破坏。</w:t>
      </w:r>
    </w:p>
    <w:p w14:paraId="0894B743">
      <w:pPr>
        <w:keepNext/>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11" w:name="_Toc218437773"/>
      <w:bookmarkStart w:id="112" w:name="_Toc179746381"/>
      <w:r>
        <w:rPr>
          <w:rFonts w:hint="eastAsia" w:ascii="Times New Roman" w:hAnsi="Times New Roman" w:eastAsia="楷体" w:cs="Times New Roman"/>
          <w:b/>
          <w:bCs/>
          <w:sz w:val="32"/>
          <w:szCs w:val="32"/>
        </w:rPr>
        <w:t>F3.4重大危险源辨识</w:t>
      </w:r>
      <w:bookmarkEnd w:id="111"/>
      <w:bookmarkEnd w:id="112"/>
    </w:p>
    <w:p w14:paraId="4C4744A7">
      <w:pPr>
        <w:keepNext/>
        <w:spacing w:before="156" w:beforeLines="50" w:after="156" w:afterLines="50"/>
        <w:ind w:firstLine="562"/>
        <w:outlineLvl w:val="2"/>
        <w:rPr>
          <w:rFonts w:hint="eastAsia" w:ascii="黑体" w:hAnsi="黑体" w:eastAsia="黑体"/>
          <w:b/>
          <w:bCs/>
        </w:rPr>
      </w:pPr>
      <w:r>
        <w:rPr>
          <w:rFonts w:hint="eastAsia" w:ascii="Times New Roman" w:hAnsi="Times New Roman" w:eastAsia="黑体" w:cs="Times New Roman"/>
          <w:b/>
          <w:bCs/>
        </w:rPr>
        <w:t>F3.4.1</w:t>
      </w:r>
      <w:r>
        <w:rPr>
          <w:rFonts w:hint="eastAsia" w:ascii="黑体" w:hAnsi="黑体" w:eastAsia="黑体"/>
          <w:b/>
          <w:bCs/>
        </w:rPr>
        <w:t>重大危险源定义</w:t>
      </w:r>
    </w:p>
    <w:p w14:paraId="6521A72A">
      <w:pPr>
        <w:ind w:firstLine="560"/>
        <w:rPr>
          <w:rFonts w:ascii="Times New Roman" w:hAnsi="Times New Roman" w:eastAsia="宋体"/>
        </w:rPr>
      </w:pPr>
      <w:r>
        <w:rPr>
          <w:rFonts w:hint="eastAsia" w:ascii="Times New Roman" w:hAnsi="Times New Roman" w:eastAsia="宋体"/>
        </w:rPr>
        <w:t>根据《危险化学品重大危险源辨识》GB18218-2018的规定，重大危险源的辨识指标如下：</w:t>
      </w:r>
    </w:p>
    <w:p w14:paraId="5716D0B2">
      <w:pPr>
        <w:ind w:firstLine="560"/>
        <w:rPr>
          <w:rFonts w:ascii="Times New Roman" w:hAnsi="Times New Roman" w:eastAsia="宋体"/>
        </w:rPr>
      </w:pPr>
      <w:r>
        <w:rPr>
          <w:rFonts w:hint="eastAsia" w:ascii="Times New Roman" w:hAnsi="Times New Roman" w:eastAsia="宋体"/>
        </w:rPr>
        <w:t>长期地或临时地生产、储存、使用和经营危险化学品，且危险化学品的数量等于或者超过临界量的单元。</w:t>
      </w:r>
    </w:p>
    <w:p w14:paraId="21511FB9">
      <w:pPr>
        <w:ind w:firstLine="560"/>
        <w:rPr>
          <w:rFonts w:ascii="Times New Roman" w:hAnsi="Times New Roman" w:eastAsia="宋体"/>
        </w:rPr>
      </w:pPr>
      <w:r>
        <w:rPr>
          <w:rFonts w:hint="eastAsia" w:ascii="Times New Roman" w:hAnsi="Times New Roman" w:eastAsia="宋体"/>
        </w:rPr>
        <w:t>生产单元：危险化学品的生产、加工及使用等的装置及设施，当装置与设施之间又有切断阀时，以切断阀作为分隔界限划分为独立的单元。</w:t>
      </w:r>
    </w:p>
    <w:p w14:paraId="403AB4A1">
      <w:pPr>
        <w:ind w:firstLine="560"/>
        <w:rPr>
          <w:rFonts w:ascii="Times New Roman" w:hAnsi="Times New Roman" w:eastAsia="宋体"/>
        </w:rPr>
      </w:pPr>
      <w:r>
        <w:rPr>
          <w:rFonts w:hint="eastAsia" w:ascii="Times New Roman" w:hAnsi="Times New Roman" w:eastAsia="宋体"/>
        </w:rPr>
        <w:t>储存单元：用于储存危险化学品的储罐或仓库组成的相对独立的区域，储罐区以罐区防火堤为界限划分为独立的单元，从仓库以独立库房（独立建筑物）为界限划分为的独立的单元。</w:t>
      </w:r>
    </w:p>
    <w:p w14:paraId="273055B6">
      <w:pPr>
        <w:ind w:firstLine="560"/>
        <w:rPr>
          <w:rFonts w:ascii="Times New Roman" w:hAnsi="Times New Roman" w:eastAsia="宋体"/>
        </w:rPr>
      </w:pPr>
      <w:r>
        <w:rPr>
          <w:rFonts w:hint="eastAsia" w:ascii="Times New Roman" w:hAnsi="Times New Roman" w:eastAsia="宋体"/>
        </w:rPr>
        <w:t>生产单元、储存单元内存在危险化学品的数量等于或者出超过表1、表2规定地点临界量，即被定为重大危险源，单元内存在的危险化学品的数量根据危险化学品种类的多少区分为以下两种情况：</w:t>
      </w:r>
    </w:p>
    <w:p w14:paraId="0454FD10">
      <w:pPr>
        <w:ind w:firstLine="560"/>
        <w:rPr>
          <w:rFonts w:ascii="Times New Roman" w:hAnsi="Times New Roman" w:eastAsia="宋体"/>
        </w:rPr>
      </w:pPr>
      <w:r>
        <w:rPr>
          <w:rFonts w:hint="eastAsia" w:ascii="Times New Roman" w:hAnsi="Times New Roman" w:eastAsia="宋体"/>
        </w:rPr>
        <w:t>（1）生产单元、储存单元内存在的危险化学品为单一品种，该危险化学品的数量即为单元内危险化学品的总量，若等于或超过相应的临界量，则定为重大危险源。</w:t>
      </w:r>
    </w:p>
    <w:p w14:paraId="4B7D0F66">
      <w:pPr>
        <w:ind w:firstLine="560"/>
        <w:rPr>
          <w:rFonts w:ascii="Times New Roman" w:hAnsi="Times New Roman" w:eastAsia="宋体"/>
        </w:rPr>
      </w:pPr>
      <w:r>
        <w:rPr>
          <w:rFonts w:hint="eastAsia" w:ascii="Times New Roman" w:hAnsi="Times New Roman" w:eastAsia="宋体"/>
        </w:rPr>
        <w:t>（2）生产单元、储存单元内存在的危险化学品为多品种时，则按下式计算，若满足下面公式，则定为重大危险源：</w:t>
      </w:r>
    </w:p>
    <w:p w14:paraId="17C4ABED">
      <w:pPr>
        <w:ind w:firstLine="560"/>
        <w:rPr>
          <w:rFonts w:ascii="Times New Roman" w:hAnsi="Times New Roman" w:eastAsia="宋体"/>
        </w:rPr>
      </w:pPr>
      <m:oMathPara>
        <m:oMath>
          <m:r>
            <m:rPr/>
            <w:rPr>
              <w:rFonts w:hint="eastAsia" w:ascii="Cambria Math" w:hAnsi="Cambria Math" w:eastAsia="宋体"/>
            </w:rPr>
            <m:t>S</m:t>
          </m:r>
          <m:r>
            <m:rPr/>
            <w:rPr>
              <w:rFonts w:ascii="Cambria Math" w:hAnsi="Cambria Math" w:eastAsia="宋体"/>
            </w:rPr>
            <m:t>=</m:t>
          </m:r>
          <m:f>
            <m:fPr>
              <m:ctrlPr>
                <w:rPr>
                  <w:rFonts w:ascii="Cambria Math" w:hAnsi="Cambria Math" w:eastAsia="宋体"/>
                  <w:i/>
                </w:rPr>
              </m:ctrlPr>
            </m:fPr>
            <m:num>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1</m:t>
                  </m:r>
                  <m:ctrlPr>
                    <w:rPr>
                      <w:rFonts w:ascii="Cambria Math" w:hAnsi="Cambria Math" w:eastAsia="宋体"/>
                      <w:i/>
                    </w:rPr>
                  </m:ctrlPr>
                </m:sub>
              </m:sSub>
              <m:ctrlPr>
                <w:rPr>
                  <w:rFonts w:ascii="Cambria Math" w:hAnsi="Cambria Math" w:eastAsia="宋体"/>
                  <w:i/>
                </w:rPr>
              </m:ctrlPr>
            </m:num>
            <m:den>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1</m:t>
                  </m:r>
                  <m:ctrlPr>
                    <w:rPr>
                      <w:rFonts w:ascii="Cambria Math" w:hAnsi="Cambria Math" w:eastAsia="宋体"/>
                      <w:i/>
                    </w:rPr>
                  </m:ctrlPr>
                </m:sub>
              </m:sSub>
              <m:ctrlPr>
                <w:rPr>
                  <w:rFonts w:ascii="Cambria Math" w:hAnsi="Cambria Math" w:eastAsia="宋体"/>
                  <w:i/>
                </w:rPr>
              </m:ctrlPr>
            </m:den>
          </m:f>
          <m:r>
            <m:rPr/>
            <w:rPr>
              <w:rFonts w:ascii="Cambria Math" w:hAnsi="Cambria Math" w:eastAsia="宋体"/>
            </w:rPr>
            <m:t>+</m:t>
          </m:r>
          <m:f>
            <m:fPr>
              <m:ctrlPr>
                <w:rPr>
                  <w:rFonts w:ascii="Cambria Math" w:hAnsi="Cambria Math" w:eastAsia="宋体"/>
                  <w:i/>
                </w:rPr>
              </m:ctrlPr>
            </m:fPr>
            <m:num>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2</m:t>
                  </m:r>
                  <m:ctrlPr>
                    <w:rPr>
                      <w:rFonts w:ascii="Cambria Math" w:hAnsi="Cambria Math" w:eastAsia="宋体"/>
                      <w:i/>
                    </w:rPr>
                  </m:ctrlPr>
                </m:sub>
              </m:sSub>
              <m:ctrlPr>
                <w:rPr>
                  <w:rFonts w:ascii="Cambria Math" w:hAnsi="Cambria Math" w:eastAsia="宋体"/>
                  <w:i/>
                </w:rPr>
              </m:ctrlPr>
            </m:num>
            <m:den>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2</m:t>
                  </m:r>
                  <m:ctrlPr>
                    <w:rPr>
                      <w:rFonts w:ascii="Cambria Math" w:hAnsi="Cambria Math" w:eastAsia="宋体"/>
                      <w:i/>
                    </w:rPr>
                  </m:ctrlPr>
                </m:sub>
              </m:sSub>
              <m:ctrlPr>
                <w:rPr>
                  <w:rFonts w:ascii="Cambria Math" w:hAnsi="Cambria Math" w:eastAsia="宋体"/>
                  <w:i/>
                </w:rPr>
              </m:ctrlPr>
            </m:den>
          </m:f>
          <m:r>
            <m:rPr/>
            <w:rPr>
              <w:rFonts w:ascii="Cambria Math" w:hAnsi="Cambria Math" w:eastAsia="宋体"/>
            </w:rPr>
            <m:t>+⋯+</m:t>
          </m:r>
          <m:f>
            <m:fPr>
              <m:ctrlPr>
                <w:rPr>
                  <w:rFonts w:ascii="Cambria Math" w:hAnsi="Cambria Math" w:eastAsia="宋体"/>
                  <w:i/>
                </w:rPr>
              </m:ctrlPr>
            </m:fPr>
            <m:num>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n</m:t>
                  </m:r>
                  <m:ctrlPr>
                    <w:rPr>
                      <w:rFonts w:ascii="Cambria Math" w:hAnsi="Cambria Math" w:eastAsia="宋体"/>
                      <w:i/>
                    </w:rPr>
                  </m:ctrlPr>
                </m:sub>
              </m:sSub>
              <m:ctrlPr>
                <w:rPr>
                  <w:rFonts w:ascii="Cambria Math" w:hAnsi="Cambria Math" w:eastAsia="宋体"/>
                  <w:i/>
                </w:rPr>
              </m:ctrlPr>
            </m:num>
            <m:den>
              <m:sSub>
                <m:sSubPr>
                  <m:ctrlPr>
                    <w:rPr>
                      <w:rFonts w:ascii="Cambria Math" w:hAnsi="Cambria Math" w:eastAsia="宋体"/>
                      <w:i/>
                    </w:rPr>
                  </m:ctrlPr>
                </m:sSubPr>
                <m:e>
                  <m:r>
                    <m:rPr/>
                    <w:rPr>
                      <w:rFonts w:ascii="Cambria Math" w:hAnsi="Cambria Math" w:eastAsia="宋体"/>
                    </w:rPr>
                    <m:t>Q</m:t>
                  </m:r>
                  <m:ctrlPr>
                    <w:rPr>
                      <w:rFonts w:ascii="Cambria Math" w:hAnsi="Cambria Math" w:eastAsia="宋体"/>
                      <w:i/>
                    </w:rPr>
                  </m:ctrlPr>
                </m:e>
                <m:sub>
                  <m:r>
                    <m:rPr/>
                    <w:rPr>
                      <w:rFonts w:ascii="Cambria Math" w:hAnsi="Cambria Math" w:eastAsia="宋体"/>
                    </w:rPr>
                    <m:t>n</m:t>
                  </m:r>
                  <m:ctrlPr>
                    <w:rPr>
                      <w:rFonts w:ascii="Cambria Math" w:hAnsi="Cambria Math" w:eastAsia="宋体"/>
                      <w:i/>
                    </w:rPr>
                  </m:ctrlPr>
                </m:sub>
              </m:sSub>
              <m:ctrlPr>
                <w:rPr>
                  <w:rFonts w:ascii="Cambria Math" w:hAnsi="Cambria Math" w:eastAsia="宋体"/>
                  <w:i/>
                </w:rPr>
              </m:ctrlPr>
            </m:den>
          </m:f>
          <m:r>
            <m:rPr/>
            <w:rPr>
              <w:rFonts w:ascii="Cambria Math" w:hAnsi="Cambria Math" w:eastAsia="宋体"/>
            </w:rPr>
            <m:t>≥1</m:t>
          </m:r>
        </m:oMath>
      </m:oMathPara>
    </w:p>
    <w:p w14:paraId="6F045DD7">
      <w:pPr>
        <w:ind w:firstLine="560"/>
        <w:rPr>
          <w:rFonts w:ascii="Times New Roman" w:hAnsi="Times New Roman" w:eastAsia="宋体"/>
        </w:rPr>
      </w:pPr>
      <w:r>
        <w:rPr>
          <w:rFonts w:hint="eastAsia" w:ascii="Times New Roman" w:hAnsi="Times New Roman" w:eastAsia="宋体"/>
        </w:rPr>
        <w:t>式中：q</w:t>
      </w:r>
      <w:r>
        <w:rPr>
          <w:rFonts w:hint="eastAsia" w:ascii="Times New Roman" w:hAnsi="Times New Roman" w:eastAsia="宋体"/>
          <w:vertAlign w:val="subscript"/>
        </w:rPr>
        <w:t>1</w:t>
      </w:r>
      <w:r>
        <w:rPr>
          <w:rFonts w:hint="eastAsia" w:ascii="Times New Roman" w:hAnsi="Times New Roman" w:eastAsia="宋体"/>
        </w:rPr>
        <w:t>，q</w:t>
      </w:r>
      <w:r>
        <w:rPr>
          <w:rFonts w:hint="eastAsia" w:ascii="Times New Roman" w:hAnsi="Times New Roman" w:eastAsia="宋体"/>
          <w:vertAlign w:val="subscript"/>
        </w:rPr>
        <w:t>2</w:t>
      </w:r>
      <w:r>
        <w:rPr>
          <w:rFonts w:hint="eastAsia" w:ascii="Times New Roman" w:hAnsi="Times New Roman" w:eastAsia="宋体"/>
        </w:rPr>
        <w:t>，</w:t>
      </w:r>
      <w:r>
        <w:rPr>
          <w:rFonts w:ascii="Times New Roman" w:hAnsi="Times New Roman" w:eastAsia="宋体"/>
        </w:rPr>
        <w:t>…</w:t>
      </w:r>
      <w:r>
        <w:rPr>
          <w:rFonts w:hint="eastAsia" w:ascii="Times New Roman" w:hAnsi="Times New Roman" w:eastAsia="宋体"/>
        </w:rPr>
        <w:t>，q</w:t>
      </w:r>
      <w:r>
        <w:rPr>
          <w:rFonts w:hint="eastAsia" w:ascii="Times New Roman" w:hAnsi="Times New Roman" w:eastAsia="宋体"/>
          <w:vertAlign w:val="subscript"/>
        </w:rPr>
        <w:t>n</w:t>
      </w:r>
      <w:r>
        <w:rPr>
          <w:rFonts w:hint="eastAsia" w:ascii="Times New Roman" w:hAnsi="Times New Roman" w:eastAsia="宋体"/>
        </w:rPr>
        <w:t>—每种危险物质实际存在的量，t。</w:t>
      </w:r>
    </w:p>
    <w:p w14:paraId="1590EA88">
      <w:pPr>
        <w:ind w:firstLine="1400" w:firstLineChars="500"/>
        <w:rPr>
          <w:rFonts w:ascii="Times New Roman" w:hAnsi="Times New Roman" w:eastAsia="宋体"/>
        </w:rPr>
      </w:pPr>
      <w:r>
        <w:rPr>
          <w:rFonts w:hint="eastAsia" w:ascii="Times New Roman" w:hAnsi="Times New Roman" w:eastAsia="宋体"/>
        </w:rPr>
        <w:t>Q</w:t>
      </w:r>
      <w:r>
        <w:rPr>
          <w:rFonts w:hint="eastAsia" w:ascii="Times New Roman" w:hAnsi="Times New Roman" w:eastAsia="宋体"/>
          <w:vertAlign w:val="subscript"/>
        </w:rPr>
        <w:t>1</w:t>
      </w:r>
      <w:r>
        <w:rPr>
          <w:rFonts w:hint="eastAsia" w:ascii="Times New Roman" w:hAnsi="Times New Roman" w:eastAsia="宋体"/>
        </w:rPr>
        <w:t>，Q</w:t>
      </w:r>
      <w:r>
        <w:rPr>
          <w:rFonts w:hint="eastAsia" w:ascii="Times New Roman" w:hAnsi="Times New Roman" w:eastAsia="宋体"/>
          <w:vertAlign w:val="subscript"/>
        </w:rPr>
        <w:t>2</w:t>
      </w:r>
      <w:r>
        <w:rPr>
          <w:rFonts w:hint="eastAsia" w:ascii="Times New Roman" w:hAnsi="Times New Roman" w:eastAsia="宋体"/>
        </w:rPr>
        <w:t>，</w:t>
      </w:r>
      <w:r>
        <w:rPr>
          <w:rFonts w:ascii="Times New Roman" w:hAnsi="Times New Roman" w:eastAsia="宋体"/>
        </w:rPr>
        <w:t>…</w:t>
      </w:r>
      <w:r>
        <w:rPr>
          <w:rFonts w:hint="eastAsia" w:ascii="Times New Roman" w:hAnsi="Times New Roman" w:eastAsia="宋体"/>
        </w:rPr>
        <w:t>，Q</w:t>
      </w:r>
      <w:r>
        <w:rPr>
          <w:rFonts w:hint="eastAsia" w:ascii="Times New Roman" w:hAnsi="Times New Roman" w:eastAsia="宋体"/>
          <w:vertAlign w:val="subscript"/>
        </w:rPr>
        <w:t>n</w:t>
      </w:r>
      <w:r>
        <w:rPr>
          <w:rFonts w:hint="eastAsia" w:ascii="Times New Roman" w:hAnsi="Times New Roman" w:eastAsia="宋体"/>
        </w:rPr>
        <w:t>—与各危险物质相对应的临界量，t。</w:t>
      </w:r>
    </w:p>
    <w:p w14:paraId="73822CC2">
      <w:pPr>
        <w:keepNext/>
        <w:spacing w:before="156" w:beforeLines="50" w:after="156" w:afterLines="50"/>
        <w:ind w:firstLine="562"/>
        <w:outlineLvl w:val="2"/>
        <w:rPr>
          <w:rFonts w:hint="eastAsia" w:ascii="黑体" w:hAnsi="黑体" w:eastAsia="黑体"/>
          <w:b/>
          <w:bCs/>
        </w:rPr>
      </w:pPr>
      <w:r>
        <w:rPr>
          <w:rFonts w:hint="eastAsia" w:ascii="Times New Roman" w:hAnsi="Times New Roman" w:eastAsia="黑体" w:cs="Times New Roman"/>
          <w:b/>
          <w:bCs/>
        </w:rPr>
        <w:t>F3.4.2</w:t>
      </w:r>
      <w:r>
        <w:rPr>
          <w:rFonts w:hint="eastAsia" w:ascii="黑体" w:hAnsi="黑体" w:eastAsia="黑体"/>
          <w:b/>
          <w:bCs/>
        </w:rPr>
        <w:t>重大危险源辨识</w:t>
      </w:r>
    </w:p>
    <w:p w14:paraId="63FC0802">
      <w:pPr>
        <w:ind w:firstLine="560"/>
        <w:rPr>
          <w:rFonts w:ascii="Times New Roman" w:hAnsi="Times New Roman" w:eastAsia="宋体"/>
        </w:rPr>
      </w:pPr>
      <w:r>
        <w:rPr>
          <w:rFonts w:hint="eastAsia" w:ascii="Times New Roman" w:hAnsi="Times New Roman" w:eastAsia="宋体"/>
        </w:rPr>
        <w:t>根据《危险化学品重大危险源辨识》（GB 18218-2018）的相关规定，危险化学品储罐以及其他容器、设备或仓储区的危险化学品的实际存在量按设计最大量确定。</w:t>
      </w:r>
    </w:p>
    <w:p w14:paraId="56CC268B">
      <w:pPr>
        <w:ind w:firstLine="560"/>
        <w:rPr>
          <w:rFonts w:ascii="Times New Roman" w:hAnsi="Times New Roman" w:eastAsia="宋体"/>
        </w:rPr>
      </w:pPr>
      <w:r>
        <w:rPr>
          <w:rFonts w:hint="eastAsia" w:ascii="Times New Roman" w:hAnsi="Times New Roman" w:eastAsia="宋体"/>
        </w:rPr>
        <w:t>对于危险化学品混合物，如果混合物与其纯物质属于相同危险类别，则视混合物为纯物质，按混合物整体进行计算。如果混合物遇其纯物质不属于相同危险类别，则应按新危险类别考虑其临界量。</w:t>
      </w:r>
    </w:p>
    <w:p w14:paraId="70EF78F6">
      <w:pPr>
        <w:ind w:firstLine="560"/>
        <w:rPr>
          <w:rFonts w:ascii="Times New Roman" w:hAnsi="Times New Roman" w:eastAsia="宋体"/>
        </w:rPr>
      </w:pPr>
      <w:r>
        <w:rPr>
          <w:rFonts w:hint="eastAsia" w:ascii="Times New Roman" w:hAnsi="Times New Roman" w:eastAsia="宋体"/>
        </w:rPr>
        <w:t>该站在经营、储存过程中，涉及构成危险化学品重大危险源的物质为车用乙醇汽油、柴油，其临界量分别为200t、5000t。</w:t>
      </w:r>
    </w:p>
    <w:p w14:paraId="2E0066BC">
      <w:pPr>
        <w:ind w:firstLine="560"/>
        <w:rPr>
          <w:rFonts w:ascii="Times New Roman" w:hAnsi="Times New Roman" w:eastAsia="宋体"/>
        </w:rPr>
      </w:pPr>
      <w:r>
        <w:rPr>
          <w:rFonts w:hint="eastAsia" w:ascii="Times New Roman" w:hAnsi="Times New Roman" w:eastAsia="宋体"/>
        </w:rPr>
        <w:t>储罐区单元：</w:t>
      </w:r>
    </w:p>
    <w:p w14:paraId="60720D64">
      <w:pPr>
        <w:ind w:firstLine="560"/>
        <w:rPr>
          <w:rFonts w:ascii="Times New Roman" w:hAnsi="Times New Roman" w:eastAsia="宋体"/>
        </w:rPr>
      </w:pPr>
      <w:r>
        <w:rPr>
          <w:rFonts w:hint="eastAsia" w:ascii="Times New Roman" w:hAnsi="Times New Roman" w:eastAsia="宋体"/>
        </w:rPr>
        <w:t>加油站储罐区单元有2座车用乙醇汽油储罐，总容积为</w:t>
      </w:r>
      <w:r>
        <w:rPr>
          <w:rFonts w:hint="eastAsia" w:ascii="Times New Roman" w:hAnsi="Times New Roman" w:eastAsia="宋体"/>
          <w:lang w:val="en-US" w:eastAsia="zh-CN"/>
        </w:rPr>
        <w:t>10</w:t>
      </w:r>
      <w:r>
        <w:rPr>
          <w:rFonts w:hint="eastAsia" w:ascii="Times New Roman" w:hAnsi="Times New Roman" w:eastAsia="宋体"/>
        </w:rPr>
        <w:t>0m³，车用乙醇汽油的密度为0.8t/m³；</w:t>
      </w:r>
      <w:r>
        <w:rPr>
          <w:rFonts w:hint="eastAsia" w:ascii="Times New Roman" w:hAnsi="Times New Roman" w:eastAsia="宋体"/>
          <w:lang w:val="en-US" w:eastAsia="zh-CN"/>
        </w:rPr>
        <w:t>2</w:t>
      </w:r>
      <w:r>
        <w:rPr>
          <w:rFonts w:hint="eastAsia" w:ascii="Times New Roman" w:hAnsi="Times New Roman" w:eastAsia="宋体"/>
        </w:rPr>
        <w:t>座柴油储罐，总容积为</w:t>
      </w:r>
      <w:r>
        <w:rPr>
          <w:rFonts w:hint="eastAsia" w:ascii="Times New Roman" w:hAnsi="Times New Roman" w:eastAsia="宋体"/>
          <w:lang w:val="en-US" w:eastAsia="zh-CN"/>
        </w:rPr>
        <w:t>10</w:t>
      </w:r>
      <w:r>
        <w:rPr>
          <w:rFonts w:hint="eastAsia" w:ascii="Times New Roman" w:hAnsi="Times New Roman" w:eastAsia="宋体"/>
        </w:rPr>
        <w:t>0m³，柴油的密度为0.85t/m³。储罐区单元危险化学品的临界量与最大储存量对照见下表。</w:t>
      </w:r>
    </w:p>
    <w:p w14:paraId="1278A007">
      <w:pPr>
        <w:keepNext/>
        <w:keepLines/>
        <w:spacing w:before="156" w:beforeLines="50" w:after="156" w:afterLines="50" w:line="240" w:lineRule="auto"/>
        <w:ind w:firstLine="0" w:firstLineChars="0"/>
        <w:jc w:val="center"/>
        <w:rPr>
          <w:rFonts w:hint="eastAsia" w:ascii="黑体" w:hAnsi="黑体" w:eastAsia="黑体"/>
          <w:sz w:val="24"/>
        </w:rPr>
      </w:pPr>
      <w:r>
        <w:rPr>
          <w:rFonts w:hint="eastAsia" w:ascii="黑体" w:hAnsi="黑体" w:eastAsia="黑体"/>
          <w:sz w:val="24"/>
        </w:rPr>
        <w:t>表</w:t>
      </w:r>
      <w:r>
        <w:rPr>
          <w:rFonts w:hint="eastAsia" w:ascii="Times New Roman" w:hAnsi="Times New Roman" w:eastAsia="黑体" w:cs="Times New Roman"/>
          <w:sz w:val="24"/>
        </w:rPr>
        <w:t>F3.4-1</w:t>
      </w:r>
      <w:r>
        <w:rPr>
          <w:rFonts w:hint="eastAsia" w:ascii="黑体" w:hAnsi="黑体" w:eastAsia="黑体"/>
          <w:sz w:val="24"/>
        </w:rPr>
        <w:t xml:space="preserve">  储罐区单元危险化学品的临界量与最大储存量对照表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2207"/>
        <w:gridCol w:w="2813"/>
        <w:gridCol w:w="1807"/>
        <w:gridCol w:w="1357"/>
      </w:tblGrid>
      <w:tr w14:paraId="2EC6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tblHeader/>
          <w:jc w:val="center"/>
        </w:trPr>
        <w:tc>
          <w:tcPr>
            <w:tcW w:w="543" w:type="pct"/>
            <w:vAlign w:val="center"/>
          </w:tcPr>
          <w:p w14:paraId="389FF932">
            <w:pPr>
              <w:spacing w:line="240" w:lineRule="auto"/>
              <w:ind w:firstLine="0" w:firstLineChars="0"/>
              <w:jc w:val="center"/>
              <w:rPr>
                <w:rFonts w:ascii="Times New Roman" w:hAnsi="Times New Roman" w:eastAsia="宋体" w:cs="宋体"/>
                <w:sz w:val="21"/>
                <w:szCs w:val="21"/>
                <w14:ligatures w14:val="none"/>
              </w:rPr>
            </w:pPr>
            <w:bookmarkStart w:id="113" w:name="_Hlk161603343"/>
            <w:r>
              <w:rPr>
                <w:rFonts w:hint="eastAsia" w:ascii="Times New Roman" w:hAnsi="Times New Roman" w:eastAsia="宋体" w:cs="宋体"/>
                <w:sz w:val="21"/>
                <w:szCs w:val="21"/>
                <w14:ligatures w14:val="none"/>
              </w:rPr>
              <w:t>序号</w:t>
            </w:r>
          </w:p>
        </w:tc>
        <w:tc>
          <w:tcPr>
            <w:tcW w:w="1202" w:type="pct"/>
            <w:vAlign w:val="center"/>
          </w:tcPr>
          <w:p w14:paraId="6C27C608">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宋体"/>
                <w:sz w:val="21"/>
                <w:szCs w:val="21"/>
                <w14:ligatures w14:val="none"/>
              </w:rPr>
              <w:t>物质名称</w:t>
            </w:r>
          </w:p>
        </w:tc>
        <w:tc>
          <w:tcPr>
            <w:tcW w:w="1532" w:type="pct"/>
            <w:vAlign w:val="center"/>
          </w:tcPr>
          <w:p w14:paraId="4CE51D10">
            <w:pPr>
              <w:spacing w:line="240" w:lineRule="auto"/>
              <w:ind w:firstLine="0" w:firstLineChars="0"/>
              <w:jc w:val="center"/>
              <w:rPr>
                <w:rFonts w:ascii="Times New Roman" w:hAnsi="Times New Roman" w:eastAsia="宋体" w:cs="宋体"/>
                <w:sz w:val="21"/>
                <w:szCs w:val="21"/>
                <w14:ligatures w14:val="none"/>
              </w:rPr>
            </w:pPr>
            <w:r>
              <w:rPr>
                <w:rFonts w:hint="eastAsia" w:ascii="Times New Roman" w:hAnsi="Times New Roman" w:eastAsia="宋体" w:cs="宋体"/>
                <w:sz w:val="21"/>
                <w:szCs w:val="21"/>
                <w14:ligatures w14:val="none"/>
              </w:rPr>
              <w:t>危险性类别</w:t>
            </w:r>
          </w:p>
        </w:tc>
        <w:tc>
          <w:tcPr>
            <w:tcW w:w="984" w:type="pct"/>
            <w:vAlign w:val="center"/>
          </w:tcPr>
          <w:p w14:paraId="0C98C7E8">
            <w:pPr>
              <w:spacing w:line="240" w:lineRule="auto"/>
              <w:ind w:firstLine="0" w:firstLineChars="0"/>
              <w:jc w:val="center"/>
              <w:rPr>
                <w:rFonts w:ascii="Times New Roman" w:hAnsi="Times New Roman" w:eastAsia="宋体" w:cs="宋体"/>
                <w:sz w:val="21"/>
                <w:szCs w:val="21"/>
                <w14:ligatures w14:val="none"/>
              </w:rPr>
            </w:pPr>
            <w:r>
              <w:rPr>
                <w:rFonts w:hint="eastAsia" w:ascii="Times New Roman" w:hAnsi="Times New Roman" w:eastAsia="宋体" w:cs="宋体"/>
                <w:sz w:val="21"/>
                <w:szCs w:val="21"/>
                <w14:ligatures w14:val="none"/>
              </w:rPr>
              <w:t>最大储存量（t）</w:t>
            </w:r>
          </w:p>
        </w:tc>
        <w:tc>
          <w:tcPr>
            <w:tcW w:w="739" w:type="pct"/>
            <w:vAlign w:val="center"/>
          </w:tcPr>
          <w:p w14:paraId="5C39C1A2">
            <w:pPr>
              <w:spacing w:line="240" w:lineRule="auto"/>
              <w:ind w:firstLine="0" w:firstLineChars="0"/>
              <w:jc w:val="center"/>
              <w:rPr>
                <w:rFonts w:ascii="Times New Roman" w:hAnsi="Times New Roman" w:eastAsia="宋体" w:cs="宋体"/>
                <w:sz w:val="21"/>
                <w:szCs w:val="21"/>
                <w14:ligatures w14:val="none"/>
              </w:rPr>
            </w:pPr>
            <w:r>
              <w:rPr>
                <w:rFonts w:hint="eastAsia" w:ascii="Times New Roman" w:hAnsi="Times New Roman" w:eastAsia="宋体" w:cs="宋体"/>
                <w:sz w:val="21"/>
                <w:szCs w:val="21"/>
                <w14:ligatures w14:val="none"/>
              </w:rPr>
              <w:t>临界量（t）</w:t>
            </w:r>
          </w:p>
        </w:tc>
      </w:tr>
      <w:tr w14:paraId="4ADB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3" w:type="pct"/>
            <w:vAlign w:val="center"/>
          </w:tcPr>
          <w:p w14:paraId="06957CD7">
            <w:pPr>
              <w:tabs>
                <w:tab w:val="left" w:pos="1200"/>
                <w:tab w:val="left" w:pos="1276"/>
              </w:tabs>
              <w:adjustRightInd/>
              <w:snapToGrid/>
              <w:spacing w:line="240" w:lineRule="auto"/>
              <w:ind w:firstLine="0" w:firstLineChars="0"/>
              <w:jc w:val="center"/>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1</w:t>
            </w:r>
          </w:p>
        </w:tc>
        <w:tc>
          <w:tcPr>
            <w:tcW w:w="1202" w:type="pct"/>
            <w:vAlign w:val="center"/>
          </w:tcPr>
          <w:p w14:paraId="2FE2E659">
            <w:pPr>
              <w:spacing w:line="240" w:lineRule="auto"/>
              <w:ind w:firstLine="0" w:firstLineChars="0"/>
              <w:jc w:val="center"/>
              <w:rPr>
                <w:rFonts w:ascii="Times New Roman" w:hAnsi="Times New Roman" w:eastAsia="宋体" w:cs="宋体"/>
                <w:sz w:val="21"/>
                <w:szCs w:val="21"/>
                <w14:ligatures w14:val="none"/>
              </w:rPr>
            </w:pPr>
            <w:r>
              <w:rPr>
                <w:rFonts w:hint="eastAsia" w:ascii="Times New Roman" w:hAnsi="Times New Roman" w:eastAsia="宋体" w:cs="宋体"/>
                <w:sz w:val="21"/>
                <w:szCs w:val="21"/>
                <w14:ligatures w14:val="none"/>
              </w:rPr>
              <w:t>车用乙醇汽油</w:t>
            </w:r>
          </w:p>
        </w:tc>
        <w:tc>
          <w:tcPr>
            <w:tcW w:w="1532" w:type="pct"/>
            <w:vAlign w:val="center"/>
          </w:tcPr>
          <w:p w14:paraId="2EABBE8C">
            <w:pPr>
              <w:widowControl/>
              <w:adjustRightInd/>
              <w:snapToGrid/>
              <w:spacing w:line="240" w:lineRule="auto"/>
              <w:ind w:firstLine="0" w:firstLineChars="0"/>
              <w:jc w:val="center"/>
              <w:rPr>
                <w:rFonts w:ascii="Times New Roman" w:hAnsi="Times New Roman" w:eastAsia="宋体" w:cs="Times New Roman"/>
                <w:kern w:val="0"/>
                <w:sz w:val="21"/>
                <w14:ligatures w14:val="none"/>
              </w:rPr>
            </w:pPr>
            <w:r>
              <w:rPr>
                <w:rFonts w:ascii="Times New Roman" w:hAnsi="Times New Roman" w:eastAsia="宋体" w:cs="Times New Roman"/>
                <w:sz w:val="21"/>
                <w14:ligatures w14:val="none"/>
              </w:rPr>
              <w:t>易燃液体，类别2</w:t>
            </w:r>
            <w:r>
              <w:rPr>
                <w:rFonts w:ascii="Times New Roman" w:hAnsi="Times New Roman" w:eastAsia="宋体" w:cs="Times New Roman"/>
                <w:kern w:val="0"/>
                <w:sz w:val="21"/>
                <w14:ligatures w14:val="none"/>
              </w:rPr>
              <w:t>*</w:t>
            </w:r>
          </w:p>
        </w:tc>
        <w:tc>
          <w:tcPr>
            <w:tcW w:w="984" w:type="pct"/>
            <w:vAlign w:val="center"/>
          </w:tcPr>
          <w:p w14:paraId="0DB9CF03">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80</w:t>
            </w:r>
          </w:p>
        </w:tc>
        <w:tc>
          <w:tcPr>
            <w:tcW w:w="739" w:type="pct"/>
            <w:vAlign w:val="center"/>
          </w:tcPr>
          <w:p w14:paraId="2C476AE0">
            <w:pPr>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2</w:t>
            </w:r>
            <w:r>
              <w:rPr>
                <w:rFonts w:ascii="Times New Roman" w:hAnsi="Times New Roman" w:eastAsia="宋体" w:cs="Times New Roman"/>
                <w:sz w:val="21"/>
                <w:szCs w:val="21"/>
                <w14:ligatures w14:val="none"/>
              </w:rPr>
              <w:t>00</w:t>
            </w:r>
          </w:p>
        </w:tc>
      </w:tr>
      <w:tr w14:paraId="405F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543" w:type="pct"/>
            <w:vAlign w:val="center"/>
          </w:tcPr>
          <w:p w14:paraId="70B27976">
            <w:pPr>
              <w:tabs>
                <w:tab w:val="left" w:pos="1200"/>
                <w:tab w:val="left" w:pos="1276"/>
              </w:tabs>
              <w:adjustRightInd/>
              <w:snapToGrid/>
              <w:spacing w:line="240" w:lineRule="auto"/>
              <w:ind w:firstLine="0" w:firstLineChars="0"/>
              <w:jc w:val="center"/>
              <w:rPr>
                <w:rFonts w:ascii="Times New Roman" w:hAnsi="Times New Roman" w:eastAsia="宋体" w:cs="Times New Roman"/>
                <w:kern w:val="0"/>
                <w:sz w:val="21"/>
                <w14:ligatures w14:val="none"/>
              </w:rPr>
            </w:pPr>
            <w:r>
              <w:rPr>
                <w:rFonts w:hint="eastAsia" w:ascii="Times New Roman" w:hAnsi="Times New Roman" w:eastAsia="宋体" w:cs="Times New Roman"/>
                <w:kern w:val="0"/>
                <w:sz w:val="21"/>
                <w14:ligatures w14:val="none"/>
              </w:rPr>
              <w:t>2</w:t>
            </w:r>
          </w:p>
        </w:tc>
        <w:tc>
          <w:tcPr>
            <w:tcW w:w="1202" w:type="pct"/>
            <w:vAlign w:val="center"/>
          </w:tcPr>
          <w:p w14:paraId="09EAA246">
            <w:pPr>
              <w:spacing w:line="240" w:lineRule="auto"/>
              <w:ind w:firstLine="0" w:firstLineChars="0"/>
              <w:jc w:val="center"/>
              <w:rPr>
                <w:rFonts w:ascii="Times New Roman" w:hAnsi="Times New Roman" w:eastAsia="宋体" w:cs="宋体"/>
                <w:sz w:val="21"/>
                <w:szCs w:val="21"/>
                <w14:ligatures w14:val="none"/>
              </w:rPr>
            </w:pPr>
            <w:r>
              <w:rPr>
                <w:rFonts w:hint="eastAsia" w:ascii="Times New Roman" w:hAnsi="Times New Roman" w:eastAsia="宋体" w:cs="宋体"/>
                <w:sz w:val="21"/>
                <w:szCs w:val="21"/>
                <w14:ligatures w14:val="none"/>
              </w:rPr>
              <w:t>柴油</w:t>
            </w:r>
          </w:p>
        </w:tc>
        <w:tc>
          <w:tcPr>
            <w:tcW w:w="1532" w:type="pct"/>
            <w:vAlign w:val="center"/>
          </w:tcPr>
          <w:p w14:paraId="09601B65">
            <w:pPr>
              <w:widowControl/>
              <w:adjustRightInd/>
              <w:snapToGrid/>
              <w:spacing w:line="240" w:lineRule="auto"/>
              <w:ind w:firstLine="0" w:firstLineChars="0"/>
              <w:jc w:val="center"/>
              <w:rPr>
                <w:rFonts w:ascii="Times New Roman" w:hAnsi="Times New Roman" w:eastAsia="宋体" w:cs="Times New Roman"/>
                <w:sz w:val="21"/>
                <w14:ligatures w14:val="none"/>
              </w:rPr>
            </w:pPr>
            <w:r>
              <w:rPr>
                <w:rFonts w:ascii="Times New Roman" w:hAnsi="Times New Roman" w:eastAsia="宋体" w:cs="Times New Roman"/>
                <w:sz w:val="21"/>
                <w14:ligatures w14:val="none"/>
              </w:rPr>
              <w:t>易燃液体，类别3</w:t>
            </w:r>
          </w:p>
        </w:tc>
        <w:tc>
          <w:tcPr>
            <w:tcW w:w="984" w:type="pct"/>
            <w:vAlign w:val="center"/>
          </w:tcPr>
          <w:p w14:paraId="47079B80">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85</w:t>
            </w:r>
          </w:p>
        </w:tc>
        <w:tc>
          <w:tcPr>
            <w:tcW w:w="739" w:type="pct"/>
            <w:vAlign w:val="center"/>
          </w:tcPr>
          <w:p w14:paraId="09E564FB">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5000</w:t>
            </w:r>
          </w:p>
        </w:tc>
      </w:tr>
      <w:bookmarkEnd w:id="113"/>
    </w:tbl>
    <w:p w14:paraId="2F59A349">
      <w:pPr>
        <w:ind w:firstLine="560"/>
        <w:rPr>
          <w:rFonts w:ascii="Times New Roman" w:hAnsi="Times New Roman" w:eastAsia="宋体"/>
        </w:rPr>
      </w:pPr>
      <w:r>
        <w:rPr>
          <w:rFonts w:hint="eastAsia" w:ascii="Times New Roman" w:hAnsi="Times New Roman" w:eastAsia="宋体"/>
        </w:rPr>
        <w:t>S=q</w:t>
      </w:r>
      <w:r>
        <w:rPr>
          <w:rFonts w:hint="eastAsia" w:ascii="Times New Roman" w:hAnsi="Times New Roman" w:eastAsia="宋体"/>
          <w:vertAlign w:val="subscript"/>
        </w:rPr>
        <w:t>1</w:t>
      </w:r>
      <w:r>
        <w:rPr>
          <w:rFonts w:hint="eastAsia" w:ascii="Times New Roman" w:hAnsi="Times New Roman" w:eastAsia="宋体"/>
        </w:rPr>
        <w:t>/Q</w:t>
      </w:r>
      <w:r>
        <w:rPr>
          <w:rFonts w:hint="eastAsia" w:ascii="Times New Roman" w:hAnsi="Times New Roman" w:eastAsia="宋体"/>
          <w:vertAlign w:val="subscript"/>
        </w:rPr>
        <w:t>1</w:t>
      </w:r>
      <w:r>
        <w:rPr>
          <w:rFonts w:hint="eastAsia" w:ascii="Times New Roman" w:hAnsi="Times New Roman" w:eastAsia="宋体"/>
        </w:rPr>
        <w:t>+q</w:t>
      </w:r>
      <w:r>
        <w:rPr>
          <w:rFonts w:hint="eastAsia" w:ascii="Times New Roman" w:hAnsi="Times New Roman" w:eastAsia="宋体"/>
          <w:vertAlign w:val="subscript"/>
        </w:rPr>
        <w:t>2</w:t>
      </w:r>
      <w:r>
        <w:rPr>
          <w:rFonts w:hint="eastAsia" w:ascii="Times New Roman" w:hAnsi="Times New Roman" w:eastAsia="宋体"/>
        </w:rPr>
        <w:t>/Q</w:t>
      </w:r>
      <w:r>
        <w:rPr>
          <w:rFonts w:hint="eastAsia" w:ascii="Times New Roman" w:hAnsi="Times New Roman" w:eastAsia="宋体"/>
          <w:vertAlign w:val="subscript"/>
        </w:rPr>
        <w:t>2</w:t>
      </w:r>
      <w:r>
        <w:rPr>
          <w:rFonts w:hint="eastAsia" w:ascii="Times New Roman" w:hAnsi="Times New Roman" w:eastAsia="宋体"/>
        </w:rPr>
        <w:t>=</w:t>
      </w:r>
      <w:r>
        <w:rPr>
          <w:rFonts w:hint="eastAsia" w:ascii="Times New Roman" w:hAnsi="Times New Roman" w:eastAsia="宋体"/>
          <w:lang w:val="en-US" w:eastAsia="zh-CN"/>
        </w:rPr>
        <w:t>80</w:t>
      </w:r>
      <w:r>
        <w:rPr>
          <w:rFonts w:hint="eastAsia" w:ascii="Times New Roman" w:hAnsi="Times New Roman" w:eastAsia="宋体"/>
        </w:rPr>
        <w:t>/200+</w:t>
      </w:r>
      <w:r>
        <w:rPr>
          <w:rFonts w:hint="eastAsia" w:ascii="Times New Roman" w:hAnsi="Times New Roman" w:eastAsia="宋体"/>
          <w:lang w:val="en-US" w:eastAsia="zh-CN"/>
        </w:rPr>
        <w:t>85</w:t>
      </w:r>
      <w:r>
        <w:rPr>
          <w:rFonts w:hint="eastAsia" w:ascii="Times New Roman" w:hAnsi="Times New Roman" w:eastAsia="宋体"/>
        </w:rPr>
        <w:t>/5000=0.</w:t>
      </w:r>
      <w:r>
        <w:rPr>
          <w:rFonts w:hint="eastAsia" w:ascii="Times New Roman" w:hAnsi="Times New Roman" w:eastAsia="宋体"/>
          <w:lang w:val="en-US" w:eastAsia="zh-CN"/>
        </w:rPr>
        <w:t>4</w:t>
      </w:r>
      <w:r>
        <w:rPr>
          <w:rFonts w:hint="eastAsia" w:ascii="Times New Roman" w:hAnsi="Times New Roman" w:eastAsia="宋体"/>
        </w:rPr>
        <w:t>+0.0</w:t>
      </w:r>
      <w:r>
        <w:rPr>
          <w:rFonts w:hint="eastAsia" w:ascii="Times New Roman" w:hAnsi="Times New Roman" w:eastAsia="宋体"/>
          <w:lang w:val="en-US" w:eastAsia="zh-CN"/>
        </w:rPr>
        <w:t>17</w:t>
      </w:r>
      <w:r>
        <w:rPr>
          <w:rFonts w:hint="eastAsia" w:ascii="Times New Roman" w:hAnsi="Times New Roman" w:eastAsia="宋体"/>
        </w:rPr>
        <w:t>=0.</w:t>
      </w:r>
      <w:r>
        <w:rPr>
          <w:rFonts w:hint="eastAsia" w:ascii="Times New Roman" w:hAnsi="Times New Roman" w:eastAsia="宋体"/>
          <w:lang w:val="en-US" w:eastAsia="zh-CN"/>
        </w:rPr>
        <w:t>417</w:t>
      </w:r>
      <w:r>
        <w:rPr>
          <w:rFonts w:hint="eastAsia" w:ascii="Times New Roman" w:hAnsi="Times New Roman" w:eastAsia="宋体"/>
        </w:rPr>
        <w:t>＜1。</w:t>
      </w:r>
    </w:p>
    <w:p w14:paraId="1CD9ED35">
      <w:pPr>
        <w:ind w:firstLine="560"/>
        <w:rPr>
          <w:rFonts w:ascii="Times New Roman" w:hAnsi="Times New Roman" w:eastAsia="宋体"/>
        </w:rPr>
      </w:pPr>
      <w:r>
        <w:rPr>
          <w:rFonts w:hint="eastAsia" w:ascii="Times New Roman" w:hAnsi="Times New Roman" w:eastAsia="宋体"/>
        </w:rPr>
        <w:t>因此，储罐区未构成危险化学品重大危险源。</w:t>
      </w:r>
    </w:p>
    <w:p w14:paraId="72CB9EB7">
      <w:pPr>
        <w:ind w:firstLine="560"/>
        <w:rPr>
          <w:rFonts w:ascii="Times New Roman" w:hAnsi="Times New Roman" w:eastAsia="宋体"/>
        </w:rPr>
      </w:pPr>
      <w:r>
        <w:rPr>
          <w:rFonts w:hint="eastAsia" w:ascii="Times New Roman" w:hAnsi="Times New Roman" w:eastAsia="宋体"/>
        </w:rPr>
        <w:t>综上，该站未构成危险化学品重大危险源。</w:t>
      </w:r>
      <w:r>
        <w:rPr>
          <w:rFonts w:ascii="Times New Roman" w:hAnsi="Times New Roman" w:eastAsia="宋体"/>
        </w:rPr>
        <w:br w:type="page"/>
      </w:r>
    </w:p>
    <w:p w14:paraId="607A46CC">
      <w:pPr>
        <w:spacing w:before="468" w:beforeLines="150" w:after="468" w:afterLines="150"/>
        <w:ind w:firstLine="0" w:firstLineChars="0"/>
        <w:jc w:val="center"/>
        <w:outlineLvl w:val="0"/>
        <w:rPr>
          <w:rFonts w:ascii="Times New Roman" w:hAnsi="Times New Roman" w:eastAsia="黑体" w:cs="Times New Roman"/>
          <w:b/>
          <w:bCs/>
          <w:sz w:val="32"/>
          <w:szCs w:val="32"/>
        </w:rPr>
      </w:pPr>
      <w:bookmarkStart w:id="114" w:name="_Toc218437774"/>
      <w:bookmarkStart w:id="115" w:name="_Toc31133"/>
      <w:r>
        <w:rPr>
          <w:rFonts w:ascii="Times New Roman" w:hAnsi="Times New Roman" w:eastAsia="黑体" w:cs="Times New Roman"/>
          <w:b/>
          <w:bCs/>
          <w:sz w:val="32"/>
          <w:szCs w:val="32"/>
        </w:rPr>
        <w:t>附件4定性、定量分析危险、有害程度的过程</w:t>
      </w:r>
      <w:bookmarkEnd w:id="114"/>
      <w:bookmarkEnd w:id="115"/>
    </w:p>
    <w:p w14:paraId="4DFAE543">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16" w:name="_Toc6698"/>
      <w:bookmarkStart w:id="117" w:name="_Toc28797"/>
      <w:bookmarkStart w:id="118" w:name="_Toc218437775"/>
      <w:bookmarkStart w:id="119" w:name="_Toc17510"/>
      <w:bookmarkStart w:id="120" w:name="_Toc15223"/>
      <w:r>
        <w:rPr>
          <w:rFonts w:ascii="Times New Roman" w:hAnsi="Times New Roman" w:eastAsia="楷体" w:cs="Times New Roman"/>
          <w:b/>
          <w:bCs/>
          <w:sz w:val="32"/>
          <w:szCs w:val="32"/>
        </w:rPr>
        <w:t>F4.1安全检查表法定性评价过程</w:t>
      </w:r>
      <w:bookmarkEnd w:id="116"/>
      <w:bookmarkEnd w:id="117"/>
      <w:bookmarkEnd w:id="118"/>
      <w:bookmarkEnd w:id="119"/>
    </w:p>
    <w:p w14:paraId="2D3A1D6C">
      <w:p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采用</w:t>
      </w:r>
      <w:r>
        <w:rPr>
          <w:rFonts w:hint="eastAsia" w:ascii="Times New Roman" w:hAnsi="Times New Roman" w:eastAsia="宋体" w:cs="Times New Roman"/>
          <w:szCs w:val="20"/>
          <w14:ligatures w14:val="none"/>
        </w:rPr>
        <w:t>“</w:t>
      </w:r>
      <w:r>
        <w:rPr>
          <w:rFonts w:ascii="Times New Roman" w:hAnsi="Times New Roman" w:eastAsia="宋体" w:cs="Times New Roman"/>
          <w:szCs w:val="20"/>
          <w14:ligatures w14:val="none"/>
        </w:rPr>
        <w:t>安全检查表法</w:t>
      </w:r>
      <w:r>
        <w:rPr>
          <w:rFonts w:hint="eastAsia" w:ascii="Times New Roman" w:hAnsi="Times New Roman" w:eastAsia="宋体" w:cs="Times New Roman"/>
          <w:szCs w:val="20"/>
          <w14:ligatures w14:val="none"/>
        </w:rPr>
        <w:t>”</w:t>
      </w:r>
      <w:r>
        <w:rPr>
          <w:rFonts w:ascii="Times New Roman" w:hAnsi="Times New Roman" w:eastAsia="宋体" w:cs="Times New Roman"/>
          <w:szCs w:val="20"/>
          <w14:ligatures w14:val="none"/>
        </w:rPr>
        <w:t>对</w:t>
      </w:r>
      <w:r>
        <w:rPr>
          <w:rFonts w:hint="eastAsia" w:ascii="Times New Roman" w:hAnsi="Times New Roman" w:eastAsia="宋体" w:cs="Times New Roman"/>
          <w:szCs w:val="20"/>
          <w14:ligatures w14:val="none"/>
        </w:rPr>
        <w:t>本项目</w:t>
      </w:r>
      <w:r>
        <w:rPr>
          <w:rFonts w:ascii="Times New Roman" w:hAnsi="Times New Roman" w:eastAsia="宋体" w:cs="Times New Roman"/>
          <w:szCs w:val="20"/>
          <w14:ligatures w14:val="none"/>
        </w:rPr>
        <w:t>的</w:t>
      </w:r>
      <w:r>
        <w:rPr>
          <w:rFonts w:ascii="Times New Roman" w:hAnsi="Times New Roman" w:eastAsia="宋体" w:cs="Times New Roman"/>
          <w:szCs w:val="28"/>
          <w14:ligatures w14:val="none"/>
        </w:rPr>
        <w:t>工艺设备及设施、公用工程及辅助设施</w:t>
      </w:r>
      <w:r>
        <w:rPr>
          <w:rFonts w:hint="eastAsia" w:ascii="Times New Roman" w:hAnsi="Times New Roman" w:eastAsia="宋体" w:cs="Times New Roman"/>
          <w:szCs w:val="28"/>
          <w14:ligatures w14:val="none"/>
        </w:rPr>
        <w:t>、事故应急及</w:t>
      </w:r>
      <w:r>
        <w:rPr>
          <w:rFonts w:ascii="Times New Roman" w:hAnsi="Times New Roman" w:eastAsia="宋体" w:cs="Times New Roman"/>
          <w:szCs w:val="28"/>
          <w14:ligatures w14:val="none"/>
        </w:rPr>
        <w:t>安全管理、重大生产安全事故隐患判定单元</w:t>
      </w:r>
      <w:r>
        <w:rPr>
          <w:rFonts w:ascii="Times New Roman" w:hAnsi="Times New Roman" w:eastAsia="宋体" w:cs="Times New Roman"/>
          <w:szCs w:val="20"/>
          <w14:ligatures w14:val="none"/>
        </w:rPr>
        <w:t>进行分析评价，评价过程详见附表4.1-1和附表4.1-2，站内加油工艺设备</w:t>
      </w:r>
      <w:r>
        <w:rPr>
          <w:rFonts w:hint="eastAsia" w:ascii="Times New Roman" w:hAnsi="Times New Roman" w:eastAsia="宋体" w:cs="Times New Roman"/>
          <w:szCs w:val="20"/>
          <w14:ligatures w14:val="none"/>
        </w:rPr>
        <w:t>防火间距及</w:t>
      </w:r>
      <w:r>
        <w:rPr>
          <w:rFonts w:ascii="Times New Roman" w:hAnsi="Times New Roman" w:eastAsia="宋体" w:cs="Times New Roman"/>
          <w:szCs w:val="20"/>
          <w14:ligatures w14:val="none"/>
        </w:rPr>
        <w:t>与站外建（构）筑物安全间距详见附表4.1-3</w:t>
      </w:r>
      <w:r>
        <w:rPr>
          <w:rFonts w:hint="eastAsia" w:ascii="Times New Roman" w:hAnsi="Times New Roman" w:eastAsia="宋体" w:cs="Times New Roman"/>
          <w:szCs w:val="20"/>
          <w14:ligatures w14:val="none"/>
        </w:rPr>
        <w:t>和</w:t>
      </w:r>
      <w:r>
        <w:rPr>
          <w:rFonts w:ascii="Times New Roman" w:hAnsi="Times New Roman" w:eastAsia="宋体" w:cs="Times New Roman"/>
          <w:szCs w:val="20"/>
          <w14:ligatures w14:val="none"/>
        </w:rPr>
        <w:t>4.1-4。</w:t>
      </w:r>
    </w:p>
    <w:p w14:paraId="29878929">
      <w:pPr>
        <w:keepNext/>
        <w:keepLines/>
        <w:spacing w:before="156" w:beforeLines="50" w:after="156" w:afterLines="50" w:line="240" w:lineRule="auto"/>
        <w:ind w:firstLine="0" w:firstLineChars="0"/>
        <w:jc w:val="center"/>
        <w:rPr>
          <w:rFonts w:ascii="Times New Roman" w:hAnsi="Times New Roman" w:eastAsia="黑体"/>
          <w:sz w:val="24"/>
        </w:rPr>
      </w:pPr>
      <w:r>
        <w:rPr>
          <w:rFonts w:ascii="Times New Roman" w:hAnsi="Times New Roman" w:eastAsia="黑体"/>
          <w:sz w:val="24"/>
        </w:rPr>
        <w:t>附表4.1-1  安全检查表</w:t>
      </w:r>
    </w:p>
    <w:tbl>
      <w:tblPr>
        <w:tblStyle w:val="33"/>
        <w:tblW w:w="4992" w:type="pct"/>
        <w:jc w:val="center"/>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13"/>
        <w:gridCol w:w="3648"/>
        <w:gridCol w:w="1869"/>
        <w:gridCol w:w="2093"/>
        <w:gridCol w:w="739"/>
      </w:tblGrid>
      <w:tr w14:paraId="31F969B9">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43" w:type="pct"/>
            <w:vAlign w:val="center"/>
          </w:tcPr>
          <w:p w14:paraId="4FA5A3F7">
            <w:pPr>
              <w:tabs>
                <w:tab w:val="left" w:pos="3532"/>
              </w:tabs>
              <w:adjustRightInd/>
              <w:snapToGrid/>
              <w:spacing w:line="240" w:lineRule="auto"/>
              <w:ind w:firstLine="0" w:firstLineChars="0"/>
              <w:jc w:val="left"/>
              <w:rPr>
                <w:rFonts w:hint="default" w:ascii="Times New Roman" w:hAnsi="Times New Roman" w:eastAsia="宋体" w:cs="Times New Roman"/>
                <w:kern w:val="28"/>
                <w:sz w:val="21"/>
                <w:szCs w:val="21"/>
                <w14:ligatures w14:val="none"/>
              </w:rPr>
            </w:pPr>
            <w:r>
              <w:rPr>
                <w:rFonts w:hint="default" w:ascii="Times New Roman" w:hAnsi="Times New Roman" w:eastAsia="宋体" w:cs="Times New Roman"/>
                <w:kern w:val="28"/>
                <w:sz w:val="21"/>
                <w:szCs w:val="21"/>
                <w14:ligatures w14:val="none"/>
              </w:rPr>
              <w:t>项目</w:t>
            </w:r>
          </w:p>
        </w:tc>
        <w:tc>
          <w:tcPr>
            <w:tcW w:w="1991" w:type="pct"/>
            <w:vAlign w:val="center"/>
          </w:tcPr>
          <w:p w14:paraId="20900BCE">
            <w:pPr>
              <w:spacing w:line="240" w:lineRule="auto"/>
              <w:ind w:firstLine="0" w:firstLineChars="0"/>
              <w:jc w:val="center"/>
              <w:rPr>
                <w:rFonts w:hint="default" w:ascii="Times New Roman" w:hAnsi="Times New Roman" w:eastAsia="宋体" w:cs="Times New Roman"/>
                <w:kern w:val="28"/>
                <w:sz w:val="21"/>
                <w:szCs w:val="21"/>
                <w14:ligatures w14:val="none"/>
              </w:rPr>
            </w:pPr>
            <w:r>
              <w:rPr>
                <w:rFonts w:hint="default" w:ascii="Times New Roman" w:hAnsi="Times New Roman" w:eastAsia="宋体" w:cs="Times New Roman"/>
                <w:kern w:val="28"/>
                <w:sz w:val="21"/>
                <w:szCs w:val="21"/>
                <w14:ligatures w14:val="none"/>
              </w:rPr>
              <w:t>检查内容</w:t>
            </w:r>
          </w:p>
        </w:tc>
        <w:tc>
          <w:tcPr>
            <w:tcW w:w="1020" w:type="pct"/>
            <w:vAlign w:val="center"/>
          </w:tcPr>
          <w:p w14:paraId="5121A5D7">
            <w:pPr>
              <w:spacing w:line="240" w:lineRule="auto"/>
              <w:ind w:firstLine="0" w:firstLineChars="0"/>
              <w:jc w:val="center"/>
              <w:rPr>
                <w:rFonts w:hint="default" w:ascii="Times New Roman" w:hAnsi="Times New Roman" w:eastAsia="宋体" w:cs="Times New Roman"/>
                <w:kern w:val="28"/>
                <w:sz w:val="21"/>
                <w:szCs w:val="21"/>
                <w14:ligatures w14:val="none"/>
              </w:rPr>
            </w:pPr>
            <w:r>
              <w:rPr>
                <w:rFonts w:hint="default" w:ascii="Times New Roman" w:hAnsi="Times New Roman" w:eastAsia="宋体" w:cs="Times New Roman"/>
                <w:kern w:val="28"/>
                <w:sz w:val="21"/>
                <w:szCs w:val="21"/>
                <w14:ligatures w14:val="none"/>
              </w:rPr>
              <w:t>依据</w:t>
            </w:r>
          </w:p>
        </w:tc>
        <w:tc>
          <w:tcPr>
            <w:tcW w:w="1142" w:type="pct"/>
            <w:vAlign w:val="center"/>
          </w:tcPr>
          <w:p w14:paraId="12E4184D">
            <w:pPr>
              <w:spacing w:line="240" w:lineRule="auto"/>
              <w:ind w:firstLine="0" w:firstLineChars="0"/>
              <w:jc w:val="center"/>
              <w:rPr>
                <w:rFonts w:hint="default" w:ascii="Times New Roman" w:hAnsi="Times New Roman" w:eastAsia="宋体" w:cs="Times New Roman"/>
                <w:kern w:val="28"/>
                <w:sz w:val="21"/>
                <w:szCs w:val="21"/>
                <w14:ligatures w14:val="none"/>
              </w:rPr>
            </w:pPr>
            <w:r>
              <w:rPr>
                <w:rFonts w:hint="default" w:ascii="Times New Roman" w:hAnsi="Times New Roman" w:eastAsia="宋体" w:cs="Times New Roman"/>
                <w:kern w:val="28"/>
                <w:sz w:val="21"/>
                <w:szCs w:val="21"/>
                <w14:ligatures w14:val="none"/>
              </w:rPr>
              <w:t>检查记录</w:t>
            </w:r>
          </w:p>
        </w:tc>
        <w:tc>
          <w:tcPr>
            <w:tcW w:w="403" w:type="pct"/>
            <w:vAlign w:val="center"/>
          </w:tcPr>
          <w:p w14:paraId="53850ABA">
            <w:pPr>
              <w:spacing w:line="240" w:lineRule="auto"/>
              <w:ind w:firstLine="0" w:firstLineChars="0"/>
              <w:jc w:val="center"/>
              <w:rPr>
                <w:rFonts w:hint="default" w:ascii="Times New Roman" w:hAnsi="Times New Roman" w:eastAsia="宋体" w:cs="Times New Roman"/>
                <w:kern w:val="28"/>
                <w:sz w:val="21"/>
                <w:szCs w:val="21"/>
                <w14:ligatures w14:val="none"/>
              </w:rPr>
            </w:pPr>
            <w:r>
              <w:rPr>
                <w:rFonts w:hint="default" w:ascii="Times New Roman" w:hAnsi="Times New Roman" w:eastAsia="宋体" w:cs="Times New Roman"/>
                <w:kern w:val="28"/>
                <w:sz w:val="21"/>
                <w:szCs w:val="21"/>
                <w14:ligatures w14:val="none"/>
              </w:rPr>
              <w:t>结论</w:t>
            </w:r>
          </w:p>
        </w:tc>
      </w:tr>
      <w:tr w14:paraId="403B3CA7">
        <w:tblPrEx>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5"/>
            <w:vAlign w:val="center"/>
          </w:tcPr>
          <w:p w14:paraId="7EC0A9B3">
            <w:pPr>
              <w:spacing w:line="240" w:lineRule="auto"/>
              <w:ind w:firstLine="0" w:firstLineChars="0"/>
              <w:jc w:val="center"/>
              <w:rPr>
                <w:rFonts w:hint="default" w:ascii="Times New Roman" w:hAnsi="Times New Roman" w:eastAsia="宋体" w:cs="Times New Roman"/>
                <w:kern w:val="28"/>
                <w:sz w:val="21"/>
                <w:szCs w:val="21"/>
                <w14:ligatures w14:val="none"/>
              </w:rPr>
            </w:pPr>
            <w:r>
              <w:rPr>
                <w:rFonts w:hint="default" w:ascii="Times New Roman" w:hAnsi="Times New Roman" w:eastAsia="宋体" w:cs="Times New Roman"/>
                <w:kern w:val="28"/>
                <w:sz w:val="21"/>
                <w:szCs w:val="21"/>
                <w14:ligatures w14:val="none"/>
              </w:rPr>
              <w:t>一、工艺及设施单元</w:t>
            </w:r>
          </w:p>
        </w:tc>
      </w:tr>
      <w:tr w14:paraId="244A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restart"/>
            <w:vAlign w:val="center"/>
          </w:tcPr>
          <w:p w14:paraId="3B9299A0">
            <w:pPr>
              <w:adjustRightInd/>
              <w:snapToGrid/>
              <w:spacing w:line="240" w:lineRule="auto"/>
              <w:ind w:firstLine="210" w:firstLineChars="10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油</w:t>
            </w:r>
          </w:p>
          <w:p w14:paraId="021C697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罐</w:t>
            </w:r>
          </w:p>
        </w:tc>
        <w:tc>
          <w:tcPr>
            <w:tcW w:w="1991" w:type="pct"/>
            <w:vAlign w:val="center"/>
          </w:tcPr>
          <w:p w14:paraId="1707BC80">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1、车用乙醇汽油罐和柴油罐是否埋地设置，且不设在室内或地下室内。</w:t>
            </w:r>
          </w:p>
        </w:tc>
        <w:tc>
          <w:tcPr>
            <w:tcW w:w="1020" w:type="pct"/>
            <w:vAlign w:val="center"/>
          </w:tcPr>
          <w:p w14:paraId="1ED7370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GB50156-2021</w:t>
            </w:r>
          </w:p>
          <w:p w14:paraId="416788D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第6.1.1条</w:t>
            </w:r>
          </w:p>
        </w:tc>
        <w:tc>
          <w:tcPr>
            <w:tcW w:w="1142" w:type="pct"/>
            <w:vAlign w:val="center"/>
          </w:tcPr>
          <w:p w14:paraId="3BF9BD3B">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车用乙醇汽油罐和柴油罐埋地设置，未设在室内或地下室内</w:t>
            </w:r>
          </w:p>
        </w:tc>
        <w:tc>
          <w:tcPr>
            <w:tcW w:w="403" w:type="pct"/>
            <w:vAlign w:val="center"/>
          </w:tcPr>
          <w:p w14:paraId="76DD567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26CF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579037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1E879480">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2、加油站埋地油罐是否采用下列之一的防渗方式：</w:t>
            </w:r>
          </w:p>
          <w:p w14:paraId="5258ADEB">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①单层油罐设置防渗罐池。</w:t>
            </w:r>
          </w:p>
          <w:p w14:paraId="2F14EBC9">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②采用双层油罐。</w:t>
            </w:r>
          </w:p>
        </w:tc>
        <w:tc>
          <w:tcPr>
            <w:tcW w:w="1020" w:type="pct"/>
            <w:vAlign w:val="center"/>
          </w:tcPr>
          <w:p w14:paraId="50A6489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GB50156-2021</w:t>
            </w:r>
          </w:p>
          <w:p w14:paraId="163AFEF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第6.5.1条</w:t>
            </w:r>
          </w:p>
        </w:tc>
        <w:tc>
          <w:tcPr>
            <w:tcW w:w="1142" w:type="pct"/>
            <w:vAlign w:val="center"/>
          </w:tcPr>
          <w:p w14:paraId="705492E9">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本项目采用双层油罐</w:t>
            </w:r>
          </w:p>
        </w:tc>
        <w:tc>
          <w:tcPr>
            <w:tcW w:w="403" w:type="pct"/>
            <w:vAlign w:val="center"/>
          </w:tcPr>
          <w:p w14:paraId="7794E98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540A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1EB8AD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143A1D18">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3</w:t>
            </w:r>
            <w:r>
              <w:rPr>
                <w:rFonts w:hint="default" w:ascii="Times New Roman" w:hAnsi="Times New Roman" w:eastAsia="宋体" w:cs="Times New Roman"/>
                <w:sz w:val="21"/>
                <w:szCs w:val="21"/>
                <w14:ligatures w14:val="none"/>
              </w:rPr>
              <w:t>、汽车加油站的储油罐，</w:t>
            </w:r>
            <w:r>
              <w:rPr>
                <w:rFonts w:hint="default" w:ascii="Times New Roman" w:hAnsi="Times New Roman" w:eastAsia="宋体" w:cs="Times New Roman"/>
                <w:spacing w:val="10"/>
                <w:sz w:val="21"/>
                <w:szCs w:val="21"/>
                <w14:ligatures w14:val="none"/>
              </w:rPr>
              <w:t>是否采用卧式油罐。</w:t>
            </w:r>
          </w:p>
        </w:tc>
        <w:tc>
          <w:tcPr>
            <w:tcW w:w="1020" w:type="pct"/>
            <w:vAlign w:val="center"/>
          </w:tcPr>
          <w:p w14:paraId="147AE409">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bookmarkStart w:id="121" w:name="OLE_LINK51"/>
            <w:r>
              <w:rPr>
                <w:rFonts w:hint="default" w:ascii="Times New Roman" w:hAnsi="Times New Roman" w:eastAsia="宋体" w:cs="Times New Roman"/>
                <w:bCs/>
                <w:sz w:val="21"/>
                <w:szCs w:val="21"/>
                <w14:ligatures w14:val="none"/>
              </w:rPr>
              <w:t>GB50156-2021</w:t>
            </w:r>
          </w:p>
          <w:p w14:paraId="498AD73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第6.1.2条</w:t>
            </w:r>
            <w:bookmarkEnd w:id="121"/>
          </w:p>
        </w:tc>
        <w:tc>
          <w:tcPr>
            <w:tcW w:w="1142" w:type="pct"/>
            <w:vAlign w:val="center"/>
          </w:tcPr>
          <w:p w14:paraId="6E6FC17B">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储油罐采用卧式油罐</w:t>
            </w:r>
          </w:p>
        </w:tc>
        <w:tc>
          <w:tcPr>
            <w:tcW w:w="403" w:type="pct"/>
            <w:vAlign w:val="center"/>
          </w:tcPr>
          <w:p w14:paraId="505E7DB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7FC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20BD8B8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29DEC7F">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4</w:t>
            </w:r>
            <w:r>
              <w:rPr>
                <w:rFonts w:hint="default" w:ascii="Times New Roman" w:hAnsi="Times New Roman" w:eastAsia="宋体" w:cs="Times New Roman"/>
                <w:spacing w:val="10"/>
                <w:sz w:val="21"/>
                <w:szCs w:val="21"/>
                <w14:ligatures w14:val="none"/>
              </w:rPr>
              <w:t>、埋地油罐需要采用双层油罐时，可采用双层钢制油罐、双层玻璃纤维增强塑料油罐、内钢外玻璃纤维增强塑料双层油罐。既有加油站的埋地单层钢制油罐改造为双层油罐时，可采用玻璃纤维增强塑料等满足强度和防渗要求的材料进行衬里改造。</w:t>
            </w:r>
          </w:p>
        </w:tc>
        <w:tc>
          <w:tcPr>
            <w:tcW w:w="1020" w:type="pct"/>
            <w:vAlign w:val="center"/>
          </w:tcPr>
          <w:p w14:paraId="1F8677B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bookmarkStart w:id="122" w:name="OLE_LINK60"/>
            <w:r>
              <w:rPr>
                <w:rFonts w:hint="default" w:ascii="Times New Roman" w:hAnsi="Times New Roman" w:eastAsia="宋体" w:cs="Times New Roman"/>
                <w:bCs/>
                <w:sz w:val="21"/>
                <w:szCs w:val="21"/>
                <w14:ligatures w14:val="none"/>
              </w:rPr>
              <w:t>GB50156-2021</w:t>
            </w:r>
          </w:p>
          <w:p w14:paraId="04AA7395">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第6.1.3条</w:t>
            </w:r>
            <w:bookmarkEnd w:id="122"/>
          </w:p>
        </w:tc>
        <w:tc>
          <w:tcPr>
            <w:tcW w:w="1142" w:type="pct"/>
            <w:vAlign w:val="center"/>
          </w:tcPr>
          <w:p w14:paraId="1A20CA09">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站内埋地油罐采用双层油罐，材质为内钢外玻璃（SF）</w:t>
            </w:r>
          </w:p>
        </w:tc>
        <w:tc>
          <w:tcPr>
            <w:tcW w:w="403" w:type="pct"/>
            <w:vAlign w:val="center"/>
          </w:tcPr>
          <w:p w14:paraId="76F389D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5B9B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04C331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DAE3739">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5、</w:t>
            </w:r>
            <w:r>
              <w:rPr>
                <w:rFonts w:hint="default" w:ascii="Times New Roman" w:hAnsi="Times New Roman" w:eastAsia="宋体" w:cs="Times New Roman"/>
                <w:spacing w:val="10"/>
                <w:sz w:val="21"/>
                <w:szCs w:val="21"/>
                <w14:ligatures w14:val="none"/>
              </w:rPr>
              <w:t>单层钢制油罐、双层钢制油罐和内钢外玻璃纤维增强塑料双层油罐的内层罐的罐体结构设计，可按现行行业标准《钢制常压储罐 第一部分：储存对水有污染的易燃和不易燃液体的埋地卧式圆筒形单层和双层储罐》AQ 3020的有关规定执行，并应符合下列规定：</w:t>
            </w:r>
          </w:p>
          <w:p w14:paraId="2979B302">
            <w:pPr>
              <w:spacing w:line="240" w:lineRule="auto"/>
              <w:ind w:firstLine="0" w:firstLineChars="0"/>
              <w:rPr>
                <w:rFonts w:hint="default" w:ascii="Times New Roman" w:hAnsi="Times New Roman" w:eastAsia="宋体" w:cs="Times New Roman"/>
                <w:spacing w:val="10"/>
                <w:sz w:val="21"/>
                <w:szCs w:val="21"/>
                <w:lang w:val="en-US" w:eastAsia="zh-CN"/>
                <w14:ligatures w14:val="none"/>
              </w:rPr>
            </w:pPr>
            <w:r>
              <w:rPr>
                <w:rFonts w:hint="default" w:ascii="Times New Roman" w:hAnsi="Times New Roman" w:eastAsia="宋体" w:cs="Times New Roman"/>
                <w:spacing w:val="10"/>
                <w:sz w:val="21"/>
                <w:szCs w:val="21"/>
                <w14:ligatures w14:val="none"/>
              </w:rPr>
              <w:t>①钢制油罐的罐体和封头所用钢板的公称厚度，不应小于表6.1.4的规定。②钢制油罐的设计内压不应低于0.08MPa。</w:t>
            </w:r>
          </w:p>
        </w:tc>
        <w:tc>
          <w:tcPr>
            <w:tcW w:w="1020" w:type="pct"/>
            <w:vAlign w:val="center"/>
          </w:tcPr>
          <w:p w14:paraId="70BC4BCA">
            <w:pPr>
              <w:spacing w:line="240" w:lineRule="auto"/>
              <w:ind w:firstLine="0" w:firstLineChars="0"/>
              <w:jc w:val="center"/>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GB50156-2021</w:t>
            </w:r>
          </w:p>
          <w:p w14:paraId="392A94BF">
            <w:pPr>
              <w:spacing w:line="240" w:lineRule="auto"/>
              <w:ind w:firstLine="0" w:firstLineChars="0"/>
              <w:jc w:val="center"/>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第6.1.4条</w:t>
            </w:r>
          </w:p>
        </w:tc>
        <w:tc>
          <w:tcPr>
            <w:tcW w:w="1142" w:type="pct"/>
            <w:vAlign w:val="center"/>
          </w:tcPr>
          <w:p w14:paraId="6C17E0FD">
            <w:pPr>
              <w:spacing w:line="240" w:lineRule="auto"/>
              <w:ind w:firstLine="0" w:firstLineChars="0"/>
              <w:jc w:val="both"/>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采用SF双层油罐，合格证明见附件</w:t>
            </w:r>
          </w:p>
        </w:tc>
        <w:tc>
          <w:tcPr>
            <w:tcW w:w="403" w:type="pct"/>
            <w:vAlign w:val="center"/>
          </w:tcPr>
          <w:p w14:paraId="206F10DA">
            <w:pPr>
              <w:spacing w:line="240" w:lineRule="auto"/>
              <w:ind w:firstLine="0" w:firstLineChars="0"/>
              <w:jc w:val="both"/>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符合</w:t>
            </w:r>
          </w:p>
        </w:tc>
      </w:tr>
      <w:tr w14:paraId="7FBE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0F4139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3CCA06CF">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6</w:t>
            </w:r>
            <w:r>
              <w:rPr>
                <w:rFonts w:hint="default" w:ascii="Times New Roman" w:hAnsi="Times New Roman" w:eastAsia="宋体" w:cs="Times New Roman"/>
                <w:spacing w:val="10"/>
                <w:sz w:val="21"/>
                <w:szCs w:val="21"/>
                <w14:ligatures w14:val="none"/>
              </w:rPr>
              <w:t>、选用的双层玻璃纤维增强塑料油罐是否符合现行行业标准《加油站用埋地玻璃纤维增强塑料双层油罐工程技术规范》SH/T3177的有关规定；选用的钢-玻璃纤维增强塑料双层油罐是否符合现行行业标准《加油站用埋地钢-玻璃纤维增强塑料双层油罐工程技术规范》SH/T3178的有关规定。</w:t>
            </w:r>
          </w:p>
        </w:tc>
        <w:tc>
          <w:tcPr>
            <w:tcW w:w="1020" w:type="pct"/>
            <w:vAlign w:val="center"/>
          </w:tcPr>
          <w:p w14:paraId="2D73FD14">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55C0C5DA">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第6.1.5条</w:t>
            </w:r>
          </w:p>
        </w:tc>
        <w:tc>
          <w:tcPr>
            <w:tcW w:w="1142" w:type="pct"/>
            <w:vAlign w:val="center"/>
          </w:tcPr>
          <w:p w14:paraId="5F731103">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站内埋地油罐采用双层油罐，材质为内钢外玻璃（SF），符合相关要求，双层油罐证明文件详见附件</w:t>
            </w:r>
          </w:p>
        </w:tc>
        <w:tc>
          <w:tcPr>
            <w:tcW w:w="403" w:type="pct"/>
            <w:vAlign w:val="center"/>
          </w:tcPr>
          <w:p w14:paraId="5C60919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E68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478401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3CAE8D66">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pacing w:val="10"/>
                <w:sz w:val="21"/>
                <w:szCs w:val="21"/>
                <w:lang w:val="en-US" w:eastAsia="zh-CN"/>
                <w14:ligatures w14:val="none"/>
              </w:rPr>
              <w:t>7</w:t>
            </w:r>
            <w:r>
              <w:rPr>
                <w:rFonts w:hint="default" w:ascii="Times New Roman" w:hAnsi="Times New Roman" w:eastAsia="宋体" w:cs="Times New Roman"/>
                <w:spacing w:val="10"/>
                <w:sz w:val="21"/>
                <w:szCs w:val="21"/>
                <w14:ligatures w14:val="none"/>
              </w:rPr>
              <w:t>、双层油罐内壁与外壁之间应有满足渗、漏检测要求的贯通间隙。</w:t>
            </w:r>
          </w:p>
        </w:tc>
        <w:tc>
          <w:tcPr>
            <w:tcW w:w="1020" w:type="pct"/>
            <w:vAlign w:val="center"/>
          </w:tcPr>
          <w:p w14:paraId="0F73547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567C9EAA">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第6.1.9条</w:t>
            </w:r>
          </w:p>
        </w:tc>
        <w:tc>
          <w:tcPr>
            <w:tcW w:w="1142" w:type="pct"/>
            <w:vAlign w:val="center"/>
          </w:tcPr>
          <w:p w14:paraId="05DFD181">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双层油罐内壁与外壁之间留有渗、漏检测要求的贯通间隙</w:t>
            </w:r>
          </w:p>
        </w:tc>
        <w:tc>
          <w:tcPr>
            <w:tcW w:w="403" w:type="pct"/>
            <w:vAlign w:val="center"/>
          </w:tcPr>
          <w:p w14:paraId="7674EAF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DCC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DBE544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9B3C265">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pacing w:val="10"/>
                <w:sz w:val="21"/>
                <w:szCs w:val="21"/>
                <w:lang w:val="en-US" w:eastAsia="zh-CN"/>
                <w14:ligatures w14:val="none"/>
              </w:rPr>
              <w:t>8</w:t>
            </w:r>
            <w:r>
              <w:rPr>
                <w:rFonts w:hint="default" w:ascii="Times New Roman" w:hAnsi="Times New Roman" w:eastAsia="宋体" w:cs="Times New Roman"/>
                <w:spacing w:val="10"/>
                <w:sz w:val="21"/>
                <w:szCs w:val="21"/>
                <w14:ligatures w14:val="none"/>
              </w:rPr>
              <w:t>、双层钢制油罐、内钢外玻璃纤维增强塑料双层油罐和玻璃纤维增强塑料等非金属防渗衬里的双层油罐，应设渗漏检测立管，并应符合下列规定：①检测立管应采用钢管，直径宜为80mm，壁厚不宜小于4mm。②检测立管应位于油罐顶部的纵向中心线上。③检测立管的底部管口应与油罐内、外壁间隙相连通，顶部管口应装防尘盖。④检测立管应满足人工检测和在线监测的要求，并应保证油罐内、外壁任何部位出现渗漏均能被发现。</w:t>
            </w:r>
          </w:p>
        </w:tc>
        <w:tc>
          <w:tcPr>
            <w:tcW w:w="1020" w:type="pct"/>
            <w:vAlign w:val="center"/>
          </w:tcPr>
          <w:p w14:paraId="503562C0">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2B1A3339">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第6.1.10条</w:t>
            </w:r>
          </w:p>
        </w:tc>
        <w:tc>
          <w:tcPr>
            <w:tcW w:w="1142" w:type="pct"/>
            <w:vAlign w:val="center"/>
          </w:tcPr>
          <w:p w14:paraId="272BD286">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站内双层罐（SF埋地油罐--内钢外玻璃纤维增强塑料双层油罐）防渗漏检测满足规范要求</w:t>
            </w:r>
          </w:p>
        </w:tc>
        <w:tc>
          <w:tcPr>
            <w:tcW w:w="403" w:type="pct"/>
            <w:vAlign w:val="center"/>
          </w:tcPr>
          <w:p w14:paraId="573816B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DAAB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0E1919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89BF2BF">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pacing w:val="10"/>
                <w:sz w:val="21"/>
                <w:szCs w:val="21"/>
                <w:lang w:val="en-US" w:eastAsia="zh-CN"/>
                <w14:ligatures w14:val="none"/>
              </w:rPr>
              <w:t>9</w:t>
            </w:r>
            <w:r>
              <w:rPr>
                <w:rFonts w:hint="default" w:ascii="Times New Roman" w:hAnsi="Times New Roman" w:eastAsia="宋体" w:cs="Times New Roman"/>
                <w:spacing w:val="10"/>
                <w:sz w:val="21"/>
                <w:szCs w:val="21"/>
                <w14:ligatures w14:val="none"/>
              </w:rPr>
              <w:t>、油罐是否采用钢制人孔盖。</w:t>
            </w:r>
          </w:p>
        </w:tc>
        <w:tc>
          <w:tcPr>
            <w:tcW w:w="1020" w:type="pct"/>
            <w:vAlign w:val="center"/>
          </w:tcPr>
          <w:p w14:paraId="11BC8AD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09281555">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第6.1.11条</w:t>
            </w:r>
          </w:p>
        </w:tc>
        <w:tc>
          <w:tcPr>
            <w:tcW w:w="1142" w:type="pct"/>
            <w:vAlign w:val="center"/>
          </w:tcPr>
          <w:p w14:paraId="61C71792">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采用钢制人孔盖</w:t>
            </w:r>
          </w:p>
        </w:tc>
        <w:tc>
          <w:tcPr>
            <w:tcW w:w="403" w:type="pct"/>
            <w:vAlign w:val="center"/>
          </w:tcPr>
          <w:p w14:paraId="2DE036F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50C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85EAB3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12DAEA9F">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z w:val="21"/>
                <w:szCs w:val="21"/>
                <w:lang w:val="en-US" w:eastAsia="zh-CN"/>
                <w14:ligatures w14:val="none"/>
              </w:rPr>
              <w:t>10</w:t>
            </w:r>
            <w:r>
              <w:rPr>
                <w:rFonts w:hint="default" w:ascii="Times New Roman" w:hAnsi="Times New Roman" w:eastAsia="宋体" w:cs="Times New Roman"/>
                <w:sz w:val="21"/>
                <w:szCs w:val="21"/>
                <w14:ligatures w14:val="none"/>
              </w:rPr>
              <w:t>、</w:t>
            </w:r>
            <w:r>
              <w:rPr>
                <w:rFonts w:hint="default" w:ascii="Times New Roman" w:hAnsi="Times New Roman" w:eastAsia="宋体" w:cs="Times New Roman"/>
                <w:spacing w:val="10"/>
                <w:sz w:val="21"/>
                <w:szCs w:val="21"/>
                <w14:ligatures w14:val="none"/>
              </w:rPr>
              <w:t>油罐设在非车行道下面时，罐顶的覆土厚度不应小于0.5m；设在车行道下面时，罐顶低于混凝土路面不宜小于0.9m。钢制油罐的周围是否回填中性沙或细土，其厚度是否不小于0.3m；外层为玻璃钢纤维增强塑料材料的油罐，其回填料应符合产品说明书。</w:t>
            </w:r>
          </w:p>
        </w:tc>
        <w:tc>
          <w:tcPr>
            <w:tcW w:w="1020" w:type="pct"/>
            <w:vAlign w:val="center"/>
          </w:tcPr>
          <w:p w14:paraId="73678B7C">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665EF6F3">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第6.1.12条</w:t>
            </w:r>
          </w:p>
        </w:tc>
        <w:tc>
          <w:tcPr>
            <w:tcW w:w="1142" w:type="pct"/>
            <w:vAlign w:val="center"/>
          </w:tcPr>
          <w:p w14:paraId="6434BF7D">
            <w:pPr>
              <w:spacing w:line="240" w:lineRule="auto"/>
              <w:ind w:firstLine="0" w:firstLineChars="0"/>
              <w:rPr>
                <w:rFonts w:hint="default" w:ascii="Times New Roman" w:hAnsi="Times New Roman" w:eastAsia="宋体" w:cs="Times New Roman"/>
                <w:sz w:val="21"/>
                <w:szCs w:val="21"/>
                <w:lang w:val="en-US"/>
                <w14:ligatures w14:val="none"/>
              </w:rPr>
            </w:pPr>
            <w:r>
              <w:rPr>
                <w:rFonts w:hint="default" w:ascii="Times New Roman" w:hAnsi="Times New Roman" w:eastAsia="宋体" w:cs="Times New Roman"/>
                <w:sz w:val="21"/>
                <w:szCs w:val="21"/>
                <w14:ligatures w14:val="none"/>
              </w:rPr>
              <w:t>储罐设置在行车道下，</w:t>
            </w:r>
            <w:r>
              <w:rPr>
                <w:rFonts w:hint="eastAsia" w:ascii="Times New Roman" w:hAnsi="Times New Roman" w:eastAsia="宋体" w:cs="Times New Roman"/>
                <w:sz w:val="21"/>
                <w:szCs w:val="21"/>
                <w:lang w:val="en-US" w:eastAsia="zh-CN"/>
                <w14:ligatures w14:val="none"/>
              </w:rPr>
              <w:t>罐顶低于混凝土路面1.1m，并按照产品说明书的要求选用回填料</w:t>
            </w:r>
          </w:p>
        </w:tc>
        <w:tc>
          <w:tcPr>
            <w:tcW w:w="403" w:type="pct"/>
            <w:vAlign w:val="center"/>
          </w:tcPr>
          <w:p w14:paraId="56A2F7E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639C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D70A5A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659083D6">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w:t>
            </w:r>
            <w:r>
              <w:rPr>
                <w:rFonts w:hint="eastAsia" w:ascii="Times New Roman" w:hAnsi="Times New Roman" w:eastAsia="宋体" w:cs="Times New Roman"/>
                <w:spacing w:val="10"/>
                <w:sz w:val="21"/>
                <w:szCs w:val="21"/>
                <w:lang w:val="en-US" w:eastAsia="zh-CN"/>
                <w14:ligatures w14:val="none"/>
              </w:rPr>
              <w:t>1</w:t>
            </w:r>
            <w:r>
              <w:rPr>
                <w:rFonts w:hint="default" w:ascii="Times New Roman" w:hAnsi="Times New Roman" w:eastAsia="宋体" w:cs="Times New Roman"/>
                <w:spacing w:val="10"/>
                <w:sz w:val="21"/>
                <w:szCs w:val="21"/>
                <w14:ligatures w14:val="none"/>
              </w:rPr>
              <w:t>、当油罐受地下水或雨水作用有上浮可能时，是否采取防止油罐上浮的措施。</w:t>
            </w:r>
          </w:p>
        </w:tc>
        <w:tc>
          <w:tcPr>
            <w:tcW w:w="1020" w:type="pct"/>
            <w:vAlign w:val="center"/>
          </w:tcPr>
          <w:p w14:paraId="741E862D">
            <w:pPr>
              <w:adjustRightInd/>
              <w:snapToGrid/>
              <w:spacing w:line="240" w:lineRule="auto"/>
              <w:ind w:firstLine="0" w:firstLineChars="0"/>
              <w:jc w:val="center"/>
              <w:rPr>
                <w:rFonts w:hint="default" w:ascii="Times New Roman" w:hAnsi="Times New Roman" w:eastAsia="宋体" w:cs="Times New Roman"/>
                <w:kern w:val="28"/>
                <w:sz w:val="21"/>
                <w:szCs w:val="21"/>
                <w14:ligatures w14:val="none"/>
              </w:rPr>
            </w:pPr>
            <w:r>
              <w:rPr>
                <w:rFonts w:hint="default" w:ascii="Times New Roman" w:hAnsi="Times New Roman" w:eastAsia="宋体" w:cs="Times New Roman"/>
                <w:spacing w:val="10"/>
                <w:sz w:val="21"/>
                <w:szCs w:val="21"/>
                <w14:ligatures w14:val="none"/>
              </w:rPr>
              <w:t>GB50156-2021</w:t>
            </w:r>
          </w:p>
          <w:p w14:paraId="520E5998">
            <w:pPr>
              <w:adjustRightInd/>
              <w:snapToGrid/>
              <w:spacing w:line="240" w:lineRule="auto"/>
              <w:ind w:firstLine="0" w:firstLineChars="0"/>
              <w:jc w:val="center"/>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第6.1.13条</w:t>
            </w:r>
          </w:p>
        </w:tc>
        <w:tc>
          <w:tcPr>
            <w:tcW w:w="1142" w:type="pct"/>
            <w:vAlign w:val="center"/>
          </w:tcPr>
          <w:p w14:paraId="0B8FEFC4">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已采取抗浮措施</w:t>
            </w:r>
          </w:p>
        </w:tc>
        <w:tc>
          <w:tcPr>
            <w:tcW w:w="403" w:type="pct"/>
            <w:vAlign w:val="center"/>
          </w:tcPr>
          <w:p w14:paraId="2BEDF9FC">
            <w:pPr>
              <w:adjustRightInd/>
              <w:snapToGrid/>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符合</w:t>
            </w:r>
          </w:p>
        </w:tc>
      </w:tr>
      <w:tr w14:paraId="155D0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40AA63A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CF45445">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w:t>
            </w:r>
            <w:r>
              <w:rPr>
                <w:rFonts w:hint="eastAsia" w:ascii="Times New Roman" w:hAnsi="Times New Roman" w:eastAsia="宋体" w:cs="Times New Roman"/>
                <w:spacing w:val="10"/>
                <w:sz w:val="21"/>
                <w:szCs w:val="21"/>
                <w:lang w:val="en-US" w:eastAsia="zh-CN"/>
                <w14:ligatures w14:val="none"/>
              </w:rPr>
              <w:t>2</w:t>
            </w:r>
            <w:r>
              <w:rPr>
                <w:rFonts w:hint="default" w:ascii="Times New Roman" w:hAnsi="Times New Roman" w:eastAsia="宋体" w:cs="Times New Roman"/>
                <w:spacing w:val="10"/>
                <w:sz w:val="21"/>
                <w:szCs w:val="21"/>
                <w14:ligatures w14:val="none"/>
              </w:rPr>
              <w:t>.埋地油罐的人孔应设操作井。</w:t>
            </w:r>
          </w:p>
        </w:tc>
        <w:tc>
          <w:tcPr>
            <w:tcW w:w="1020" w:type="pct"/>
            <w:vAlign w:val="center"/>
          </w:tcPr>
          <w:p w14:paraId="5AD57F04">
            <w:pPr>
              <w:spacing w:line="240" w:lineRule="auto"/>
              <w:ind w:firstLine="0" w:firstLineChars="0"/>
              <w:jc w:val="center"/>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GB50156-2021</w:t>
            </w:r>
          </w:p>
          <w:p w14:paraId="7C72DD65">
            <w:pPr>
              <w:spacing w:line="240" w:lineRule="auto"/>
              <w:ind w:firstLine="0" w:firstLineChars="0"/>
              <w:jc w:val="center"/>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第6.1.14条</w:t>
            </w:r>
          </w:p>
        </w:tc>
        <w:tc>
          <w:tcPr>
            <w:tcW w:w="1142" w:type="pct"/>
            <w:vAlign w:val="center"/>
          </w:tcPr>
          <w:p w14:paraId="4F1969A8">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埋地油罐的人孔设有操作井</w:t>
            </w:r>
          </w:p>
        </w:tc>
        <w:tc>
          <w:tcPr>
            <w:tcW w:w="403" w:type="pct"/>
            <w:vAlign w:val="center"/>
          </w:tcPr>
          <w:p w14:paraId="2346CA93">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符合</w:t>
            </w:r>
          </w:p>
        </w:tc>
      </w:tr>
      <w:tr w14:paraId="4FC8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F3A5BED">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1E8EFA1C">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1</w:t>
            </w:r>
            <w:r>
              <w:rPr>
                <w:rFonts w:hint="eastAsia" w:ascii="Times New Roman" w:hAnsi="Times New Roman" w:eastAsia="宋体" w:cs="Times New Roman"/>
                <w:sz w:val="21"/>
                <w:szCs w:val="21"/>
                <w:lang w:val="en-US" w:eastAsia="zh-CN"/>
                <w14:ligatures w14:val="none"/>
              </w:rPr>
              <w:t>3</w:t>
            </w:r>
            <w:r>
              <w:rPr>
                <w:rFonts w:hint="default" w:ascii="Times New Roman" w:hAnsi="Times New Roman" w:eastAsia="宋体" w:cs="Times New Roman"/>
                <w:sz w:val="21"/>
                <w:szCs w:val="21"/>
                <w14:ligatures w14:val="none"/>
              </w:rPr>
              <w:t>、</w:t>
            </w:r>
            <w:r>
              <w:rPr>
                <w:rFonts w:hint="default" w:ascii="Times New Roman" w:hAnsi="Times New Roman" w:eastAsia="宋体" w:cs="Times New Roman"/>
                <w:spacing w:val="10"/>
                <w:sz w:val="21"/>
                <w:szCs w:val="21"/>
                <w14:ligatures w14:val="none"/>
              </w:rPr>
              <w:t>油罐是否采取卸油时的</w:t>
            </w:r>
            <w:r>
              <w:rPr>
                <w:rFonts w:hint="default" w:ascii="Times New Roman" w:hAnsi="Times New Roman" w:eastAsia="宋体" w:cs="Times New Roman"/>
                <w:bCs/>
                <w:spacing w:val="10"/>
                <w:kern w:val="0"/>
                <w:sz w:val="21"/>
                <w:szCs w:val="21"/>
                <w14:ligatures w14:val="none"/>
              </w:rPr>
              <w:t>防满溢措施。</w:t>
            </w:r>
            <w:r>
              <w:rPr>
                <w:rFonts w:hint="default" w:ascii="Times New Roman" w:hAnsi="Times New Roman" w:eastAsia="宋体" w:cs="Times New Roman"/>
                <w:spacing w:val="10"/>
                <w:sz w:val="21"/>
                <w:szCs w:val="21"/>
                <w14:ligatures w14:val="none"/>
              </w:rPr>
              <w:t>油料达到油罐容量90%时，是否能触动高液位报警装置；油料达到油罐容量95%时，是否能自动停止油料继续进罐。高液位报警装置是否位于工作人员便于觉察的地点。</w:t>
            </w:r>
          </w:p>
        </w:tc>
        <w:tc>
          <w:tcPr>
            <w:tcW w:w="1020" w:type="pct"/>
            <w:vAlign w:val="center"/>
          </w:tcPr>
          <w:p w14:paraId="6E1DD7A4">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09E695C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第6.1.15条</w:t>
            </w:r>
          </w:p>
        </w:tc>
        <w:tc>
          <w:tcPr>
            <w:tcW w:w="1142" w:type="pct"/>
            <w:vAlign w:val="center"/>
          </w:tcPr>
          <w:p w14:paraId="6E0BEB98">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卸油管线内设防溢阀，当油料达到油罐容量90%，可触动高液位报警；当油料达到油罐容量95%，能自动切断进油</w:t>
            </w:r>
          </w:p>
        </w:tc>
        <w:tc>
          <w:tcPr>
            <w:tcW w:w="403" w:type="pct"/>
            <w:vAlign w:val="center"/>
          </w:tcPr>
          <w:p w14:paraId="5A5A284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00C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06ECAF0">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156C30C8">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pacing w:val="10"/>
                <w:sz w:val="21"/>
                <w:szCs w:val="21"/>
                <w14:ligatures w14:val="none"/>
              </w:rPr>
              <w:t>1</w:t>
            </w:r>
            <w:r>
              <w:rPr>
                <w:rFonts w:hint="eastAsia" w:ascii="Times New Roman" w:hAnsi="Times New Roman" w:eastAsia="宋体" w:cs="Times New Roman"/>
                <w:spacing w:val="10"/>
                <w:sz w:val="21"/>
                <w:szCs w:val="21"/>
                <w:lang w:val="en-US" w:eastAsia="zh-CN"/>
                <w14:ligatures w14:val="none"/>
              </w:rPr>
              <w:t>4</w:t>
            </w:r>
            <w:r>
              <w:rPr>
                <w:rFonts w:hint="default" w:ascii="Times New Roman" w:hAnsi="Times New Roman" w:eastAsia="宋体" w:cs="Times New Roman"/>
                <w:spacing w:val="10"/>
                <w:sz w:val="21"/>
                <w:szCs w:val="21"/>
                <w14:ligatures w14:val="none"/>
              </w:rPr>
              <w:t>、设有油气回收系统的加油站，站内油罐应设带有高液位报警功能的液位监测系统。单层油罐的液位监测系统尚应具备渗漏检测功能，渗漏检测分辨率不宜大于0.8L/h。</w:t>
            </w:r>
          </w:p>
        </w:tc>
        <w:tc>
          <w:tcPr>
            <w:tcW w:w="1020" w:type="pct"/>
            <w:vAlign w:val="center"/>
          </w:tcPr>
          <w:p w14:paraId="72982918">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526D5FA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第6.1.16条</w:t>
            </w:r>
          </w:p>
        </w:tc>
        <w:tc>
          <w:tcPr>
            <w:tcW w:w="1142" w:type="pct"/>
            <w:vAlign w:val="center"/>
          </w:tcPr>
          <w:p w14:paraId="48FB4CBB">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pacing w:val="10"/>
                <w:sz w:val="21"/>
                <w:szCs w:val="21"/>
                <w14:ligatures w14:val="none"/>
              </w:rPr>
              <w:t>设有高液位报警功能的液位监测系统</w:t>
            </w:r>
          </w:p>
        </w:tc>
        <w:tc>
          <w:tcPr>
            <w:tcW w:w="403" w:type="pct"/>
            <w:vAlign w:val="center"/>
          </w:tcPr>
          <w:p w14:paraId="6BBB6B3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5A2B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C909717">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591BBA56">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w:t>
            </w:r>
            <w:r>
              <w:rPr>
                <w:rFonts w:hint="eastAsia" w:ascii="Times New Roman" w:hAnsi="Times New Roman" w:eastAsia="宋体" w:cs="Times New Roman"/>
                <w:spacing w:val="10"/>
                <w:sz w:val="21"/>
                <w:szCs w:val="21"/>
                <w:lang w:val="en-US" w:eastAsia="zh-CN"/>
                <w14:ligatures w14:val="none"/>
              </w:rPr>
              <w:t>5</w:t>
            </w:r>
            <w:r>
              <w:rPr>
                <w:rFonts w:hint="default" w:ascii="Times New Roman" w:hAnsi="Times New Roman" w:eastAsia="宋体" w:cs="Times New Roman"/>
                <w:spacing w:val="10"/>
                <w:sz w:val="21"/>
                <w:szCs w:val="21"/>
                <w14:ligatures w14:val="none"/>
              </w:rPr>
              <w:t>、油罐用材料的选用应考虑使用条件、材料的性能、制造工艺以及经济合理性。</w:t>
            </w:r>
          </w:p>
        </w:tc>
        <w:tc>
          <w:tcPr>
            <w:tcW w:w="1020" w:type="pct"/>
            <w:vAlign w:val="center"/>
          </w:tcPr>
          <w:p w14:paraId="4228072D">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SH/T 317</w:t>
            </w:r>
            <w:r>
              <w:rPr>
                <w:rFonts w:hint="default" w:ascii="Times New Roman" w:hAnsi="Times New Roman" w:eastAsia="宋体" w:cs="Times New Roman"/>
                <w:bCs/>
                <w:sz w:val="21"/>
                <w:szCs w:val="21"/>
                <w:lang w:val="en-US" w:eastAsia="zh-CN"/>
                <w14:ligatures w14:val="none"/>
              </w:rPr>
              <w:t>8</w:t>
            </w:r>
            <w:r>
              <w:rPr>
                <w:rFonts w:hint="default" w:ascii="Times New Roman" w:hAnsi="Times New Roman" w:eastAsia="宋体" w:cs="Times New Roman"/>
                <w:bCs/>
                <w:sz w:val="21"/>
                <w:szCs w:val="21"/>
                <w14:ligatures w14:val="none"/>
              </w:rPr>
              <w:t>-2015</w:t>
            </w:r>
          </w:p>
          <w:p w14:paraId="17C84B90">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第5.1条</w:t>
            </w:r>
          </w:p>
        </w:tc>
        <w:tc>
          <w:tcPr>
            <w:tcW w:w="1142" w:type="pct"/>
            <w:vAlign w:val="center"/>
          </w:tcPr>
          <w:p w14:paraId="7A079060">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油罐用材料的选用考虑使用条件、材料的性能、制造工艺以及经济合理性</w:t>
            </w:r>
          </w:p>
        </w:tc>
        <w:tc>
          <w:tcPr>
            <w:tcW w:w="403" w:type="pct"/>
            <w:vAlign w:val="center"/>
          </w:tcPr>
          <w:p w14:paraId="0F3AB48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1D5E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208D581A">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697992A4">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w:t>
            </w:r>
            <w:r>
              <w:rPr>
                <w:rFonts w:hint="eastAsia" w:ascii="Times New Roman" w:hAnsi="Times New Roman" w:eastAsia="宋体" w:cs="Times New Roman"/>
                <w:spacing w:val="10"/>
                <w:sz w:val="21"/>
                <w:szCs w:val="21"/>
                <w:lang w:val="en-US" w:eastAsia="zh-CN"/>
                <w14:ligatures w14:val="none"/>
              </w:rPr>
              <w:t>6</w:t>
            </w:r>
            <w:r>
              <w:rPr>
                <w:rFonts w:hint="default" w:ascii="Times New Roman" w:hAnsi="Times New Roman" w:eastAsia="宋体" w:cs="Times New Roman"/>
                <w:spacing w:val="10"/>
                <w:sz w:val="21"/>
                <w:szCs w:val="21"/>
                <w14:ligatures w14:val="none"/>
              </w:rPr>
              <w:t>、油罐用材料应具有材料生产单位的质量证明文件。制造单位应按照质量证明文件进行验收，必要时制造单位应对所使用的材料进行复验；制造单位应对所取得的材料及材料证明文件的真实性和一致性负责。</w:t>
            </w:r>
          </w:p>
        </w:tc>
        <w:tc>
          <w:tcPr>
            <w:tcW w:w="1020" w:type="pct"/>
            <w:vAlign w:val="center"/>
          </w:tcPr>
          <w:p w14:paraId="603B98B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SH/T 317</w:t>
            </w:r>
            <w:r>
              <w:rPr>
                <w:rFonts w:hint="default" w:ascii="Times New Roman" w:hAnsi="Times New Roman" w:eastAsia="宋体" w:cs="Times New Roman"/>
                <w:bCs/>
                <w:sz w:val="21"/>
                <w:szCs w:val="21"/>
                <w:lang w:val="en-US" w:eastAsia="zh-CN"/>
                <w14:ligatures w14:val="none"/>
              </w:rPr>
              <w:t>8</w:t>
            </w:r>
            <w:r>
              <w:rPr>
                <w:rFonts w:hint="default" w:ascii="Times New Roman" w:hAnsi="Times New Roman" w:eastAsia="宋体" w:cs="Times New Roman"/>
                <w:bCs/>
                <w:sz w:val="21"/>
                <w:szCs w:val="21"/>
                <w14:ligatures w14:val="none"/>
              </w:rPr>
              <w:t>-2015</w:t>
            </w:r>
          </w:p>
          <w:p w14:paraId="77FB9C6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第5.2条</w:t>
            </w:r>
          </w:p>
        </w:tc>
        <w:tc>
          <w:tcPr>
            <w:tcW w:w="1142" w:type="pct"/>
            <w:vAlign w:val="center"/>
          </w:tcPr>
          <w:p w14:paraId="0AAD15A9">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罐用材料具有材料生产单位的质量证明文件</w:t>
            </w:r>
          </w:p>
        </w:tc>
        <w:tc>
          <w:tcPr>
            <w:tcW w:w="403" w:type="pct"/>
            <w:vAlign w:val="center"/>
          </w:tcPr>
          <w:p w14:paraId="2D24A4E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44A0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AA021F7">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1C43F685">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pacing w:val="10"/>
                <w:sz w:val="21"/>
                <w:szCs w:val="21"/>
                <w:lang w:val="en-US" w:eastAsia="zh-CN"/>
                <w14:ligatures w14:val="none"/>
              </w:rPr>
              <w:t>17</w:t>
            </w:r>
            <w:r>
              <w:rPr>
                <w:rFonts w:hint="default" w:ascii="Times New Roman" w:hAnsi="Times New Roman" w:eastAsia="宋体" w:cs="Times New Roman"/>
                <w:spacing w:val="10"/>
                <w:sz w:val="21"/>
                <w:szCs w:val="21"/>
                <w14:ligatures w14:val="none"/>
              </w:rPr>
              <w:t>、油罐材料应符合相应安全技术规范、标准的规定，满足油罐安全使用要求。制造单位自行制作或配制的油罐主体用材料应符合本规范的要求，并对材料质量负责。用于制造油罐壳体的树脂，应复验热变形温度。</w:t>
            </w:r>
          </w:p>
        </w:tc>
        <w:tc>
          <w:tcPr>
            <w:tcW w:w="1020" w:type="pct"/>
            <w:vAlign w:val="center"/>
          </w:tcPr>
          <w:p w14:paraId="55BD41A9">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SH/T 317</w:t>
            </w:r>
            <w:r>
              <w:rPr>
                <w:rFonts w:hint="default" w:ascii="Times New Roman" w:hAnsi="Times New Roman" w:eastAsia="宋体" w:cs="Times New Roman"/>
                <w:bCs/>
                <w:sz w:val="21"/>
                <w:szCs w:val="21"/>
                <w:lang w:val="en-US" w:eastAsia="zh-CN"/>
                <w14:ligatures w14:val="none"/>
              </w:rPr>
              <w:t>8</w:t>
            </w:r>
            <w:r>
              <w:rPr>
                <w:rFonts w:hint="default" w:ascii="Times New Roman" w:hAnsi="Times New Roman" w:eastAsia="宋体" w:cs="Times New Roman"/>
                <w:bCs/>
                <w:sz w:val="21"/>
                <w:szCs w:val="21"/>
                <w14:ligatures w14:val="none"/>
              </w:rPr>
              <w:t>-2015</w:t>
            </w:r>
          </w:p>
          <w:p w14:paraId="76551478">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第5.3条</w:t>
            </w:r>
          </w:p>
        </w:tc>
        <w:tc>
          <w:tcPr>
            <w:tcW w:w="1142" w:type="pct"/>
            <w:vAlign w:val="center"/>
          </w:tcPr>
          <w:p w14:paraId="38FF3CBA">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油罐材料符合相应安全技术规范、标准的规定，满足油罐安全使用要求</w:t>
            </w:r>
          </w:p>
        </w:tc>
        <w:tc>
          <w:tcPr>
            <w:tcW w:w="403" w:type="pct"/>
            <w:vAlign w:val="center"/>
          </w:tcPr>
          <w:p w14:paraId="32C96C3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0D0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7473738">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521E1B10">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z w:val="21"/>
                <w:szCs w:val="21"/>
                <w:lang w:val="en-US" w:eastAsia="zh-CN"/>
                <w14:ligatures w14:val="none"/>
              </w:rPr>
              <w:t>18</w:t>
            </w:r>
            <w:r>
              <w:rPr>
                <w:rFonts w:hint="default" w:ascii="Times New Roman" w:hAnsi="Times New Roman" w:eastAsia="宋体" w:cs="Times New Roman"/>
                <w:sz w:val="21"/>
                <w:szCs w:val="21"/>
                <w14:ligatures w14:val="none"/>
              </w:rPr>
              <w:t>、油罐内侧壳体为钢制，外层壳体为玻璃纤维增强塑料，外层罐应完整包容内层罐，外层罐壳体和内层罐壳体之间是否形成连续的贯通间隙，油罐内层罐和外层罐壳体之间应设置可靠的支撑。</w:t>
            </w:r>
          </w:p>
        </w:tc>
        <w:tc>
          <w:tcPr>
            <w:tcW w:w="1020" w:type="pct"/>
            <w:vAlign w:val="center"/>
          </w:tcPr>
          <w:p w14:paraId="4FF9FB6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SH/T3178-2015</w:t>
            </w:r>
          </w:p>
          <w:p w14:paraId="680105BC">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第6.1.1条</w:t>
            </w:r>
          </w:p>
        </w:tc>
        <w:tc>
          <w:tcPr>
            <w:tcW w:w="1142" w:type="pct"/>
            <w:vAlign w:val="center"/>
          </w:tcPr>
          <w:p w14:paraId="0A45DDBC">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内钢外玻璃，外层罐壳体和内层罐壳体之间形成连续的贯通间隙，油罐内层罐和外层罐壳体之间设有可靠的支撑</w:t>
            </w:r>
          </w:p>
        </w:tc>
        <w:tc>
          <w:tcPr>
            <w:tcW w:w="403" w:type="pct"/>
            <w:vAlign w:val="center"/>
          </w:tcPr>
          <w:p w14:paraId="3558200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59D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E43226B">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708C659E">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19</w:t>
            </w:r>
            <w:r>
              <w:rPr>
                <w:rFonts w:hint="default" w:ascii="Times New Roman" w:hAnsi="Times New Roman" w:eastAsia="宋体" w:cs="Times New Roman"/>
                <w:sz w:val="21"/>
                <w:szCs w:val="21"/>
                <w14:ligatures w14:val="none"/>
              </w:rPr>
              <w:t>、油罐是否设置不少于2个的钢制吊耳，吊耳起吊能力不应小于油罐自重的2倍。</w:t>
            </w:r>
          </w:p>
        </w:tc>
        <w:tc>
          <w:tcPr>
            <w:tcW w:w="1020" w:type="pct"/>
            <w:vAlign w:val="center"/>
          </w:tcPr>
          <w:p w14:paraId="3A45A9B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SH/T3178-2015</w:t>
            </w:r>
          </w:p>
          <w:p w14:paraId="55235D4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第6.1.2条</w:t>
            </w:r>
          </w:p>
        </w:tc>
        <w:tc>
          <w:tcPr>
            <w:tcW w:w="1142" w:type="pct"/>
            <w:vAlign w:val="center"/>
          </w:tcPr>
          <w:p w14:paraId="48BD4E05">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油罐设有2个的吊耳，吊耳起吊能力为油罐自重的2倍</w:t>
            </w:r>
          </w:p>
        </w:tc>
        <w:tc>
          <w:tcPr>
            <w:tcW w:w="403" w:type="pct"/>
            <w:vAlign w:val="center"/>
          </w:tcPr>
          <w:p w14:paraId="2166F3A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B278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3283535">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75BBE125">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2</w:t>
            </w:r>
            <w:r>
              <w:rPr>
                <w:rFonts w:hint="eastAsia" w:ascii="Times New Roman" w:hAnsi="Times New Roman" w:eastAsia="宋体" w:cs="Times New Roman"/>
                <w:sz w:val="21"/>
                <w:szCs w:val="21"/>
                <w:lang w:val="en-US" w:eastAsia="zh-CN"/>
                <w14:ligatures w14:val="none"/>
              </w:rPr>
              <w:t>0</w:t>
            </w:r>
            <w:r>
              <w:rPr>
                <w:rFonts w:hint="default" w:ascii="Times New Roman" w:hAnsi="Times New Roman" w:eastAsia="宋体" w:cs="Times New Roman"/>
                <w:sz w:val="21"/>
                <w:szCs w:val="21"/>
                <w14:ligatures w14:val="none"/>
              </w:rPr>
              <w:t>、渗漏检测系统是否在发生渗漏或出现系统故障的情况下发出警报。任何渗漏检测系统都应由声光报警器指示每一次渗漏。渗漏检测系统是否符合如下要求：</w:t>
            </w:r>
          </w:p>
          <w:p w14:paraId="43B93EAE">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①电源中断后，渗漏检测系统应在供电恢复时自动启动。</w:t>
            </w:r>
          </w:p>
          <w:p w14:paraId="34A664F7">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②渗漏检测系统应能在0.08MPa～0.11MPa之间的大气压条件下工作。</w:t>
            </w:r>
          </w:p>
          <w:p w14:paraId="6E7C23B5">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③安装在露天的渗漏检测系统及其部件的适用温度为-40℃～40℃。</w:t>
            </w:r>
          </w:p>
          <w:p w14:paraId="2B72B7A3">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④安装在防霜冻区域的渗漏检测系统及其部件的适用温度为-5℃～50℃。</w:t>
            </w:r>
          </w:p>
          <w:p w14:paraId="088DF7F1">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⑤埋地储罐使用的渗漏检测系统及其部件的适用温度为-5℃～30℃。</w:t>
            </w:r>
          </w:p>
        </w:tc>
        <w:tc>
          <w:tcPr>
            <w:tcW w:w="1020" w:type="pct"/>
            <w:vAlign w:val="center"/>
          </w:tcPr>
          <w:p w14:paraId="496D892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GB/T30040.1-2013第5.1.1条</w:t>
            </w:r>
          </w:p>
        </w:tc>
        <w:tc>
          <w:tcPr>
            <w:tcW w:w="1142" w:type="pct"/>
            <w:vAlign w:val="center"/>
          </w:tcPr>
          <w:p w14:paraId="0A347F22">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渗漏检测系统能在发生渗漏或出现系统故障的情况下发出警报，渗漏检测系统符合相关要求</w:t>
            </w:r>
          </w:p>
        </w:tc>
        <w:tc>
          <w:tcPr>
            <w:tcW w:w="403" w:type="pct"/>
            <w:vAlign w:val="center"/>
          </w:tcPr>
          <w:p w14:paraId="1AFDF18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5633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4C0AA459">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4F4FBA6E">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2</w:t>
            </w:r>
            <w:r>
              <w:rPr>
                <w:rFonts w:hint="eastAsia" w:ascii="Times New Roman" w:hAnsi="Times New Roman" w:eastAsia="宋体" w:cs="Times New Roman"/>
                <w:sz w:val="21"/>
                <w:szCs w:val="21"/>
                <w:lang w:val="en-US" w:eastAsia="zh-CN"/>
                <w14:ligatures w14:val="none"/>
              </w:rPr>
              <w:t>1</w:t>
            </w:r>
            <w:r>
              <w:rPr>
                <w:rFonts w:hint="default" w:ascii="Times New Roman" w:hAnsi="Times New Roman" w:eastAsia="宋体" w:cs="Times New Roman"/>
                <w:sz w:val="21"/>
                <w:szCs w:val="21"/>
                <w14:ligatures w14:val="none"/>
              </w:rPr>
              <w:t>、安装于存在潜在爆炸性环境中的渗漏检测系统及其部件应防爆。如果系统及其部件内部存在爆炸性环境的可能，也应防爆。</w:t>
            </w:r>
          </w:p>
        </w:tc>
        <w:tc>
          <w:tcPr>
            <w:tcW w:w="1020" w:type="pct"/>
            <w:vAlign w:val="center"/>
          </w:tcPr>
          <w:p w14:paraId="40AFEE7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GB/T30040.1-2013第5.1.2条</w:t>
            </w:r>
          </w:p>
        </w:tc>
        <w:tc>
          <w:tcPr>
            <w:tcW w:w="1142" w:type="pct"/>
            <w:vAlign w:val="center"/>
          </w:tcPr>
          <w:p w14:paraId="385C49A3">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渗漏检测系统的探棒安装在爆炸性环境中，为防爆型</w:t>
            </w:r>
          </w:p>
        </w:tc>
        <w:tc>
          <w:tcPr>
            <w:tcW w:w="403" w:type="pct"/>
            <w:vAlign w:val="center"/>
          </w:tcPr>
          <w:p w14:paraId="4781B61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2956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47F2EBEB">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4D5178C0">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2</w:t>
            </w:r>
            <w:r>
              <w:rPr>
                <w:rFonts w:hint="eastAsia" w:ascii="Times New Roman" w:hAnsi="Times New Roman" w:eastAsia="宋体" w:cs="Times New Roman"/>
                <w:sz w:val="21"/>
                <w:szCs w:val="21"/>
                <w:lang w:val="en-US" w:eastAsia="zh-CN"/>
                <w14:ligatures w14:val="none"/>
              </w:rPr>
              <w:t>2</w:t>
            </w:r>
            <w:r>
              <w:rPr>
                <w:rFonts w:hint="default" w:ascii="Times New Roman" w:hAnsi="Times New Roman" w:eastAsia="宋体" w:cs="Times New Roman"/>
                <w:sz w:val="21"/>
                <w:szCs w:val="21"/>
                <w14:ligatures w14:val="none"/>
              </w:rPr>
              <w:t>、若渗漏检测系统用于监测不止一座储罐或管道设施，警报发生时应能够显示或检测出是哪一座储罐或那一条管道发生了渗漏。</w:t>
            </w:r>
          </w:p>
        </w:tc>
        <w:tc>
          <w:tcPr>
            <w:tcW w:w="1020" w:type="pct"/>
            <w:vAlign w:val="center"/>
          </w:tcPr>
          <w:p w14:paraId="49924A8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GB/T30040.1-2013第5.1.7条</w:t>
            </w:r>
          </w:p>
        </w:tc>
        <w:tc>
          <w:tcPr>
            <w:tcW w:w="1142" w:type="pct"/>
            <w:vAlign w:val="center"/>
          </w:tcPr>
          <w:p w14:paraId="0C42ACD0">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渗漏检测系统用于监测</w:t>
            </w:r>
            <w:r>
              <w:rPr>
                <w:rFonts w:hint="eastAsia" w:ascii="Times New Roman" w:hAnsi="Times New Roman" w:eastAsia="宋体" w:cs="Times New Roman"/>
                <w:sz w:val="21"/>
                <w:szCs w:val="21"/>
                <w:lang w:val="en-US" w:eastAsia="zh-CN"/>
                <w14:ligatures w14:val="none"/>
              </w:rPr>
              <w:t>4</w:t>
            </w:r>
            <w:r>
              <w:rPr>
                <w:rFonts w:hint="default" w:ascii="Times New Roman" w:hAnsi="Times New Roman" w:eastAsia="宋体" w:cs="Times New Roman"/>
                <w:sz w:val="21"/>
                <w:szCs w:val="21"/>
                <w14:ligatures w14:val="none"/>
              </w:rPr>
              <w:t>座储罐，能够显示或检测出是哪一座储罐或那一条管道发生了渗漏</w:t>
            </w:r>
          </w:p>
        </w:tc>
        <w:tc>
          <w:tcPr>
            <w:tcW w:w="403" w:type="pct"/>
            <w:vAlign w:val="center"/>
          </w:tcPr>
          <w:p w14:paraId="74EC53C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0ED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C4D9A43">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shd w:val="clear" w:color="auto" w:fill="auto"/>
            <w:vAlign w:val="center"/>
          </w:tcPr>
          <w:p w14:paraId="28E4FCFB">
            <w:pPr>
              <w:spacing w:line="240" w:lineRule="auto"/>
              <w:ind w:firstLine="0" w:firstLineChars="0"/>
              <w:rPr>
                <w:rFonts w:hint="default" w:ascii="Times New Roman" w:hAnsi="Times New Roman" w:eastAsia="宋体" w:cs="Times New Roman"/>
                <w:spacing w:val="10"/>
                <w:kern w:val="2"/>
                <w:sz w:val="21"/>
                <w:szCs w:val="21"/>
                <w:lang w:val="en-US" w:eastAsia="zh-CN" w:bidi="ar-SA"/>
                <w14:ligatures w14:val="none"/>
              </w:rPr>
            </w:pPr>
            <w:r>
              <w:rPr>
                <w:rFonts w:hint="default" w:ascii="Times New Roman" w:hAnsi="Times New Roman" w:eastAsia="宋体" w:cs="Times New Roman"/>
                <w:sz w:val="21"/>
                <w:szCs w:val="21"/>
                <w:lang w:val="en-US" w:eastAsia="zh-CN"/>
                <w14:ligatures w14:val="none"/>
              </w:rPr>
              <w:t>2</w:t>
            </w:r>
            <w:r>
              <w:rPr>
                <w:rFonts w:hint="eastAsia" w:ascii="Times New Roman" w:hAnsi="Times New Roman" w:eastAsia="宋体" w:cs="Times New Roman"/>
                <w:sz w:val="21"/>
                <w:szCs w:val="21"/>
                <w:lang w:val="en-US" w:eastAsia="zh-CN"/>
                <w14:ligatures w14:val="none"/>
              </w:rPr>
              <w:t>3</w:t>
            </w:r>
            <w:r>
              <w:rPr>
                <w:rFonts w:hint="default" w:ascii="Times New Roman" w:hAnsi="Times New Roman" w:eastAsia="宋体" w:cs="Times New Roman"/>
                <w:sz w:val="21"/>
                <w:szCs w:val="21"/>
                <w14:ligatures w14:val="none"/>
              </w:rPr>
              <w:t>、罐壁间隙应尽可能小，但不能妨碍渗漏检测系统的正常工作。</w:t>
            </w:r>
          </w:p>
        </w:tc>
        <w:tc>
          <w:tcPr>
            <w:tcW w:w="1020" w:type="pct"/>
            <w:shd w:val="clear" w:color="auto" w:fill="auto"/>
            <w:vAlign w:val="center"/>
          </w:tcPr>
          <w:p w14:paraId="018A322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AQ 3020-2008</w:t>
            </w:r>
          </w:p>
          <w:p w14:paraId="74FA4D41">
            <w:pPr>
              <w:adjustRightInd/>
              <w:snapToGrid/>
              <w:spacing w:line="240" w:lineRule="auto"/>
              <w:ind w:firstLine="0" w:firstLineChars="0"/>
              <w:jc w:val="center"/>
              <w:rPr>
                <w:rFonts w:hint="default" w:ascii="Times New Roman" w:hAnsi="Times New Roman" w:eastAsia="宋体" w:cs="Times New Roman"/>
                <w:bCs/>
                <w:kern w:val="2"/>
                <w:sz w:val="21"/>
                <w:szCs w:val="21"/>
                <w:lang w:val="en-US" w:eastAsia="zh-CN" w:bidi="ar-SA"/>
                <w14:ligatures w14:val="none"/>
              </w:rPr>
            </w:pPr>
            <w:r>
              <w:rPr>
                <w:rFonts w:hint="default" w:ascii="Times New Roman" w:hAnsi="Times New Roman" w:eastAsia="宋体" w:cs="Times New Roman"/>
                <w:sz w:val="21"/>
                <w:szCs w:val="21"/>
                <w14:ligatures w14:val="none"/>
              </w:rPr>
              <w:t>第7.6.3条</w:t>
            </w:r>
          </w:p>
        </w:tc>
        <w:tc>
          <w:tcPr>
            <w:tcW w:w="1142" w:type="pct"/>
            <w:shd w:val="clear" w:color="auto" w:fill="auto"/>
            <w:vAlign w:val="center"/>
          </w:tcPr>
          <w:p w14:paraId="777C2EEC">
            <w:pPr>
              <w:spacing w:line="240" w:lineRule="auto"/>
              <w:ind w:firstLine="0" w:firstLineChars="0"/>
              <w:rPr>
                <w:rFonts w:hint="default" w:ascii="Times New Roman" w:hAnsi="Times New Roman" w:eastAsia="宋体" w:cs="Times New Roman"/>
                <w:spacing w:val="10"/>
                <w:kern w:val="2"/>
                <w:sz w:val="21"/>
                <w:szCs w:val="21"/>
                <w:lang w:val="en-US" w:eastAsia="zh-CN" w:bidi="ar-SA"/>
                <w14:ligatures w14:val="none"/>
              </w:rPr>
            </w:pPr>
            <w:r>
              <w:rPr>
                <w:rFonts w:hint="default" w:ascii="Times New Roman" w:hAnsi="Times New Roman" w:eastAsia="宋体" w:cs="Times New Roman"/>
                <w:sz w:val="21"/>
                <w:szCs w:val="21"/>
                <w14:ligatures w14:val="none"/>
              </w:rPr>
              <w:t>罐壁间隙已缩小，不妨碍检测系统</w:t>
            </w:r>
          </w:p>
        </w:tc>
        <w:tc>
          <w:tcPr>
            <w:tcW w:w="403" w:type="pct"/>
            <w:shd w:val="clear" w:color="auto" w:fill="auto"/>
            <w:vAlign w:val="center"/>
          </w:tcPr>
          <w:p w14:paraId="1C2DD158">
            <w:pPr>
              <w:adjustRightInd/>
              <w:snapToGrid/>
              <w:spacing w:line="240" w:lineRule="auto"/>
              <w:ind w:firstLine="0" w:firstLineChars="0"/>
              <w:jc w:val="center"/>
              <w:rPr>
                <w:rFonts w:hint="default" w:ascii="Times New Roman" w:hAnsi="Times New Roman" w:eastAsia="宋体" w:cs="Times New Roman"/>
                <w:kern w:val="2"/>
                <w:sz w:val="21"/>
                <w:szCs w:val="21"/>
                <w:lang w:val="en-US" w:eastAsia="zh-CN" w:bidi="ar-SA"/>
                <w14:ligatures w14:val="none"/>
              </w:rPr>
            </w:pPr>
            <w:r>
              <w:rPr>
                <w:rFonts w:hint="default" w:ascii="Times New Roman" w:hAnsi="Times New Roman" w:eastAsia="宋体" w:cs="Times New Roman"/>
                <w:sz w:val="21"/>
                <w:szCs w:val="21"/>
                <w14:ligatures w14:val="none"/>
              </w:rPr>
              <w:t>符合</w:t>
            </w:r>
          </w:p>
        </w:tc>
      </w:tr>
      <w:tr w14:paraId="39969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06AF260">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22120FBF">
            <w:pPr>
              <w:spacing w:line="240" w:lineRule="auto"/>
              <w:ind w:firstLine="0" w:firstLineChars="0"/>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lang w:val="en-US" w:eastAsia="zh-CN"/>
                <w14:ligatures w14:val="none"/>
              </w:rPr>
              <w:t>2</w:t>
            </w:r>
            <w:r>
              <w:rPr>
                <w:rFonts w:hint="eastAsia" w:ascii="Times New Roman" w:hAnsi="Times New Roman" w:eastAsia="宋体" w:cs="Times New Roman"/>
                <w:sz w:val="21"/>
                <w:szCs w:val="21"/>
                <w:highlight w:val="none"/>
                <w:lang w:val="en-US" w:eastAsia="zh-CN"/>
                <w14:ligatures w14:val="none"/>
              </w:rPr>
              <w:t>4、</w:t>
            </w:r>
            <w:r>
              <w:rPr>
                <w:rFonts w:hint="default" w:ascii="Times New Roman" w:hAnsi="Times New Roman" w:eastAsia="宋体" w:cs="Times New Roman"/>
                <w:sz w:val="21"/>
                <w:szCs w:val="21"/>
                <w:highlight w:val="none"/>
                <w14:ligatures w14:val="none"/>
              </w:rPr>
              <w:t>双层油罐、防渗罐池的渗漏检测宜采用在线监测系统。采用液体传感器监测时，传感器的检测精度不应大于3.5mm。</w:t>
            </w:r>
          </w:p>
        </w:tc>
        <w:tc>
          <w:tcPr>
            <w:tcW w:w="1020" w:type="pct"/>
            <w:vAlign w:val="center"/>
          </w:tcPr>
          <w:p w14:paraId="3A71F3E4">
            <w:pPr>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GB50156-2021</w:t>
            </w:r>
          </w:p>
          <w:p w14:paraId="77BF5D60">
            <w:pPr>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第6.5.6条</w:t>
            </w:r>
          </w:p>
        </w:tc>
        <w:tc>
          <w:tcPr>
            <w:tcW w:w="1142" w:type="pct"/>
            <w:vAlign w:val="center"/>
          </w:tcPr>
          <w:p w14:paraId="63C28841">
            <w:pPr>
              <w:spacing w:line="240" w:lineRule="auto"/>
              <w:ind w:firstLine="0" w:firstLineChars="0"/>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双层油罐渗漏检测采用在线监测系统，传感器的检测精度小于3.5mm</w:t>
            </w:r>
          </w:p>
        </w:tc>
        <w:tc>
          <w:tcPr>
            <w:tcW w:w="403" w:type="pct"/>
            <w:vAlign w:val="center"/>
          </w:tcPr>
          <w:p w14:paraId="38F21183">
            <w:pPr>
              <w:spacing w:line="240" w:lineRule="auto"/>
              <w:ind w:firstLine="0" w:firstLineChars="0"/>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符合</w:t>
            </w:r>
          </w:p>
        </w:tc>
      </w:tr>
      <w:tr w14:paraId="18E9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restart"/>
            <w:vAlign w:val="center"/>
          </w:tcPr>
          <w:p w14:paraId="514225CF">
            <w:pPr>
              <w:adjustRightInd/>
              <w:snapToGrid/>
              <w:spacing w:line="240" w:lineRule="auto"/>
              <w:ind w:firstLine="0" w:firstLineChars="0"/>
              <w:rPr>
                <w:rFonts w:hint="default" w:ascii="Times New Roman" w:hAnsi="Times New Roman" w:eastAsia="宋体" w:cs="Times New Roman"/>
                <w:szCs w:val="20"/>
                <w14:ligatures w14:val="none"/>
              </w:rPr>
            </w:pPr>
            <w:r>
              <w:rPr>
                <w:rFonts w:hint="default" w:ascii="Times New Roman" w:hAnsi="Times New Roman" w:eastAsia="宋体" w:cs="Times New Roman"/>
                <w:sz w:val="21"/>
                <w:szCs w:val="21"/>
                <w14:ligatures w14:val="none"/>
              </w:rPr>
              <w:t>工艺管道系统</w:t>
            </w:r>
          </w:p>
        </w:tc>
        <w:tc>
          <w:tcPr>
            <w:tcW w:w="1991" w:type="pct"/>
            <w:vAlign w:val="center"/>
          </w:tcPr>
          <w:p w14:paraId="71B15A73">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25</w:t>
            </w:r>
            <w:r>
              <w:rPr>
                <w:rFonts w:hint="default" w:ascii="Times New Roman" w:hAnsi="Times New Roman" w:eastAsia="宋体" w:cs="Times New Roman"/>
                <w:sz w:val="21"/>
                <w:szCs w:val="21"/>
                <w14:ligatures w14:val="none"/>
              </w:rPr>
              <w:t>、油罐车卸油是否采用密闭卸油方式。</w:t>
            </w:r>
          </w:p>
        </w:tc>
        <w:tc>
          <w:tcPr>
            <w:tcW w:w="1020" w:type="pct"/>
            <w:vAlign w:val="center"/>
          </w:tcPr>
          <w:p w14:paraId="3BE7EF54">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4BD5459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第6.3.1条</w:t>
            </w:r>
          </w:p>
        </w:tc>
        <w:tc>
          <w:tcPr>
            <w:tcW w:w="1142" w:type="pct"/>
            <w:vAlign w:val="center"/>
          </w:tcPr>
          <w:p w14:paraId="4FDC07DA">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采用密闭卸油方式</w:t>
            </w:r>
          </w:p>
        </w:tc>
        <w:tc>
          <w:tcPr>
            <w:tcW w:w="403" w:type="pct"/>
            <w:vAlign w:val="center"/>
          </w:tcPr>
          <w:p w14:paraId="4726070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91A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F43261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E17FB73">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26</w:t>
            </w:r>
            <w:r>
              <w:rPr>
                <w:rFonts w:hint="default" w:ascii="Times New Roman" w:hAnsi="Times New Roman" w:eastAsia="宋体" w:cs="Times New Roman"/>
                <w:sz w:val="21"/>
                <w:szCs w:val="21"/>
                <w14:ligatures w14:val="none"/>
              </w:rPr>
              <w:t>、</w:t>
            </w:r>
            <w:r>
              <w:rPr>
                <w:rFonts w:hint="default" w:ascii="Times New Roman" w:hAnsi="Times New Roman" w:eastAsia="宋体" w:cs="Times New Roman"/>
                <w:spacing w:val="10"/>
                <w:sz w:val="21"/>
                <w:szCs w:val="21"/>
                <w14:ligatures w14:val="none"/>
              </w:rPr>
              <w:t>每个油罐各自设置卸油管道和卸油接口。各卸油接口及油气回收接口，是否有明显的标识。</w:t>
            </w:r>
          </w:p>
        </w:tc>
        <w:tc>
          <w:tcPr>
            <w:tcW w:w="1020" w:type="pct"/>
            <w:vAlign w:val="center"/>
          </w:tcPr>
          <w:p w14:paraId="491610C4">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6E8E0C9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第6.3.2条</w:t>
            </w:r>
          </w:p>
        </w:tc>
        <w:tc>
          <w:tcPr>
            <w:tcW w:w="1142" w:type="pct"/>
            <w:vAlign w:val="center"/>
          </w:tcPr>
          <w:p w14:paraId="5A84D697">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油罐分别设置卸油管道和卸油口，卸油口处</w:t>
            </w:r>
            <w:r>
              <w:rPr>
                <w:rFonts w:hint="default" w:ascii="Times New Roman" w:hAnsi="Times New Roman" w:eastAsia="宋体" w:cs="Times New Roman"/>
                <w:spacing w:val="10"/>
                <w:sz w:val="21"/>
                <w:szCs w:val="21"/>
                <w14:ligatures w14:val="none"/>
              </w:rPr>
              <w:t>各卸油接口及油气回收接口设有明显的标识</w:t>
            </w:r>
          </w:p>
        </w:tc>
        <w:tc>
          <w:tcPr>
            <w:tcW w:w="403" w:type="pct"/>
            <w:vAlign w:val="center"/>
          </w:tcPr>
          <w:p w14:paraId="3529367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DCC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C9B11E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40B00FE">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27</w:t>
            </w:r>
            <w:r>
              <w:rPr>
                <w:rFonts w:hint="default" w:ascii="Times New Roman" w:hAnsi="Times New Roman" w:eastAsia="宋体" w:cs="Times New Roman"/>
                <w:sz w:val="21"/>
                <w:szCs w:val="21"/>
                <w14:ligatures w14:val="none"/>
              </w:rPr>
              <w:t>、</w:t>
            </w:r>
            <w:r>
              <w:rPr>
                <w:rFonts w:hint="default" w:ascii="Times New Roman" w:hAnsi="Times New Roman" w:eastAsia="宋体" w:cs="Times New Roman"/>
                <w:spacing w:val="10"/>
                <w:sz w:val="21"/>
                <w:szCs w:val="21"/>
                <w14:ligatures w14:val="none"/>
              </w:rPr>
              <w:t>卸油接口是否装设快速接头及密封盖。</w:t>
            </w:r>
          </w:p>
        </w:tc>
        <w:tc>
          <w:tcPr>
            <w:tcW w:w="1020" w:type="pct"/>
            <w:vAlign w:val="center"/>
          </w:tcPr>
          <w:p w14:paraId="7531F8F2">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1928529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第6.3.3条</w:t>
            </w:r>
          </w:p>
        </w:tc>
        <w:tc>
          <w:tcPr>
            <w:tcW w:w="1142" w:type="pct"/>
            <w:vAlign w:val="center"/>
          </w:tcPr>
          <w:p w14:paraId="3AF5ACFF">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装设快速接头和密封盖</w:t>
            </w:r>
          </w:p>
        </w:tc>
        <w:tc>
          <w:tcPr>
            <w:tcW w:w="403" w:type="pct"/>
            <w:vAlign w:val="center"/>
          </w:tcPr>
          <w:p w14:paraId="7DFA7E5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586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04CBD6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1B0AF389">
            <w:pPr>
              <w:spacing w:line="240" w:lineRule="auto"/>
              <w:ind w:firstLine="0" w:firstLineChars="0"/>
              <w:rPr>
                <w:rFonts w:hint="default" w:ascii="Times New Roman" w:hAnsi="Times New Roman" w:eastAsia="宋体" w:cs="Times New Roman"/>
                <w:kern w:val="0"/>
                <w:sz w:val="21"/>
                <w:szCs w:val="21"/>
                <w14:ligatures w14:val="none"/>
              </w:rPr>
            </w:pPr>
            <w:r>
              <w:rPr>
                <w:rFonts w:hint="eastAsia" w:ascii="Times New Roman" w:hAnsi="Times New Roman" w:eastAsia="宋体" w:cs="Times New Roman"/>
                <w:kern w:val="0"/>
                <w:sz w:val="21"/>
                <w:szCs w:val="21"/>
                <w:lang w:val="en-US" w:eastAsia="zh-CN"/>
                <w14:ligatures w14:val="none"/>
              </w:rPr>
              <w:t>28</w:t>
            </w:r>
            <w:r>
              <w:rPr>
                <w:rFonts w:hint="default" w:ascii="Times New Roman" w:hAnsi="Times New Roman" w:eastAsia="宋体" w:cs="Times New Roman"/>
                <w:kern w:val="0"/>
                <w:sz w:val="21"/>
                <w:szCs w:val="21"/>
                <w14:ligatures w14:val="none"/>
              </w:rPr>
              <w:t>、加油站采用卸油油气回收系统时，其设计是否符合下列规定：</w:t>
            </w:r>
          </w:p>
          <w:p w14:paraId="0E2D7D74">
            <w:pPr>
              <w:spacing w:line="240" w:lineRule="auto"/>
              <w:ind w:firstLine="0" w:firstLineChars="0"/>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①车用乙醇汽油罐车向站内油罐卸油应采用平衡式密闭油气回收系统；</w:t>
            </w:r>
          </w:p>
          <w:p w14:paraId="0232933A">
            <w:pPr>
              <w:spacing w:line="240" w:lineRule="auto"/>
              <w:ind w:firstLine="0" w:firstLineChars="0"/>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②各车用乙醇汽油罐可共用一根卸油油气回收主管，回收主管的公称直径不宜小于100mm；</w:t>
            </w:r>
          </w:p>
          <w:p w14:paraId="6946C181">
            <w:pPr>
              <w:spacing w:line="240" w:lineRule="auto"/>
              <w:ind w:firstLine="0" w:firstLineChars="0"/>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③卸油油气回收管道的接口宜采用自闭式快速接头和盖帽，采用非自闭式快速接头时，应在靠近快速接头的连接管道上装设阀门和盖帽。</w:t>
            </w:r>
          </w:p>
        </w:tc>
        <w:tc>
          <w:tcPr>
            <w:tcW w:w="1020" w:type="pct"/>
            <w:vAlign w:val="center"/>
          </w:tcPr>
          <w:p w14:paraId="5A7A5CDD">
            <w:pPr>
              <w:adjustRightInd/>
              <w:snapToGrid/>
              <w:spacing w:line="240" w:lineRule="auto"/>
              <w:ind w:firstLine="0" w:firstLineChars="0"/>
              <w:jc w:val="center"/>
              <w:rPr>
                <w:rFonts w:hint="default" w:ascii="Times New Roman" w:hAnsi="Times New Roman" w:eastAsia="宋体" w:cs="Times New Roman"/>
                <w:bCs/>
                <w:kern w:val="0"/>
                <w:sz w:val="21"/>
                <w:szCs w:val="21"/>
                <w14:ligatures w14:val="none"/>
              </w:rPr>
            </w:pPr>
            <w:r>
              <w:rPr>
                <w:rFonts w:hint="default" w:ascii="Times New Roman" w:hAnsi="Times New Roman" w:eastAsia="宋体" w:cs="Times New Roman"/>
                <w:bCs/>
                <w:kern w:val="0"/>
                <w:sz w:val="21"/>
                <w:szCs w:val="21"/>
                <w14:ligatures w14:val="none"/>
              </w:rPr>
              <w:t>GB50156-2021</w:t>
            </w:r>
          </w:p>
          <w:p w14:paraId="23496374">
            <w:pPr>
              <w:adjustRightInd/>
              <w:snapToGrid/>
              <w:spacing w:line="240" w:lineRule="auto"/>
              <w:ind w:firstLine="0" w:firstLineChars="0"/>
              <w:jc w:val="center"/>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bCs/>
                <w:kern w:val="0"/>
                <w:sz w:val="21"/>
                <w:szCs w:val="21"/>
                <w14:ligatures w14:val="none"/>
              </w:rPr>
              <w:t>第6.3.4条</w:t>
            </w:r>
          </w:p>
        </w:tc>
        <w:tc>
          <w:tcPr>
            <w:tcW w:w="1142" w:type="pct"/>
            <w:vAlign w:val="center"/>
          </w:tcPr>
          <w:p w14:paraId="51791276">
            <w:pPr>
              <w:spacing w:line="240" w:lineRule="auto"/>
              <w:ind w:firstLine="0" w:firstLineChars="0"/>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车用乙醇汽油罐车向站内油罐卸油采用平衡式密闭油气回收系统；</w:t>
            </w:r>
            <w:r>
              <w:rPr>
                <w:rFonts w:hint="default" w:ascii="Times New Roman" w:hAnsi="Times New Roman" w:eastAsia="宋体" w:cs="Times New Roman"/>
                <w:spacing w:val="10"/>
                <w:sz w:val="21"/>
                <w:szCs w:val="21"/>
                <w14:ligatures w14:val="none"/>
              </w:rPr>
              <w:t>回收主管公称直径为1</w:t>
            </w:r>
            <w:r>
              <w:rPr>
                <w:rFonts w:hint="default" w:ascii="Times New Roman" w:hAnsi="Times New Roman" w:eastAsia="宋体" w:cs="Times New Roman"/>
                <w:sz w:val="21"/>
                <w:szCs w:val="21"/>
                <w14:ligatures w14:val="none"/>
              </w:rPr>
              <w:t>00mm；</w:t>
            </w:r>
            <w:r>
              <w:rPr>
                <w:rFonts w:hint="default" w:ascii="Times New Roman" w:hAnsi="Times New Roman" w:eastAsia="宋体" w:cs="Times New Roman"/>
                <w:spacing w:val="10"/>
                <w:sz w:val="21"/>
                <w:szCs w:val="21"/>
                <w14:ligatures w14:val="none"/>
              </w:rPr>
              <w:t>卸油油气回收管道的接口采用自闭式快速接头</w:t>
            </w:r>
          </w:p>
        </w:tc>
        <w:tc>
          <w:tcPr>
            <w:tcW w:w="403" w:type="pct"/>
            <w:vAlign w:val="center"/>
          </w:tcPr>
          <w:p w14:paraId="2CC610F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6042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A1C543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FFCCC7A">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29</w:t>
            </w:r>
            <w:r>
              <w:rPr>
                <w:rFonts w:hint="default" w:ascii="Times New Roman" w:hAnsi="Times New Roman" w:eastAsia="宋体" w:cs="Times New Roman"/>
                <w:sz w:val="21"/>
                <w:szCs w:val="21"/>
                <w14:ligatures w14:val="none"/>
              </w:rPr>
              <w:t>、加</w:t>
            </w:r>
            <w:r>
              <w:rPr>
                <w:rFonts w:hint="default" w:ascii="Times New Roman" w:hAnsi="Times New Roman" w:eastAsia="宋体" w:cs="Times New Roman"/>
                <w:spacing w:val="10"/>
                <w:sz w:val="21"/>
                <w:szCs w:val="21"/>
                <w14:ligatures w14:val="none"/>
              </w:rPr>
              <w:t>油站采用加油油气回收系统。</w:t>
            </w:r>
          </w:p>
        </w:tc>
        <w:tc>
          <w:tcPr>
            <w:tcW w:w="1020" w:type="pct"/>
            <w:vAlign w:val="center"/>
          </w:tcPr>
          <w:p w14:paraId="703D0DFA">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714E2FB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第6.3.6条</w:t>
            </w:r>
          </w:p>
        </w:tc>
        <w:tc>
          <w:tcPr>
            <w:tcW w:w="1142" w:type="pct"/>
            <w:vAlign w:val="center"/>
          </w:tcPr>
          <w:p w14:paraId="5F89A871">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pacing w:val="10"/>
                <w:sz w:val="21"/>
                <w:szCs w:val="21"/>
                <w14:ligatures w14:val="none"/>
              </w:rPr>
              <w:t>本项目采用加油油气回收系统</w:t>
            </w:r>
          </w:p>
        </w:tc>
        <w:tc>
          <w:tcPr>
            <w:tcW w:w="403" w:type="pct"/>
            <w:vAlign w:val="center"/>
          </w:tcPr>
          <w:p w14:paraId="3F0FE7F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EF8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14B4A38">
            <w:pPr>
              <w:adjustRightInd/>
              <w:snapToGrid/>
              <w:spacing w:line="240" w:lineRule="auto"/>
              <w:ind w:firstLine="0" w:firstLineChars="0"/>
              <w:jc w:val="center"/>
              <w:rPr>
                <w:rFonts w:hint="default" w:ascii="Times New Roman" w:hAnsi="Times New Roman" w:eastAsia="宋体" w:cs="Times New Roman"/>
                <w:szCs w:val="20"/>
                <w14:ligatures w14:val="none"/>
              </w:rPr>
            </w:pPr>
          </w:p>
        </w:tc>
        <w:tc>
          <w:tcPr>
            <w:tcW w:w="1991" w:type="pct"/>
            <w:vAlign w:val="center"/>
          </w:tcPr>
          <w:p w14:paraId="406AEE81">
            <w:pPr>
              <w:spacing w:line="240" w:lineRule="auto"/>
              <w:ind w:firstLine="0" w:firstLineChars="0"/>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3</w:t>
            </w:r>
            <w:r>
              <w:rPr>
                <w:rFonts w:hint="eastAsia" w:ascii="Times New Roman" w:hAnsi="Times New Roman" w:eastAsia="宋体" w:cs="Times New Roman"/>
                <w:kern w:val="0"/>
                <w:sz w:val="21"/>
                <w:szCs w:val="21"/>
                <w:lang w:val="en-US" w:eastAsia="zh-CN"/>
                <w14:ligatures w14:val="none"/>
              </w:rPr>
              <w:t>0</w:t>
            </w:r>
            <w:r>
              <w:rPr>
                <w:rFonts w:hint="default" w:ascii="Times New Roman" w:hAnsi="Times New Roman" w:eastAsia="宋体" w:cs="Times New Roman"/>
                <w:kern w:val="0"/>
                <w:sz w:val="21"/>
                <w:szCs w:val="21"/>
                <w14:ligatures w14:val="none"/>
              </w:rPr>
              <w:t>、加油油气回收系统的设计是否符合下列规定：</w:t>
            </w:r>
          </w:p>
          <w:p w14:paraId="614CB27D">
            <w:pPr>
              <w:spacing w:line="240" w:lineRule="auto"/>
              <w:ind w:firstLine="0" w:firstLineChars="0"/>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①应采用真空辅助式油气回收系统；</w:t>
            </w:r>
          </w:p>
          <w:p w14:paraId="566852BB">
            <w:pPr>
              <w:spacing w:line="240" w:lineRule="auto"/>
              <w:ind w:firstLine="0" w:firstLineChars="0"/>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②车用车用乙醇汽油加油机与油罐之间应设油气回收管道，多台车用车用乙醇汽油加油机可共用一根油气回收主管，油气回收主管的公称直径不应小于50mm；</w:t>
            </w:r>
          </w:p>
          <w:p w14:paraId="7B3AAA4B">
            <w:pPr>
              <w:spacing w:line="240" w:lineRule="auto"/>
              <w:ind w:firstLine="0" w:firstLineChars="0"/>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kern w:val="0"/>
                <w:sz w:val="21"/>
                <w:szCs w:val="21"/>
                <w14:ligatures w14:val="none"/>
              </w:rPr>
              <w:t>③加油油气回收系统应采取防止油气反向流至加油枪的措施；</w:t>
            </w:r>
          </w:p>
          <w:p w14:paraId="14A401B3">
            <w:pPr>
              <w:spacing w:line="240" w:lineRule="auto"/>
              <w:ind w:firstLine="0" w:firstLineChars="0"/>
              <w:rPr>
                <w:rFonts w:hint="default" w:ascii="Times New Roman" w:hAnsi="Times New Roman" w:eastAsia="宋体" w:cs="Times New Roman"/>
                <w:szCs w:val="20"/>
                <w14:ligatures w14:val="none"/>
              </w:rPr>
            </w:pPr>
            <w:r>
              <w:rPr>
                <w:rFonts w:hint="default" w:ascii="Times New Roman" w:hAnsi="Times New Roman" w:eastAsia="宋体" w:cs="Times New Roman"/>
                <w:kern w:val="0"/>
                <w:sz w:val="21"/>
                <w:szCs w:val="21"/>
                <w14:ligatures w14:val="none"/>
              </w:rPr>
              <w:t>④加油机应具备回收油气功能，其气液比宜设定为1.0~1.2；</w:t>
            </w:r>
          </w:p>
          <w:p w14:paraId="72E1ECA4">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kern w:val="0"/>
                <w:sz w:val="21"/>
                <w:szCs w:val="21"/>
                <w14:ligatures w14:val="none"/>
              </w:rPr>
              <w:t>⑤在加油机底部与油气回收立管的连接处，应安装一个用于检测液阻和系统密闭性的丝接三通，其旁通短管上应设公称直径为25mm的球阀及丝堵。</w:t>
            </w:r>
          </w:p>
        </w:tc>
        <w:tc>
          <w:tcPr>
            <w:tcW w:w="1020" w:type="pct"/>
            <w:vAlign w:val="center"/>
          </w:tcPr>
          <w:p w14:paraId="60404DC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1DF3E0D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第6.3.7条</w:t>
            </w:r>
          </w:p>
        </w:tc>
        <w:tc>
          <w:tcPr>
            <w:tcW w:w="1142" w:type="pct"/>
            <w:vAlign w:val="center"/>
          </w:tcPr>
          <w:p w14:paraId="3004ADDC">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pacing w:val="10"/>
                <w:sz w:val="21"/>
                <w:szCs w:val="21"/>
                <w14:ligatures w14:val="none"/>
              </w:rPr>
              <w:t>采用真空辅助式油气回收系统，车用车用乙醇汽油加油机与油罐之间设置油气回收管道，油气回收主管的公称直径为</w:t>
            </w:r>
            <w:r>
              <w:rPr>
                <w:rFonts w:hint="eastAsia" w:ascii="Times New Roman" w:hAnsi="Times New Roman" w:eastAsia="宋体" w:cs="Times New Roman"/>
                <w:spacing w:val="10"/>
                <w:sz w:val="21"/>
                <w:szCs w:val="21"/>
                <w:lang w:val="en-US" w:eastAsia="zh-CN"/>
                <w14:ligatures w14:val="none"/>
              </w:rPr>
              <w:t>5</w:t>
            </w:r>
            <w:r>
              <w:rPr>
                <w:rFonts w:hint="default" w:ascii="Times New Roman" w:hAnsi="Times New Roman" w:eastAsia="宋体" w:cs="Times New Roman"/>
                <w:spacing w:val="10"/>
                <w:sz w:val="21"/>
                <w:szCs w:val="21"/>
                <w14:ligatures w14:val="none"/>
              </w:rPr>
              <w:t>0mm；设防止油气反向流至加油枪的措施；加油机具备回收油气功能；</w:t>
            </w:r>
            <w:r>
              <w:rPr>
                <w:rFonts w:hint="default" w:ascii="Times New Roman" w:hAnsi="Times New Roman" w:eastAsia="宋体" w:cs="Times New Roman"/>
                <w:bCs/>
                <w:sz w:val="21"/>
                <w:szCs w:val="21"/>
                <w14:ligatures w14:val="none"/>
              </w:rPr>
              <w:t>在加油机底部与油气回收立管的连接处，已设置一个用于检测液阻和系统密闭性的丝接三通，其旁通短管上设公称直径25mm的球阀及丝堵</w:t>
            </w:r>
          </w:p>
        </w:tc>
        <w:tc>
          <w:tcPr>
            <w:tcW w:w="403" w:type="pct"/>
            <w:vAlign w:val="center"/>
          </w:tcPr>
          <w:p w14:paraId="3E8E950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815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2A3A2B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AA50EAF">
            <w:pPr>
              <w:spacing w:line="240" w:lineRule="auto"/>
              <w:ind w:firstLine="0" w:firstLineChars="0"/>
              <w:rPr>
                <w:rFonts w:hint="default" w:ascii="Times New Roman" w:hAnsi="Times New Roman" w:eastAsia="宋体" w:cs="Times New Roman"/>
                <w:kern w:val="0"/>
                <w:sz w:val="21"/>
                <w:szCs w:val="21"/>
                <w14:ligatures w14:val="none"/>
              </w:rPr>
            </w:pPr>
            <w:r>
              <w:rPr>
                <w:rFonts w:hint="default" w:ascii="Times New Roman" w:hAnsi="Times New Roman" w:eastAsia="宋体" w:cs="Times New Roman"/>
                <w:sz w:val="21"/>
                <w:szCs w:val="21"/>
                <w14:ligatures w14:val="none"/>
              </w:rPr>
              <w:t>3</w:t>
            </w:r>
            <w:r>
              <w:rPr>
                <w:rFonts w:hint="eastAsia" w:ascii="Times New Roman" w:hAnsi="Times New Roman" w:eastAsia="宋体" w:cs="Times New Roman"/>
                <w:sz w:val="21"/>
                <w:szCs w:val="21"/>
                <w:lang w:val="en-US" w:eastAsia="zh-CN"/>
                <w14:ligatures w14:val="none"/>
              </w:rPr>
              <w:t>1</w:t>
            </w:r>
            <w:r>
              <w:rPr>
                <w:rFonts w:hint="default" w:ascii="Times New Roman" w:hAnsi="Times New Roman" w:eastAsia="宋体" w:cs="Times New Roman"/>
                <w:sz w:val="21"/>
                <w:szCs w:val="21"/>
                <w14:ligatures w14:val="none"/>
              </w:rPr>
              <w:t>、</w:t>
            </w:r>
            <w:r>
              <w:rPr>
                <w:rFonts w:hint="default" w:ascii="Times New Roman" w:hAnsi="Times New Roman" w:eastAsia="宋体" w:cs="Times New Roman"/>
                <w:spacing w:val="10"/>
                <w:kern w:val="0"/>
                <w:sz w:val="21"/>
                <w:szCs w:val="21"/>
                <w14:ligatures w14:val="none"/>
              </w:rPr>
              <w:t>油罐接合管设置</w:t>
            </w:r>
            <w:r>
              <w:rPr>
                <w:rFonts w:hint="default" w:ascii="Times New Roman" w:hAnsi="Times New Roman" w:eastAsia="宋体" w:cs="Times New Roman"/>
                <w:kern w:val="0"/>
                <w:sz w:val="21"/>
                <w:szCs w:val="21"/>
                <w14:ligatures w14:val="none"/>
              </w:rPr>
              <w:t>是否符合下列规定：</w:t>
            </w:r>
          </w:p>
          <w:p w14:paraId="193113C3">
            <w:pPr>
              <w:spacing w:line="240" w:lineRule="auto"/>
              <w:ind w:firstLine="0" w:firstLineChars="0"/>
              <w:rPr>
                <w:rFonts w:hint="default" w:ascii="Times New Roman" w:hAnsi="Times New Roman" w:eastAsia="宋体" w:cs="Times New Roman"/>
                <w:spacing w:val="10"/>
                <w:kern w:val="0"/>
                <w:sz w:val="21"/>
                <w:szCs w:val="21"/>
                <w14:ligatures w14:val="none"/>
              </w:rPr>
            </w:pPr>
            <w:r>
              <w:rPr>
                <w:rFonts w:hint="default" w:ascii="Times New Roman" w:hAnsi="Times New Roman" w:eastAsia="宋体" w:cs="Times New Roman"/>
                <w:sz w:val="21"/>
                <w:szCs w:val="21"/>
                <w14:ligatures w14:val="none"/>
              </w:rPr>
              <w:t>①</w:t>
            </w:r>
            <w:r>
              <w:rPr>
                <w:rFonts w:hint="default" w:ascii="Times New Roman" w:hAnsi="Times New Roman" w:eastAsia="宋体" w:cs="Times New Roman"/>
                <w:spacing w:val="10"/>
                <w:kern w:val="0"/>
                <w:sz w:val="21"/>
                <w:szCs w:val="21"/>
                <w14:ligatures w14:val="none"/>
              </w:rPr>
              <w:t>接合管为金属材质；</w:t>
            </w:r>
          </w:p>
          <w:p w14:paraId="0ACFDE8F">
            <w:pPr>
              <w:spacing w:line="240" w:lineRule="auto"/>
              <w:ind w:firstLine="0" w:firstLineChars="0"/>
              <w:rPr>
                <w:rFonts w:hint="default" w:ascii="Times New Roman" w:hAnsi="Times New Roman" w:eastAsia="宋体" w:cs="Times New Roman"/>
                <w:spacing w:val="10"/>
                <w:kern w:val="0"/>
                <w:sz w:val="21"/>
                <w:szCs w:val="21"/>
                <w14:ligatures w14:val="none"/>
              </w:rPr>
            </w:pPr>
            <w:r>
              <w:rPr>
                <w:rFonts w:hint="default" w:ascii="Times New Roman" w:hAnsi="Times New Roman" w:eastAsia="宋体" w:cs="Times New Roman"/>
                <w:sz w:val="21"/>
                <w:szCs w:val="21"/>
                <w14:ligatures w14:val="none"/>
              </w:rPr>
              <w:t>②</w:t>
            </w:r>
            <w:r>
              <w:rPr>
                <w:rFonts w:hint="default" w:ascii="Times New Roman" w:hAnsi="Times New Roman" w:eastAsia="宋体" w:cs="Times New Roman"/>
                <w:spacing w:val="10"/>
                <w:kern w:val="0"/>
                <w:sz w:val="21"/>
                <w:szCs w:val="21"/>
                <w14:ligatures w14:val="none"/>
              </w:rPr>
              <w:t>接合管设在油罐的顶部，其中进油接合管、出油接合管或潜油泵安装口，设在人孔盖上；</w:t>
            </w:r>
          </w:p>
          <w:p w14:paraId="6399C8B2">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③</w:t>
            </w:r>
            <w:bookmarkStart w:id="123" w:name="OLE_LINK36"/>
            <w:r>
              <w:rPr>
                <w:rFonts w:hint="default" w:ascii="Times New Roman" w:hAnsi="Times New Roman" w:eastAsia="宋体" w:cs="Times New Roman"/>
                <w:bCs/>
                <w:spacing w:val="10"/>
                <w:kern w:val="0"/>
                <w:sz w:val="21"/>
                <w:szCs w:val="21"/>
                <w14:ligatures w14:val="none"/>
              </w:rPr>
              <w:t>进油管</w:t>
            </w:r>
            <w:bookmarkEnd w:id="123"/>
            <w:r>
              <w:rPr>
                <w:rFonts w:hint="default" w:ascii="Times New Roman" w:hAnsi="Times New Roman" w:eastAsia="宋体" w:cs="Times New Roman"/>
                <w:bCs/>
                <w:spacing w:val="10"/>
                <w:kern w:val="0"/>
                <w:sz w:val="21"/>
                <w:szCs w:val="21"/>
                <w14:ligatures w14:val="none"/>
              </w:rPr>
              <w:t>应伸至罐内距罐底50mm～100mm处。进油立管的底端是否为45</w:t>
            </w:r>
            <w:r>
              <w:rPr>
                <w:rFonts w:hint="default" w:ascii="Times New Roman" w:hAnsi="Times New Roman" w:eastAsia="宋体" w:cs="Times New Roman"/>
                <w:bCs/>
                <w:spacing w:val="10"/>
                <w:kern w:val="0"/>
                <w:sz w:val="21"/>
                <w:szCs w:val="21"/>
                <w:vertAlign w:val="superscript"/>
                <w14:ligatures w14:val="none"/>
              </w:rPr>
              <w:t>.</w:t>
            </w:r>
            <w:r>
              <w:rPr>
                <w:rFonts w:hint="default" w:ascii="Times New Roman" w:hAnsi="Times New Roman" w:eastAsia="宋体" w:cs="Times New Roman"/>
                <w:bCs/>
                <w:spacing w:val="10"/>
                <w:kern w:val="0"/>
                <w:sz w:val="21"/>
                <w:szCs w:val="21"/>
                <w14:ligatures w14:val="none"/>
              </w:rPr>
              <w:t>斜管口或T形管口。进油管管壁上不得有与油罐气相空间相通的开口；进油管罐壁上不得有与油罐气相空间相通的开口。</w:t>
            </w:r>
          </w:p>
          <w:p w14:paraId="1DB55013">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④</w:t>
            </w:r>
            <w:r>
              <w:rPr>
                <w:rFonts w:hint="default" w:ascii="Times New Roman" w:hAnsi="Times New Roman" w:eastAsia="宋体" w:cs="Times New Roman"/>
                <w:spacing w:val="10"/>
                <w:kern w:val="0"/>
                <w:sz w:val="21"/>
                <w:szCs w:val="21"/>
                <w14:ligatures w14:val="none"/>
              </w:rPr>
              <w:t>罐内潜油泵的入油口或通往自吸式加油机管道的罐内底阀，应高于罐底150mm</w:t>
            </w:r>
            <w:r>
              <w:rPr>
                <w:rFonts w:hint="default" w:ascii="Times New Roman" w:hAnsi="Times New Roman" w:eastAsia="宋体" w:cs="Times New Roman"/>
                <w:bCs/>
                <w:spacing w:val="10"/>
                <w:kern w:val="0"/>
                <w:sz w:val="21"/>
                <w:szCs w:val="21"/>
                <w14:ligatures w14:val="none"/>
              </w:rPr>
              <w:t>～200mm</w:t>
            </w:r>
            <w:r>
              <w:rPr>
                <w:rFonts w:hint="default" w:ascii="Times New Roman" w:hAnsi="Times New Roman" w:eastAsia="宋体" w:cs="Times New Roman"/>
                <w:spacing w:val="10"/>
                <w:kern w:val="0"/>
                <w:sz w:val="21"/>
                <w:szCs w:val="21"/>
                <w14:ligatures w14:val="none"/>
              </w:rPr>
              <w:t>；</w:t>
            </w:r>
          </w:p>
          <w:p w14:paraId="4FCDA299">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bCs/>
                <w:sz w:val="21"/>
                <w:szCs w:val="21"/>
                <w14:ligatures w14:val="none"/>
              </w:rPr>
              <w:t>⑤</w:t>
            </w:r>
            <w:r>
              <w:rPr>
                <w:rFonts w:hint="default" w:ascii="Times New Roman" w:hAnsi="Times New Roman" w:eastAsia="宋体" w:cs="Times New Roman"/>
                <w:spacing w:val="10"/>
                <w:kern w:val="0"/>
                <w:sz w:val="21"/>
                <w:szCs w:val="21"/>
                <w14:ligatures w14:val="none"/>
              </w:rPr>
              <w:t>油罐的量油孔应设带锁的量油帽；</w:t>
            </w:r>
            <w:r>
              <w:rPr>
                <w:rFonts w:hint="default" w:ascii="Times New Roman" w:hAnsi="Times New Roman" w:eastAsia="宋体" w:cs="Times New Roman"/>
                <w:sz w:val="21"/>
                <w:szCs w:val="21"/>
                <w14:ligatures w14:val="none"/>
              </w:rPr>
              <w:t>⑥</w:t>
            </w:r>
            <w:r>
              <w:rPr>
                <w:rFonts w:hint="default" w:ascii="Times New Roman" w:hAnsi="Times New Roman" w:eastAsia="宋体" w:cs="Times New Roman"/>
                <w:spacing w:val="10"/>
                <w:sz w:val="21"/>
                <w:szCs w:val="21"/>
                <w14:ligatures w14:val="none"/>
              </w:rPr>
              <w:t>油罐人孔盖具有可拆装性</w:t>
            </w:r>
          </w:p>
          <w:p w14:paraId="1EE39C2E">
            <w:pPr>
              <w:spacing w:line="240" w:lineRule="auto"/>
              <w:ind w:firstLine="0" w:firstLineChars="0"/>
              <w:rPr>
                <w:rFonts w:hint="default" w:ascii="Times New Roman" w:hAnsi="Times New Roman" w:eastAsia="宋体" w:cs="Times New Roman"/>
                <w:spacing w:val="10"/>
                <w:kern w:val="0"/>
                <w:sz w:val="21"/>
                <w:szCs w:val="21"/>
                <w14:ligatures w14:val="none"/>
              </w:rPr>
            </w:pPr>
            <w:r>
              <w:rPr>
                <w:rFonts w:hint="default" w:ascii="Times New Roman" w:hAnsi="Times New Roman" w:eastAsia="宋体" w:cs="Times New Roman"/>
                <w:sz w:val="21"/>
                <w:szCs w:val="21"/>
                <w14:ligatures w14:val="none"/>
              </w:rPr>
              <w:t>⑦人孔盖上的接合管与引出井外管道的连接，宜采用金属软管过渡连接（包括潜油泵出油管）。</w:t>
            </w:r>
          </w:p>
        </w:tc>
        <w:tc>
          <w:tcPr>
            <w:tcW w:w="1020" w:type="pct"/>
            <w:vAlign w:val="center"/>
          </w:tcPr>
          <w:p w14:paraId="1CEB46F6">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090E125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第6.3.8条</w:t>
            </w:r>
          </w:p>
        </w:tc>
        <w:tc>
          <w:tcPr>
            <w:tcW w:w="1142" w:type="pct"/>
            <w:vAlign w:val="center"/>
          </w:tcPr>
          <w:p w14:paraId="62B5F2DA">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本项目在油罐人孔盖上设有接合管道，接合管道为金属材质</w:t>
            </w:r>
            <w:r>
              <w:rPr>
                <w:rFonts w:hint="eastAsia" w:ascii="Times New Roman" w:hAnsi="Times New Roman" w:eastAsia="宋体" w:cs="Times New Roman"/>
                <w:sz w:val="21"/>
                <w:szCs w:val="21"/>
                <w:lang w:eastAsia="zh-CN"/>
                <w14:ligatures w14:val="none"/>
              </w:rPr>
              <w:t>；</w:t>
            </w:r>
            <w:r>
              <w:rPr>
                <w:rFonts w:hint="default" w:ascii="Times New Roman" w:hAnsi="Times New Roman" w:eastAsia="宋体" w:cs="Times New Roman"/>
                <w:sz w:val="21"/>
                <w:szCs w:val="21"/>
                <w14:ligatures w14:val="none"/>
              </w:rPr>
              <w:t>进油立管的底端为45°斜管口</w:t>
            </w:r>
            <w:r>
              <w:rPr>
                <w:rFonts w:hint="eastAsia" w:ascii="Times New Roman" w:hAnsi="Times New Roman" w:eastAsia="宋体" w:cs="Times New Roman"/>
                <w:sz w:val="21"/>
                <w:szCs w:val="21"/>
                <w:lang w:eastAsia="zh-CN"/>
                <w14:ligatures w14:val="none"/>
              </w:rPr>
              <w:t>；</w:t>
            </w:r>
            <w:r>
              <w:rPr>
                <w:rFonts w:hint="default" w:ascii="Times New Roman" w:hAnsi="Times New Roman" w:eastAsia="宋体" w:cs="Times New Roman"/>
                <w:sz w:val="21"/>
                <w:szCs w:val="21"/>
                <w14:ligatures w14:val="none"/>
              </w:rPr>
              <w:t>罐内潜油泵的入油口，高于罐底</w:t>
            </w:r>
          </w:p>
          <w:p w14:paraId="7BE1D483">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150mm~200mm</w:t>
            </w:r>
            <w:r>
              <w:rPr>
                <w:rFonts w:hint="eastAsia" w:ascii="Times New Roman" w:hAnsi="Times New Roman" w:eastAsia="宋体" w:cs="Times New Roman"/>
                <w:sz w:val="21"/>
                <w:szCs w:val="21"/>
                <w:lang w:eastAsia="zh-CN"/>
                <w14:ligatures w14:val="none"/>
              </w:rPr>
              <w:t>；</w:t>
            </w:r>
            <w:r>
              <w:rPr>
                <w:rFonts w:hint="default" w:ascii="Times New Roman" w:hAnsi="Times New Roman" w:eastAsia="宋体" w:cs="Times New Roman"/>
                <w:sz w:val="21"/>
                <w:szCs w:val="21"/>
                <w14:ligatures w14:val="none"/>
              </w:rPr>
              <w:t>油罐的量油孔设带锁的量油帽，量油孔下部的接合管向下伸至罐内距罐底200mm处</w:t>
            </w:r>
            <w:r>
              <w:rPr>
                <w:rFonts w:hint="eastAsia" w:ascii="Times New Roman" w:hAnsi="Times New Roman" w:eastAsia="宋体" w:cs="Times New Roman"/>
                <w:sz w:val="21"/>
                <w:szCs w:val="21"/>
                <w:lang w:eastAsia="zh-CN"/>
                <w14:ligatures w14:val="none"/>
              </w:rPr>
              <w:t>；</w:t>
            </w:r>
            <w:r>
              <w:rPr>
                <w:rFonts w:hint="default" w:ascii="Times New Roman" w:hAnsi="Times New Roman" w:eastAsia="宋体" w:cs="Times New Roman"/>
                <w:sz w:val="21"/>
                <w:szCs w:val="21"/>
                <w14:ligatures w14:val="none"/>
              </w:rPr>
              <w:t>油罐人孔并内的管道及设备应保证油罐人孔盖的可拆装性</w:t>
            </w:r>
            <w:r>
              <w:rPr>
                <w:rFonts w:hint="eastAsia" w:ascii="Times New Roman" w:hAnsi="Times New Roman" w:eastAsia="宋体" w:cs="Times New Roman"/>
                <w:sz w:val="21"/>
                <w:szCs w:val="21"/>
                <w:lang w:eastAsia="zh-CN"/>
                <w14:ligatures w14:val="none"/>
              </w:rPr>
              <w:t>；</w:t>
            </w:r>
            <w:r>
              <w:rPr>
                <w:rFonts w:hint="default" w:ascii="Times New Roman" w:hAnsi="Times New Roman" w:eastAsia="宋体" w:cs="Times New Roman"/>
                <w:sz w:val="21"/>
                <w:szCs w:val="21"/>
                <w14:ligatures w14:val="none"/>
              </w:rPr>
              <w:t>人孔盖上的接合管与引出井外管道的连接，采用金属软管过渡连接。</w:t>
            </w:r>
          </w:p>
        </w:tc>
        <w:tc>
          <w:tcPr>
            <w:tcW w:w="403" w:type="pct"/>
            <w:vAlign w:val="center"/>
          </w:tcPr>
          <w:p w14:paraId="21A2A80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E045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8A7E0D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B69E08B">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32</w:t>
            </w:r>
            <w:r>
              <w:rPr>
                <w:rFonts w:hint="default" w:ascii="Times New Roman" w:hAnsi="Times New Roman" w:eastAsia="宋体" w:cs="Times New Roman"/>
                <w:sz w:val="21"/>
                <w:szCs w:val="21"/>
                <w14:ligatures w14:val="none"/>
              </w:rPr>
              <w:t>、</w:t>
            </w:r>
            <w:r>
              <w:rPr>
                <w:rFonts w:hint="default" w:ascii="Times New Roman" w:hAnsi="Times New Roman" w:eastAsia="宋体" w:cs="Times New Roman"/>
                <w:spacing w:val="10"/>
                <w:sz w:val="21"/>
                <w:szCs w:val="21"/>
                <w14:ligatures w14:val="none"/>
              </w:rPr>
              <w:t>车用乙醇汽油罐与柴油罐的通气管是否分开设置。通气管管口高出地面的高度是否不小于4m。沿建（构）筑物的墙（柱）向上敷设的通气管，其管口是否高出建筑物的顶面2m及以上。通气管管口是否设置阻火器。</w:t>
            </w:r>
          </w:p>
        </w:tc>
        <w:tc>
          <w:tcPr>
            <w:tcW w:w="1020" w:type="pct"/>
            <w:vAlign w:val="center"/>
          </w:tcPr>
          <w:p w14:paraId="77D7E3B3">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3047348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第6.3.9条</w:t>
            </w:r>
          </w:p>
        </w:tc>
        <w:tc>
          <w:tcPr>
            <w:tcW w:w="1142" w:type="pct"/>
            <w:vAlign w:val="center"/>
          </w:tcPr>
          <w:p w14:paraId="36B5F0B0">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通气管分开设置，通气管管口高出</w:t>
            </w:r>
            <w:r>
              <w:rPr>
                <w:rFonts w:hint="eastAsia" w:ascii="Times New Roman" w:hAnsi="Times New Roman" w:eastAsia="宋体" w:cs="Times New Roman"/>
                <w:sz w:val="21"/>
                <w:szCs w:val="21"/>
                <w:lang w:val="en-US" w:eastAsia="zh-CN"/>
                <w14:ligatures w14:val="none"/>
              </w:rPr>
              <w:t>罩棚顶部2</w:t>
            </w:r>
            <w:r>
              <w:rPr>
                <w:rFonts w:hint="default" w:ascii="Times New Roman" w:hAnsi="Times New Roman" w:eastAsia="宋体" w:cs="Times New Roman"/>
                <w:sz w:val="21"/>
                <w:szCs w:val="21"/>
                <w14:ligatures w14:val="none"/>
              </w:rPr>
              <w:t>m，柴油储罐通气管口设有防雨型阻火器，车用乙醇汽油储罐通气管口设带阻火器功能的机械呼吸阀</w:t>
            </w:r>
          </w:p>
        </w:tc>
        <w:tc>
          <w:tcPr>
            <w:tcW w:w="403" w:type="pct"/>
            <w:vAlign w:val="center"/>
          </w:tcPr>
          <w:p w14:paraId="7CDF4FC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C24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275DFD2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5BC4EDFF">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33</w:t>
            </w:r>
            <w:r>
              <w:rPr>
                <w:rFonts w:hint="default" w:ascii="Times New Roman" w:hAnsi="Times New Roman" w:eastAsia="宋体" w:cs="Times New Roman"/>
                <w:sz w:val="21"/>
                <w:szCs w:val="21"/>
                <w14:ligatures w14:val="none"/>
              </w:rPr>
              <w:t>、</w:t>
            </w:r>
            <w:r>
              <w:rPr>
                <w:rFonts w:hint="default" w:ascii="Times New Roman" w:hAnsi="Times New Roman" w:eastAsia="宋体" w:cs="Times New Roman"/>
                <w:spacing w:val="10"/>
                <w:sz w:val="21"/>
                <w:szCs w:val="21"/>
                <w14:ligatures w14:val="none"/>
              </w:rPr>
              <w:t>通气管的公称直径是否不小于50mm。</w:t>
            </w:r>
          </w:p>
        </w:tc>
        <w:tc>
          <w:tcPr>
            <w:tcW w:w="1020" w:type="pct"/>
            <w:vAlign w:val="center"/>
          </w:tcPr>
          <w:p w14:paraId="2CEB3803">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56D0A5E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第6.3.10条</w:t>
            </w:r>
          </w:p>
        </w:tc>
        <w:tc>
          <w:tcPr>
            <w:tcW w:w="1142" w:type="pct"/>
            <w:vAlign w:val="center"/>
          </w:tcPr>
          <w:p w14:paraId="1D796E74">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通气管的公称直径为50mm</w:t>
            </w:r>
          </w:p>
        </w:tc>
        <w:tc>
          <w:tcPr>
            <w:tcW w:w="403" w:type="pct"/>
            <w:vAlign w:val="center"/>
          </w:tcPr>
          <w:p w14:paraId="568F225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1B0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2DF1A6CD">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A98D320">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34</w:t>
            </w:r>
            <w:r>
              <w:rPr>
                <w:rFonts w:hint="default" w:ascii="Times New Roman" w:hAnsi="Times New Roman" w:eastAsia="宋体" w:cs="Times New Roman"/>
                <w:sz w:val="21"/>
                <w:szCs w:val="21"/>
                <w14:ligatures w14:val="none"/>
              </w:rPr>
              <w:t>、</w:t>
            </w:r>
            <w:r>
              <w:rPr>
                <w:rFonts w:hint="default" w:ascii="Times New Roman" w:hAnsi="Times New Roman" w:eastAsia="宋体" w:cs="Times New Roman"/>
                <w:spacing w:val="10"/>
                <w:sz w:val="21"/>
                <w:szCs w:val="21"/>
                <w14:ligatures w14:val="none"/>
              </w:rPr>
              <w:t>当加油站采用油气回收系统时，车用乙醇汽油罐的通气管管口是否装设阻火器和呼吸阀。呼吸阀的工作正压宜为2KPa~3KPa，工作负压宜为1.5KPa~2KPa。</w:t>
            </w:r>
          </w:p>
        </w:tc>
        <w:tc>
          <w:tcPr>
            <w:tcW w:w="1020" w:type="pct"/>
            <w:vAlign w:val="center"/>
          </w:tcPr>
          <w:p w14:paraId="43E8457F">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40BEEEE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第6.3.11条</w:t>
            </w:r>
          </w:p>
        </w:tc>
        <w:tc>
          <w:tcPr>
            <w:tcW w:w="1142" w:type="pct"/>
            <w:vAlign w:val="center"/>
          </w:tcPr>
          <w:p w14:paraId="77E0F979">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车用乙醇汽油油罐通气管管口装设阻火器和呼吸阀，呼吸阀</w:t>
            </w:r>
            <w:r>
              <w:rPr>
                <w:rFonts w:hint="default" w:ascii="Times New Roman" w:hAnsi="Times New Roman" w:eastAsia="宋体" w:cs="Times New Roman"/>
                <w:sz w:val="21"/>
                <w:szCs w:val="22"/>
                <w14:ligatures w14:val="none"/>
              </w:rPr>
              <w:t>工作正压2kPa-3kPa，工作负压1.5kPa-2kPa</w:t>
            </w:r>
          </w:p>
        </w:tc>
        <w:tc>
          <w:tcPr>
            <w:tcW w:w="403" w:type="pct"/>
            <w:vAlign w:val="center"/>
          </w:tcPr>
          <w:p w14:paraId="0CCF8F1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E75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650B4B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5132CB64">
            <w:pPr>
              <w:spacing w:line="240" w:lineRule="auto"/>
              <w:ind w:firstLine="0" w:firstLineChars="0"/>
              <w:rPr>
                <w:rFonts w:hint="default" w:ascii="Times New Roman" w:hAnsi="Times New Roman" w:eastAsia="宋体" w:cs="Times New Roman"/>
                <w:spacing w:val="10"/>
                <w:kern w:val="0"/>
                <w:sz w:val="21"/>
                <w:szCs w:val="21"/>
                <w14:ligatures w14:val="none"/>
              </w:rPr>
            </w:pPr>
            <w:r>
              <w:rPr>
                <w:rFonts w:hint="eastAsia" w:ascii="Times New Roman" w:hAnsi="Times New Roman" w:eastAsia="宋体" w:cs="Times New Roman"/>
                <w:spacing w:val="-2"/>
                <w:sz w:val="21"/>
                <w:szCs w:val="21"/>
                <w:lang w:val="en-US" w:eastAsia="zh-CN"/>
                <w14:ligatures w14:val="none"/>
              </w:rPr>
              <w:t>35</w:t>
            </w:r>
            <w:r>
              <w:rPr>
                <w:rFonts w:hint="default" w:ascii="Times New Roman" w:hAnsi="Times New Roman" w:eastAsia="宋体" w:cs="Times New Roman"/>
                <w:spacing w:val="-2"/>
                <w:sz w:val="21"/>
                <w:szCs w:val="21"/>
                <w14:ligatures w14:val="none"/>
              </w:rPr>
              <w:t>、</w:t>
            </w:r>
            <w:r>
              <w:rPr>
                <w:rFonts w:hint="default" w:ascii="Times New Roman" w:hAnsi="Times New Roman" w:eastAsia="宋体" w:cs="Times New Roman"/>
                <w:spacing w:val="10"/>
                <w:kern w:val="0"/>
                <w:sz w:val="21"/>
                <w:szCs w:val="21"/>
                <w14:ligatures w14:val="none"/>
              </w:rPr>
              <w:t>加油工艺管道选用是否符合下列规定：</w:t>
            </w:r>
          </w:p>
          <w:p w14:paraId="24B1AA86">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①</w:t>
            </w:r>
            <w:r>
              <w:rPr>
                <w:rFonts w:hint="default" w:ascii="Times New Roman" w:hAnsi="Times New Roman" w:eastAsia="宋体" w:cs="Times New Roman"/>
                <w:spacing w:val="10"/>
                <w:kern w:val="0"/>
                <w:sz w:val="21"/>
                <w:szCs w:val="21"/>
                <w14:ligatures w14:val="none"/>
              </w:rPr>
              <w:t>油罐</w:t>
            </w:r>
            <w:r>
              <w:rPr>
                <w:rFonts w:hint="default" w:ascii="Times New Roman" w:hAnsi="Times New Roman" w:eastAsia="宋体" w:cs="Times New Roman"/>
                <w:spacing w:val="10"/>
                <w:sz w:val="21"/>
                <w:szCs w:val="21"/>
                <w14:ligatures w14:val="none"/>
              </w:rPr>
              <w:t>通气管道和</w:t>
            </w:r>
            <w:r>
              <w:rPr>
                <w:rFonts w:hint="default" w:ascii="Times New Roman" w:hAnsi="Times New Roman" w:eastAsia="宋体" w:cs="Times New Roman"/>
                <w:spacing w:val="10"/>
                <w:kern w:val="0"/>
                <w:sz w:val="21"/>
                <w:szCs w:val="21"/>
                <w14:ligatures w14:val="none"/>
              </w:rPr>
              <w:t>露出地面的管道，是否采用符合现行国家标准《输送流体用无缝钢管》（GB/T8163）的无缝钢管；</w:t>
            </w:r>
          </w:p>
          <w:p w14:paraId="4EE79F6F">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②</w:t>
            </w:r>
            <w:r>
              <w:rPr>
                <w:rFonts w:hint="default" w:ascii="Times New Roman" w:hAnsi="Times New Roman" w:eastAsia="宋体" w:cs="Times New Roman"/>
                <w:spacing w:val="10"/>
                <w:sz w:val="21"/>
                <w:szCs w:val="21"/>
                <w14:ligatures w14:val="none"/>
              </w:rPr>
              <w:t>其他管道采用输送流体用无缝钢管或适于输送油品的热塑性塑料管道；</w:t>
            </w:r>
          </w:p>
          <w:p w14:paraId="26DC4D7A">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③</w:t>
            </w:r>
            <w:r>
              <w:rPr>
                <w:rFonts w:hint="default" w:ascii="Times New Roman" w:hAnsi="Times New Roman" w:eastAsia="宋体" w:cs="Times New Roman"/>
                <w:spacing w:val="10"/>
                <w:kern w:val="0"/>
                <w:sz w:val="21"/>
                <w:szCs w:val="21"/>
                <w14:ligatures w14:val="none"/>
              </w:rPr>
              <w:t>无缝钢管的公称壁厚不小于4mm，</w:t>
            </w:r>
            <w:r>
              <w:rPr>
                <w:rFonts w:hint="default" w:ascii="Times New Roman" w:hAnsi="Times New Roman" w:eastAsia="宋体" w:cs="Times New Roman"/>
                <w:spacing w:val="10"/>
                <w:sz w:val="21"/>
                <w:szCs w:val="21"/>
                <w14:ligatures w14:val="none"/>
              </w:rPr>
              <w:t>埋地钢管的连接应采用焊接。</w:t>
            </w:r>
          </w:p>
          <w:p w14:paraId="6C95073A">
            <w:pPr>
              <w:spacing w:line="240" w:lineRule="auto"/>
              <w:ind w:firstLine="0" w:firstLineChars="0"/>
              <w:rPr>
                <w:rFonts w:hint="default" w:ascii="Times New Roman" w:hAnsi="Times New Roman" w:eastAsia="宋体" w:cs="Times New Roman"/>
                <w:spacing w:val="10"/>
                <w:kern w:val="0"/>
                <w:sz w:val="21"/>
                <w:szCs w:val="21"/>
                <w14:ligatures w14:val="none"/>
              </w:rPr>
            </w:pPr>
            <w:r>
              <w:rPr>
                <w:rFonts w:hint="default" w:ascii="Times New Roman" w:hAnsi="Times New Roman" w:eastAsia="宋体" w:cs="Times New Roman"/>
                <w:spacing w:val="10"/>
                <w:kern w:val="0"/>
                <w:sz w:val="21"/>
                <w:szCs w:val="21"/>
                <w14:ligatures w14:val="none"/>
              </w:rPr>
              <w:t>④热塑性塑料管道的主体结构层应为无孔隙聚乙烯材料，壁厚不应小于4mm。埋地部分的热塑性塑料管道应采用配套的专用连接管件电熔连接。</w:t>
            </w:r>
          </w:p>
          <w:p w14:paraId="2C4327F8">
            <w:pPr>
              <w:spacing w:line="240" w:lineRule="auto"/>
              <w:ind w:firstLine="0" w:firstLineChars="0"/>
              <w:rPr>
                <w:rFonts w:hint="default" w:ascii="Times New Roman" w:hAnsi="Times New Roman" w:eastAsia="宋体" w:cs="Times New Roman"/>
                <w:spacing w:val="10"/>
                <w:kern w:val="0"/>
                <w:sz w:val="21"/>
                <w:szCs w:val="21"/>
                <w14:ligatures w14:val="none"/>
              </w:rPr>
            </w:pPr>
            <w:r>
              <w:rPr>
                <w:rFonts w:hint="default" w:ascii="Times New Roman" w:hAnsi="Times New Roman" w:eastAsia="宋体" w:cs="Times New Roman"/>
                <w:spacing w:val="10"/>
                <w:kern w:val="0"/>
                <w:sz w:val="21"/>
                <w:szCs w:val="21"/>
                <w14:ligatures w14:val="none"/>
              </w:rPr>
              <w:t>⑤导静电热塑性塑料管道导静电衬层的体电阻率应小于10</w:t>
            </w:r>
            <w:r>
              <w:rPr>
                <w:rFonts w:hint="default" w:ascii="Times New Roman" w:hAnsi="Times New Roman" w:eastAsia="宋体" w:cs="Times New Roman"/>
                <w:spacing w:val="10"/>
                <w:kern w:val="0"/>
                <w:sz w:val="21"/>
                <w:szCs w:val="21"/>
                <w:vertAlign w:val="superscript"/>
                <w14:ligatures w14:val="none"/>
              </w:rPr>
              <w:t>8</w:t>
            </w:r>
            <w:r>
              <w:rPr>
                <w:rFonts w:hint="default" w:ascii="Times New Roman" w:hAnsi="Times New Roman" w:eastAsia="宋体" w:cs="Times New Roman"/>
                <w:spacing w:val="10"/>
                <w:kern w:val="0"/>
                <w:sz w:val="21"/>
                <w:szCs w:val="21"/>
                <w14:ligatures w14:val="none"/>
              </w:rPr>
              <w:t>Ω·m，表面电阻率应小于10</w:t>
            </w:r>
            <w:r>
              <w:rPr>
                <w:rFonts w:hint="default" w:ascii="Times New Roman" w:hAnsi="Times New Roman" w:eastAsia="宋体" w:cs="Times New Roman"/>
                <w:spacing w:val="10"/>
                <w:kern w:val="0"/>
                <w:sz w:val="21"/>
                <w:szCs w:val="21"/>
                <w:vertAlign w:val="superscript"/>
                <w14:ligatures w14:val="none"/>
              </w:rPr>
              <w:t>10</w:t>
            </w:r>
            <w:r>
              <w:rPr>
                <w:rFonts w:hint="default" w:ascii="Times New Roman" w:hAnsi="Times New Roman" w:eastAsia="宋体" w:cs="Times New Roman"/>
                <w:spacing w:val="10"/>
                <w:kern w:val="0"/>
                <w:sz w:val="21"/>
                <w:szCs w:val="21"/>
                <w14:ligatures w14:val="none"/>
              </w:rPr>
              <w:t>Ω。</w:t>
            </w:r>
          </w:p>
          <w:p w14:paraId="27611E27">
            <w:pPr>
              <w:spacing w:line="240" w:lineRule="auto"/>
              <w:ind w:firstLine="0" w:firstLineChars="0"/>
              <w:rPr>
                <w:rFonts w:hint="default" w:ascii="Times New Roman" w:hAnsi="Times New Roman" w:eastAsia="宋体" w:cs="Times New Roman"/>
                <w:spacing w:val="10"/>
                <w:kern w:val="0"/>
                <w:sz w:val="21"/>
                <w:szCs w:val="21"/>
                <w14:ligatures w14:val="none"/>
              </w:rPr>
            </w:pPr>
            <w:r>
              <w:rPr>
                <w:rFonts w:hint="default" w:ascii="Times New Roman" w:hAnsi="Times New Roman" w:eastAsia="宋体" w:cs="Times New Roman"/>
                <w:spacing w:val="10"/>
                <w:kern w:val="0"/>
                <w:sz w:val="21"/>
                <w:szCs w:val="21"/>
                <w14:ligatures w14:val="none"/>
              </w:rPr>
              <w:t>⑥不导静电热塑性塑料管道主体结构层的介电击穿强度应大于100kV。</w:t>
            </w:r>
          </w:p>
          <w:p w14:paraId="53CE7577">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pacing w:val="10"/>
                <w:kern w:val="0"/>
                <w:sz w:val="21"/>
                <w:szCs w:val="21"/>
                <w14:ligatures w14:val="none"/>
              </w:rPr>
              <w:t>⑦柴油尾气处理液加注设备的管道，应采用奥氏体不锈钢管道或能满足输送柴油尾气处理液的其他管道。</w:t>
            </w:r>
          </w:p>
        </w:tc>
        <w:tc>
          <w:tcPr>
            <w:tcW w:w="1020" w:type="pct"/>
            <w:vAlign w:val="center"/>
          </w:tcPr>
          <w:p w14:paraId="327D3205">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07F4B0D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第6.3.12条</w:t>
            </w:r>
          </w:p>
        </w:tc>
        <w:tc>
          <w:tcPr>
            <w:tcW w:w="1142" w:type="pct"/>
            <w:vAlign w:val="center"/>
          </w:tcPr>
          <w:p w14:paraId="5131562A">
            <w:pPr>
              <w:spacing w:line="240" w:lineRule="auto"/>
              <w:ind w:firstLine="0" w:firstLineChars="0"/>
              <w:rPr>
                <w:rFonts w:hint="eastAsia" w:ascii="Times New Roman" w:hAnsi="Times New Roman" w:eastAsia="宋体" w:cs="Times New Roman"/>
                <w:sz w:val="21"/>
                <w:szCs w:val="21"/>
                <w:lang w:eastAsia="zh-CN"/>
                <w14:ligatures w14:val="none"/>
              </w:rPr>
            </w:pPr>
            <w:r>
              <w:rPr>
                <w:rFonts w:hint="default" w:ascii="Times New Roman" w:hAnsi="Times New Roman" w:eastAsia="宋体" w:cs="Times New Roman"/>
                <w:spacing w:val="10"/>
                <w:sz w:val="21"/>
                <w:szCs w:val="21"/>
                <w14:ligatures w14:val="none"/>
              </w:rPr>
              <w:t>卸油管道、油气回收管道采用符合现行国家标准的无缝</w:t>
            </w:r>
            <w:r>
              <w:rPr>
                <w:rFonts w:hint="eastAsia" w:ascii="Times New Roman" w:hAnsi="Times New Roman" w:eastAsia="宋体" w:cs="Times New Roman"/>
                <w:spacing w:val="10"/>
                <w:sz w:val="21"/>
                <w:szCs w:val="21"/>
                <w:lang w:val="en-US" w:eastAsia="zh-CN"/>
                <w14:ligatures w14:val="none"/>
              </w:rPr>
              <w:t>钢</w:t>
            </w:r>
            <w:r>
              <w:rPr>
                <w:rFonts w:hint="default" w:ascii="Times New Roman" w:hAnsi="Times New Roman" w:eastAsia="宋体" w:cs="Times New Roman"/>
                <w:spacing w:val="10"/>
                <w:sz w:val="21"/>
                <w:szCs w:val="21"/>
                <w14:ligatures w14:val="none"/>
              </w:rPr>
              <w:t>管</w:t>
            </w:r>
            <w:r>
              <w:rPr>
                <w:rFonts w:hint="eastAsia" w:ascii="Times New Roman" w:hAnsi="Times New Roman" w:eastAsia="宋体" w:cs="Times New Roman"/>
                <w:spacing w:val="10"/>
                <w:sz w:val="21"/>
                <w:szCs w:val="21"/>
                <w:lang w:eastAsia="zh-CN"/>
                <w14:ligatures w14:val="none"/>
              </w:rPr>
              <w:t>；</w:t>
            </w:r>
            <w:r>
              <w:rPr>
                <w:rFonts w:hint="default" w:ascii="Times New Roman" w:hAnsi="Times New Roman" w:eastAsia="宋体" w:cs="Times New Roman"/>
                <w:spacing w:val="10"/>
                <w:sz w:val="21"/>
                <w:szCs w:val="21"/>
                <w14:ligatures w14:val="none"/>
              </w:rPr>
              <w:t>输油管道选用导静电的KPS型双层复合管道</w:t>
            </w:r>
            <w:r>
              <w:rPr>
                <w:rFonts w:hint="eastAsia" w:ascii="Times New Roman" w:hAnsi="Times New Roman" w:eastAsia="宋体" w:cs="Times New Roman"/>
                <w:spacing w:val="10"/>
                <w:sz w:val="21"/>
                <w:szCs w:val="21"/>
                <w:lang w:eastAsia="zh-CN"/>
                <w14:ligatures w14:val="none"/>
              </w:rPr>
              <w:t>。</w:t>
            </w:r>
          </w:p>
        </w:tc>
        <w:tc>
          <w:tcPr>
            <w:tcW w:w="403" w:type="pct"/>
            <w:vAlign w:val="center"/>
          </w:tcPr>
          <w:p w14:paraId="6CC3613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53C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232D795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293BDE4">
            <w:pPr>
              <w:spacing w:line="240" w:lineRule="auto"/>
              <w:ind w:firstLine="0" w:firstLineChars="0"/>
              <w:rPr>
                <w:rFonts w:hint="default" w:ascii="Times New Roman" w:hAnsi="Times New Roman" w:eastAsia="宋体" w:cs="Times New Roman"/>
                <w:spacing w:val="-2"/>
                <w:sz w:val="21"/>
                <w:szCs w:val="21"/>
                <w14:ligatures w14:val="none"/>
              </w:rPr>
            </w:pPr>
            <w:r>
              <w:rPr>
                <w:rFonts w:hint="eastAsia" w:ascii="Times New Roman" w:hAnsi="Times New Roman" w:eastAsia="宋体" w:cs="Times New Roman"/>
                <w:spacing w:val="-2"/>
                <w:sz w:val="21"/>
                <w:szCs w:val="21"/>
                <w:lang w:val="en-US" w:eastAsia="zh-CN"/>
                <w14:ligatures w14:val="none"/>
              </w:rPr>
              <w:t>36</w:t>
            </w:r>
            <w:r>
              <w:rPr>
                <w:rFonts w:hint="default" w:ascii="Times New Roman" w:hAnsi="Times New Roman" w:eastAsia="宋体" w:cs="Times New Roman"/>
                <w:spacing w:val="-2"/>
                <w:sz w:val="21"/>
                <w:szCs w:val="21"/>
                <w14:ligatures w14:val="none"/>
              </w:rPr>
              <w:t>、油罐车卸油时用的卸油连通软管、油气回收连通软管，应采用导静电耐油软管，其体电阻率应小于10</w:t>
            </w:r>
            <w:r>
              <w:rPr>
                <w:rFonts w:hint="default" w:ascii="Times New Roman" w:hAnsi="Times New Roman" w:eastAsia="宋体" w:cs="Times New Roman"/>
                <w:spacing w:val="-2"/>
                <w:sz w:val="21"/>
                <w:szCs w:val="21"/>
                <w:vertAlign w:val="superscript"/>
                <w14:ligatures w14:val="none"/>
              </w:rPr>
              <w:t>8</w:t>
            </w:r>
            <w:r>
              <w:rPr>
                <w:rFonts w:hint="default" w:ascii="Times New Roman" w:hAnsi="Times New Roman" w:eastAsia="宋体" w:cs="Times New Roman"/>
                <w:spacing w:val="-2"/>
                <w:sz w:val="21"/>
                <w:szCs w:val="21"/>
                <w14:ligatures w14:val="none"/>
              </w:rPr>
              <w:t>Ω.m，表面电阻率应小于10</w:t>
            </w:r>
            <w:r>
              <w:rPr>
                <w:rFonts w:hint="default" w:ascii="Times New Roman" w:hAnsi="Times New Roman" w:eastAsia="宋体" w:cs="Times New Roman"/>
                <w:spacing w:val="-2"/>
                <w:sz w:val="21"/>
                <w:szCs w:val="21"/>
                <w:vertAlign w:val="superscript"/>
                <w14:ligatures w14:val="none"/>
              </w:rPr>
              <w:t>10</w:t>
            </w:r>
            <w:r>
              <w:rPr>
                <w:rFonts w:hint="default" w:ascii="Times New Roman" w:hAnsi="Times New Roman" w:eastAsia="宋体" w:cs="Times New Roman"/>
                <w:spacing w:val="-2"/>
                <w:sz w:val="21"/>
                <w:szCs w:val="21"/>
                <w14:ligatures w14:val="none"/>
              </w:rPr>
              <w:t>Ω，或采用内附金属丝（网）的橡胶软管。</w:t>
            </w:r>
          </w:p>
        </w:tc>
        <w:tc>
          <w:tcPr>
            <w:tcW w:w="1020" w:type="pct"/>
            <w:vAlign w:val="center"/>
          </w:tcPr>
          <w:p w14:paraId="18E8A6C7">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3052D6B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第6.3.13条</w:t>
            </w:r>
          </w:p>
        </w:tc>
        <w:tc>
          <w:tcPr>
            <w:tcW w:w="1142" w:type="pct"/>
            <w:vAlign w:val="center"/>
          </w:tcPr>
          <w:p w14:paraId="75031931">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pacing w:val="10"/>
                <w:sz w:val="21"/>
                <w:szCs w:val="21"/>
                <w14:ligatures w14:val="none"/>
              </w:rPr>
              <w:t>油罐车卸油时用的卸油连通软管、油气回收连通软管</w:t>
            </w:r>
            <w:r>
              <w:rPr>
                <w:rFonts w:hint="default" w:ascii="Times New Roman" w:hAnsi="Times New Roman" w:eastAsia="宋体" w:cs="Times New Roman"/>
                <w:sz w:val="21"/>
                <w:szCs w:val="21"/>
                <w14:ligatures w14:val="none"/>
              </w:rPr>
              <w:t>采用导静电耐油软管</w:t>
            </w:r>
          </w:p>
        </w:tc>
        <w:tc>
          <w:tcPr>
            <w:tcW w:w="403" w:type="pct"/>
            <w:vAlign w:val="center"/>
          </w:tcPr>
          <w:p w14:paraId="12EA654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4B11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CC844E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6A08DFBC">
            <w:pPr>
              <w:spacing w:line="240" w:lineRule="auto"/>
              <w:ind w:firstLine="0" w:firstLineChars="0"/>
              <w:rPr>
                <w:rFonts w:hint="default" w:ascii="Times New Roman" w:hAnsi="Times New Roman" w:eastAsia="宋体" w:cs="Times New Roman"/>
                <w:spacing w:val="-2"/>
                <w:sz w:val="21"/>
                <w:szCs w:val="21"/>
                <w14:ligatures w14:val="none"/>
              </w:rPr>
            </w:pPr>
            <w:r>
              <w:rPr>
                <w:rFonts w:hint="eastAsia" w:ascii="Times New Roman" w:hAnsi="Times New Roman" w:eastAsia="宋体" w:cs="Times New Roman"/>
                <w:spacing w:val="-2"/>
                <w:sz w:val="21"/>
                <w:szCs w:val="21"/>
                <w:lang w:val="en-US" w:eastAsia="zh-CN"/>
                <w14:ligatures w14:val="none"/>
              </w:rPr>
              <w:t>37</w:t>
            </w:r>
            <w:r>
              <w:rPr>
                <w:rFonts w:hint="default" w:ascii="Times New Roman" w:hAnsi="Times New Roman" w:eastAsia="宋体" w:cs="Times New Roman"/>
                <w:spacing w:val="-2"/>
                <w:sz w:val="21"/>
                <w:szCs w:val="21"/>
                <w14:ligatures w14:val="none"/>
              </w:rPr>
              <w:t>、</w:t>
            </w:r>
            <w:r>
              <w:rPr>
                <w:rFonts w:hint="default" w:ascii="Times New Roman" w:hAnsi="Times New Roman" w:eastAsia="宋体" w:cs="Times New Roman"/>
                <w:spacing w:val="10"/>
                <w:sz w:val="21"/>
                <w:szCs w:val="21"/>
                <w14:ligatures w14:val="none"/>
              </w:rPr>
              <w:t>加油工艺管道除必须露出地面的以外，是否均埋地敷设。采用管沟敷设时，管沟是否用中性沙子或细土填满、填实。</w:t>
            </w:r>
          </w:p>
        </w:tc>
        <w:tc>
          <w:tcPr>
            <w:tcW w:w="1020" w:type="pct"/>
            <w:vAlign w:val="center"/>
          </w:tcPr>
          <w:p w14:paraId="717C0C8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3EF8AF9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第6.3.14条</w:t>
            </w:r>
          </w:p>
        </w:tc>
        <w:tc>
          <w:tcPr>
            <w:tcW w:w="1142" w:type="pct"/>
            <w:vAlign w:val="center"/>
          </w:tcPr>
          <w:p w14:paraId="65742D82">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管道埋地敷设部分，管沟用中性沙子填满、填实</w:t>
            </w:r>
          </w:p>
        </w:tc>
        <w:tc>
          <w:tcPr>
            <w:tcW w:w="403" w:type="pct"/>
            <w:vAlign w:val="center"/>
          </w:tcPr>
          <w:p w14:paraId="3502BA4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DA7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9F6316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54D1FAFB">
            <w:pPr>
              <w:spacing w:line="240" w:lineRule="auto"/>
              <w:ind w:firstLine="0" w:firstLineChars="0"/>
              <w:rPr>
                <w:rFonts w:hint="default" w:ascii="Times New Roman" w:hAnsi="Times New Roman" w:eastAsia="宋体" w:cs="Times New Roman"/>
                <w:spacing w:val="-2"/>
                <w:sz w:val="21"/>
                <w:szCs w:val="21"/>
                <w14:ligatures w14:val="none"/>
              </w:rPr>
            </w:pPr>
            <w:r>
              <w:rPr>
                <w:rFonts w:hint="eastAsia" w:ascii="Times New Roman" w:hAnsi="Times New Roman" w:eastAsia="宋体" w:cs="Times New Roman"/>
                <w:spacing w:val="-2"/>
                <w:sz w:val="21"/>
                <w:szCs w:val="21"/>
                <w:lang w:val="en-US" w:eastAsia="zh-CN"/>
                <w14:ligatures w14:val="none"/>
              </w:rPr>
              <w:t>38</w:t>
            </w:r>
            <w:r>
              <w:rPr>
                <w:rFonts w:hint="default" w:ascii="Times New Roman" w:hAnsi="Times New Roman" w:eastAsia="宋体" w:cs="Times New Roman"/>
                <w:spacing w:val="-2"/>
                <w:sz w:val="21"/>
                <w:szCs w:val="21"/>
                <w14:ligatures w14:val="none"/>
              </w:rPr>
              <w:t>、</w:t>
            </w:r>
            <w:r>
              <w:rPr>
                <w:rFonts w:hint="default" w:ascii="Times New Roman" w:hAnsi="Times New Roman" w:eastAsia="宋体" w:cs="Times New Roman"/>
                <w:spacing w:val="10"/>
                <w:sz w:val="21"/>
                <w:szCs w:val="21"/>
                <w14:ligatures w14:val="none"/>
              </w:rPr>
              <w:t>卸油管道、卸油油气回收管道、加油油气回收管道和油罐通气管横管，是否坡向埋地油罐。卸油管道的坡度是否不小于2‰，卸油油气回收管道、加油油气回收管道和油罐通气管横管的坡度，是否不小于1%。</w:t>
            </w:r>
          </w:p>
        </w:tc>
        <w:tc>
          <w:tcPr>
            <w:tcW w:w="1020" w:type="pct"/>
            <w:vAlign w:val="center"/>
          </w:tcPr>
          <w:p w14:paraId="169662BA">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2256307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第6.3.15条</w:t>
            </w:r>
          </w:p>
        </w:tc>
        <w:tc>
          <w:tcPr>
            <w:tcW w:w="1142" w:type="pct"/>
            <w:vAlign w:val="center"/>
          </w:tcPr>
          <w:p w14:paraId="5F8F3115">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卸油管道</w:t>
            </w:r>
            <w:r>
              <w:rPr>
                <w:rFonts w:hint="default" w:ascii="Times New Roman" w:hAnsi="Times New Roman" w:eastAsia="宋体" w:cs="Times New Roman"/>
                <w:spacing w:val="10"/>
                <w:sz w:val="21"/>
                <w:szCs w:val="21"/>
                <w14:ligatures w14:val="none"/>
              </w:rPr>
              <w:t>和</w:t>
            </w:r>
            <w:r>
              <w:rPr>
                <w:rFonts w:hint="default" w:ascii="Times New Roman" w:hAnsi="Times New Roman" w:eastAsia="宋体" w:cs="Times New Roman"/>
                <w:sz w:val="21"/>
                <w:szCs w:val="21"/>
                <w14:ligatures w14:val="none"/>
              </w:rPr>
              <w:t>油罐通气管横管，坡向埋地油罐，卸油管道坡度</w:t>
            </w:r>
            <w:r>
              <w:rPr>
                <w:rFonts w:hint="eastAsia" w:ascii="Times New Roman" w:hAnsi="Times New Roman" w:eastAsia="宋体" w:cs="Times New Roman"/>
                <w:sz w:val="21"/>
                <w:szCs w:val="21"/>
                <w:lang w:val="en-US" w:eastAsia="zh-CN"/>
                <w14:ligatures w14:val="none"/>
              </w:rPr>
              <w:t>2</w:t>
            </w:r>
            <w:r>
              <w:rPr>
                <w:rFonts w:hint="default" w:ascii="Times New Roman" w:hAnsi="Times New Roman" w:eastAsia="Tw Cen MT Condensed Extra Bold" w:cs="Times New Roman"/>
                <w:sz w:val="24"/>
                <w14:ligatures w14:val="none"/>
              </w:rPr>
              <w:t>‰</w:t>
            </w:r>
            <w:r>
              <w:rPr>
                <w:rFonts w:hint="default" w:ascii="Times New Roman" w:hAnsi="Times New Roman" w:eastAsia="宋体" w:cs="Times New Roman"/>
                <w:spacing w:val="10"/>
                <w:sz w:val="21"/>
                <w:szCs w:val="21"/>
                <w14:ligatures w14:val="none"/>
              </w:rPr>
              <w:t>，油罐通气管横管的坡度</w:t>
            </w:r>
            <w:r>
              <w:rPr>
                <w:rFonts w:hint="eastAsia" w:ascii="Times New Roman" w:hAnsi="Times New Roman" w:eastAsia="宋体" w:cs="Times New Roman"/>
                <w:spacing w:val="10"/>
                <w:sz w:val="21"/>
                <w:szCs w:val="21"/>
                <w:lang w:val="en-US" w:eastAsia="zh-CN"/>
                <w14:ligatures w14:val="none"/>
              </w:rPr>
              <w:t>1</w:t>
            </w:r>
            <w:r>
              <w:rPr>
                <w:rFonts w:hint="default" w:ascii="Times New Roman" w:hAnsi="Times New Roman" w:eastAsia="宋体" w:cs="Times New Roman"/>
                <w:spacing w:val="10"/>
                <w:sz w:val="21"/>
                <w:szCs w:val="21"/>
                <w14:ligatures w14:val="none"/>
              </w:rPr>
              <w:t>%</w:t>
            </w:r>
          </w:p>
        </w:tc>
        <w:tc>
          <w:tcPr>
            <w:tcW w:w="403" w:type="pct"/>
            <w:vAlign w:val="center"/>
          </w:tcPr>
          <w:p w14:paraId="135ACE45">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D18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4D359C7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1CC07ED0">
            <w:pPr>
              <w:spacing w:line="240" w:lineRule="auto"/>
              <w:ind w:firstLine="0" w:firstLineChars="0"/>
              <w:rPr>
                <w:rFonts w:hint="default" w:ascii="Times New Roman" w:hAnsi="Times New Roman" w:eastAsia="宋体" w:cs="Times New Roman"/>
                <w:spacing w:val="-2"/>
                <w:sz w:val="21"/>
                <w:szCs w:val="21"/>
                <w14:ligatures w14:val="none"/>
              </w:rPr>
            </w:pPr>
            <w:r>
              <w:rPr>
                <w:rFonts w:hint="eastAsia" w:ascii="Times New Roman" w:hAnsi="Times New Roman" w:eastAsia="宋体" w:cs="Times New Roman"/>
                <w:spacing w:val="-2"/>
                <w:sz w:val="21"/>
                <w:szCs w:val="21"/>
                <w:lang w:val="en-US" w:eastAsia="zh-CN"/>
                <w14:ligatures w14:val="none"/>
              </w:rPr>
              <w:t>39</w:t>
            </w:r>
            <w:r>
              <w:rPr>
                <w:rFonts w:hint="default" w:ascii="Times New Roman" w:hAnsi="Times New Roman" w:eastAsia="宋体" w:cs="Times New Roman"/>
                <w:spacing w:val="-2"/>
                <w:sz w:val="21"/>
                <w:szCs w:val="21"/>
                <w14:ligatures w14:val="none"/>
              </w:rPr>
              <w:t>、</w:t>
            </w:r>
            <w:r>
              <w:rPr>
                <w:rFonts w:hint="default" w:ascii="Times New Roman" w:hAnsi="Times New Roman" w:eastAsia="宋体" w:cs="Times New Roman"/>
                <w:spacing w:val="10"/>
                <w:sz w:val="21"/>
                <w:szCs w:val="21"/>
                <w14:ligatures w14:val="none"/>
              </w:rPr>
              <w:t>埋地工艺管道的埋设深度是否不小于0.4m。敷设在混凝土场地或道路下面的管道，管顶低于混凝土层下表面是否不小于0.2m。管道周围回填是否不小于100mm厚的中性沙子或细土。</w:t>
            </w:r>
          </w:p>
        </w:tc>
        <w:tc>
          <w:tcPr>
            <w:tcW w:w="1020" w:type="pct"/>
            <w:vAlign w:val="center"/>
          </w:tcPr>
          <w:p w14:paraId="1FCDB586">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31B9A5D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第6.3.17条</w:t>
            </w:r>
          </w:p>
        </w:tc>
        <w:tc>
          <w:tcPr>
            <w:tcW w:w="1142" w:type="pct"/>
            <w:vAlign w:val="center"/>
          </w:tcPr>
          <w:p w14:paraId="3A1C83AC">
            <w:pPr>
              <w:kinsoku w:val="0"/>
              <w:overflowPunct w:val="0"/>
              <w:autoSpaceDE w:val="0"/>
              <w:autoSpaceDN w:val="0"/>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埋地工艺管道深度</w:t>
            </w:r>
            <w:r>
              <w:rPr>
                <w:rFonts w:hint="eastAsia" w:ascii="Times New Roman" w:hAnsi="Times New Roman" w:eastAsia="宋体" w:cs="Times New Roman"/>
                <w:sz w:val="21"/>
                <w:szCs w:val="21"/>
                <w:lang w:val="en-US" w:eastAsia="zh-CN"/>
                <w14:ligatures w14:val="none"/>
              </w:rPr>
              <w:t>不小于0.4</w:t>
            </w:r>
            <w:r>
              <w:rPr>
                <w:rFonts w:hint="default" w:ascii="Times New Roman" w:hAnsi="Times New Roman" w:eastAsia="宋体" w:cs="Times New Roman"/>
                <w:sz w:val="21"/>
                <w:szCs w:val="21"/>
                <w14:ligatures w14:val="none"/>
              </w:rPr>
              <w:t>m；敷设在混凝土场地和道路下面的管道，埋地管道下方填沙</w:t>
            </w:r>
            <w:r>
              <w:rPr>
                <w:rFonts w:hint="eastAsia" w:ascii="Times New Roman" w:hAnsi="Times New Roman" w:eastAsia="宋体" w:cs="Times New Roman"/>
                <w:sz w:val="21"/>
                <w:szCs w:val="21"/>
                <w:lang w:val="en-US" w:eastAsia="zh-CN"/>
                <w14:ligatures w14:val="none"/>
              </w:rPr>
              <w:t>不小于</w:t>
            </w:r>
            <w:r>
              <w:rPr>
                <w:rFonts w:hint="default" w:ascii="Times New Roman" w:hAnsi="Times New Roman" w:eastAsia="宋体" w:cs="Times New Roman"/>
                <w:sz w:val="21"/>
                <w:szCs w:val="21"/>
                <w14:ligatures w14:val="none"/>
              </w:rPr>
              <w:t>0.</w:t>
            </w:r>
            <w:r>
              <w:rPr>
                <w:rFonts w:hint="eastAsia" w:ascii="Times New Roman" w:hAnsi="Times New Roman" w:eastAsia="宋体" w:cs="Times New Roman"/>
                <w:sz w:val="21"/>
                <w:szCs w:val="21"/>
                <w:lang w:val="en-US" w:eastAsia="zh-CN"/>
                <w14:ligatures w14:val="none"/>
              </w:rPr>
              <w:t>1</w:t>
            </w:r>
            <w:r>
              <w:rPr>
                <w:rFonts w:hint="default" w:ascii="Times New Roman" w:hAnsi="Times New Roman" w:eastAsia="宋体" w:cs="Times New Roman"/>
                <w:sz w:val="21"/>
                <w:szCs w:val="21"/>
                <w14:ligatures w14:val="none"/>
              </w:rPr>
              <w:t>m，上方填沙</w:t>
            </w:r>
            <w:r>
              <w:rPr>
                <w:rFonts w:hint="eastAsia" w:ascii="Times New Roman" w:hAnsi="Times New Roman" w:eastAsia="宋体" w:cs="Times New Roman"/>
                <w:sz w:val="21"/>
                <w:szCs w:val="21"/>
                <w:lang w:val="en-US" w:eastAsia="zh-CN"/>
                <w14:ligatures w14:val="none"/>
              </w:rPr>
              <w:t>不小于</w:t>
            </w:r>
            <w:r>
              <w:rPr>
                <w:rFonts w:hint="default" w:ascii="Times New Roman" w:hAnsi="Times New Roman" w:eastAsia="宋体" w:cs="Times New Roman"/>
                <w:sz w:val="21"/>
                <w:szCs w:val="21"/>
                <w14:ligatures w14:val="none"/>
              </w:rPr>
              <w:t>0.2m</w:t>
            </w:r>
          </w:p>
        </w:tc>
        <w:tc>
          <w:tcPr>
            <w:tcW w:w="403" w:type="pct"/>
            <w:vAlign w:val="center"/>
          </w:tcPr>
          <w:p w14:paraId="72F4316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797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429E96C1">
            <w:pPr>
              <w:adjustRightInd/>
              <w:snapToGrid/>
              <w:spacing w:line="240" w:lineRule="auto"/>
              <w:ind w:firstLine="0" w:firstLineChars="0"/>
              <w:jc w:val="center"/>
              <w:rPr>
                <w:rFonts w:hint="default" w:ascii="Times New Roman" w:hAnsi="Times New Roman" w:eastAsia="宋体" w:cs="Times New Roman"/>
                <w:b/>
                <w:bCs/>
                <w:sz w:val="21"/>
                <w:szCs w:val="21"/>
                <w14:ligatures w14:val="none"/>
              </w:rPr>
            </w:pPr>
          </w:p>
        </w:tc>
        <w:tc>
          <w:tcPr>
            <w:tcW w:w="1991" w:type="pct"/>
            <w:vAlign w:val="center"/>
          </w:tcPr>
          <w:p w14:paraId="590A4812">
            <w:pPr>
              <w:spacing w:line="240" w:lineRule="auto"/>
              <w:ind w:firstLine="0" w:firstLineChars="0"/>
              <w:rPr>
                <w:rFonts w:hint="default" w:ascii="Times New Roman" w:hAnsi="Times New Roman" w:eastAsia="宋体" w:cs="Times New Roman"/>
                <w:spacing w:val="-2"/>
                <w:sz w:val="21"/>
                <w:szCs w:val="21"/>
                <w14:ligatures w14:val="none"/>
              </w:rPr>
            </w:pPr>
            <w:r>
              <w:rPr>
                <w:rFonts w:hint="default" w:ascii="Times New Roman" w:hAnsi="Times New Roman" w:eastAsia="宋体" w:cs="Times New Roman"/>
                <w:spacing w:val="-2"/>
                <w:sz w:val="21"/>
                <w:szCs w:val="21"/>
                <w14:ligatures w14:val="none"/>
              </w:rPr>
              <w:t>4</w:t>
            </w:r>
            <w:r>
              <w:rPr>
                <w:rFonts w:hint="eastAsia" w:ascii="Times New Roman" w:hAnsi="Times New Roman" w:eastAsia="宋体" w:cs="Times New Roman"/>
                <w:spacing w:val="-2"/>
                <w:sz w:val="21"/>
                <w:szCs w:val="21"/>
                <w:lang w:val="en-US" w:eastAsia="zh-CN"/>
                <w14:ligatures w14:val="none"/>
              </w:rPr>
              <w:t>0</w:t>
            </w:r>
            <w:r>
              <w:rPr>
                <w:rFonts w:hint="default" w:ascii="Times New Roman" w:hAnsi="Times New Roman" w:eastAsia="宋体" w:cs="Times New Roman"/>
                <w:spacing w:val="-2"/>
                <w:sz w:val="21"/>
                <w:szCs w:val="21"/>
                <w14:ligatures w14:val="none"/>
              </w:rPr>
              <w:t>、</w:t>
            </w:r>
            <w:r>
              <w:rPr>
                <w:rFonts w:hint="default" w:ascii="Times New Roman" w:hAnsi="Times New Roman" w:eastAsia="宋体" w:cs="Times New Roman"/>
                <w:spacing w:val="10"/>
                <w:sz w:val="21"/>
                <w:szCs w:val="21"/>
                <w14:ligatures w14:val="none"/>
              </w:rPr>
              <w:t>工艺管道是否穿过或跨越站房等</w:t>
            </w:r>
            <w:r>
              <w:rPr>
                <w:rFonts w:hint="default" w:ascii="Times New Roman" w:hAnsi="Times New Roman" w:eastAsia="宋体" w:cs="Times New Roman"/>
                <w:spacing w:val="10"/>
                <w:kern w:val="0"/>
                <w:sz w:val="21"/>
                <w:szCs w:val="21"/>
                <w14:ligatures w14:val="none"/>
              </w:rPr>
              <w:t>与其无直接关系的</w:t>
            </w:r>
            <w:r>
              <w:rPr>
                <w:rFonts w:hint="default" w:ascii="Times New Roman" w:hAnsi="Times New Roman" w:eastAsia="宋体" w:cs="Times New Roman"/>
                <w:spacing w:val="10"/>
                <w:sz w:val="21"/>
                <w:szCs w:val="21"/>
                <w14:ligatures w14:val="none"/>
              </w:rPr>
              <w:t>建</w:t>
            </w:r>
            <w:r>
              <w:rPr>
                <w:rFonts w:hint="default" w:ascii="Times New Roman" w:hAnsi="Times New Roman" w:eastAsia="宋体" w:cs="Times New Roman"/>
                <w:spacing w:val="10"/>
                <w:kern w:val="0"/>
                <w:sz w:val="21"/>
                <w:szCs w:val="21"/>
                <w14:ligatures w14:val="none"/>
              </w:rPr>
              <w:t>（</w:t>
            </w:r>
            <w:r>
              <w:rPr>
                <w:rFonts w:hint="default" w:ascii="Times New Roman" w:hAnsi="Times New Roman" w:eastAsia="宋体" w:cs="Times New Roman"/>
                <w:spacing w:val="10"/>
                <w:sz w:val="21"/>
                <w:szCs w:val="21"/>
                <w14:ligatures w14:val="none"/>
              </w:rPr>
              <w:t>构）筑物；与管沟、电缆沟和排水沟相交叉时，是否采取相应的防护措施。</w:t>
            </w:r>
          </w:p>
        </w:tc>
        <w:tc>
          <w:tcPr>
            <w:tcW w:w="1020" w:type="pct"/>
            <w:vAlign w:val="center"/>
          </w:tcPr>
          <w:p w14:paraId="7A7BD232">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bookmarkStart w:id="124" w:name="OLE_LINK42"/>
            <w:r>
              <w:rPr>
                <w:rFonts w:hint="default" w:ascii="Times New Roman" w:hAnsi="Times New Roman" w:eastAsia="宋体" w:cs="Times New Roman"/>
                <w:bCs/>
                <w:sz w:val="21"/>
                <w:szCs w:val="21"/>
                <w14:ligatures w14:val="none"/>
              </w:rPr>
              <w:t>GB50156-2021</w:t>
            </w:r>
          </w:p>
          <w:p w14:paraId="7B3BCB6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第6.3.18条</w:t>
            </w:r>
            <w:bookmarkEnd w:id="124"/>
          </w:p>
        </w:tc>
        <w:tc>
          <w:tcPr>
            <w:tcW w:w="1142" w:type="pct"/>
            <w:vAlign w:val="center"/>
          </w:tcPr>
          <w:p w14:paraId="3FF86A85">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pacing w:val="10"/>
                <w:sz w:val="21"/>
                <w:szCs w:val="21"/>
                <w14:ligatures w14:val="none"/>
              </w:rPr>
              <w:t>工艺管道</w:t>
            </w:r>
            <w:r>
              <w:rPr>
                <w:rFonts w:hint="default" w:ascii="Times New Roman" w:hAnsi="Times New Roman" w:eastAsia="宋体" w:cs="Times New Roman"/>
                <w:sz w:val="21"/>
                <w:szCs w:val="21"/>
                <w14:ligatures w14:val="none"/>
              </w:rPr>
              <w:t>未穿越站房等建（构）筑物</w:t>
            </w:r>
          </w:p>
        </w:tc>
        <w:tc>
          <w:tcPr>
            <w:tcW w:w="403" w:type="pct"/>
            <w:vAlign w:val="center"/>
          </w:tcPr>
          <w:p w14:paraId="381B3A45">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3BF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2899D75">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46A8366">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4</w:t>
            </w:r>
            <w:r>
              <w:rPr>
                <w:rFonts w:hint="eastAsia" w:ascii="Times New Roman" w:hAnsi="Times New Roman" w:eastAsia="宋体" w:cs="Times New Roman"/>
                <w:spacing w:val="10"/>
                <w:sz w:val="21"/>
                <w:szCs w:val="21"/>
                <w:lang w:val="en-US" w:eastAsia="zh-CN"/>
                <w14:ligatures w14:val="none"/>
              </w:rPr>
              <w:t>1</w:t>
            </w:r>
            <w:r>
              <w:rPr>
                <w:rFonts w:hint="default" w:ascii="Times New Roman" w:hAnsi="Times New Roman" w:eastAsia="宋体" w:cs="Times New Roman"/>
                <w:spacing w:val="10"/>
                <w:sz w:val="21"/>
                <w:szCs w:val="21"/>
                <w14:ligatures w14:val="none"/>
              </w:rPr>
              <w:t>、不导静电热塑性塑料管道的设计和安装，除应符合本规定第6.3.12条的有关规定外，尚应符合下列规定：</w:t>
            </w:r>
          </w:p>
          <w:p w14:paraId="053F9722">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①</w:t>
            </w:r>
            <w:r>
              <w:rPr>
                <w:rFonts w:hint="default" w:ascii="Times New Roman" w:hAnsi="Times New Roman" w:eastAsia="宋体" w:cs="Times New Roman"/>
                <w:spacing w:val="10"/>
                <w:sz w:val="21"/>
                <w:szCs w:val="21"/>
                <w14:ligatures w14:val="none"/>
              </w:rPr>
              <w:t>管道内油品的流速应小于2.8m/s</w:t>
            </w:r>
          </w:p>
          <w:p w14:paraId="739593DE">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2"/>
                <w:sz w:val="21"/>
                <w:szCs w:val="21"/>
                <w14:ligatures w14:val="none"/>
              </w:rPr>
              <w:t>②</w:t>
            </w:r>
            <w:r>
              <w:rPr>
                <w:rFonts w:hint="default" w:ascii="Times New Roman" w:hAnsi="Times New Roman" w:eastAsia="宋体" w:cs="Times New Roman"/>
                <w:spacing w:val="10"/>
                <w:sz w:val="21"/>
                <w:szCs w:val="21"/>
                <w14:ligatures w14:val="none"/>
              </w:rPr>
              <w:t>管道在人孔井内、加油机底槽和卸油口等处未完全埋地的部分，应在满足管道连接要求的前提下，采用最短的安装长度和最少的接头。</w:t>
            </w:r>
          </w:p>
        </w:tc>
        <w:tc>
          <w:tcPr>
            <w:tcW w:w="1020" w:type="pct"/>
            <w:vAlign w:val="center"/>
          </w:tcPr>
          <w:p w14:paraId="4C56A568">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3314671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第6.3.19条</w:t>
            </w:r>
          </w:p>
        </w:tc>
        <w:tc>
          <w:tcPr>
            <w:tcW w:w="1142" w:type="pct"/>
            <w:vAlign w:val="center"/>
          </w:tcPr>
          <w:p w14:paraId="30C2BA50">
            <w:pPr>
              <w:spacing w:line="240" w:lineRule="auto"/>
              <w:ind w:firstLine="0" w:firstLineChars="0"/>
              <w:rPr>
                <w:rFonts w:hint="default" w:ascii="Times New Roman" w:hAnsi="Times New Roman" w:eastAsia="宋体" w:cs="Times New Roman"/>
                <w:spacing w:val="10"/>
                <w:sz w:val="21"/>
                <w:szCs w:val="21"/>
                <w:lang w:val="en-US" w:eastAsia="zh-CN"/>
                <w14:ligatures w14:val="none"/>
              </w:rPr>
            </w:pPr>
            <w:r>
              <w:rPr>
                <w:rFonts w:hint="eastAsia" w:ascii="Times New Roman" w:hAnsi="Times New Roman" w:eastAsia="宋体" w:cs="Times New Roman"/>
                <w:spacing w:val="10"/>
                <w:sz w:val="21"/>
                <w:szCs w:val="21"/>
                <w:lang w:val="en-US" w:eastAsia="zh-CN"/>
                <w14:ligatures w14:val="none"/>
              </w:rPr>
              <w:t>采用导静电的管道，管道内流速小于2.8</w:t>
            </w:r>
            <w:r>
              <w:rPr>
                <w:rFonts w:hint="default" w:ascii="Times New Roman" w:hAnsi="Times New Roman" w:eastAsia="宋体" w:cs="Times New Roman"/>
                <w:spacing w:val="10"/>
                <w:sz w:val="21"/>
                <w:szCs w:val="21"/>
                <w14:ligatures w14:val="none"/>
              </w:rPr>
              <w:t>m/s</w:t>
            </w:r>
          </w:p>
        </w:tc>
        <w:tc>
          <w:tcPr>
            <w:tcW w:w="403" w:type="pct"/>
            <w:vAlign w:val="center"/>
          </w:tcPr>
          <w:p w14:paraId="39725F50">
            <w:pPr>
              <w:adjustRightInd/>
              <w:snapToGrid/>
              <w:spacing w:line="240" w:lineRule="auto"/>
              <w:ind w:firstLine="0" w:firstLineChars="0"/>
              <w:jc w:val="center"/>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无关</w:t>
            </w:r>
          </w:p>
        </w:tc>
      </w:tr>
      <w:tr w14:paraId="110A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C3F833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B9AA63B">
            <w:pPr>
              <w:spacing w:line="240" w:lineRule="auto"/>
              <w:ind w:firstLine="0" w:firstLineChars="0"/>
              <w:rPr>
                <w:rFonts w:hint="default" w:ascii="Times New Roman" w:hAnsi="Times New Roman" w:eastAsia="宋体" w:cs="Times New Roman"/>
                <w:spacing w:val="-2"/>
                <w:sz w:val="21"/>
                <w:szCs w:val="21"/>
                <w14:ligatures w14:val="none"/>
              </w:rPr>
            </w:pPr>
            <w:r>
              <w:rPr>
                <w:rFonts w:hint="eastAsia" w:ascii="Times New Roman" w:hAnsi="Times New Roman" w:eastAsia="宋体" w:cs="Times New Roman"/>
                <w:spacing w:val="-2"/>
                <w:sz w:val="21"/>
                <w:szCs w:val="21"/>
                <w:lang w:val="en-US" w:eastAsia="zh-CN"/>
                <w14:ligatures w14:val="none"/>
              </w:rPr>
              <w:t>42</w:t>
            </w:r>
            <w:r>
              <w:rPr>
                <w:rFonts w:hint="default" w:ascii="Times New Roman" w:hAnsi="Times New Roman" w:eastAsia="宋体" w:cs="Times New Roman"/>
                <w:spacing w:val="-2"/>
                <w:sz w:val="21"/>
                <w:szCs w:val="21"/>
                <w14:ligatures w14:val="none"/>
              </w:rPr>
              <w:t>、埋地钢质管道外表面的防腐设计，是否符合现行国家标准《钢质管道外腐蚀控制规范》GB/T21447的有关规定。</w:t>
            </w:r>
          </w:p>
        </w:tc>
        <w:tc>
          <w:tcPr>
            <w:tcW w:w="1020" w:type="pct"/>
            <w:vAlign w:val="center"/>
          </w:tcPr>
          <w:p w14:paraId="76E814ED">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4077ACBA">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第6.3.20条</w:t>
            </w:r>
          </w:p>
        </w:tc>
        <w:tc>
          <w:tcPr>
            <w:tcW w:w="1142" w:type="pct"/>
            <w:vAlign w:val="center"/>
          </w:tcPr>
          <w:p w14:paraId="4A2A3350">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2"/>
                <w:sz w:val="21"/>
                <w:szCs w:val="21"/>
                <w14:ligatures w14:val="none"/>
              </w:rPr>
              <w:t>埋地钢质管道购买生产厂家生产的合格产品，外表面的防腐符合现行国家标准</w:t>
            </w:r>
          </w:p>
        </w:tc>
        <w:tc>
          <w:tcPr>
            <w:tcW w:w="403" w:type="pct"/>
            <w:vAlign w:val="center"/>
          </w:tcPr>
          <w:p w14:paraId="4FFF527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DFE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7EC88F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84F9A17">
            <w:pPr>
              <w:spacing w:line="240" w:lineRule="auto"/>
              <w:ind w:firstLine="0" w:firstLineChars="0"/>
              <w:rPr>
                <w:rFonts w:hint="default" w:ascii="Times New Roman" w:hAnsi="Times New Roman" w:eastAsia="宋体" w:cs="Times New Roman"/>
                <w:spacing w:val="-2"/>
                <w:sz w:val="21"/>
                <w:szCs w:val="21"/>
                <w:highlight w:val="none"/>
                <w14:ligatures w14:val="none"/>
              </w:rPr>
            </w:pPr>
            <w:r>
              <w:rPr>
                <w:rFonts w:hint="eastAsia" w:ascii="Times New Roman" w:hAnsi="Times New Roman" w:eastAsia="宋体" w:cs="Times New Roman"/>
                <w:spacing w:val="-2"/>
                <w:sz w:val="21"/>
                <w:szCs w:val="21"/>
                <w:highlight w:val="none"/>
                <w:lang w:val="en-US" w:eastAsia="zh-CN"/>
                <w14:ligatures w14:val="none"/>
              </w:rPr>
              <w:t>43</w:t>
            </w:r>
            <w:r>
              <w:rPr>
                <w:rFonts w:hint="default" w:ascii="Times New Roman" w:hAnsi="Times New Roman" w:eastAsia="宋体" w:cs="Times New Roman"/>
                <w:spacing w:val="-2"/>
                <w:sz w:val="21"/>
                <w:szCs w:val="21"/>
                <w:highlight w:val="none"/>
                <w14:ligatures w14:val="none"/>
              </w:rPr>
              <w:t>、加油站油品管道的设计压力应为0.5MPa，油气回收系统回气管道的设计压力不应小于0.13MPa。</w:t>
            </w:r>
          </w:p>
        </w:tc>
        <w:tc>
          <w:tcPr>
            <w:tcW w:w="1020" w:type="pct"/>
            <w:vAlign w:val="center"/>
          </w:tcPr>
          <w:p w14:paraId="10D731D6">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GB/T34661-2017第5.2.1条</w:t>
            </w:r>
          </w:p>
        </w:tc>
        <w:tc>
          <w:tcPr>
            <w:tcW w:w="1142" w:type="pct"/>
            <w:vAlign w:val="center"/>
          </w:tcPr>
          <w:p w14:paraId="2A9F8B2D">
            <w:pPr>
              <w:spacing w:line="240" w:lineRule="auto"/>
              <w:ind w:firstLine="0" w:firstLineChars="0"/>
              <w:rPr>
                <w:rFonts w:hint="default" w:ascii="Times New Roman" w:hAnsi="Times New Roman" w:eastAsia="宋体" w:cs="Times New Roman"/>
                <w:spacing w:val="-2"/>
                <w:sz w:val="21"/>
                <w:szCs w:val="21"/>
                <w:highlight w:val="none"/>
                <w14:ligatures w14:val="none"/>
              </w:rPr>
            </w:pPr>
            <w:r>
              <w:rPr>
                <w:rFonts w:hint="default" w:ascii="Times New Roman" w:hAnsi="Times New Roman" w:eastAsia="宋体" w:cs="Times New Roman"/>
                <w:spacing w:val="-2"/>
                <w:sz w:val="21"/>
                <w:szCs w:val="21"/>
                <w:highlight w:val="none"/>
                <w14:ligatures w14:val="none"/>
              </w:rPr>
              <w:t>管道的设计压力为0.</w:t>
            </w:r>
            <w:r>
              <w:rPr>
                <w:rFonts w:hint="eastAsia" w:ascii="Times New Roman" w:hAnsi="Times New Roman" w:eastAsia="宋体" w:cs="Times New Roman"/>
                <w:spacing w:val="-2"/>
                <w:sz w:val="21"/>
                <w:szCs w:val="21"/>
                <w:highlight w:val="none"/>
                <w:lang w:val="en-US" w:eastAsia="zh-CN"/>
                <w14:ligatures w14:val="none"/>
              </w:rPr>
              <w:t>6</w:t>
            </w:r>
            <w:r>
              <w:rPr>
                <w:rFonts w:hint="default" w:ascii="Times New Roman" w:hAnsi="Times New Roman" w:eastAsia="宋体" w:cs="Times New Roman"/>
                <w:spacing w:val="-2"/>
                <w:sz w:val="21"/>
                <w:szCs w:val="21"/>
                <w:highlight w:val="none"/>
                <w14:ligatures w14:val="none"/>
              </w:rPr>
              <w:t>MPa，油气回收系统回气管道的设计压力为0.1</w:t>
            </w:r>
            <w:r>
              <w:rPr>
                <w:rFonts w:hint="eastAsia" w:ascii="Times New Roman" w:hAnsi="Times New Roman" w:eastAsia="宋体" w:cs="Times New Roman"/>
                <w:spacing w:val="-2"/>
                <w:sz w:val="21"/>
                <w:szCs w:val="21"/>
                <w:highlight w:val="none"/>
                <w:lang w:val="en-US" w:eastAsia="zh-CN"/>
                <w14:ligatures w14:val="none"/>
              </w:rPr>
              <w:t>5</w:t>
            </w:r>
            <w:r>
              <w:rPr>
                <w:rFonts w:hint="default" w:ascii="Times New Roman" w:hAnsi="Times New Roman" w:eastAsia="宋体" w:cs="Times New Roman"/>
                <w:spacing w:val="-2"/>
                <w:sz w:val="21"/>
                <w:szCs w:val="21"/>
                <w:highlight w:val="none"/>
                <w14:ligatures w14:val="none"/>
              </w:rPr>
              <w:t>MPa</w:t>
            </w:r>
          </w:p>
        </w:tc>
        <w:tc>
          <w:tcPr>
            <w:tcW w:w="403" w:type="pct"/>
            <w:vAlign w:val="center"/>
          </w:tcPr>
          <w:p w14:paraId="45AB0C2C">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符合</w:t>
            </w:r>
          </w:p>
        </w:tc>
      </w:tr>
      <w:tr w14:paraId="0B209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43A963A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546021BB">
            <w:pPr>
              <w:spacing w:line="240" w:lineRule="auto"/>
              <w:ind w:firstLine="0" w:firstLineChars="0"/>
              <w:rPr>
                <w:rFonts w:hint="default" w:ascii="Times New Roman" w:hAnsi="Times New Roman" w:eastAsia="宋体" w:cs="Times New Roman"/>
                <w:spacing w:val="-2"/>
                <w:sz w:val="21"/>
                <w:szCs w:val="21"/>
                <w14:ligatures w14:val="none"/>
              </w:rPr>
            </w:pPr>
            <w:r>
              <w:rPr>
                <w:rFonts w:hint="eastAsia" w:ascii="Times New Roman" w:hAnsi="Times New Roman" w:eastAsia="宋体" w:cs="Times New Roman"/>
                <w:spacing w:val="-2"/>
                <w:sz w:val="21"/>
                <w:szCs w:val="21"/>
                <w:lang w:val="en-US" w:eastAsia="zh-CN"/>
                <w14:ligatures w14:val="none"/>
              </w:rPr>
              <w:t>44</w:t>
            </w:r>
            <w:r>
              <w:rPr>
                <w:rFonts w:hint="default" w:ascii="Times New Roman" w:hAnsi="Times New Roman" w:eastAsia="宋体" w:cs="Times New Roman"/>
                <w:spacing w:val="-2"/>
                <w:sz w:val="21"/>
                <w:szCs w:val="21"/>
                <w14:ligatures w14:val="none"/>
              </w:rPr>
              <w:t>、油罐车卸油管道的公称直径宜为DN100或DN80，油气回收管道直径宜为DN80，比卸油管道直径小一个规格等级（即：DN100的卸油管道应配DN80的油气回收管道，DN80的卸油管道应配DN50的油气回收管道），且不应小于DN50。卸油连通软管、油气回收连通软管，应采用电阻率不大于10</w:t>
            </w:r>
            <w:r>
              <w:rPr>
                <w:rFonts w:hint="default" w:ascii="Times New Roman" w:hAnsi="Times New Roman" w:eastAsia="宋体" w:cs="Times New Roman"/>
                <w:spacing w:val="-2"/>
                <w:sz w:val="21"/>
                <w:szCs w:val="21"/>
                <w:vertAlign w:val="superscript"/>
                <w14:ligatures w14:val="none"/>
              </w:rPr>
              <w:t>8</w:t>
            </w:r>
            <w:r>
              <w:rPr>
                <w:rFonts w:hint="default" w:ascii="Times New Roman" w:hAnsi="Times New Roman" w:eastAsia="宋体" w:cs="Times New Roman"/>
                <w:spacing w:val="-2"/>
                <w:sz w:val="21"/>
                <w:szCs w:val="21"/>
                <w14:ligatures w14:val="none"/>
              </w:rPr>
              <w:t>Ωm的耐油软管。</w:t>
            </w:r>
          </w:p>
        </w:tc>
        <w:tc>
          <w:tcPr>
            <w:tcW w:w="1020" w:type="pct"/>
            <w:vAlign w:val="center"/>
          </w:tcPr>
          <w:p w14:paraId="06FAE1A6">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GB/T34661-2017第5.2.2.1条</w:t>
            </w:r>
          </w:p>
        </w:tc>
        <w:tc>
          <w:tcPr>
            <w:tcW w:w="1142" w:type="pct"/>
            <w:vAlign w:val="center"/>
          </w:tcPr>
          <w:p w14:paraId="61AF4132">
            <w:pPr>
              <w:spacing w:line="240" w:lineRule="auto"/>
              <w:ind w:firstLine="0" w:firstLineChars="0"/>
              <w:rPr>
                <w:rFonts w:hint="default" w:ascii="Times New Roman" w:hAnsi="Times New Roman" w:eastAsia="宋体" w:cs="Times New Roman"/>
                <w:spacing w:val="-2"/>
                <w:sz w:val="21"/>
                <w:szCs w:val="21"/>
                <w14:ligatures w14:val="none"/>
              </w:rPr>
            </w:pPr>
            <w:r>
              <w:rPr>
                <w:rFonts w:hint="default" w:ascii="Times New Roman" w:hAnsi="Times New Roman" w:eastAsia="宋体" w:cs="Times New Roman"/>
                <w:spacing w:val="-2"/>
                <w:sz w:val="21"/>
                <w:szCs w:val="21"/>
                <w14:ligatures w14:val="none"/>
              </w:rPr>
              <w:t>油罐车卸油管道的公称直径为DN100，油气回收管道直径为DN</w:t>
            </w:r>
            <w:r>
              <w:rPr>
                <w:rFonts w:hint="eastAsia" w:ascii="Times New Roman" w:hAnsi="Times New Roman" w:eastAsia="宋体" w:cs="Times New Roman"/>
                <w:spacing w:val="-2"/>
                <w:sz w:val="21"/>
                <w:szCs w:val="21"/>
                <w:lang w:val="en-US" w:eastAsia="zh-CN"/>
                <w14:ligatures w14:val="none"/>
              </w:rPr>
              <w:t>80</w:t>
            </w:r>
            <w:r>
              <w:rPr>
                <w:rFonts w:hint="default" w:ascii="Times New Roman" w:hAnsi="Times New Roman" w:eastAsia="宋体" w:cs="Times New Roman"/>
                <w:spacing w:val="-2"/>
                <w:sz w:val="21"/>
                <w:szCs w:val="21"/>
                <w14:ligatures w14:val="none"/>
              </w:rPr>
              <w:t>，采用电阻率不大于10</w:t>
            </w:r>
            <w:r>
              <w:rPr>
                <w:rFonts w:hint="default" w:ascii="Times New Roman" w:hAnsi="Times New Roman" w:eastAsia="宋体" w:cs="Times New Roman"/>
                <w:spacing w:val="-2"/>
                <w:sz w:val="21"/>
                <w:szCs w:val="21"/>
                <w:vertAlign w:val="superscript"/>
                <w14:ligatures w14:val="none"/>
              </w:rPr>
              <w:t>8</w:t>
            </w:r>
            <w:r>
              <w:rPr>
                <w:rFonts w:hint="default" w:ascii="Times New Roman" w:hAnsi="Times New Roman" w:eastAsia="宋体" w:cs="Times New Roman"/>
                <w:spacing w:val="-2"/>
                <w:sz w:val="21"/>
                <w:szCs w:val="21"/>
                <w14:ligatures w14:val="none"/>
              </w:rPr>
              <w:t>Ωm的耐油软管</w:t>
            </w:r>
          </w:p>
        </w:tc>
        <w:tc>
          <w:tcPr>
            <w:tcW w:w="403" w:type="pct"/>
            <w:vAlign w:val="center"/>
          </w:tcPr>
          <w:p w14:paraId="1B64F53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ECE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C8CE55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446BD3A">
            <w:pPr>
              <w:spacing w:line="240" w:lineRule="auto"/>
              <w:ind w:firstLine="0" w:firstLineChars="0"/>
              <w:rPr>
                <w:rFonts w:hint="default" w:ascii="Times New Roman" w:hAnsi="Times New Roman" w:eastAsia="宋体" w:cs="Times New Roman"/>
                <w:spacing w:val="-2"/>
                <w:sz w:val="21"/>
                <w:szCs w:val="21"/>
                <w14:ligatures w14:val="none"/>
              </w:rPr>
            </w:pPr>
            <w:r>
              <w:rPr>
                <w:rFonts w:hint="eastAsia" w:ascii="Times New Roman" w:hAnsi="Times New Roman" w:eastAsia="宋体" w:cs="Times New Roman"/>
                <w:spacing w:val="-2"/>
                <w:sz w:val="21"/>
                <w:szCs w:val="21"/>
                <w:lang w:val="en-US" w:eastAsia="zh-CN"/>
                <w14:ligatures w14:val="none"/>
              </w:rPr>
              <w:t>45</w:t>
            </w:r>
            <w:r>
              <w:rPr>
                <w:rFonts w:hint="default" w:ascii="Times New Roman" w:hAnsi="Times New Roman" w:eastAsia="宋体" w:cs="Times New Roman"/>
                <w:spacing w:val="-2"/>
                <w:sz w:val="21"/>
                <w:szCs w:val="21"/>
                <w14:ligatures w14:val="none"/>
              </w:rPr>
              <w:t>、油罐车上的油气回收管道接口，是否装设手动阀门。</w:t>
            </w:r>
          </w:p>
        </w:tc>
        <w:tc>
          <w:tcPr>
            <w:tcW w:w="1020" w:type="pct"/>
            <w:vAlign w:val="center"/>
          </w:tcPr>
          <w:p w14:paraId="68D641B2">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GB/T34661-2017第5.2.2.2条</w:t>
            </w:r>
          </w:p>
        </w:tc>
        <w:tc>
          <w:tcPr>
            <w:tcW w:w="1142" w:type="pct"/>
            <w:vAlign w:val="center"/>
          </w:tcPr>
          <w:p w14:paraId="7EA32B84">
            <w:pPr>
              <w:spacing w:line="240" w:lineRule="auto"/>
              <w:ind w:firstLine="0" w:firstLineChars="0"/>
              <w:rPr>
                <w:rFonts w:hint="default" w:ascii="Times New Roman" w:hAnsi="Times New Roman" w:eastAsia="宋体" w:cs="Times New Roman"/>
                <w:spacing w:val="-2"/>
                <w:sz w:val="21"/>
                <w:szCs w:val="21"/>
                <w14:ligatures w14:val="none"/>
              </w:rPr>
            </w:pPr>
            <w:r>
              <w:rPr>
                <w:rFonts w:hint="default" w:ascii="Times New Roman" w:hAnsi="Times New Roman" w:eastAsia="宋体" w:cs="Times New Roman"/>
                <w:spacing w:val="-2"/>
                <w:sz w:val="21"/>
                <w:szCs w:val="21"/>
                <w14:ligatures w14:val="none"/>
              </w:rPr>
              <w:t>油气回收管道接口，装有手动阀门</w:t>
            </w:r>
          </w:p>
        </w:tc>
        <w:tc>
          <w:tcPr>
            <w:tcW w:w="403" w:type="pct"/>
            <w:vAlign w:val="center"/>
          </w:tcPr>
          <w:p w14:paraId="54C96FB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5CA7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3551AA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2EDA064">
            <w:pPr>
              <w:spacing w:line="240" w:lineRule="auto"/>
              <w:ind w:firstLine="0" w:firstLineChars="0"/>
              <w:rPr>
                <w:rFonts w:hint="default" w:ascii="Times New Roman" w:hAnsi="Times New Roman" w:eastAsia="宋体" w:cs="Times New Roman"/>
                <w:spacing w:val="-2"/>
                <w:sz w:val="21"/>
                <w:szCs w:val="21"/>
                <w14:ligatures w14:val="none"/>
              </w:rPr>
            </w:pPr>
            <w:r>
              <w:rPr>
                <w:rFonts w:hint="eastAsia" w:ascii="Times New Roman" w:hAnsi="Times New Roman" w:eastAsia="宋体" w:cs="Times New Roman"/>
                <w:spacing w:val="-2"/>
                <w:sz w:val="21"/>
                <w:szCs w:val="21"/>
                <w:lang w:val="en-US" w:eastAsia="zh-CN"/>
                <w14:ligatures w14:val="none"/>
              </w:rPr>
              <w:t>46</w:t>
            </w:r>
            <w:r>
              <w:rPr>
                <w:rFonts w:hint="default" w:ascii="Times New Roman" w:hAnsi="Times New Roman" w:eastAsia="宋体" w:cs="Times New Roman"/>
                <w:spacing w:val="-2"/>
                <w:sz w:val="21"/>
                <w:szCs w:val="21"/>
                <w14:ligatures w14:val="none"/>
              </w:rPr>
              <w:t>、多台车用乙醇汽油加油机公用一根油气回收总管的，各次干路油气回收管道与总管之间是否分别设置阻火器，油气回收总管直径不应小于DN50。</w:t>
            </w:r>
          </w:p>
        </w:tc>
        <w:tc>
          <w:tcPr>
            <w:tcW w:w="1020" w:type="pct"/>
            <w:vAlign w:val="center"/>
          </w:tcPr>
          <w:p w14:paraId="112ED6B3">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GB/T34661-2017第5.2.3.2条</w:t>
            </w:r>
          </w:p>
        </w:tc>
        <w:tc>
          <w:tcPr>
            <w:tcW w:w="1142" w:type="pct"/>
            <w:vAlign w:val="center"/>
          </w:tcPr>
          <w:p w14:paraId="4CEF579C">
            <w:pPr>
              <w:spacing w:line="240" w:lineRule="auto"/>
              <w:ind w:firstLine="0" w:firstLineChars="0"/>
              <w:rPr>
                <w:rFonts w:hint="default" w:ascii="Times New Roman" w:hAnsi="Times New Roman" w:eastAsia="宋体" w:cs="Times New Roman"/>
                <w:spacing w:val="-2"/>
                <w:sz w:val="21"/>
                <w:szCs w:val="21"/>
                <w14:ligatures w14:val="none"/>
              </w:rPr>
            </w:pPr>
            <w:r>
              <w:rPr>
                <w:rFonts w:hint="default" w:ascii="Times New Roman" w:hAnsi="Times New Roman" w:eastAsia="宋体" w:cs="Times New Roman"/>
                <w:spacing w:val="-2"/>
                <w:sz w:val="21"/>
                <w:szCs w:val="21"/>
                <w14:ligatures w14:val="none"/>
              </w:rPr>
              <w:t>各次干路油气回收管道与总管之间分别设置阻火器，油气回收总管直径为DN50</w:t>
            </w:r>
          </w:p>
        </w:tc>
        <w:tc>
          <w:tcPr>
            <w:tcW w:w="403" w:type="pct"/>
            <w:vAlign w:val="center"/>
          </w:tcPr>
          <w:p w14:paraId="1500D98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ADBC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8583D4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451818A">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47</w:t>
            </w:r>
            <w:r>
              <w:rPr>
                <w:rFonts w:hint="default" w:ascii="Times New Roman" w:hAnsi="Times New Roman" w:eastAsia="宋体" w:cs="Times New Roman"/>
                <w:sz w:val="21"/>
                <w:szCs w:val="21"/>
                <w:lang w:val="en-US" w:eastAsia="zh-CN"/>
                <w14:ligatures w14:val="none"/>
              </w:rPr>
              <w:t>、</w:t>
            </w:r>
            <w:r>
              <w:rPr>
                <w:rFonts w:hint="default" w:ascii="Times New Roman" w:hAnsi="Times New Roman" w:eastAsia="宋体" w:cs="Times New Roman"/>
                <w:sz w:val="21"/>
                <w:szCs w:val="21"/>
                <w14:ligatures w14:val="none"/>
              </w:rPr>
              <w:t>加油站埋地加油管道应采用双层管道。双层管道的设计应符合下列规定：</w:t>
            </w:r>
          </w:p>
          <w:p w14:paraId="3CF2BEAB">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①双层管道的内层管应符合本标准第6.3节的有关规定；</w:t>
            </w:r>
          </w:p>
          <w:p w14:paraId="781CE118">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②采用双层非金属管道时，外层管应满足耐油、耐腐蚀、耐老化和系统试验压力的要求；</w:t>
            </w:r>
          </w:p>
          <w:p w14:paraId="4E5A6423">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③采用双层钢质管道时,外层管的壁厚不应小于5mm；</w:t>
            </w:r>
          </w:p>
          <w:p w14:paraId="6C48125B">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④双层管道系统的内层管与外层管之间的缝隙应贯通；</w:t>
            </w:r>
          </w:p>
          <w:p w14:paraId="392EC60B">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⑤双层管道系统的最低点应设检漏点；</w:t>
            </w:r>
          </w:p>
          <w:p w14:paraId="75189447">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⑥双层管道坡向检漏点的坡度不应小于5%,并应保证内层管和外层管任何部位出现渗漏均能在检漏点处被发现；</w:t>
            </w:r>
          </w:p>
          <w:p w14:paraId="06E26D48">
            <w:pPr>
              <w:spacing w:line="240" w:lineRule="auto"/>
              <w:ind w:firstLine="0" w:firstLineChars="0"/>
              <w:rPr>
                <w:rFonts w:hint="default" w:ascii="Times New Roman" w:hAnsi="Times New Roman" w:eastAsia="宋体" w:cs="Times New Roman"/>
                <w:spacing w:val="-2"/>
                <w:sz w:val="21"/>
                <w:szCs w:val="21"/>
                <w:lang w:val="en-US" w:eastAsia="zh-CN"/>
                <w14:ligatures w14:val="none"/>
              </w:rPr>
            </w:pPr>
            <w:r>
              <w:rPr>
                <w:rFonts w:hint="default" w:ascii="Times New Roman" w:hAnsi="Times New Roman" w:eastAsia="宋体" w:cs="Times New Roman"/>
                <w:sz w:val="21"/>
                <w:szCs w:val="21"/>
                <w14:ligatures w14:val="none"/>
              </w:rPr>
              <w:t>⑦管道系统的渗漏检测宜采用在线监测系统。</w:t>
            </w:r>
          </w:p>
        </w:tc>
        <w:tc>
          <w:tcPr>
            <w:tcW w:w="1020" w:type="pct"/>
            <w:vAlign w:val="center"/>
          </w:tcPr>
          <w:p w14:paraId="03A16B20">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GB50156-2021</w:t>
            </w:r>
          </w:p>
          <w:p w14:paraId="1EB0F3F7">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sz w:val="21"/>
                <w:szCs w:val="21"/>
                <w:highlight w:val="none"/>
                <w14:ligatures w14:val="none"/>
              </w:rPr>
              <w:t>第6.5.5条</w:t>
            </w:r>
          </w:p>
        </w:tc>
        <w:tc>
          <w:tcPr>
            <w:tcW w:w="1142" w:type="pct"/>
            <w:vAlign w:val="center"/>
          </w:tcPr>
          <w:p w14:paraId="61CF58CC">
            <w:pPr>
              <w:spacing w:line="240" w:lineRule="auto"/>
              <w:ind w:firstLine="0" w:firstLineChars="0"/>
              <w:rPr>
                <w:rFonts w:hint="default" w:ascii="Times New Roman" w:hAnsi="Times New Roman" w:eastAsia="宋体" w:cs="Times New Roman"/>
                <w:spacing w:val="-2"/>
                <w:sz w:val="21"/>
                <w:szCs w:val="21"/>
                <w:highlight w:val="none"/>
                <w14:ligatures w14:val="none"/>
              </w:rPr>
            </w:pPr>
            <w:r>
              <w:rPr>
                <w:rFonts w:hint="default" w:ascii="Times New Roman" w:hAnsi="Times New Roman" w:eastAsia="宋体" w:cs="Times New Roman"/>
                <w:sz w:val="21"/>
                <w:szCs w:val="21"/>
                <w:highlight w:val="none"/>
                <w14:ligatures w14:val="none"/>
              </w:rPr>
              <w:t>埋地加油管道采用双层管道。双层管道系统的内层管与外层管之间的缝隙应贯通、最低点设检漏点、检漏点的坡度不小于5%、管道系统的渗漏检测采用在线监测系统</w:t>
            </w:r>
          </w:p>
        </w:tc>
        <w:tc>
          <w:tcPr>
            <w:tcW w:w="403" w:type="pct"/>
            <w:vAlign w:val="center"/>
          </w:tcPr>
          <w:p w14:paraId="244F5C7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88A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5"/>
            <w:vAlign w:val="center"/>
          </w:tcPr>
          <w:p w14:paraId="12DB0CE6">
            <w:pPr>
              <w:adjustRightInd/>
              <w:snapToGrid/>
              <w:spacing w:line="240" w:lineRule="auto"/>
              <w:ind w:firstLine="0" w:firstLineChars="0"/>
              <w:jc w:val="center"/>
              <w:rPr>
                <w:rFonts w:hint="default" w:ascii="Times New Roman" w:hAnsi="Times New Roman" w:eastAsia="宋体" w:cs="Times New Roman"/>
                <w:spacing w:val="-2"/>
                <w:sz w:val="21"/>
                <w:szCs w:val="21"/>
                <w14:ligatures w14:val="none"/>
              </w:rPr>
            </w:pPr>
            <w:r>
              <w:rPr>
                <w:rFonts w:hint="default" w:ascii="Times New Roman" w:hAnsi="Times New Roman" w:eastAsia="宋体" w:cs="Times New Roman"/>
                <w:spacing w:val="-2"/>
                <w:sz w:val="21"/>
                <w:szCs w:val="21"/>
                <w14:ligatures w14:val="none"/>
              </w:rPr>
              <w:t>二、公用工程及辅助设施单元</w:t>
            </w:r>
          </w:p>
        </w:tc>
      </w:tr>
      <w:tr w14:paraId="36EE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restart"/>
            <w:vAlign w:val="center"/>
          </w:tcPr>
          <w:p w14:paraId="160F9BB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防雷、防静电</w:t>
            </w:r>
          </w:p>
        </w:tc>
        <w:tc>
          <w:tcPr>
            <w:tcW w:w="1991" w:type="pct"/>
            <w:vAlign w:val="center"/>
          </w:tcPr>
          <w:p w14:paraId="6FD4F01A">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1、钢制油罐进行防雷接地，且接地点是否不少于2处。</w:t>
            </w:r>
          </w:p>
        </w:tc>
        <w:tc>
          <w:tcPr>
            <w:tcW w:w="1020" w:type="pct"/>
            <w:vAlign w:val="center"/>
          </w:tcPr>
          <w:p w14:paraId="5C3D743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570BF9A0">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第13.2.1条</w:t>
            </w:r>
          </w:p>
        </w:tc>
        <w:tc>
          <w:tcPr>
            <w:tcW w:w="1142" w:type="pct"/>
            <w:vAlign w:val="center"/>
          </w:tcPr>
          <w:p w14:paraId="0174436C">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油罐已进行防雷接地，接地点为两处</w:t>
            </w:r>
          </w:p>
        </w:tc>
        <w:tc>
          <w:tcPr>
            <w:tcW w:w="403" w:type="pct"/>
            <w:vAlign w:val="center"/>
          </w:tcPr>
          <w:p w14:paraId="644B46F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533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1016D3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EC6FEF1">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2、汽车加油站的防雷接地、防静电接地、电气设备的工作接地、保护接地及信息系统的接地等宜共用接地装置，接地电阻不应大于4</w:t>
            </w:r>
            <w:r>
              <w:rPr>
                <w:rFonts w:hint="default" w:ascii="Times New Roman" w:hAnsi="Times New Roman" w:eastAsia="宋体" w:cs="Times New Roman"/>
                <w:spacing w:val="-2"/>
                <w:sz w:val="21"/>
                <w:szCs w:val="21"/>
                <w14:ligatures w14:val="none"/>
              </w:rPr>
              <w:t>Ω</w:t>
            </w:r>
            <w:r>
              <w:rPr>
                <w:rFonts w:hint="default" w:ascii="Times New Roman" w:hAnsi="Times New Roman" w:eastAsia="宋体" w:cs="Times New Roman"/>
                <w:sz w:val="21"/>
                <w:szCs w:val="21"/>
                <w14:ligatures w14:val="none"/>
              </w:rPr>
              <w:t>。</w:t>
            </w:r>
          </w:p>
        </w:tc>
        <w:tc>
          <w:tcPr>
            <w:tcW w:w="1020" w:type="pct"/>
            <w:vAlign w:val="center"/>
          </w:tcPr>
          <w:p w14:paraId="54CD812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GB50156-2021</w:t>
            </w:r>
          </w:p>
          <w:p w14:paraId="032F2CFC">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第13.2.2条</w:t>
            </w:r>
          </w:p>
        </w:tc>
        <w:tc>
          <w:tcPr>
            <w:tcW w:w="1142" w:type="pct"/>
            <w:vAlign w:val="center"/>
          </w:tcPr>
          <w:p w14:paraId="43DD7353">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防雷检测报告合格，详见附件</w:t>
            </w:r>
          </w:p>
        </w:tc>
        <w:tc>
          <w:tcPr>
            <w:tcW w:w="403" w:type="pct"/>
            <w:vAlign w:val="center"/>
          </w:tcPr>
          <w:p w14:paraId="219DFE5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40C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1A0758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1AF3379D">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3、</w:t>
            </w:r>
            <w:r>
              <w:rPr>
                <w:rFonts w:hint="default" w:ascii="Times New Roman" w:hAnsi="Times New Roman" w:eastAsia="宋体" w:cs="Times New Roman"/>
                <w:sz w:val="21"/>
                <w:szCs w:val="21"/>
                <w14:ligatures w14:val="none"/>
              </w:rPr>
              <w:t>埋地钢制油罐、埋地LNG储罐以及非金属油罐顶部的金属部件和罐内的各金属部件，必须与非埋地部分的工艺金属管道相互做电气连接并接地。</w:t>
            </w:r>
          </w:p>
        </w:tc>
        <w:tc>
          <w:tcPr>
            <w:tcW w:w="1020" w:type="pct"/>
            <w:vAlign w:val="center"/>
          </w:tcPr>
          <w:p w14:paraId="4C331BDD">
            <w:pPr>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GB50156-2021</w:t>
            </w:r>
          </w:p>
          <w:p w14:paraId="5A25DFDC">
            <w:pPr>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第13.2.4条</w:t>
            </w:r>
          </w:p>
        </w:tc>
        <w:tc>
          <w:tcPr>
            <w:tcW w:w="1142" w:type="pct"/>
            <w:vAlign w:val="center"/>
          </w:tcPr>
          <w:p w14:paraId="6F4C5591">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埋地SF双层油罐和罐内的各金属部件已做电气连接并接地</w:t>
            </w:r>
          </w:p>
        </w:tc>
        <w:tc>
          <w:tcPr>
            <w:tcW w:w="403" w:type="pct"/>
            <w:vAlign w:val="center"/>
          </w:tcPr>
          <w:p w14:paraId="446CACE8">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59D9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3C8CC0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2DD6CC2">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4</w:t>
            </w:r>
            <w:r>
              <w:rPr>
                <w:rFonts w:hint="default" w:ascii="Times New Roman" w:hAnsi="Times New Roman" w:eastAsia="宋体" w:cs="Times New Roman"/>
                <w:sz w:val="21"/>
                <w:szCs w:val="21"/>
                <w:lang w:val="en-US" w:eastAsia="zh-CN"/>
                <w14:ligatures w14:val="none"/>
              </w:rPr>
              <w:t>、</w:t>
            </w:r>
            <w:r>
              <w:rPr>
                <w:rFonts w:hint="default" w:ascii="Times New Roman" w:hAnsi="Times New Roman" w:eastAsia="宋体" w:cs="Times New Roman"/>
                <w:sz w:val="21"/>
                <w:szCs w:val="21"/>
                <w14:ligatures w14:val="none"/>
              </w:rPr>
              <w:t>汽车加油加气加氢站的信息系统应采用铠装电缆或导线穿钢管配线。配线电缆铠装金属层两端、保护钢管两端均应接地。</w:t>
            </w:r>
          </w:p>
        </w:tc>
        <w:tc>
          <w:tcPr>
            <w:tcW w:w="1020" w:type="pct"/>
            <w:vAlign w:val="center"/>
          </w:tcPr>
          <w:p w14:paraId="49BE97F0">
            <w:pPr>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GB50156-2021</w:t>
            </w:r>
          </w:p>
          <w:p w14:paraId="43E584E2">
            <w:pPr>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第13.2.7条</w:t>
            </w:r>
          </w:p>
        </w:tc>
        <w:tc>
          <w:tcPr>
            <w:tcW w:w="1142" w:type="pct"/>
            <w:vAlign w:val="center"/>
          </w:tcPr>
          <w:p w14:paraId="406D2D3C">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采用铠装电缆且两端均接地</w:t>
            </w:r>
          </w:p>
        </w:tc>
        <w:tc>
          <w:tcPr>
            <w:tcW w:w="403" w:type="pct"/>
            <w:vAlign w:val="center"/>
          </w:tcPr>
          <w:p w14:paraId="73859FF7">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379A2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430339C3">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p>
        </w:tc>
        <w:tc>
          <w:tcPr>
            <w:tcW w:w="1991" w:type="pct"/>
            <w:vAlign w:val="center"/>
          </w:tcPr>
          <w:p w14:paraId="09827140">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eastAsia" w:ascii="Times New Roman" w:hAnsi="Times New Roman" w:eastAsia="宋体" w:cs="Times New Roman"/>
                <w:spacing w:val="10"/>
                <w:sz w:val="21"/>
                <w:szCs w:val="21"/>
                <w:highlight w:val="none"/>
                <w:lang w:val="en-US" w:eastAsia="zh-CN"/>
                <w14:ligatures w14:val="none"/>
              </w:rPr>
              <w:t>5</w:t>
            </w:r>
            <w:r>
              <w:rPr>
                <w:rFonts w:hint="default" w:ascii="Times New Roman" w:hAnsi="Times New Roman" w:eastAsia="宋体" w:cs="Times New Roman"/>
                <w:spacing w:val="10"/>
                <w:sz w:val="21"/>
                <w:szCs w:val="21"/>
                <w:highlight w:val="none"/>
                <w14:ligatures w14:val="none"/>
              </w:rPr>
              <w:t>、油罐防静电设计应符合GB 50156和SH 3097的规定。</w:t>
            </w:r>
          </w:p>
        </w:tc>
        <w:tc>
          <w:tcPr>
            <w:tcW w:w="1020" w:type="pct"/>
            <w:vAlign w:val="center"/>
          </w:tcPr>
          <w:p w14:paraId="7A4E7176">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SH/T 3178-2015</w:t>
            </w:r>
          </w:p>
          <w:p w14:paraId="6C3F564D">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第6.7.1条</w:t>
            </w:r>
          </w:p>
        </w:tc>
        <w:tc>
          <w:tcPr>
            <w:tcW w:w="1142" w:type="pct"/>
            <w:vAlign w:val="center"/>
          </w:tcPr>
          <w:p w14:paraId="54DEAEB3">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default" w:ascii="Times New Roman" w:hAnsi="Times New Roman" w:eastAsia="宋体" w:cs="Times New Roman"/>
                <w:spacing w:val="10"/>
                <w:sz w:val="21"/>
                <w:szCs w:val="21"/>
                <w:highlight w:val="none"/>
                <w14:ligatures w14:val="none"/>
              </w:rPr>
              <w:t>油罐防静电设计符合GB 50156和SH 3097的规定</w:t>
            </w:r>
          </w:p>
        </w:tc>
        <w:tc>
          <w:tcPr>
            <w:tcW w:w="403" w:type="pct"/>
            <w:vAlign w:val="center"/>
          </w:tcPr>
          <w:p w14:paraId="7DE0E410">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符合</w:t>
            </w:r>
          </w:p>
        </w:tc>
      </w:tr>
      <w:tr w14:paraId="522C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0ED3195">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p>
        </w:tc>
        <w:tc>
          <w:tcPr>
            <w:tcW w:w="1991" w:type="pct"/>
            <w:vAlign w:val="center"/>
          </w:tcPr>
          <w:p w14:paraId="1693DCED">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eastAsia" w:ascii="Times New Roman" w:hAnsi="Times New Roman" w:eastAsia="宋体" w:cs="Times New Roman"/>
                <w:spacing w:val="10"/>
                <w:sz w:val="21"/>
                <w:szCs w:val="21"/>
                <w:highlight w:val="none"/>
                <w:lang w:val="en-US" w:eastAsia="zh-CN"/>
                <w14:ligatures w14:val="none"/>
              </w:rPr>
              <w:t>6</w:t>
            </w:r>
            <w:r>
              <w:rPr>
                <w:rFonts w:hint="default" w:ascii="Times New Roman" w:hAnsi="Times New Roman" w:eastAsia="宋体" w:cs="Times New Roman"/>
                <w:spacing w:val="10"/>
                <w:sz w:val="21"/>
                <w:szCs w:val="21"/>
                <w:highlight w:val="none"/>
                <w14:ligatures w14:val="none"/>
              </w:rPr>
              <w:t>、油罐顶部金属部件和油罐内各金属部件应与非埋地工艺金属管道相互做电气连接并接地。</w:t>
            </w:r>
          </w:p>
        </w:tc>
        <w:tc>
          <w:tcPr>
            <w:tcW w:w="1020" w:type="pct"/>
            <w:vAlign w:val="center"/>
          </w:tcPr>
          <w:p w14:paraId="380ACE66">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SH/T 3178-2015</w:t>
            </w:r>
          </w:p>
          <w:p w14:paraId="418F21A0">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第6.7.2条</w:t>
            </w:r>
          </w:p>
        </w:tc>
        <w:tc>
          <w:tcPr>
            <w:tcW w:w="1142" w:type="pct"/>
            <w:vAlign w:val="center"/>
          </w:tcPr>
          <w:p w14:paraId="2B09D370">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default" w:ascii="Times New Roman" w:hAnsi="Times New Roman" w:eastAsia="宋体" w:cs="Times New Roman"/>
                <w:spacing w:val="10"/>
                <w:sz w:val="21"/>
                <w:szCs w:val="21"/>
                <w:highlight w:val="none"/>
                <w14:ligatures w14:val="none"/>
              </w:rPr>
              <w:t>油罐顶部金属部件和油罐内各金属部件与非埋地工艺金属管道相互做电气连接并接地</w:t>
            </w:r>
          </w:p>
        </w:tc>
        <w:tc>
          <w:tcPr>
            <w:tcW w:w="403" w:type="pct"/>
            <w:vAlign w:val="center"/>
          </w:tcPr>
          <w:p w14:paraId="33014123">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符合</w:t>
            </w:r>
          </w:p>
        </w:tc>
      </w:tr>
      <w:tr w14:paraId="7A65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50A9F1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53870C87">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z w:val="21"/>
                <w:szCs w:val="21"/>
                <w:lang w:val="en-US" w:eastAsia="zh-CN"/>
                <w14:ligatures w14:val="none"/>
              </w:rPr>
              <w:t>7</w:t>
            </w:r>
            <w:r>
              <w:rPr>
                <w:rFonts w:hint="default" w:ascii="Times New Roman" w:hAnsi="Times New Roman" w:eastAsia="宋体" w:cs="Times New Roman"/>
                <w:sz w:val="21"/>
                <w:szCs w:val="21"/>
                <w14:ligatures w14:val="none"/>
              </w:rPr>
              <w:t>、地上或管沟敷设的油品管道是否设防静电和防感应雷的共用接地装置，其接地电阻不大于30Ω。</w:t>
            </w:r>
          </w:p>
        </w:tc>
        <w:tc>
          <w:tcPr>
            <w:tcW w:w="1020" w:type="pct"/>
            <w:vAlign w:val="center"/>
          </w:tcPr>
          <w:p w14:paraId="4838AB4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GB50156-2021</w:t>
            </w:r>
          </w:p>
          <w:p w14:paraId="7EF86D95">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第13.2.10条</w:t>
            </w:r>
          </w:p>
        </w:tc>
        <w:tc>
          <w:tcPr>
            <w:tcW w:w="1142" w:type="pct"/>
            <w:vAlign w:val="center"/>
          </w:tcPr>
          <w:p w14:paraId="1B90E577">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地上或管沟敷设的油品管道设防静电和防感应雷的共用接地装置，接地电阻不大于30Ω</w:t>
            </w:r>
          </w:p>
        </w:tc>
        <w:tc>
          <w:tcPr>
            <w:tcW w:w="403" w:type="pct"/>
            <w:vAlign w:val="center"/>
          </w:tcPr>
          <w:p w14:paraId="20BFD54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9DE0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8A2AF5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142CDFC4">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z w:val="21"/>
                <w:szCs w:val="21"/>
                <w:lang w:val="en-US" w:eastAsia="zh-CN"/>
                <w14:ligatures w14:val="none"/>
              </w:rPr>
              <w:t>8</w:t>
            </w:r>
            <w:r>
              <w:rPr>
                <w:rFonts w:hint="default" w:ascii="Times New Roman" w:hAnsi="Times New Roman" w:eastAsia="宋体" w:cs="Times New Roman"/>
                <w:sz w:val="21"/>
                <w:szCs w:val="21"/>
                <w14:ligatures w14:val="none"/>
              </w:rPr>
              <w:t>、车用乙醇汽油罐车卸车场地，是否设罐车卸车时用的防静电接地装置，是否设置能检测跨接线及监视接地装置状态的静电接地仪。</w:t>
            </w:r>
          </w:p>
        </w:tc>
        <w:tc>
          <w:tcPr>
            <w:tcW w:w="1020" w:type="pct"/>
            <w:vAlign w:val="center"/>
          </w:tcPr>
          <w:p w14:paraId="6BECED8C">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1891292A">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第13.2.11条</w:t>
            </w:r>
          </w:p>
        </w:tc>
        <w:tc>
          <w:tcPr>
            <w:tcW w:w="1142" w:type="pct"/>
            <w:vAlign w:val="center"/>
          </w:tcPr>
          <w:p w14:paraId="13E4E443">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车用乙醇汽油罐车卸车场地设有防静电接地装置</w:t>
            </w:r>
          </w:p>
        </w:tc>
        <w:tc>
          <w:tcPr>
            <w:tcW w:w="403" w:type="pct"/>
            <w:vAlign w:val="center"/>
          </w:tcPr>
          <w:p w14:paraId="4F15941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126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9C0673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622F2B06">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9</w:t>
            </w:r>
            <w:r>
              <w:rPr>
                <w:rFonts w:hint="default" w:ascii="Times New Roman" w:hAnsi="Times New Roman" w:eastAsia="宋体" w:cs="Times New Roman"/>
                <w:sz w:val="21"/>
                <w:szCs w:val="21"/>
                <w:lang w:val="en-US" w:eastAsia="zh-CN"/>
                <w14:ligatures w14:val="none"/>
              </w:rPr>
              <w:t>、在爆炸危险区域内工艺管道上的法兰、胶管两端等连接处应采用金属线跨接。当法兰的连接螺栓不少于5根时，在非腐蚀环境下，可不跨接。</w:t>
            </w:r>
          </w:p>
        </w:tc>
        <w:tc>
          <w:tcPr>
            <w:tcW w:w="1020" w:type="pct"/>
            <w:vAlign w:val="center"/>
          </w:tcPr>
          <w:p w14:paraId="08325167">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GB50156-2021</w:t>
            </w:r>
          </w:p>
          <w:p w14:paraId="42372BC0">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第13.2.12条</w:t>
            </w:r>
          </w:p>
        </w:tc>
        <w:tc>
          <w:tcPr>
            <w:tcW w:w="1142" w:type="pct"/>
            <w:vAlign w:val="center"/>
          </w:tcPr>
          <w:p w14:paraId="4E7CFB62">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法兰已进行金属线跨接</w:t>
            </w:r>
          </w:p>
        </w:tc>
        <w:tc>
          <w:tcPr>
            <w:tcW w:w="403" w:type="pct"/>
            <w:vAlign w:val="center"/>
          </w:tcPr>
          <w:p w14:paraId="1DB4ACD1">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符合</w:t>
            </w:r>
          </w:p>
        </w:tc>
      </w:tr>
      <w:tr w14:paraId="0E4C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1512CE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7B795FC">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lang w:val="en-US" w:eastAsia="zh-CN"/>
                <w14:ligatures w14:val="none"/>
              </w:rPr>
              <w:t>1</w:t>
            </w:r>
            <w:r>
              <w:rPr>
                <w:rFonts w:hint="eastAsia" w:ascii="Times New Roman" w:hAnsi="Times New Roman" w:eastAsia="宋体" w:cs="Times New Roman"/>
                <w:sz w:val="21"/>
                <w:szCs w:val="21"/>
                <w:lang w:val="en-US" w:eastAsia="zh-CN"/>
                <w14:ligatures w14:val="none"/>
              </w:rPr>
              <w:t>0</w:t>
            </w:r>
            <w:r>
              <w:rPr>
                <w:rFonts w:hint="default" w:ascii="Times New Roman" w:hAnsi="Times New Roman" w:eastAsia="宋体" w:cs="Times New Roman"/>
                <w:sz w:val="21"/>
                <w:szCs w:val="21"/>
                <w14:ligatures w14:val="none"/>
              </w:rPr>
              <w:t>、</w:t>
            </w:r>
            <w:r>
              <w:rPr>
                <w:rFonts w:hint="default" w:ascii="Times New Roman" w:hAnsi="Times New Roman" w:eastAsia="宋体" w:cs="Times New Roman"/>
                <w:spacing w:val="10"/>
                <w:sz w:val="21"/>
                <w:szCs w:val="21"/>
                <w14:ligatures w14:val="none"/>
              </w:rPr>
              <w:t>油罐车卸油用的卸油软管、油气回收软管与两端接头，是否保证可靠的电气连接。</w:t>
            </w:r>
          </w:p>
        </w:tc>
        <w:tc>
          <w:tcPr>
            <w:tcW w:w="1020" w:type="pct"/>
            <w:vAlign w:val="center"/>
          </w:tcPr>
          <w:p w14:paraId="086CC270">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5901EAB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第13.2.13条</w:t>
            </w:r>
          </w:p>
        </w:tc>
        <w:tc>
          <w:tcPr>
            <w:tcW w:w="1142" w:type="pct"/>
            <w:vAlign w:val="center"/>
          </w:tcPr>
          <w:p w14:paraId="39976127">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设有可靠的电气连接</w:t>
            </w:r>
          </w:p>
        </w:tc>
        <w:tc>
          <w:tcPr>
            <w:tcW w:w="403" w:type="pct"/>
            <w:vAlign w:val="center"/>
          </w:tcPr>
          <w:p w14:paraId="7F76DEB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321F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181070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DF73D02">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1</w:t>
            </w:r>
            <w:r>
              <w:rPr>
                <w:rFonts w:hint="eastAsia" w:ascii="Times New Roman" w:hAnsi="Times New Roman" w:eastAsia="宋体" w:cs="Times New Roman"/>
                <w:sz w:val="21"/>
                <w:szCs w:val="21"/>
                <w:lang w:val="en-US" w:eastAsia="zh-CN"/>
                <w14:ligatures w14:val="none"/>
              </w:rPr>
              <w:t>1</w:t>
            </w:r>
            <w:r>
              <w:rPr>
                <w:rFonts w:hint="default" w:ascii="Times New Roman" w:hAnsi="Times New Roman" w:eastAsia="宋体" w:cs="Times New Roman"/>
                <w:sz w:val="21"/>
                <w:szCs w:val="21"/>
                <w14:ligatures w14:val="none"/>
              </w:rPr>
              <w:t>、采用导静电的热塑性塑料管道时，导电内衬应接地；采用不导静电的热塑性塑料管道时，不埋地部分的热熔连接件应保证长期可靠的接地，也可采用专用的密封帽将连接管件的电熔插孔密封，管道或接头的其他导电部件也应接地。</w:t>
            </w:r>
          </w:p>
        </w:tc>
        <w:tc>
          <w:tcPr>
            <w:tcW w:w="1020" w:type="pct"/>
            <w:vAlign w:val="center"/>
          </w:tcPr>
          <w:p w14:paraId="674F1953">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20EC48AD">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第13.2.14条</w:t>
            </w:r>
          </w:p>
        </w:tc>
        <w:tc>
          <w:tcPr>
            <w:tcW w:w="1142" w:type="pct"/>
            <w:vAlign w:val="center"/>
          </w:tcPr>
          <w:p w14:paraId="23ACD6B6">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本项目采用导静电的热塑性塑料管道，导电内衬接地</w:t>
            </w:r>
          </w:p>
        </w:tc>
        <w:tc>
          <w:tcPr>
            <w:tcW w:w="403" w:type="pct"/>
            <w:vAlign w:val="center"/>
          </w:tcPr>
          <w:p w14:paraId="38B5D0F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3392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5D4B00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B710495">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lang w:val="en-US" w:eastAsia="zh-CN"/>
                <w14:ligatures w14:val="none"/>
              </w:rPr>
              <w:t>1</w:t>
            </w:r>
            <w:r>
              <w:rPr>
                <w:rFonts w:hint="eastAsia" w:ascii="Times New Roman" w:hAnsi="Times New Roman" w:eastAsia="宋体" w:cs="Times New Roman"/>
                <w:sz w:val="21"/>
                <w:szCs w:val="21"/>
                <w:lang w:val="en-US" w:eastAsia="zh-CN"/>
                <w14:ligatures w14:val="none"/>
              </w:rPr>
              <w:t>2</w:t>
            </w:r>
            <w:r>
              <w:rPr>
                <w:rFonts w:hint="default" w:ascii="Times New Roman" w:hAnsi="Times New Roman" w:eastAsia="宋体" w:cs="Times New Roman"/>
                <w:sz w:val="21"/>
                <w:szCs w:val="21"/>
                <w14:ligatures w14:val="none"/>
              </w:rPr>
              <w:t>、防静电接地装置的接地电阻是否不大于100Ω。</w:t>
            </w:r>
          </w:p>
        </w:tc>
        <w:tc>
          <w:tcPr>
            <w:tcW w:w="1020" w:type="pct"/>
            <w:vAlign w:val="center"/>
          </w:tcPr>
          <w:p w14:paraId="1D96B05F">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49C9A963">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第13.2.15条</w:t>
            </w:r>
          </w:p>
        </w:tc>
        <w:tc>
          <w:tcPr>
            <w:tcW w:w="1142" w:type="pct"/>
            <w:vAlign w:val="center"/>
          </w:tcPr>
          <w:p w14:paraId="58740BF6">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防静电接地装置的接地电阻符合要求</w:t>
            </w:r>
          </w:p>
        </w:tc>
        <w:tc>
          <w:tcPr>
            <w:tcW w:w="403" w:type="pct"/>
            <w:vAlign w:val="center"/>
          </w:tcPr>
          <w:p w14:paraId="76FBC3C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3BCC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94F9BC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E17C735">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1</w:t>
            </w:r>
            <w:r>
              <w:rPr>
                <w:rFonts w:hint="eastAsia" w:ascii="Times New Roman" w:hAnsi="Times New Roman" w:eastAsia="宋体" w:cs="Times New Roman"/>
                <w:sz w:val="21"/>
                <w:szCs w:val="21"/>
                <w:lang w:val="en-US" w:eastAsia="zh-CN"/>
                <w14:ligatures w14:val="none"/>
              </w:rPr>
              <w:t>3</w:t>
            </w:r>
            <w:r>
              <w:rPr>
                <w:rFonts w:hint="default" w:ascii="Times New Roman" w:hAnsi="Times New Roman" w:eastAsia="宋体" w:cs="Times New Roman"/>
                <w:sz w:val="21"/>
                <w:szCs w:val="21"/>
                <w14:ligatures w14:val="none"/>
              </w:rPr>
              <w:t>、油品罐车卸车场地内用于防静电跨接的固定接地装置，是否设置在爆炸危险1区。</w:t>
            </w:r>
          </w:p>
        </w:tc>
        <w:tc>
          <w:tcPr>
            <w:tcW w:w="1020" w:type="pct"/>
            <w:vAlign w:val="center"/>
          </w:tcPr>
          <w:p w14:paraId="554F4D3D">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014212A6">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第13.2.16条</w:t>
            </w:r>
          </w:p>
        </w:tc>
        <w:tc>
          <w:tcPr>
            <w:tcW w:w="1142" w:type="pct"/>
            <w:vAlign w:val="center"/>
          </w:tcPr>
          <w:p w14:paraId="5ED22E57">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固定接地装置未设置在爆炸危险1区内</w:t>
            </w:r>
          </w:p>
        </w:tc>
        <w:tc>
          <w:tcPr>
            <w:tcW w:w="403" w:type="pct"/>
            <w:vAlign w:val="center"/>
          </w:tcPr>
          <w:p w14:paraId="404896C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374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restart"/>
            <w:vAlign w:val="center"/>
          </w:tcPr>
          <w:p w14:paraId="1DFD198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视频监控系统</w:t>
            </w:r>
          </w:p>
        </w:tc>
        <w:tc>
          <w:tcPr>
            <w:tcW w:w="1991" w:type="pct"/>
            <w:vAlign w:val="center"/>
          </w:tcPr>
          <w:p w14:paraId="11C94CCD">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w:t>
            </w:r>
            <w:r>
              <w:rPr>
                <w:rFonts w:hint="eastAsia" w:ascii="Times New Roman" w:hAnsi="Times New Roman" w:eastAsia="宋体" w:cs="Times New Roman"/>
                <w:spacing w:val="10"/>
                <w:sz w:val="21"/>
                <w:szCs w:val="21"/>
                <w:lang w:val="en-US" w:eastAsia="zh-CN"/>
                <w14:ligatures w14:val="none"/>
              </w:rPr>
              <w:t>4</w:t>
            </w:r>
            <w:r>
              <w:rPr>
                <w:rFonts w:hint="default" w:ascii="Times New Roman" w:hAnsi="Times New Roman" w:eastAsia="宋体" w:cs="Times New Roman"/>
                <w:spacing w:val="10"/>
                <w:sz w:val="21"/>
                <w:szCs w:val="21"/>
                <w14:ligatures w14:val="none"/>
              </w:rPr>
              <w:t>、汽车加油加气加氢站应设置电视监视系统，监视范围应覆盖作业区。</w:t>
            </w:r>
          </w:p>
        </w:tc>
        <w:tc>
          <w:tcPr>
            <w:tcW w:w="1020" w:type="pct"/>
            <w:vAlign w:val="center"/>
          </w:tcPr>
          <w:p w14:paraId="461F0F47">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7294188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第3.0.27条</w:t>
            </w:r>
          </w:p>
        </w:tc>
        <w:tc>
          <w:tcPr>
            <w:tcW w:w="1142" w:type="pct"/>
            <w:vAlign w:val="center"/>
          </w:tcPr>
          <w:p w14:paraId="367D0A5E">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该站设置电视监视系统，监视范围覆盖作业区、储罐区</w:t>
            </w:r>
          </w:p>
        </w:tc>
        <w:tc>
          <w:tcPr>
            <w:tcW w:w="403" w:type="pct"/>
            <w:vAlign w:val="center"/>
          </w:tcPr>
          <w:p w14:paraId="76039B9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EFA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48ECDF7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246B9D1">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1</w:t>
            </w:r>
            <w:r>
              <w:rPr>
                <w:rFonts w:hint="eastAsia" w:ascii="Times New Roman" w:hAnsi="Times New Roman" w:eastAsia="宋体" w:cs="Times New Roman"/>
                <w:spacing w:val="10"/>
                <w:sz w:val="21"/>
                <w:szCs w:val="21"/>
                <w:lang w:val="en-US" w:eastAsia="zh-CN"/>
                <w14:ligatures w14:val="none"/>
              </w:rPr>
              <w:t>5</w:t>
            </w:r>
            <w:r>
              <w:rPr>
                <w:rFonts w:hint="default" w:ascii="Times New Roman" w:hAnsi="Times New Roman" w:eastAsia="宋体" w:cs="Times New Roman"/>
                <w:spacing w:val="10"/>
                <w:sz w:val="21"/>
                <w:szCs w:val="21"/>
                <w14:ligatures w14:val="none"/>
              </w:rPr>
              <w:t>、视频安防监控系统应对需要进行监控的建筑物内（外）的主要公共活动场所、通道、重要部位和区域等进行有效的视频探测与监视，图像显示、记录与回放。</w:t>
            </w:r>
          </w:p>
        </w:tc>
        <w:tc>
          <w:tcPr>
            <w:tcW w:w="1020" w:type="pct"/>
            <w:vAlign w:val="center"/>
          </w:tcPr>
          <w:p w14:paraId="3956AE4A">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50395-2007</w:t>
            </w:r>
          </w:p>
          <w:p w14:paraId="50A2A624">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第5.0.1条</w:t>
            </w:r>
          </w:p>
        </w:tc>
        <w:tc>
          <w:tcPr>
            <w:tcW w:w="1142" w:type="pct"/>
            <w:vAlign w:val="center"/>
          </w:tcPr>
          <w:p w14:paraId="0ACC8FB1">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spacing w:val="10"/>
                <w:sz w:val="21"/>
                <w:szCs w:val="21"/>
                <w14:ligatures w14:val="none"/>
              </w:rPr>
              <w:t>站内监控系统对主要通道、重要部位和区域等都进行有效的视频探测与监视，图像显示、记录与回放。</w:t>
            </w:r>
          </w:p>
        </w:tc>
        <w:tc>
          <w:tcPr>
            <w:tcW w:w="403" w:type="pct"/>
            <w:vAlign w:val="center"/>
          </w:tcPr>
          <w:p w14:paraId="64B1404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6CF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DFC2BB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E250848">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1</w:t>
            </w:r>
            <w:r>
              <w:rPr>
                <w:rFonts w:hint="eastAsia" w:ascii="Times New Roman" w:hAnsi="Times New Roman" w:eastAsia="宋体" w:cs="Times New Roman"/>
                <w:spacing w:val="10"/>
                <w:sz w:val="21"/>
                <w:szCs w:val="21"/>
                <w:lang w:val="en-US" w:eastAsia="zh-CN"/>
                <w14:ligatures w14:val="none"/>
              </w:rPr>
              <w:t>6</w:t>
            </w:r>
            <w:r>
              <w:rPr>
                <w:rFonts w:hint="default" w:ascii="Times New Roman" w:hAnsi="Times New Roman" w:eastAsia="宋体" w:cs="Times New Roman"/>
                <w:spacing w:val="10"/>
                <w:sz w:val="21"/>
                <w:szCs w:val="21"/>
                <w14:ligatures w14:val="none"/>
              </w:rPr>
              <w:t>、系统的信号传输应保证图像质量、数据的安全性和控制信号的准确性。</w:t>
            </w:r>
          </w:p>
        </w:tc>
        <w:tc>
          <w:tcPr>
            <w:tcW w:w="1020" w:type="pct"/>
            <w:vAlign w:val="center"/>
          </w:tcPr>
          <w:p w14:paraId="387DA92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50395-2007</w:t>
            </w:r>
          </w:p>
          <w:p w14:paraId="1EABCAAC">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第5.0.3条</w:t>
            </w:r>
          </w:p>
        </w:tc>
        <w:tc>
          <w:tcPr>
            <w:tcW w:w="1142" w:type="pct"/>
            <w:vAlign w:val="center"/>
          </w:tcPr>
          <w:p w14:paraId="3F8AF9EF">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系统的信号传输能保证图像质量、数据的安全性和控制信号的准确性。</w:t>
            </w:r>
          </w:p>
        </w:tc>
        <w:tc>
          <w:tcPr>
            <w:tcW w:w="403" w:type="pct"/>
            <w:vAlign w:val="center"/>
          </w:tcPr>
          <w:p w14:paraId="51A30A4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61074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ABB088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4426022">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pacing w:val="10"/>
                <w:sz w:val="21"/>
                <w:szCs w:val="21"/>
                <w:lang w:val="en-US" w:eastAsia="zh-CN"/>
                <w14:ligatures w14:val="none"/>
              </w:rPr>
              <w:t>17</w:t>
            </w:r>
            <w:r>
              <w:rPr>
                <w:rFonts w:hint="default" w:ascii="Times New Roman" w:hAnsi="Times New Roman" w:eastAsia="宋体" w:cs="Times New Roman"/>
                <w:spacing w:val="10"/>
                <w:sz w:val="21"/>
                <w:szCs w:val="21"/>
                <w14:ligatures w14:val="none"/>
              </w:rPr>
              <w:t>、系统监视或回放的图像应清晰、稳定，显示方式应满足安全管理要求。显示画面上应有图像编号／地址、时间、日期等。文字显示应采用简体中文。</w:t>
            </w:r>
          </w:p>
        </w:tc>
        <w:tc>
          <w:tcPr>
            <w:tcW w:w="1020" w:type="pct"/>
            <w:vAlign w:val="center"/>
          </w:tcPr>
          <w:p w14:paraId="1EC9034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50395-2007</w:t>
            </w:r>
          </w:p>
          <w:p w14:paraId="5254A10D">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第5.0.8条</w:t>
            </w:r>
          </w:p>
        </w:tc>
        <w:tc>
          <w:tcPr>
            <w:tcW w:w="1142" w:type="pct"/>
            <w:vAlign w:val="center"/>
          </w:tcPr>
          <w:p w14:paraId="13B353D4">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spacing w:val="10"/>
                <w:sz w:val="21"/>
                <w:szCs w:val="21"/>
                <w14:ligatures w14:val="none"/>
              </w:rPr>
              <w:t>系统监视或回放的图像应清晰、稳定，显示方式应满足安全管理要求</w:t>
            </w:r>
            <w:r>
              <w:rPr>
                <w:rFonts w:hint="default" w:ascii="Times New Roman" w:hAnsi="Times New Roman" w:eastAsia="宋体" w:cs="Times New Roman"/>
                <w:bCs/>
                <w:sz w:val="21"/>
                <w:szCs w:val="21"/>
                <w14:ligatures w14:val="none"/>
              </w:rPr>
              <w:t>。</w:t>
            </w:r>
          </w:p>
        </w:tc>
        <w:tc>
          <w:tcPr>
            <w:tcW w:w="403" w:type="pct"/>
            <w:vAlign w:val="center"/>
          </w:tcPr>
          <w:p w14:paraId="61A3B94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383E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249A67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6E85488D">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pacing w:val="10"/>
                <w:sz w:val="21"/>
                <w:szCs w:val="21"/>
                <w:lang w:val="en-US" w:eastAsia="zh-CN"/>
                <w14:ligatures w14:val="none"/>
              </w:rPr>
              <w:t>18</w:t>
            </w:r>
            <w:r>
              <w:rPr>
                <w:rFonts w:hint="default" w:ascii="Times New Roman" w:hAnsi="Times New Roman" w:eastAsia="宋体" w:cs="Times New Roman"/>
                <w:spacing w:val="10"/>
                <w:sz w:val="21"/>
                <w:szCs w:val="21"/>
                <w14:ligatures w14:val="none"/>
              </w:rPr>
              <w:t>、系统防雷与接地除应符合现行国家标准《安全防范工程技术规范》GB 50348的相关规定外，还应符合下列规定：①采取相应隔离措施，防止地电位不等引起图像干扰。②室外安装的摄像机连接电缆宜采取防雷措施。</w:t>
            </w:r>
          </w:p>
        </w:tc>
        <w:tc>
          <w:tcPr>
            <w:tcW w:w="1020" w:type="pct"/>
            <w:vAlign w:val="center"/>
          </w:tcPr>
          <w:p w14:paraId="3A77DAD6">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50395-2007</w:t>
            </w:r>
          </w:p>
          <w:p w14:paraId="0A3D3114">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第8.0.2条</w:t>
            </w:r>
          </w:p>
        </w:tc>
        <w:tc>
          <w:tcPr>
            <w:tcW w:w="1142" w:type="pct"/>
            <w:vAlign w:val="center"/>
          </w:tcPr>
          <w:p w14:paraId="68907673">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系统防雷与接地符合标准。</w:t>
            </w:r>
          </w:p>
        </w:tc>
        <w:tc>
          <w:tcPr>
            <w:tcW w:w="403" w:type="pct"/>
            <w:vAlign w:val="center"/>
          </w:tcPr>
          <w:p w14:paraId="091CFDB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AE7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Align w:val="center"/>
          </w:tcPr>
          <w:p w14:paraId="7CB4E31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建（构）筑物</w:t>
            </w:r>
          </w:p>
        </w:tc>
        <w:tc>
          <w:tcPr>
            <w:tcW w:w="1991" w:type="pct"/>
            <w:vAlign w:val="center"/>
          </w:tcPr>
          <w:p w14:paraId="427A113A">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sz w:val="21"/>
                <w:szCs w:val="21"/>
                <w:lang w:val="en-US" w:eastAsia="zh-CN"/>
                <w14:ligatures w14:val="none"/>
              </w:rPr>
              <w:t>19</w:t>
            </w:r>
            <w:r>
              <w:rPr>
                <w:rFonts w:hint="default" w:ascii="Times New Roman" w:hAnsi="Times New Roman" w:eastAsia="宋体" w:cs="Times New Roman"/>
                <w:sz w:val="21"/>
                <w:szCs w:val="21"/>
                <w14:ligatures w14:val="none"/>
              </w:rPr>
              <w:t>、埋地油罐的操作井、位于作业区的排水井是否采取防渗漏措施，位于爆炸危险区域内的操作井和排水井应有防止产生火花的措施。</w:t>
            </w:r>
          </w:p>
        </w:tc>
        <w:tc>
          <w:tcPr>
            <w:tcW w:w="1020" w:type="pct"/>
            <w:vAlign w:val="center"/>
          </w:tcPr>
          <w:p w14:paraId="0B203469">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5FF3A660">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第14.2.16条</w:t>
            </w:r>
          </w:p>
        </w:tc>
        <w:tc>
          <w:tcPr>
            <w:tcW w:w="1142" w:type="pct"/>
            <w:vAlign w:val="center"/>
          </w:tcPr>
          <w:p w14:paraId="21429595">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埋地油罐的操作井、排水井采取了防渗漏措施。</w:t>
            </w:r>
          </w:p>
        </w:tc>
        <w:tc>
          <w:tcPr>
            <w:tcW w:w="403" w:type="pct"/>
            <w:vAlign w:val="center"/>
          </w:tcPr>
          <w:p w14:paraId="12712D6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65C6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restart"/>
            <w:vAlign w:val="center"/>
          </w:tcPr>
          <w:p w14:paraId="0214B20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供配电</w:t>
            </w:r>
          </w:p>
        </w:tc>
        <w:tc>
          <w:tcPr>
            <w:tcW w:w="1991" w:type="pct"/>
            <w:vAlign w:val="center"/>
          </w:tcPr>
          <w:p w14:paraId="6EFD8F00">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20</w:t>
            </w:r>
            <w:r>
              <w:rPr>
                <w:rFonts w:hint="default" w:ascii="Times New Roman" w:hAnsi="Times New Roman" w:eastAsia="宋体" w:cs="Times New Roman"/>
                <w:sz w:val="21"/>
                <w:szCs w:val="21"/>
                <w14:ligatures w14:val="none"/>
              </w:rPr>
              <w:t>、加油站的供电负荷等级可为三级，信息系统应设不间断供电电源。</w:t>
            </w:r>
          </w:p>
        </w:tc>
        <w:tc>
          <w:tcPr>
            <w:tcW w:w="1020" w:type="pct"/>
            <w:vAlign w:val="center"/>
          </w:tcPr>
          <w:p w14:paraId="7C4F2495">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1063ED83">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第13.1.1条</w:t>
            </w:r>
          </w:p>
        </w:tc>
        <w:tc>
          <w:tcPr>
            <w:tcW w:w="1142" w:type="pct"/>
            <w:vAlign w:val="center"/>
          </w:tcPr>
          <w:p w14:paraId="649B8464">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该站的供电负荷等级可为三级，信息系统设不间断供电电源</w:t>
            </w:r>
          </w:p>
        </w:tc>
        <w:tc>
          <w:tcPr>
            <w:tcW w:w="403" w:type="pct"/>
            <w:vAlign w:val="center"/>
          </w:tcPr>
          <w:p w14:paraId="3D32ED4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0C73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91C0B9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CB93045">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21</w:t>
            </w:r>
            <w:r>
              <w:rPr>
                <w:rFonts w:hint="default" w:ascii="Times New Roman" w:hAnsi="Times New Roman" w:eastAsia="宋体" w:cs="Times New Roman"/>
                <w:sz w:val="21"/>
                <w:szCs w:val="21"/>
                <w:lang w:val="en-US" w:eastAsia="zh-CN"/>
                <w14:ligatures w14:val="none"/>
              </w:rPr>
              <w:t>、</w:t>
            </w:r>
            <w:r>
              <w:rPr>
                <w:rFonts w:hint="default" w:ascii="Times New Roman" w:hAnsi="Times New Roman" w:eastAsia="宋体" w:cs="Times New Roman"/>
                <w:sz w:val="21"/>
                <w:szCs w:val="21"/>
                <w14:ligatures w14:val="none"/>
              </w:rPr>
              <w:t>加油站的供电电源宜采用电压为380/220的外接电源。</w:t>
            </w:r>
          </w:p>
        </w:tc>
        <w:tc>
          <w:tcPr>
            <w:tcW w:w="1020" w:type="pct"/>
            <w:vAlign w:val="center"/>
          </w:tcPr>
          <w:p w14:paraId="00C8E5A3">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4D0D8A37">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第13.1.</w:t>
            </w:r>
            <w:r>
              <w:rPr>
                <w:rFonts w:hint="default" w:ascii="Times New Roman" w:hAnsi="Times New Roman" w:eastAsia="宋体" w:cs="Times New Roman"/>
                <w:bCs/>
                <w:sz w:val="21"/>
                <w:szCs w:val="21"/>
                <w:lang w:val="en-US" w:eastAsia="zh-CN"/>
                <w14:ligatures w14:val="none"/>
              </w:rPr>
              <w:t>2</w:t>
            </w:r>
            <w:r>
              <w:rPr>
                <w:rFonts w:hint="default" w:ascii="Times New Roman" w:hAnsi="Times New Roman" w:eastAsia="宋体" w:cs="Times New Roman"/>
                <w:bCs/>
                <w:sz w:val="21"/>
                <w:szCs w:val="21"/>
                <w14:ligatures w14:val="none"/>
              </w:rPr>
              <w:t>条</w:t>
            </w:r>
          </w:p>
        </w:tc>
        <w:tc>
          <w:tcPr>
            <w:tcW w:w="1142" w:type="pct"/>
            <w:vAlign w:val="center"/>
          </w:tcPr>
          <w:p w14:paraId="4BA59A41">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加油站的供电电源采用电压为220V的外接电源</w:t>
            </w:r>
          </w:p>
        </w:tc>
        <w:tc>
          <w:tcPr>
            <w:tcW w:w="403" w:type="pct"/>
            <w:vAlign w:val="center"/>
          </w:tcPr>
          <w:p w14:paraId="47E27C9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7B5D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9D95EF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665CB589">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22</w:t>
            </w:r>
            <w:r>
              <w:rPr>
                <w:rFonts w:hint="default" w:ascii="Times New Roman" w:hAnsi="Times New Roman" w:eastAsia="宋体" w:cs="Times New Roman"/>
                <w:sz w:val="21"/>
                <w:szCs w:val="21"/>
                <w14:ligatures w14:val="none"/>
              </w:rPr>
              <w:t>、电缆宜采用直埋或电缆穿管敷设。电缆穿越行车道部分，是否穿钢管保护。</w:t>
            </w:r>
          </w:p>
        </w:tc>
        <w:tc>
          <w:tcPr>
            <w:tcW w:w="1020" w:type="pct"/>
            <w:vAlign w:val="center"/>
          </w:tcPr>
          <w:p w14:paraId="4ADC95E2">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0DAD38D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第13.1.5条</w:t>
            </w:r>
          </w:p>
        </w:tc>
        <w:tc>
          <w:tcPr>
            <w:tcW w:w="1142" w:type="pct"/>
            <w:vAlign w:val="center"/>
          </w:tcPr>
          <w:p w14:paraId="496B45EF">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加油站的电力线路采用电缆并直埋敷设。电缆穿越行车道部分，穿钢管保护</w:t>
            </w:r>
          </w:p>
        </w:tc>
        <w:tc>
          <w:tcPr>
            <w:tcW w:w="403" w:type="pct"/>
            <w:vAlign w:val="center"/>
          </w:tcPr>
          <w:p w14:paraId="3366BEE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5D01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FE9140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5BB2D3A5">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23</w:t>
            </w:r>
            <w:r>
              <w:rPr>
                <w:rFonts w:hint="default" w:ascii="Times New Roman" w:hAnsi="Times New Roman" w:eastAsia="宋体" w:cs="Times New Roman"/>
                <w:sz w:val="21"/>
                <w:szCs w:val="21"/>
                <w14:ligatures w14:val="none"/>
              </w:rPr>
              <w:t>、当采用电缆沟敷设电缆时，加油作业区内的电缆沟内是否充沙填实。电缆不与油品、热力管道敷设在同一沟内。</w:t>
            </w:r>
          </w:p>
        </w:tc>
        <w:tc>
          <w:tcPr>
            <w:tcW w:w="1020" w:type="pct"/>
            <w:vAlign w:val="center"/>
          </w:tcPr>
          <w:p w14:paraId="53D2037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766E3F46">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第13.1.6条</w:t>
            </w:r>
          </w:p>
        </w:tc>
        <w:tc>
          <w:tcPr>
            <w:tcW w:w="1142" w:type="pct"/>
            <w:vAlign w:val="center"/>
          </w:tcPr>
          <w:p w14:paraId="7E7E5491">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加油作业区内的电缆沟内充沙填实，未与油品、热力管道敷设在同一沟内</w:t>
            </w:r>
          </w:p>
        </w:tc>
        <w:tc>
          <w:tcPr>
            <w:tcW w:w="403" w:type="pct"/>
            <w:vAlign w:val="center"/>
          </w:tcPr>
          <w:p w14:paraId="4F7F2D7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375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40435B1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shd w:val="clear" w:color="auto" w:fill="auto"/>
            <w:vAlign w:val="center"/>
          </w:tcPr>
          <w:p w14:paraId="5CFD5E79">
            <w:pPr>
              <w:spacing w:line="240" w:lineRule="auto"/>
              <w:ind w:firstLine="0" w:firstLineChars="0"/>
              <w:rPr>
                <w:rFonts w:hint="default" w:ascii="Times New Roman" w:hAnsi="Times New Roman" w:eastAsia="宋体" w:cs="Times New Roman"/>
                <w:kern w:val="2"/>
                <w:sz w:val="21"/>
                <w:szCs w:val="21"/>
                <w:lang w:val="en-US" w:eastAsia="zh-CN" w:bidi="ar-SA"/>
                <w14:ligatures w14:val="none"/>
              </w:rPr>
            </w:pPr>
            <w:r>
              <w:rPr>
                <w:rFonts w:hint="eastAsia" w:ascii="Times New Roman" w:hAnsi="Times New Roman" w:eastAsia="宋体" w:cs="Times New Roman"/>
                <w:sz w:val="21"/>
                <w:szCs w:val="21"/>
                <w:lang w:val="en-US" w:eastAsia="zh-CN"/>
                <w14:ligatures w14:val="none"/>
              </w:rPr>
              <w:t>24</w:t>
            </w:r>
            <w:r>
              <w:rPr>
                <w:rFonts w:hint="default" w:ascii="Times New Roman" w:hAnsi="Times New Roman" w:eastAsia="宋体" w:cs="Times New Roman"/>
                <w:sz w:val="21"/>
                <w:szCs w:val="21"/>
                <w14:ligatures w14:val="none"/>
              </w:rPr>
              <w:t>、爆炸危险区域内的电气设备选型、安装、电力线路敷设等，是否符合《爆炸危险环境电力装置设计规范》GB50058的规定。</w:t>
            </w:r>
          </w:p>
        </w:tc>
        <w:tc>
          <w:tcPr>
            <w:tcW w:w="1020" w:type="pct"/>
            <w:shd w:val="clear" w:color="auto" w:fill="auto"/>
            <w:vAlign w:val="center"/>
          </w:tcPr>
          <w:p w14:paraId="697C87AC">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2EDB4446">
            <w:pPr>
              <w:adjustRightInd/>
              <w:snapToGrid/>
              <w:spacing w:line="240" w:lineRule="auto"/>
              <w:ind w:firstLine="0" w:firstLineChars="0"/>
              <w:jc w:val="center"/>
              <w:rPr>
                <w:rFonts w:hint="default" w:ascii="Times New Roman" w:hAnsi="Times New Roman" w:eastAsia="宋体" w:cs="Times New Roman"/>
                <w:bCs/>
                <w:kern w:val="2"/>
                <w:sz w:val="21"/>
                <w:szCs w:val="21"/>
                <w:lang w:val="en-US" w:eastAsia="zh-CN" w:bidi="ar-SA"/>
                <w14:ligatures w14:val="none"/>
              </w:rPr>
            </w:pPr>
            <w:r>
              <w:rPr>
                <w:rFonts w:hint="default" w:ascii="Times New Roman" w:hAnsi="Times New Roman" w:eastAsia="宋体" w:cs="Times New Roman"/>
                <w:bCs/>
                <w:sz w:val="21"/>
                <w:szCs w:val="21"/>
                <w14:ligatures w14:val="none"/>
              </w:rPr>
              <w:t>第13.1.7条</w:t>
            </w:r>
          </w:p>
        </w:tc>
        <w:tc>
          <w:tcPr>
            <w:tcW w:w="1142" w:type="pct"/>
            <w:shd w:val="clear" w:color="auto" w:fill="auto"/>
            <w:vAlign w:val="center"/>
          </w:tcPr>
          <w:p w14:paraId="415344E8">
            <w:pPr>
              <w:spacing w:line="240" w:lineRule="auto"/>
              <w:ind w:firstLine="0" w:firstLineChars="0"/>
              <w:rPr>
                <w:rFonts w:hint="default" w:ascii="Times New Roman" w:hAnsi="Times New Roman" w:eastAsia="宋体" w:cs="Times New Roman"/>
                <w:kern w:val="2"/>
                <w:sz w:val="21"/>
                <w:szCs w:val="21"/>
                <w:lang w:val="en-US" w:eastAsia="zh-CN" w:bidi="ar-SA"/>
                <w14:ligatures w14:val="none"/>
              </w:rPr>
            </w:pPr>
            <w:r>
              <w:rPr>
                <w:rFonts w:hint="default" w:ascii="Times New Roman" w:hAnsi="Times New Roman" w:eastAsia="宋体" w:cs="Times New Roman"/>
                <w:sz w:val="21"/>
                <w:szCs w:val="21"/>
                <w14:ligatures w14:val="none"/>
              </w:rPr>
              <w:t>符合该规范的规定</w:t>
            </w:r>
          </w:p>
        </w:tc>
        <w:tc>
          <w:tcPr>
            <w:tcW w:w="403" w:type="pct"/>
            <w:shd w:val="clear" w:color="auto" w:fill="auto"/>
            <w:vAlign w:val="center"/>
          </w:tcPr>
          <w:p w14:paraId="4E3D5A3D">
            <w:pPr>
              <w:adjustRightInd/>
              <w:snapToGrid/>
              <w:spacing w:line="240" w:lineRule="auto"/>
              <w:ind w:firstLine="0" w:firstLineChars="0"/>
              <w:jc w:val="center"/>
              <w:rPr>
                <w:rFonts w:hint="default" w:ascii="Times New Roman" w:hAnsi="Times New Roman" w:eastAsia="宋体" w:cs="Times New Roman"/>
                <w:kern w:val="2"/>
                <w:sz w:val="21"/>
                <w:szCs w:val="21"/>
                <w:lang w:val="en-US" w:eastAsia="zh-CN" w:bidi="ar-SA"/>
                <w14:ligatures w14:val="none"/>
              </w:rPr>
            </w:pPr>
            <w:r>
              <w:rPr>
                <w:rFonts w:hint="default" w:ascii="Times New Roman" w:hAnsi="Times New Roman" w:eastAsia="宋体" w:cs="Times New Roman"/>
                <w:sz w:val="21"/>
                <w:szCs w:val="21"/>
                <w14:ligatures w14:val="none"/>
              </w:rPr>
              <w:t>符合</w:t>
            </w:r>
          </w:p>
        </w:tc>
      </w:tr>
      <w:tr w14:paraId="5A8C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55F53B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shd w:val="clear" w:color="auto" w:fill="auto"/>
            <w:vAlign w:val="center"/>
          </w:tcPr>
          <w:p w14:paraId="0058A3D2">
            <w:pPr>
              <w:spacing w:line="240" w:lineRule="auto"/>
              <w:ind w:firstLine="0" w:firstLineChars="0"/>
              <w:rPr>
                <w:rFonts w:hint="default" w:ascii="Times New Roman" w:hAnsi="Times New Roman" w:eastAsia="宋体" w:cs="Times New Roman"/>
                <w:kern w:val="2"/>
                <w:sz w:val="21"/>
                <w:szCs w:val="21"/>
                <w:lang w:val="en-US" w:eastAsia="zh-CN" w:bidi="ar-SA"/>
                <w14:ligatures w14:val="none"/>
              </w:rPr>
            </w:pPr>
            <w:r>
              <w:rPr>
                <w:rFonts w:hint="eastAsia" w:ascii="Times New Roman" w:hAnsi="Times New Roman" w:eastAsia="宋体" w:cs="Times New Roman"/>
                <w:sz w:val="21"/>
                <w:szCs w:val="21"/>
                <w:lang w:val="en-US" w:eastAsia="zh-CN"/>
                <w14:ligatures w14:val="none"/>
              </w:rPr>
              <w:t>25</w:t>
            </w:r>
            <w:r>
              <w:rPr>
                <w:rFonts w:hint="default" w:ascii="Times New Roman" w:hAnsi="Times New Roman" w:eastAsia="宋体" w:cs="Times New Roman"/>
                <w:sz w:val="21"/>
                <w:szCs w:val="21"/>
                <w14:ligatures w14:val="none"/>
              </w:rPr>
              <w:t>、汽车加油加气加氢站内爆炸危险区域以外的照明灯具可选用非防爆型。罩棚下处于非爆炸危险区域的灯具应选用防护等级不低于IP44级的照明灯具。</w:t>
            </w:r>
          </w:p>
        </w:tc>
        <w:tc>
          <w:tcPr>
            <w:tcW w:w="1020" w:type="pct"/>
            <w:shd w:val="clear" w:color="auto" w:fill="auto"/>
            <w:vAlign w:val="center"/>
          </w:tcPr>
          <w:p w14:paraId="4F30CB84">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3EEFB04B">
            <w:pPr>
              <w:adjustRightInd/>
              <w:snapToGrid/>
              <w:spacing w:line="240" w:lineRule="auto"/>
              <w:ind w:firstLine="0" w:firstLineChars="0"/>
              <w:jc w:val="center"/>
              <w:rPr>
                <w:rFonts w:hint="default" w:ascii="Times New Roman" w:hAnsi="Times New Roman" w:eastAsia="宋体" w:cs="Times New Roman"/>
                <w:bCs/>
                <w:kern w:val="2"/>
                <w:sz w:val="21"/>
                <w:szCs w:val="21"/>
                <w:lang w:val="en-US" w:eastAsia="zh-CN" w:bidi="ar-SA"/>
                <w14:ligatures w14:val="none"/>
              </w:rPr>
            </w:pPr>
            <w:r>
              <w:rPr>
                <w:rFonts w:hint="default" w:ascii="Times New Roman" w:hAnsi="Times New Roman" w:eastAsia="宋体" w:cs="Times New Roman"/>
                <w:bCs/>
                <w:sz w:val="21"/>
                <w:szCs w:val="21"/>
                <w14:ligatures w14:val="none"/>
              </w:rPr>
              <w:t>第13.1.</w:t>
            </w:r>
            <w:r>
              <w:rPr>
                <w:rFonts w:hint="default" w:ascii="Times New Roman" w:hAnsi="Times New Roman" w:eastAsia="宋体" w:cs="Times New Roman"/>
                <w:bCs/>
                <w:sz w:val="21"/>
                <w:szCs w:val="21"/>
                <w:lang w:val="en-US" w:eastAsia="zh-CN"/>
                <w14:ligatures w14:val="none"/>
              </w:rPr>
              <w:t>8</w:t>
            </w:r>
            <w:r>
              <w:rPr>
                <w:rFonts w:hint="default" w:ascii="Times New Roman" w:hAnsi="Times New Roman" w:eastAsia="宋体" w:cs="Times New Roman"/>
                <w:bCs/>
                <w:sz w:val="21"/>
                <w:szCs w:val="21"/>
                <w14:ligatures w14:val="none"/>
              </w:rPr>
              <w:t>条</w:t>
            </w:r>
          </w:p>
        </w:tc>
        <w:tc>
          <w:tcPr>
            <w:tcW w:w="1142" w:type="pct"/>
            <w:shd w:val="clear" w:color="auto" w:fill="auto"/>
            <w:vAlign w:val="center"/>
          </w:tcPr>
          <w:p w14:paraId="1B8431D0">
            <w:pPr>
              <w:spacing w:line="240" w:lineRule="auto"/>
              <w:ind w:firstLine="0" w:firstLineChars="0"/>
              <w:rPr>
                <w:rFonts w:hint="default" w:ascii="Times New Roman" w:hAnsi="Times New Roman" w:eastAsia="宋体" w:cs="Times New Roman"/>
                <w:kern w:val="2"/>
                <w:sz w:val="21"/>
                <w:szCs w:val="21"/>
                <w:lang w:val="en-US" w:eastAsia="zh-CN" w:bidi="ar-SA"/>
                <w14:ligatures w14:val="none"/>
              </w:rPr>
            </w:pPr>
            <w:r>
              <w:rPr>
                <w:rFonts w:hint="default" w:ascii="Times New Roman" w:hAnsi="Times New Roman" w:eastAsia="宋体" w:cs="Times New Roman"/>
                <w:sz w:val="21"/>
                <w:szCs w:val="21"/>
                <w14:ligatures w14:val="none"/>
              </w:rPr>
              <w:t>加油站内爆炸危险区域以外的照明灯具，可选用非防爆型，罩棚下处于非爆炸危险区域的灯具，选用防护等级大于IP44级的照明灯具。</w:t>
            </w:r>
          </w:p>
        </w:tc>
        <w:tc>
          <w:tcPr>
            <w:tcW w:w="403" w:type="pct"/>
            <w:shd w:val="clear" w:color="auto" w:fill="auto"/>
            <w:vAlign w:val="center"/>
          </w:tcPr>
          <w:p w14:paraId="6DBF2CA6">
            <w:pPr>
              <w:adjustRightInd/>
              <w:snapToGrid/>
              <w:spacing w:line="240" w:lineRule="auto"/>
              <w:ind w:firstLine="0" w:firstLineChars="0"/>
              <w:jc w:val="center"/>
              <w:rPr>
                <w:rFonts w:hint="default" w:ascii="Times New Roman" w:hAnsi="Times New Roman" w:eastAsia="宋体" w:cs="Times New Roman"/>
                <w:kern w:val="2"/>
                <w:sz w:val="21"/>
                <w:szCs w:val="21"/>
                <w:lang w:val="en-US" w:eastAsia="zh-CN" w:bidi="ar-SA"/>
                <w14:ligatures w14:val="none"/>
              </w:rPr>
            </w:pPr>
            <w:r>
              <w:rPr>
                <w:rFonts w:hint="default" w:ascii="Times New Roman" w:hAnsi="Times New Roman" w:eastAsia="宋体" w:cs="Times New Roman"/>
                <w:sz w:val="21"/>
                <w:szCs w:val="21"/>
                <w14:ligatures w14:val="none"/>
              </w:rPr>
              <w:t>符合</w:t>
            </w:r>
          </w:p>
        </w:tc>
      </w:tr>
      <w:tr w14:paraId="28FE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restart"/>
            <w:vAlign w:val="center"/>
          </w:tcPr>
          <w:p w14:paraId="23119DA1">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14:ligatures w14:val="none"/>
              </w:rPr>
              <w:t>消防</w:t>
            </w:r>
            <w:r>
              <w:rPr>
                <w:rFonts w:hint="eastAsia" w:ascii="Times New Roman" w:hAnsi="Times New Roman" w:eastAsia="宋体" w:cs="Times New Roman"/>
                <w:sz w:val="21"/>
                <w:szCs w:val="21"/>
                <w:lang w:val="en-US" w:eastAsia="zh-CN"/>
                <w14:ligatures w14:val="none"/>
              </w:rPr>
              <w:t>设施及给排水</w:t>
            </w:r>
          </w:p>
        </w:tc>
        <w:tc>
          <w:tcPr>
            <w:tcW w:w="1991" w:type="pct"/>
            <w:vAlign w:val="center"/>
          </w:tcPr>
          <w:p w14:paraId="16333D52">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26</w:t>
            </w:r>
            <w:r>
              <w:rPr>
                <w:rFonts w:hint="default" w:ascii="Times New Roman" w:hAnsi="Times New Roman" w:eastAsia="宋体" w:cs="Times New Roman"/>
                <w:sz w:val="21"/>
                <w:szCs w:val="21"/>
                <w14:ligatures w14:val="none"/>
              </w:rPr>
              <w:t>、加油站灭火器材配置符合下列规定：</w:t>
            </w:r>
          </w:p>
          <w:p w14:paraId="46C4237E">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①每2台加油机应设置不少于2具5kg手提式干粉灭火器或1具5kg手提式干粉灭火器和1具6L泡沫灭火器。加油机不足2台按2台计算。</w:t>
            </w:r>
          </w:p>
          <w:p w14:paraId="6D927528">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②地下储罐应配置1台不小于35kg推车式干粉灭火器。当两种介质储罐之间的距离超过15m时，应分别配置。</w:t>
            </w:r>
          </w:p>
          <w:p w14:paraId="26A57E50">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③一、二级加油站应配置灭火毯5块，沙子2m</w:t>
            </w:r>
            <w:r>
              <w:rPr>
                <w:rFonts w:hint="default" w:ascii="Times New Roman" w:hAnsi="Times New Roman" w:eastAsia="宋体" w:cs="Times New Roman"/>
                <w:sz w:val="21"/>
                <w:szCs w:val="21"/>
                <w:vertAlign w:val="superscript"/>
                <w14:ligatures w14:val="none"/>
              </w:rPr>
              <w:t>3</w:t>
            </w:r>
            <w:r>
              <w:rPr>
                <w:rFonts w:hint="default" w:ascii="Times New Roman" w:hAnsi="Times New Roman" w:eastAsia="宋体" w:cs="Times New Roman"/>
                <w:sz w:val="21"/>
                <w:szCs w:val="21"/>
                <w14:ligatures w14:val="none"/>
              </w:rPr>
              <w:t>；三级加油站应配置灭火毯不少于2块，沙子2m</w:t>
            </w:r>
            <w:r>
              <w:rPr>
                <w:rFonts w:hint="default" w:ascii="Times New Roman" w:hAnsi="Times New Roman" w:eastAsia="宋体" w:cs="Times New Roman"/>
                <w:sz w:val="21"/>
                <w:szCs w:val="21"/>
                <w:vertAlign w:val="superscript"/>
                <w14:ligatures w14:val="none"/>
              </w:rPr>
              <w:t>3</w:t>
            </w:r>
            <w:r>
              <w:rPr>
                <w:rFonts w:hint="default" w:ascii="Times New Roman" w:hAnsi="Times New Roman" w:eastAsia="宋体" w:cs="Times New Roman"/>
                <w:sz w:val="21"/>
                <w:szCs w:val="21"/>
                <w14:ligatures w14:val="none"/>
              </w:rPr>
              <w:t>。</w:t>
            </w:r>
          </w:p>
          <w:p w14:paraId="75D8F251">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④其余建筑的灭火器材配置符合现行国家标准《建筑灭火器配置设计规范》的规定。</w:t>
            </w:r>
          </w:p>
        </w:tc>
        <w:tc>
          <w:tcPr>
            <w:tcW w:w="1020" w:type="pct"/>
            <w:vAlign w:val="center"/>
          </w:tcPr>
          <w:p w14:paraId="271DC790">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1ED4FC8C">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pacing w:val="-2"/>
                <w:sz w:val="21"/>
                <w:szCs w:val="21"/>
                <w14:ligatures w14:val="none"/>
              </w:rPr>
              <w:t>第12.1.1条</w:t>
            </w:r>
          </w:p>
        </w:tc>
        <w:tc>
          <w:tcPr>
            <w:tcW w:w="1142" w:type="pct"/>
            <w:vAlign w:val="center"/>
          </w:tcPr>
          <w:p w14:paraId="6BE948B8">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站内灭火器配置符合要求</w:t>
            </w:r>
          </w:p>
        </w:tc>
        <w:tc>
          <w:tcPr>
            <w:tcW w:w="403" w:type="pct"/>
            <w:vAlign w:val="center"/>
          </w:tcPr>
          <w:p w14:paraId="6F97AE15">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14:ligatures w14:val="none"/>
              </w:rPr>
              <w:t>符合</w:t>
            </w:r>
          </w:p>
        </w:tc>
      </w:tr>
      <w:tr w14:paraId="26AB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4D6EE3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AD57F0C">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27</w:t>
            </w:r>
            <w:r>
              <w:rPr>
                <w:rFonts w:hint="default" w:ascii="Times New Roman" w:hAnsi="Times New Roman" w:eastAsia="宋体" w:cs="Times New Roman"/>
                <w:sz w:val="21"/>
                <w:szCs w:val="21"/>
                <w:lang w:val="en-US" w:eastAsia="zh-CN"/>
                <w14:ligatures w14:val="none"/>
              </w:rPr>
              <w:t>、</w:t>
            </w:r>
            <w:r>
              <w:rPr>
                <w:rFonts w:hint="default" w:ascii="Times New Roman" w:hAnsi="Times New Roman" w:eastAsia="宋体" w:cs="Times New Roman"/>
                <w:sz w:val="21"/>
                <w:szCs w:val="21"/>
                <w14:ligatures w14:val="none"/>
              </w:rPr>
              <w:t>其余建筑的灭火器配置，应符合现行国家标准《建筑灭火器配置设计规范》GB50140的有关规定。</w:t>
            </w:r>
          </w:p>
        </w:tc>
        <w:tc>
          <w:tcPr>
            <w:tcW w:w="1020" w:type="pct"/>
            <w:vAlign w:val="center"/>
          </w:tcPr>
          <w:p w14:paraId="4B7BC539">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713F2714">
            <w:pPr>
              <w:adjustRightInd/>
              <w:snapToGrid/>
              <w:spacing w:line="240" w:lineRule="auto"/>
              <w:ind w:firstLine="0" w:firstLineChars="0"/>
              <w:jc w:val="center"/>
              <w:rPr>
                <w:rFonts w:hint="default" w:ascii="Times New Roman" w:hAnsi="Times New Roman" w:eastAsia="宋体" w:cs="Times New Roman"/>
                <w:spacing w:val="-2"/>
                <w:sz w:val="21"/>
                <w:szCs w:val="21"/>
                <w14:ligatures w14:val="none"/>
              </w:rPr>
            </w:pPr>
            <w:r>
              <w:rPr>
                <w:rFonts w:hint="default" w:ascii="Times New Roman" w:hAnsi="Times New Roman" w:eastAsia="宋体" w:cs="Times New Roman"/>
                <w:spacing w:val="-2"/>
                <w:sz w:val="21"/>
                <w:szCs w:val="21"/>
                <w14:ligatures w14:val="none"/>
              </w:rPr>
              <w:t>第12.1.</w:t>
            </w:r>
            <w:r>
              <w:rPr>
                <w:rFonts w:hint="default" w:ascii="Times New Roman" w:hAnsi="Times New Roman" w:eastAsia="宋体" w:cs="Times New Roman"/>
                <w:spacing w:val="-2"/>
                <w:sz w:val="21"/>
                <w:szCs w:val="21"/>
                <w:lang w:val="en-US" w:eastAsia="zh-CN"/>
                <w14:ligatures w14:val="none"/>
              </w:rPr>
              <w:t>2</w:t>
            </w:r>
            <w:r>
              <w:rPr>
                <w:rFonts w:hint="default" w:ascii="Times New Roman" w:hAnsi="Times New Roman" w:eastAsia="宋体" w:cs="Times New Roman"/>
                <w:spacing w:val="-2"/>
                <w:sz w:val="21"/>
                <w:szCs w:val="21"/>
                <w14:ligatures w14:val="none"/>
              </w:rPr>
              <w:t>条</w:t>
            </w:r>
          </w:p>
        </w:tc>
        <w:tc>
          <w:tcPr>
            <w:tcW w:w="1142" w:type="pct"/>
            <w:vAlign w:val="center"/>
          </w:tcPr>
          <w:p w14:paraId="7566D4D8">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其余建筑的灭火器配置，符合现行国家标准的规定。</w:t>
            </w:r>
          </w:p>
        </w:tc>
        <w:tc>
          <w:tcPr>
            <w:tcW w:w="403" w:type="pct"/>
            <w:vAlign w:val="center"/>
          </w:tcPr>
          <w:p w14:paraId="650B0540">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符合</w:t>
            </w:r>
          </w:p>
        </w:tc>
      </w:tr>
      <w:tr w14:paraId="7D18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0485B8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shd w:val="clear" w:color="auto" w:fill="auto"/>
            <w:vAlign w:val="center"/>
          </w:tcPr>
          <w:p w14:paraId="703059F2">
            <w:pPr>
              <w:spacing w:line="240" w:lineRule="auto"/>
              <w:ind w:firstLine="0" w:firstLineChars="0"/>
              <w:rPr>
                <w:rFonts w:hint="default" w:ascii="Times New Roman" w:hAnsi="Times New Roman" w:eastAsia="宋体" w:cs="Times New Roman"/>
                <w:kern w:val="2"/>
                <w:sz w:val="21"/>
                <w:szCs w:val="21"/>
                <w:lang w:val="en-US" w:eastAsia="zh-CN" w:bidi="ar-SA"/>
                <w14:ligatures w14:val="none"/>
              </w:rPr>
            </w:pPr>
            <w:r>
              <w:rPr>
                <w:rFonts w:hint="eastAsia" w:ascii="Times New Roman" w:hAnsi="Times New Roman" w:eastAsia="宋体" w:cs="Times New Roman"/>
                <w:sz w:val="21"/>
                <w:szCs w:val="21"/>
                <w:lang w:val="en-US" w:eastAsia="zh-CN"/>
                <w14:ligatures w14:val="none"/>
              </w:rPr>
              <w:t>28</w:t>
            </w:r>
            <w:r>
              <w:rPr>
                <w:rFonts w:hint="default" w:ascii="Times New Roman" w:hAnsi="Times New Roman" w:eastAsia="宋体" w:cs="Times New Roman"/>
                <w:sz w:val="21"/>
                <w:szCs w:val="21"/>
                <w:lang w:val="en-US" w:eastAsia="zh-CN"/>
                <w14:ligatures w14:val="none"/>
              </w:rPr>
              <w:t>、</w:t>
            </w:r>
            <w:r>
              <w:rPr>
                <w:rFonts w:hint="default" w:ascii="Times New Roman" w:hAnsi="Times New Roman" w:eastAsia="宋体" w:cs="Times New Roman"/>
                <w:sz w:val="21"/>
                <w:szCs w:val="21"/>
                <w14:ligatures w14:val="none"/>
              </w:rPr>
              <w:t>加油站可不设消防给水系统。</w:t>
            </w:r>
          </w:p>
        </w:tc>
        <w:tc>
          <w:tcPr>
            <w:tcW w:w="1020" w:type="pct"/>
            <w:shd w:val="clear" w:color="auto" w:fill="auto"/>
            <w:vAlign w:val="center"/>
          </w:tcPr>
          <w:p w14:paraId="7DD06317">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6B9B16F4">
            <w:pPr>
              <w:adjustRightInd/>
              <w:snapToGrid/>
              <w:spacing w:line="240" w:lineRule="auto"/>
              <w:ind w:firstLine="0" w:firstLineChars="0"/>
              <w:jc w:val="center"/>
              <w:rPr>
                <w:rFonts w:hint="default" w:ascii="Times New Roman" w:hAnsi="Times New Roman" w:eastAsia="宋体" w:cs="Times New Roman"/>
                <w:spacing w:val="-2"/>
                <w:kern w:val="2"/>
                <w:sz w:val="21"/>
                <w:szCs w:val="21"/>
                <w:lang w:val="en-US" w:eastAsia="zh-CN" w:bidi="ar-SA"/>
                <w14:ligatures w14:val="none"/>
              </w:rPr>
            </w:pPr>
            <w:r>
              <w:rPr>
                <w:rFonts w:hint="default" w:ascii="Times New Roman" w:hAnsi="Times New Roman" w:eastAsia="宋体" w:cs="Times New Roman"/>
                <w:spacing w:val="-2"/>
                <w:sz w:val="21"/>
                <w:szCs w:val="21"/>
                <w14:ligatures w14:val="none"/>
              </w:rPr>
              <w:t>第12.</w:t>
            </w:r>
            <w:r>
              <w:rPr>
                <w:rFonts w:hint="default" w:ascii="Times New Roman" w:hAnsi="Times New Roman" w:eastAsia="宋体" w:cs="Times New Roman"/>
                <w:spacing w:val="-2"/>
                <w:sz w:val="21"/>
                <w:szCs w:val="21"/>
                <w:lang w:val="en-US" w:eastAsia="zh-CN"/>
                <w14:ligatures w14:val="none"/>
              </w:rPr>
              <w:t>2.3</w:t>
            </w:r>
            <w:r>
              <w:rPr>
                <w:rFonts w:hint="default" w:ascii="Times New Roman" w:hAnsi="Times New Roman" w:eastAsia="宋体" w:cs="Times New Roman"/>
                <w:spacing w:val="-2"/>
                <w:sz w:val="21"/>
                <w:szCs w:val="21"/>
                <w14:ligatures w14:val="none"/>
              </w:rPr>
              <w:t>条</w:t>
            </w:r>
          </w:p>
        </w:tc>
        <w:tc>
          <w:tcPr>
            <w:tcW w:w="1142" w:type="pct"/>
            <w:shd w:val="clear" w:color="auto" w:fill="auto"/>
            <w:vAlign w:val="center"/>
          </w:tcPr>
          <w:p w14:paraId="03419C55">
            <w:pPr>
              <w:spacing w:line="240" w:lineRule="auto"/>
              <w:ind w:firstLine="0" w:firstLineChars="0"/>
              <w:rPr>
                <w:rFonts w:hint="default" w:ascii="Times New Roman" w:hAnsi="Times New Roman" w:eastAsia="宋体" w:cs="Times New Roman"/>
                <w:bCs/>
                <w:kern w:val="2"/>
                <w:sz w:val="21"/>
                <w:szCs w:val="21"/>
                <w:lang w:val="en-US" w:eastAsia="zh-CN" w:bidi="ar-SA"/>
                <w14:ligatures w14:val="none"/>
              </w:rPr>
            </w:pPr>
            <w:r>
              <w:rPr>
                <w:rFonts w:hint="default" w:ascii="Times New Roman" w:hAnsi="Times New Roman" w:eastAsia="宋体" w:cs="Times New Roman"/>
                <w:bCs/>
                <w:sz w:val="21"/>
                <w:szCs w:val="21"/>
                <w14:ligatures w14:val="none"/>
              </w:rPr>
              <w:t>加油站</w:t>
            </w:r>
            <w:r>
              <w:rPr>
                <w:rFonts w:hint="default" w:ascii="Times New Roman" w:hAnsi="Times New Roman" w:eastAsia="宋体" w:cs="Times New Roman"/>
                <w:bCs/>
                <w:sz w:val="21"/>
                <w:szCs w:val="21"/>
                <w:lang w:val="en-US" w:eastAsia="zh-CN"/>
                <w14:ligatures w14:val="none"/>
              </w:rPr>
              <w:t>未设置</w:t>
            </w:r>
            <w:r>
              <w:rPr>
                <w:rFonts w:hint="default" w:ascii="Times New Roman" w:hAnsi="Times New Roman" w:eastAsia="宋体" w:cs="Times New Roman"/>
                <w:bCs/>
                <w:sz w:val="21"/>
                <w:szCs w:val="21"/>
                <w14:ligatures w14:val="none"/>
              </w:rPr>
              <w:t>消防给水系统。</w:t>
            </w:r>
          </w:p>
        </w:tc>
        <w:tc>
          <w:tcPr>
            <w:tcW w:w="403" w:type="pct"/>
            <w:shd w:val="clear" w:color="auto" w:fill="auto"/>
            <w:vAlign w:val="center"/>
          </w:tcPr>
          <w:p w14:paraId="7D05953D">
            <w:pPr>
              <w:adjustRightInd/>
              <w:snapToGrid/>
              <w:spacing w:line="240" w:lineRule="auto"/>
              <w:ind w:firstLine="0" w:firstLineChars="0"/>
              <w:jc w:val="center"/>
              <w:rPr>
                <w:rFonts w:hint="default" w:ascii="Times New Roman" w:hAnsi="Times New Roman" w:eastAsia="宋体" w:cs="Times New Roman"/>
                <w:bCs/>
                <w:kern w:val="2"/>
                <w:sz w:val="21"/>
                <w:szCs w:val="21"/>
                <w:lang w:val="en-US" w:eastAsia="zh-CN" w:bidi="ar-SA"/>
                <w14:ligatures w14:val="none"/>
              </w:rPr>
            </w:pPr>
            <w:r>
              <w:rPr>
                <w:rFonts w:hint="default" w:ascii="Times New Roman" w:hAnsi="Times New Roman" w:eastAsia="宋体" w:cs="Times New Roman"/>
                <w:bCs/>
                <w:sz w:val="21"/>
                <w:szCs w:val="21"/>
                <w14:ligatures w14:val="none"/>
              </w:rPr>
              <w:t>符合</w:t>
            </w:r>
          </w:p>
        </w:tc>
      </w:tr>
      <w:tr w14:paraId="0C02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7FA8CF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3E518989">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29</w:t>
            </w:r>
            <w:r>
              <w:rPr>
                <w:rFonts w:hint="default" w:ascii="Times New Roman" w:hAnsi="Times New Roman" w:eastAsia="宋体" w:cs="Times New Roman"/>
                <w:sz w:val="21"/>
                <w:szCs w:val="21"/>
                <w:lang w:val="en-US" w:eastAsia="zh-CN"/>
                <w14:ligatures w14:val="none"/>
              </w:rPr>
              <w:t>、</w:t>
            </w:r>
            <w:r>
              <w:rPr>
                <w:rFonts w:hint="default" w:ascii="Times New Roman" w:hAnsi="Times New Roman" w:eastAsia="宋体" w:cs="Times New Roman"/>
                <w:sz w:val="21"/>
                <w:szCs w:val="21"/>
                <w14:ligatures w14:val="none"/>
              </w:rPr>
              <w:t>汽车加油站的排水应符合下列规定：</w:t>
            </w:r>
          </w:p>
          <w:p w14:paraId="43F78B72">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1）站内地面雨水可散流排出站外，当加油站的雨水由明沟排到站外时，应在围墙内设置水封装置。</w:t>
            </w:r>
          </w:p>
          <w:p w14:paraId="2504DB73">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2）加油站排出建筑物或围墙的污水，在建筑物墙外或围墙内应分别设水封井，水封井的水封高度不应小于0.25m，水封井应设沉泥段，沉泥段高度不应小于0.25m。</w:t>
            </w:r>
          </w:p>
          <w:p w14:paraId="46A74FC7">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3）清洗油罐的污水应集中收集处理，不应直接进入排水管道。</w:t>
            </w:r>
          </w:p>
          <w:p w14:paraId="6139FE07">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4）排出站外的污水应符合国家有关的污水排放标准。</w:t>
            </w:r>
          </w:p>
          <w:p w14:paraId="4D0B1611">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5）加油站不应采用暗沟排水。</w:t>
            </w:r>
          </w:p>
        </w:tc>
        <w:tc>
          <w:tcPr>
            <w:tcW w:w="1020" w:type="pct"/>
            <w:vAlign w:val="center"/>
          </w:tcPr>
          <w:p w14:paraId="6F1B5912">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1587EC3C">
            <w:pPr>
              <w:adjustRightInd/>
              <w:snapToGrid/>
              <w:spacing w:line="240" w:lineRule="auto"/>
              <w:ind w:firstLine="0" w:firstLineChars="0"/>
              <w:jc w:val="center"/>
              <w:rPr>
                <w:rFonts w:hint="default" w:ascii="Times New Roman" w:hAnsi="Times New Roman" w:eastAsia="宋体" w:cs="Times New Roman"/>
                <w:spacing w:val="-2"/>
                <w:sz w:val="21"/>
                <w:szCs w:val="21"/>
                <w14:ligatures w14:val="none"/>
              </w:rPr>
            </w:pPr>
            <w:r>
              <w:rPr>
                <w:rFonts w:hint="default" w:ascii="Times New Roman" w:hAnsi="Times New Roman" w:eastAsia="宋体" w:cs="Times New Roman"/>
                <w:spacing w:val="-2"/>
                <w:sz w:val="21"/>
                <w:szCs w:val="21"/>
                <w14:ligatures w14:val="none"/>
              </w:rPr>
              <w:t>第12.</w:t>
            </w:r>
            <w:r>
              <w:rPr>
                <w:rFonts w:hint="default" w:ascii="Times New Roman" w:hAnsi="Times New Roman" w:eastAsia="宋体" w:cs="Times New Roman"/>
                <w:spacing w:val="-2"/>
                <w:sz w:val="21"/>
                <w:szCs w:val="21"/>
                <w:lang w:val="en-US" w:eastAsia="zh-CN"/>
                <w14:ligatures w14:val="none"/>
              </w:rPr>
              <w:t>3.2</w:t>
            </w:r>
            <w:r>
              <w:rPr>
                <w:rFonts w:hint="default" w:ascii="Times New Roman" w:hAnsi="Times New Roman" w:eastAsia="宋体" w:cs="Times New Roman"/>
                <w:spacing w:val="-2"/>
                <w:sz w:val="21"/>
                <w:szCs w:val="21"/>
                <w14:ligatures w14:val="none"/>
              </w:rPr>
              <w:t>条</w:t>
            </w:r>
          </w:p>
        </w:tc>
        <w:tc>
          <w:tcPr>
            <w:tcW w:w="1142" w:type="pct"/>
            <w:vAlign w:val="center"/>
          </w:tcPr>
          <w:p w14:paraId="221DE854">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加油站的排水符合：1）站内地面雨水散流排出站外。2）该加油站不涉及污水排放。3）清洗油罐的污水集中收集处理，不直接进入排水管道。4）排出站外的污水符合国家有关的污水排放标准。5）加油站不采用暗沟排水。</w:t>
            </w:r>
          </w:p>
        </w:tc>
        <w:tc>
          <w:tcPr>
            <w:tcW w:w="403" w:type="pct"/>
            <w:vAlign w:val="center"/>
          </w:tcPr>
          <w:p w14:paraId="6D6A5089">
            <w:pPr>
              <w:adjustRightInd/>
              <w:snapToGrid/>
              <w:spacing w:line="240" w:lineRule="auto"/>
              <w:ind w:firstLine="0" w:firstLineChars="0"/>
              <w:jc w:val="center"/>
              <w:rPr>
                <w:rFonts w:hint="default" w:ascii="Times New Roman" w:hAnsi="Times New Roman" w:eastAsia="宋体" w:cs="Times New Roman"/>
                <w:bCs/>
                <w:sz w:val="21"/>
                <w:szCs w:val="21"/>
                <w:lang w:val="en-US" w:eastAsia="zh-CN"/>
                <w14:ligatures w14:val="none"/>
              </w:rPr>
            </w:pPr>
            <w:r>
              <w:rPr>
                <w:rFonts w:hint="default" w:ascii="Times New Roman" w:hAnsi="Times New Roman" w:eastAsia="宋体" w:cs="Times New Roman"/>
                <w:bCs/>
                <w:sz w:val="21"/>
                <w:szCs w:val="21"/>
                <w:lang w:val="en-US" w:eastAsia="zh-CN"/>
                <w14:ligatures w14:val="none"/>
              </w:rPr>
              <w:t>符合</w:t>
            </w:r>
          </w:p>
        </w:tc>
      </w:tr>
      <w:tr w14:paraId="2F07E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restart"/>
            <w:vAlign w:val="center"/>
          </w:tcPr>
          <w:p w14:paraId="214B699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卸油作业安全要求</w:t>
            </w:r>
          </w:p>
        </w:tc>
        <w:tc>
          <w:tcPr>
            <w:tcW w:w="1991" w:type="pct"/>
            <w:vAlign w:val="center"/>
          </w:tcPr>
          <w:p w14:paraId="4008FEDF">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color w:val="auto"/>
                <w:sz w:val="22"/>
                <w:szCs w:val="22"/>
                <w:highlight w:val="none"/>
                <w:lang w:val="en-US" w:eastAsia="zh-CN"/>
              </w:rPr>
              <w:t>30</w:t>
            </w:r>
            <w:r>
              <w:rPr>
                <w:rFonts w:hint="default" w:ascii="Times New Roman" w:hAnsi="Times New Roman" w:eastAsia="宋体" w:cs="Times New Roman"/>
                <w:color w:val="auto"/>
                <w:sz w:val="22"/>
                <w:szCs w:val="22"/>
                <w:highlight w:val="none"/>
                <w:lang w:val="en-US" w:eastAsia="zh-CN"/>
              </w:rPr>
              <w:t>、加油站人员应在确认油罐车无油品滴漏后，方可引导油罐车进入卸油作业区，油罐车在站内车速不应大于5km/h。</w:t>
            </w:r>
          </w:p>
        </w:tc>
        <w:tc>
          <w:tcPr>
            <w:tcW w:w="1020" w:type="pct"/>
            <w:vAlign w:val="center"/>
          </w:tcPr>
          <w:p w14:paraId="5C06FF56">
            <w:pPr>
              <w:adjustRightInd/>
              <w:snapToGrid/>
              <w:spacing w:line="240" w:lineRule="auto"/>
              <w:ind w:firstLine="0" w:firstLineChars="0"/>
              <w:jc w:val="center"/>
              <w:rPr>
                <w:rFonts w:hint="default" w:ascii="Times New Roman" w:hAnsi="Times New Roman" w:eastAsia="宋体" w:cs="Times New Roman"/>
                <w:bCs/>
                <w:sz w:val="21"/>
                <w:szCs w:val="21"/>
                <w:lang w:val="en-US" w:eastAsia="zh-CN"/>
                <w14:ligatures w14:val="none"/>
              </w:rPr>
            </w:pPr>
            <w:r>
              <w:rPr>
                <w:rFonts w:hint="default" w:ascii="Times New Roman" w:hAnsi="Times New Roman" w:eastAsia="宋体" w:cs="Times New Roman"/>
                <w:bCs/>
                <w:sz w:val="21"/>
                <w:szCs w:val="21"/>
                <w:lang w:val="en-US" w:eastAsia="zh-CN"/>
                <w14:ligatures w14:val="none"/>
              </w:rPr>
              <w:t>AQ</w:t>
            </w:r>
            <w:r>
              <w:rPr>
                <w:rFonts w:hint="default" w:ascii="Times New Roman" w:hAnsi="Times New Roman" w:eastAsia="宋体" w:cs="Times New Roman"/>
                <w:bCs/>
                <w:sz w:val="21"/>
                <w:szCs w:val="21"/>
                <w14:ligatures w14:val="none"/>
              </w:rPr>
              <w:t xml:space="preserve"> </w:t>
            </w:r>
            <w:r>
              <w:rPr>
                <w:rFonts w:hint="default" w:ascii="Times New Roman" w:hAnsi="Times New Roman" w:eastAsia="宋体" w:cs="Times New Roman"/>
                <w:bCs/>
                <w:sz w:val="21"/>
                <w:szCs w:val="21"/>
                <w:lang w:val="en-US" w:eastAsia="zh-CN"/>
                <w14:ligatures w14:val="none"/>
              </w:rPr>
              <w:t>3010-2022</w:t>
            </w:r>
          </w:p>
          <w:p w14:paraId="26ED8DAC">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w:t>
            </w:r>
            <w:r>
              <w:rPr>
                <w:rFonts w:hint="default" w:ascii="Times New Roman" w:hAnsi="Times New Roman" w:eastAsia="宋体" w:cs="Times New Roman"/>
                <w:bCs/>
                <w:sz w:val="21"/>
                <w:szCs w:val="21"/>
                <w:lang w:val="en-US" w:eastAsia="zh-CN"/>
                <w14:ligatures w14:val="none"/>
              </w:rPr>
              <w:t>2.1</w:t>
            </w:r>
            <w:r>
              <w:rPr>
                <w:rFonts w:hint="default" w:ascii="Times New Roman" w:hAnsi="Times New Roman" w:eastAsia="宋体" w:cs="Times New Roman"/>
                <w:bCs/>
                <w:sz w:val="21"/>
                <w:szCs w:val="21"/>
                <w14:ligatures w14:val="none"/>
              </w:rPr>
              <w:t>条</w:t>
            </w:r>
          </w:p>
        </w:tc>
        <w:tc>
          <w:tcPr>
            <w:tcW w:w="1142" w:type="pct"/>
            <w:vAlign w:val="center"/>
          </w:tcPr>
          <w:p w14:paraId="22E14C7C">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lang w:val="en-US" w:eastAsia="zh-CN"/>
                <w14:ligatures w14:val="none"/>
              </w:rPr>
              <w:t>加油站人员在确认油罐车无油品滴漏后，方可引导油罐车进入卸油作业区，油罐车在站内车速不大于5km/h。</w:t>
            </w:r>
          </w:p>
        </w:tc>
        <w:tc>
          <w:tcPr>
            <w:tcW w:w="403" w:type="pct"/>
            <w:vAlign w:val="center"/>
          </w:tcPr>
          <w:p w14:paraId="3CFA523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符合</w:t>
            </w:r>
          </w:p>
        </w:tc>
      </w:tr>
      <w:tr w14:paraId="2192A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2780C73D">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FB9DCDA">
            <w:pPr>
              <w:spacing w:line="240" w:lineRule="auto"/>
              <w:ind w:firstLine="0" w:firstLineChars="0"/>
              <w:rPr>
                <w:rFonts w:hint="default" w:ascii="Times New Roman" w:hAnsi="Times New Roman" w:eastAsia="宋体" w:cs="Times New Roman"/>
                <w:color w:val="auto"/>
                <w:sz w:val="22"/>
                <w:szCs w:val="22"/>
                <w:highlight w:val="none"/>
                <w:lang w:val="en-US" w:eastAsia="zh-CN"/>
              </w:rPr>
            </w:pPr>
            <w:r>
              <w:rPr>
                <w:rFonts w:hint="eastAsia" w:ascii="Times New Roman" w:hAnsi="Times New Roman" w:eastAsia="宋体" w:cs="Times New Roman"/>
                <w:color w:val="auto"/>
                <w:sz w:val="22"/>
                <w:szCs w:val="22"/>
                <w:highlight w:val="none"/>
                <w:lang w:val="en-US" w:eastAsia="zh-CN"/>
              </w:rPr>
              <w:t>31、油罐车停于卸油停车位熄火并拉上手刹，车轮处宜放置与最大允许总质量和车轮尺寸相匹配的轮挡，车钥匙宜放置指定位置管控</w:t>
            </w:r>
          </w:p>
        </w:tc>
        <w:tc>
          <w:tcPr>
            <w:tcW w:w="1020" w:type="pct"/>
            <w:vAlign w:val="center"/>
          </w:tcPr>
          <w:p w14:paraId="35A7800A">
            <w:pPr>
              <w:adjustRightInd/>
              <w:snapToGrid/>
              <w:spacing w:line="240" w:lineRule="auto"/>
              <w:ind w:firstLine="0" w:firstLineChars="0"/>
              <w:jc w:val="center"/>
              <w:rPr>
                <w:rFonts w:hint="default" w:ascii="Times New Roman" w:hAnsi="Times New Roman" w:eastAsia="宋体" w:cs="Times New Roman"/>
                <w:bCs/>
                <w:sz w:val="21"/>
                <w:szCs w:val="21"/>
                <w:highlight w:val="none"/>
                <w:lang w:val="en-US" w:eastAsia="zh-CN"/>
                <w14:ligatures w14:val="none"/>
              </w:rPr>
            </w:pPr>
            <w:r>
              <w:rPr>
                <w:rFonts w:hint="default" w:ascii="Times New Roman" w:hAnsi="Times New Roman" w:eastAsia="宋体" w:cs="Times New Roman"/>
                <w:bCs/>
                <w:sz w:val="21"/>
                <w:szCs w:val="21"/>
                <w:highlight w:val="none"/>
                <w:lang w:val="en-US" w:eastAsia="zh-CN"/>
                <w14:ligatures w14:val="none"/>
              </w:rPr>
              <w:t>AQ</w:t>
            </w:r>
            <w:r>
              <w:rPr>
                <w:rFonts w:hint="default" w:ascii="Times New Roman" w:hAnsi="Times New Roman" w:eastAsia="宋体" w:cs="Times New Roman"/>
                <w:bCs/>
                <w:sz w:val="21"/>
                <w:szCs w:val="21"/>
                <w:highlight w:val="none"/>
                <w14:ligatures w14:val="none"/>
              </w:rPr>
              <w:t xml:space="preserve"> </w:t>
            </w:r>
            <w:r>
              <w:rPr>
                <w:rFonts w:hint="default" w:ascii="Times New Roman" w:hAnsi="Times New Roman" w:eastAsia="宋体" w:cs="Times New Roman"/>
                <w:bCs/>
                <w:sz w:val="21"/>
                <w:szCs w:val="21"/>
                <w:highlight w:val="none"/>
                <w:lang w:val="en-US" w:eastAsia="zh-CN"/>
                <w14:ligatures w14:val="none"/>
              </w:rPr>
              <w:t>3010-2022</w:t>
            </w:r>
          </w:p>
          <w:p w14:paraId="2EF172A7">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第5.</w:t>
            </w:r>
            <w:r>
              <w:rPr>
                <w:rFonts w:hint="default" w:ascii="Times New Roman" w:hAnsi="Times New Roman" w:eastAsia="宋体" w:cs="Times New Roman"/>
                <w:bCs/>
                <w:sz w:val="21"/>
                <w:szCs w:val="21"/>
                <w:highlight w:val="none"/>
                <w:lang w:val="en-US" w:eastAsia="zh-CN"/>
                <w14:ligatures w14:val="none"/>
              </w:rPr>
              <w:t>2.</w:t>
            </w:r>
            <w:r>
              <w:rPr>
                <w:rFonts w:hint="eastAsia" w:ascii="Times New Roman" w:hAnsi="Times New Roman" w:eastAsia="宋体" w:cs="Times New Roman"/>
                <w:bCs/>
                <w:sz w:val="21"/>
                <w:szCs w:val="21"/>
                <w:highlight w:val="none"/>
                <w:lang w:val="en-US" w:eastAsia="zh-CN"/>
                <w14:ligatures w14:val="none"/>
              </w:rPr>
              <w:t>2</w:t>
            </w:r>
            <w:r>
              <w:rPr>
                <w:rFonts w:hint="default" w:ascii="Times New Roman" w:hAnsi="Times New Roman" w:eastAsia="宋体" w:cs="Times New Roman"/>
                <w:bCs/>
                <w:sz w:val="21"/>
                <w:szCs w:val="21"/>
                <w:highlight w:val="none"/>
                <w14:ligatures w14:val="none"/>
              </w:rPr>
              <w:t>条</w:t>
            </w:r>
          </w:p>
        </w:tc>
        <w:tc>
          <w:tcPr>
            <w:tcW w:w="1142" w:type="pct"/>
            <w:vAlign w:val="center"/>
          </w:tcPr>
          <w:p w14:paraId="606C1518">
            <w:pPr>
              <w:spacing w:line="240" w:lineRule="auto"/>
              <w:ind w:firstLine="0" w:firstLineChars="0"/>
              <w:rPr>
                <w:rFonts w:hint="default" w:ascii="Times New Roman" w:hAnsi="Times New Roman" w:eastAsia="宋体" w:cs="Times New Roman"/>
                <w:bCs/>
                <w:sz w:val="21"/>
                <w:szCs w:val="21"/>
                <w:highlight w:val="none"/>
                <w:lang w:val="en-US" w:eastAsia="zh-CN"/>
                <w14:ligatures w14:val="none"/>
              </w:rPr>
            </w:pPr>
            <w:r>
              <w:rPr>
                <w:rFonts w:hint="eastAsia" w:ascii="Times New Roman" w:hAnsi="Times New Roman" w:eastAsia="宋体" w:cs="Times New Roman"/>
                <w:bCs/>
                <w:sz w:val="21"/>
                <w:szCs w:val="21"/>
                <w:highlight w:val="none"/>
                <w:lang w:val="en-US" w:eastAsia="zh-CN"/>
                <w14:ligatures w14:val="none"/>
              </w:rPr>
              <w:t>卸车作业时车轮处设置轮挡，钥匙放置在制定位置</w:t>
            </w:r>
          </w:p>
        </w:tc>
        <w:tc>
          <w:tcPr>
            <w:tcW w:w="403" w:type="pct"/>
            <w:vAlign w:val="center"/>
          </w:tcPr>
          <w:p w14:paraId="71D955F6">
            <w:pPr>
              <w:adjustRightInd/>
              <w:snapToGrid/>
              <w:spacing w:line="240" w:lineRule="auto"/>
              <w:ind w:firstLine="0" w:firstLineChars="0"/>
              <w:jc w:val="center"/>
              <w:rPr>
                <w:rFonts w:hint="default" w:ascii="Times New Roman" w:hAnsi="Times New Roman" w:eastAsia="宋体" w:cs="Times New Roman"/>
                <w:sz w:val="21"/>
                <w:szCs w:val="21"/>
                <w:highlight w:val="none"/>
                <w:lang w:val="en-US" w:eastAsia="zh-CN"/>
                <w14:ligatures w14:val="none"/>
              </w:rPr>
            </w:pPr>
            <w:r>
              <w:rPr>
                <w:rFonts w:hint="eastAsia" w:ascii="Times New Roman" w:hAnsi="Times New Roman" w:eastAsia="宋体" w:cs="Times New Roman"/>
                <w:sz w:val="21"/>
                <w:szCs w:val="21"/>
                <w:highlight w:val="none"/>
                <w:lang w:val="en-US" w:eastAsia="zh-CN"/>
                <w14:ligatures w14:val="none"/>
              </w:rPr>
              <w:t>符合</w:t>
            </w:r>
          </w:p>
        </w:tc>
      </w:tr>
      <w:tr w14:paraId="31C7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283F5B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5B9DF8CD">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color w:val="auto"/>
                <w:sz w:val="22"/>
                <w:szCs w:val="22"/>
                <w:highlight w:val="none"/>
                <w:lang w:val="en-US" w:eastAsia="zh-CN"/>
              </w:rPr>
              <w:t>32</w:t>
            </w:r>
            <w:r>
              <w:rPr>
                <w:rFonts w:hint="default" w:ascii="Times New Roman" w:hAnsi="Times New Roman" w:eastAsia="宋体" w:cs="Times New Roman"/>
                <w:color w:val="auto"/>
                <w:sz w:val="22"/>
                <w:szCs w:val="22"/>
                <w:highlight w:val="none"/>
                <w:lang w:val="en-US" w:eastAsia="zh-CN"/>
              </w:rPr>
              <w:t>、卸油作业现场应设置隔离警示标识。</w:t>
            </w:r>
          </w:p>
        </w:tc>
        <w:tc>
          <w:tcPr>
            <w:tcW w:w="1020" w:type="pct"/>
            <w:vAlign w:val="center"/>
          </w:tcPr>
          <w:p w14:paraId="01268CE4">
            <w:pPr>
              <w:adjustRightInd/>
              <w:snapToGrid/>
              <w:spacing w:line="240" w:lineRule="auto"/>
              <w:ind w:firstLine="0" w:firstLineChars="0"/>
              <w:jc w:val="center"/>
              <w:rPr>
                <w:rFonts w:hint="default" w:ascii="Times New Roman" w:hAnsi="Times New Roman" w:eastAsia="宋体" w:cs="Times New Roman"/>
                <w:bCs/>
                <w:sz w:val="21"/>
                <w:szCs w:val="21"/>
                <w:lang w:val="en-US" w:eastAsia="zh-CN"/>
                <w14:ligatures w14:val="none"/>
              </w:rPr>
            </w:pPr>
            <w:r>
              <w:rPr>
                <w:rFonts w:hint="default" w:ascii="Times New Roman" w:hAnsi="Times New Roman" w:eastAsia="宋体" w:cs="Times New Roman"/>
                <w:bCs/>
                <w:sz w:val="21"/>
                <w:szCs w:val="21"/>
                <w:lang w:val="en-US" w:eastAsia="zh-CN"/>
                <w14:ligatures w14:val="none"/>
              </w:rPr>
              <w:t>AQ</w:t>
            </w:r>
            <w:r>
              <w:rPr>
                <w:rFonts w:hint="default" w:ascii="Times New Roman" w:hAnsi="Times New Roman" w:eastAsia="宋体" w:cs="Times New Roman"/>
                <w:bCs/>
                <w:sz w:val="21"/>
                <w:szCs w:val="21"/>
                <w14:ligatures w14:val="none"/>
              </w:rPr>
              <w:t xml:space="preserve"> </w:t>
            </w:r>
            <w:r>
              <w:rPr>
                <w:rFonts w:hint="default" w:ascii="Times New Roman" w:hAnsi="Times New Roman" w:eastAsia="宋体" w:cs="Times New Roman"/>
                <w:bCs/>
                <w:sz w:val="21"/>
                <w:szCs w:val="21"/>
                <w:lang w:val="en-US" w:eastAsia="zh-CN"/>
                <w14:ligatures w14:val="none"/>
              </w:rPr>
              <w:t>3010-2022</w:t>
            </w:r>
          </w:p>
          <w:p w14:paraId="431ACB68">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w:t>
            </w:r>
            <w:r>
              <w:rPr>
                <w:rFonts w:hint="default" w:ascii="Times New Roman" w:hAnsi="Times New Roman" w:eastAsia="宋体" w:cs="Times New Roman"/>
                <w:bCs/>
                <w:sz w:val="21"/>
                <w:szCs w:val="21"/>
                <w:lang w:val="en-US" w:eastAsia="zh-CN"/>
                <w14:ligatures w14:val="none"/>
              </w:rPr>
              <w:t>2.4</w:t>
            </w:r>
            <w:r>
              <w:rPr>
                <w:rFonts w:hint="default" w:ascii="Times New Roman" w:hAnsi="Times New Roman" w:eastAsia="宋体" w:cs="Times New Roman"/>
                <w:bCs/>
                <w:sz w:val="21"/>
                <w:szCs w:val="21"/>
                <w14:ligatures w14:val="none"/>
              </w:rPr>
              <w:t>条</w:t>
            </w:r>
          </w:p>
        </w:tc>
        <w:tc>
          <w:tcPr>
            <w:tcW w:w="1142" w:type="pct"/>
            <w:vAlign w:val="center"/>
          </w:tcPr>
          <w:p w14:paraId="04FBE9D6">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lang w:val="en-US" w:eastAsia="zh-CN"/>
                <w14:ligatures w14:val="none"/>
              </w:rPr>
              <w:t>卸油作业现场设置隔离警示标识</w:t>
            </w:r>
          </w:p>
        </w:tc>
        <w:tc>
          <w:tcPr>
            <w:tcW w:w="403" w:type="pct"/>
            <w:vAlign w:val="center"/>
          </w:tcPr>
          <w:p w14:paraId="3EEF798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符合</w:t>
            </w:r>
          </w:p>
        </w:tc>
      </w:tr>
      <w:tr w14:paraId="7D68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F44EEF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66125192">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color w:val="auto"/>
                <w:sz w:val="22"/>
                <w:szCs w:val="22"/>
                <w:highlight w:val="none"/>
                <w:lang w:val="en-US" w:eastAsia="zh-CN"/>
              </w:rPr>
              <w:t>33</w:t>
            </w:r>
            <w:r>
              <w:rPr>
                <w:rFonts w:hint="default" w:ascii="Times New Roman" w:hAnsi="Times New Roman" w:eastAsia="宋体" w:cs="Times New Roman"/>
                <w:color w:val="auto"/>
                <w:sz w:val="22"/>
                <w:szCs w:val="22"/>
                <w:highlight w:val="none"/>
                <w:lang w:val="en-US" w:eastAsia="zh-CN"/>
              </w:rPr>
              <w:t>、卸油作业过程中应有专人监护，油罐车驾驶员和押运员不应同时离开作业现场。无人监护时，应停止作业。</w:t>
            </w:r>
          </w:p>
        </w:tc>
        <w:tc>
          <w:tcPr>
            <w:tcW w:w="1020" w:type="pct"/>
            <w:vAlign w:val="center"/>
          </w:tcPr>
          <w:p w14:paraId="0C8FEBD6">
            <w:pPr>
              <w:adjustRightInd/>
              <w:snapToGrid/>
              <w:spacing w:line="240" w:lineRule="auto"/>
              <w:ind w:firstLine="0" w:firstLineChars="0"/>
              <w:jc w:val="center"/>
              <w:rPr>
                <w:rFonts w:hint="default" w:ascii="Times New Roman" w:hAnsi="Times New Roman" w:eastAsia="宋体" w:cs="Times New Roman"/>
                <w:bCs/>
                <w:sz w:val="21"/>
                <w:szCs w:val="21"/>
                <w:lang w:val="en-US" w:eastAsia="zh-CN"/>
                <w14:ligatures w14:val="none"/>
              </w:rPr>
            </w:pPr>
            <w:r>
              <w:rPr>
                <w:rFonts w:hint="default" w:ascii="Times New Roman" w:hAnsi="Times New Roman" w:eastAsia="宋体" w:cs="Times New Roman"/>
                <w:bCs/>
                <w:sz w:val="21"/>
                <w:szCs w:val="21"/>
                <w:lang w:val="en-US" w:eastAsia="zh-CN"/>
                <w14:ligatures w14:val="none"/>
              </w:rPr>
              <w:t>AQ</w:t>
            </w:r>
            <w:r>
              <w:rPr>
                <w:rFonts w:hint="default" w:ascii="Times New Roman" w:hAnsi="Times New Roman" w:eastAsia="宋体" w:cs="Times New Roman"/>
                <w:bCs/>
                <w:sz w:val="21"/>
                <w:szCs w:val="21"/>
                <w14:ligatures w14:val="none"/>
              </w:rPr>
              <w:t xml:space="preserve"> </w:t>
            </w:r>
            <w:r>
              <w:rPr>
                <w:rFonts w:hint="default" w:ascii="Times New Roman" w:hAnsi="Times New Roman" w:eastAsia="宋体" w:cs="Times New Roman"/>
                <w:bCs/>
                <w:sz w:val="21"/>
                <w:szCs w:val="21"/>
                <w:lang w:val="en-US" w:eastAsia="zh-CN"/>
                <w14:ligatures w14:val="none"/>
              </w:rPr>
              <w:t>3010-2022</w:t>
            </w:r>
          </w:p>
          <w:p w14:paraId="02D89F3C">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w:t>
            </w:r>
            <w:r>
              <w:rPr>
                <w:rFonts w:hint="default" w:ascii="Times New Roman" w:hAnsi="Times New Roman" w:eastAsia="宋体" w:cs="Times New Roman"/>
                <w:bCs/>
                <w:sz w:val="21"/>
                <w:szCs w:val="21"/>
                <w:lang w:val="en-US" w:eastAsia="zh-CN"/>
                <w14:ligatures w14:val="none"/>
              </w:rPr>
              <w:t>2.12</w:t>
            </w:r>
            <w:r>
              <w:rPr>
                <w:rFonts w:hint="default" w:ascii="Times New Roman" w:hAnsi="Times New Roman" w:eastAsia="宋体" w:cs="Times New Roman"/>
                <w:bCs/>
                <w:sz w:val="21"/>
                <w:szCs w:val="21"/>
                <w14:ligatures w14:val="none"/>
              </w:rPr>
              <w:t>条</w:t>
            </w:r>
          </w:p>
        </w:tc>
        <w:tc>
          <w:tcPr>
            <w:tcW w:w="1142" w:type="pct"/>
            <w:vAlign w:val="center"/>
          </w:tcPr>
          <w:p w14:paraId="537E6941">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bCs/>
                <w:sz w:val="21"/>
                <w:szCs w:val="21"/>
                <w:lang w:val="en-US" w:eastAsia="zh-CN"/>
                <w14:ligatures w14:val="none"/>
              </w:rPr>
              <w:t>卸油作业过程中有专人监护，油罐车驾驶员和押运员不同时离开作业现场。无人监护时，停止作业。</w:t>
            </w:r>
          </w:p>
        </w:tc>
        <w:tc>
          <w:tcPr>
            <w:tcW w:w="403" w:type="pct"/>
            <w:vAlign w:val="center"/>
          </w:tcPr>
          <w:p w14:paraId="1786034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符合</w:t>
            </w:r>
          </w:p>
        </w:tc>
      </w:tr>
      <w:tr w14:paraId="0B4E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restart"/>
            <w:vAlign w:val="center"/>
          </w:tcPr>
          <w:p w14:paraId="0748FC39">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可燃气体报警器</w:t>
            </w:r>
          </w:p>
        </w:tc>
        <w:tc>
          <w:tcPr>
            <w:tcW w:w="1991" w:type="pct"/>
            <w:vAlign w:val="center"/>
          </w:tcPr>
          <w:p w14:paraId="16344703">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34</w:t>
            </w:r>
            <w:r>
              <w:rPr>
                <w:rFonts w:hint="default" w:ascii="Times New Roman" w:hAnsi="Times New Roman" w:eastAsia="宋体" w:cs="Times New Roman"/>
                <w:sz w:val="21"/>
                <w:szCs w:val="21"/>
                <w:lang w:val="en-US" w:eastAsia="zh-CN"/>
                <w14:ligatures w14:val="none"/>
              </w:rPr>
              <w:t>、设有可燃气体声光报警装置的加油作业区内可允许客户使用手机支付，当现场警报器报警时，应立即停止使用手机和停止加油相关作业，并按应急预案进行应急处置。可燃气体检测报警设计应符合GB/T50493的规定。</w:t>
            </w:r>
          </w:p>
        </w:tc>
        <w:tc>
          <w:tcPr>
            <w:tcW w:w="1020" w:type="pct"/>
            <w:vAlign w:val="center"/>
          </w:tcPr>
          <w:p w14:paraId="7503A948">
            <w:pPr>
              <w:adjustRightInd/>
              <w:snapToGrid/>
              <w:spacing w:line="240" w:lineRule="auto"/>
              <w:ind w:firstLine="0" w:firstLineChars="0"/>
              <w:jc w:val="center"/>
              <w:rPr>
                <w:rFonts w:hint="default" w:ascii="Times New Roman" w:hAnsi="Times New Roman" w:eastAsia="宋体" w:cs="Times New Roman"/>
                <w:bCs/>
                <w:sz w:val="21"/>
                <w:szCs w:val="21"/>
                <w:lang w:val="en-US" w:eastAsia="zh-CN"/>
                <w14:ligatures w14:val="none"/>
              </w:rPr>
            </w:pPr>
            <w:r>
              <w:rPr>
                <w:rFonts w:hint="default" w:ascii="Times New Roman" w:hAnsi="Times New Roman" w:eastAsia="宋体" w:cs="Times New Roman"/>
                <w:bCs/>
                <w:sz w:val="21"/>
                <w:szCs w:val="21"/>
                <w:lang w:val="en-US" w:eastAsia="zh-CN"/>
                <w14:ligatures w14:val="none"/>
              </w:rPr>
              <w:t>AQ</w:t>
            </w:r>
            <w:r>
              <w:rPr>
                <w:rFonts w:hint="default" w:ascii="Times New Roman" w:hAnsi="Times New Roman" w:eastAsia="宋体" w:cs="Times New Roman"/>
                <w:bCs/>
                <w:sz w:val="21"/>
                <w:szCs w:val="21"/>
                <w14:ligatures w14:val="none"/>
              </w:rPr>
              <w:t xml:space="preserve"> </w:t>
            </w:r>
            <w:r>
              <w:rPr>
                <w:rFonts w:hint="default" w:ascii="Times New Roman" w:hAnsi="Times New Roman" w:eastAsia="宋体" w:cs="Times New Roman"/>
                <w:bCs/>
                <w:sz w:val="21"/>
                <w:szCs w:val="21"/>
                <w:lang w:val="en-US" w:eastAsia="zh-CN"/>
                <w14:ligatures w14:val="none"/>
              </w:rPr>
              <w:t>3010-2022</w:t>
            </w:r>
          </w:p>
          <w:p w14:paraId="328D2458">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w:t>
            </w:r>
            <w:r>
              <w:rPr>
                <w:rFonts w:hint="default" w:ascii="Times New Roman" w:hAnsi="Times New Roman" w:eastAsia="宋体" w:cs="Times New Roman"/>
                <w:bCs/>
                <w:sz w:val="21"/>
                <w:szCs w:val="21"/>
                <w:lang w:val="en-US" w:eastAsia="zh-CN"/>
                <w14:ligatures w14:val="none"/>
              </w:rPr>
              <w:t>4.5</w:t>
            </w:r>
            <w:r>
              <w:rPr>
                <w:rFonts w:hint="default" w:ascii="Times New Roman" w:hAnsi="Times New Roman" w:eastAsia="宋体" w:cs="Times New Roman"/>
                <w:bCs/>
                <w:sz w:val="21"/>
                <w:szCs w:val="21"/>
                <w14:ligatures w14:val="none"/>
              </w:rPr>
              <w:t>条</w:t>
            </w:r>
          </w:p>
        </w:tc>
        <w:tc>
          <w:tcPr>
            <w:tcW w:w="1142" w:type="pct"/>
            <w:vAlign w:val="center"/>
          </w:tcPr>
          <w:p w14:paraId="5C48E9D5">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设有可燃气体报警器，允许手机支付</w:t>
            </w:r>
          </w:p>
        </w:tc>
        <w:tc>
          <w:tcPr>
            <w:tcW w:w="403" w:type="pct"/>
            <w:vAlign w:val="center"/>
          </w:tcPr>
          <w:p w14:paraId="5D4E5501">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符合</w:t>
            </w:r>
          </w:p>
        </w:tc>
      </w:tr>
      <w:tr w14:paraId="1549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2ED3F2E0">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p>
        </w:tc>
        <w:tc>
          <w:tcPr>
            <w:tcW w:w="1991" w:type="pct"/>
            <w:vAlign w:val="center"/>
          </w:tcPr>
          <w:p w14:paraId="33170E7C">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35</w:t>
            </w:r>
            <w:r>
              <w:rPr>
                <w:rFonts w:hint="default" w:ascii="Times New Roman" w:hAnsi="Times New Roman" w:eastAsia="宋体" w:cs="Times New Roman"/>
                <w:sz w:val="21"/>
                <w:szCs w:val="21"/>
                <w:lang w:val="en-US" w:eastAsia="zh-CN"/>
                <w14:ligatures w14:val="none"/>
              </w:rPr>
              <w:t>、可燃气体检测器一级报警设定值应小于或等于可燃气体爆炸下限的25%。</w:t>
            </w:r>
          </w:p>
        </w:tc>
        <w:tc>
          <w:tcPr>
            <w:tcW w:w="1020" w:type="pct"/>
            <w:vAlign w:val="center"/>
          </w:tcPr>
          <w:p w14:paraId="179B1593">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GB50156-2021</w:t>
            </w:r>
          </w:p>
          <w:p w14:paraId="03FCAEC4">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第13.4.2条</w:t>
            </w:r>
          </w:p>
        </w:tc>
        <w:tc>
          <w:tcPr>
            <w:tcW w:w="1142" w:type="pct"/>
            <w:vAlign w:val="center"/>
          </w:tcPr>
          <w:p w14:paraId="7E79131C">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可燃气体检测器一级报警设定值满足要求</w:t>
            </w:r>
          </w:p>
        </w:tc>
        <w:tc>
          <w:tcPr>
            <w:tcW w:w="403" w:type="pct"/>
            <w:vAlign w:val="center"/>
          </w:tcPr>
          <w:p w14:paraId="724BB0B2">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符合</w:t>
            </w:r>
          </w:p>
        </w:tc>
      </w:tr>
      <w:tr w14:paraId="299C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8F5B53A">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p>
        </w:tc>
        <w:tc>
          <w:tcPr>
            <w:tcW w:w="1991" w:type="pct"/>
            <w:vAlign w:val="center"/>
          </w:tcPr>
          <w:p w14:paraId="36EEE7A2">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36</w:t>
            </w:r>
            <w:r>
              <w:rPr>
                <w:rFonts w:hint="default" w:ascii="Times New Roman" w:hAnsi="Times New Roman" w:eastAsia="宋体" w:cs="Times New Roman"/>
                <w:sz w:val="21"/>
                <w:szCs w:val="21"/>
                <w:lang w:val="en-US" w:eastAsia="zh-CN"/>
                <w14:ligatures w14:val="none"/>
              </w:rPr>
              <w:t>、释放源处于露天，可燃气体探测器距其所覆盖范围内的任一释放源的水平距离不宜大于10m。</w:t>
            </w:r>
          </w:p>
        </w:tc>
        <w:tc>
          <w:tcPr>
            <w:tcW w:w="1020" w:type="pct"/>
            <w:vAlign w:val="center"/>
          </w:tcPr>
          <w:p w14:paraId="5F00BC18">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GB/T 50493-2019</w:t>
            </w:r>
          </w:p>
          <w:p w14:paraId="5D389A30">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第4.2.1条</w:t>
            </w:r>
          </w:p>
        </w:tc>
        <w:tc>
          <w:tcPr>
            <w:tcW w:w="1142" w:type="pct"/>
            <w:vAlign w:val="center"/>
          </w:tcPr>
          <w:p w14:paraId="68A39E6A">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可燃气体探测器保护半径小于10m</w:t>
            </w:r>
          </w:p>
        </w:tc>
        <w:tc>
          <w:tcPr>
            <w:tcW w:w="403" w:type="pct"/>
            <w:vAlign w:val="center"/>
          </w:tcPr>
          <w:p w14:paraId="0DA70FC8">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符合</w:t>
            </w:r>
          </w:p>
        </w:tc>
      </w:tr>
      <w:tr w14:paraId="47CB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BA51C87">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p>
        </w:tc>
        <w:tc>
          <w:tcPr>
            <w:tcW w:w="1991" w:type="pct"/>
            <w:vAlign w:val="center"/>
          </w:tcPr>
          <w:p w14:paraId="452BAD34">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37</w:t>
            </w:r>
            <w:r>
              <w:rPr>
                <w:rFonts w:hint="default" w:ascii="Times New Roman" w:hAnsi="Times New Roman" w:eastAsia="宋体" w:cs="Times New Roman"/>
                <w:sz w:val="21"/>
                <w:szCs w:val="21"/>
                <w:lang w:val="en-US" w:eastAsia="zh-CN"/>
                <w14:ligatures w14:val="none"/>
              </w:rPr>
              <w:t>.可燃气体探测器的安装高度宜距地坪（或楼地板）0.3m-0.6m。</w:t>
            </w:r>
          </w:p>
        </w:tc>
        <w:tc>
          <w:tcPr>
            <w:tcW w:w="1020" w:type="pct"/>
            <w:vAlign w:val="center"/>
          </w:tcPr>
          <w:p w14:paraId="3B7153BC">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GB/T 50493-2019</w:t>
            </w:r>
          </w:p>
          <w:p w14:paraId="36F71D40">
            <w:pPr>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第6.1.2条</w:t>
            </w:r>
          </w:p>
        </w:tc>
        <w:tc>
          <w:tcPr>
            <w:tcW w:w="1142" w:type="pct"/>
            <w:vAlign w:val="center"/>
          </w:tcPr>
          <w:p w14:paraId="4CF3F89D">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可燃气体探测器的安装高度是0.</w:t>
            </w:r>
            <w:r>
              <w:rPr>
                <w:rFonts w:hint="eastAsia" w:ascii="Times New Roman" w:hAnsi="Times New Roman" w:eastAsia="宋体" w:cs="Times New Roman"/>
                <w:sz w:val="21"/>
                <w:szCs w:val="21"/>
                <w:lang w:val="en-US" w:eastAsia="zh-CN"/>
                <w14:ligatures w14:val="none"/>
              </w:rPr>
              <w:t>5</w:t>
            </w:r>
            <w:r>
              <w:rPr>
                <w:rFonts w:hint="default" w:ascii="Times New Roman" w:hAnsi="Times New Roman" w:eastAsia="宋体" w:cs="Times New Roman"/>
                <w:sz w:val="21"/>
                <w:szCs w:val="21"/>
                <w:lang w:val="en-US" w:eastAsia="zh-CN"/>
                <w14:ligatures w14:val="none"/>
              </w:rPr>
              <w:t>m</w:t>
            </w:r>
          </w:p>
        </w:tc>
        <w:tc>
          <w:tcPr>
            <w:tcW w:w="403" w:type="pct"/>
            <w:vAlign w:val="center"/>
          </w:tcPr>
          <w:p w14:paraId="0DF6A053">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符合</w:t>
            </w:r>
          </w:p>
        </w:tc>
      </w:tr>
      <w:tr w14:paraId="5600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pct"/>
            <w:vAlign w:val="center"/>
          </w:tcPr>
          <w:p w14:paraId="45A91E75">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绿化</w:t>
            </w:r>
          </w:p>
        </w:tc>
        <w:tc>
          <w:tcPr>
            <w:tcW w:w="1991" w:type="pct"/>
            <w:vAlign w:val="center"/>
          </w:tcPr>
          <w:p w14:paraId="68F4BA0B">
            <w:pPr>
              <w:spacing w:line="240" w:lineRule="auto"/>
              <w:ind w:firstLine="0" w:firstLineChars="0"/>
              <w:rPr>
                <w:rFonts w:hint="default"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38</w:t>
            </w:r>
            <w:r>
              <w:rPr>
                <w:rFonts w:hint="default" w:ascii="Times New Roman" w:hAnsi="Times New Roman" w:eastAsia="宋体" w:cs="Times New Roman"/>
                <w:sz w:val="21"/>
                <w:szCs w:val="21"/>
                <w:lang w:val="en-US" w:eastAsia="zh-CN"/>
                <w14:ligatures w14:val="none"/>
              </w:rPr>
              <w:t>、</w:t>
            </w:r>
            <w:r>
              <w:rPr>
                <w:rFonts w:hint="default" w:ascii="Times New Roman" w:hAnsi="Times New Roman" w:eastAsia="宋体" w:cs="Times New Roman"/>
                <w:sz w:val="21"/>
                <w:szCs w:val="21"/>
                <w14:ligatures w14:val="none"/>
              </w:rPr>
              <w:t>汽车加油站作业区内不得种植油性植物</w:t>
            </w:r>
          </w:p>
        </w:tc>
        <w:tc>
          <w:tcPr>
            <w:tcW w:w="1020" w:type="pct"/>
            <w:vAlign w:val="center"/>
          </w:tcPr>
          <w:p w14:paraId="533F2E49">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GB50156-2021</w:t>
            </w:r>
          </w:p>
          <w:p w14:paraId="39B91744">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w:t>
            </w:r>
            <w:r>
              <w:rPr>
                <w:rFonts w:hint="default" w:ascii="Times New Roman" w:hAnsi="Times New Roman" w:eastAsia="宋体" w:cs="Times New Roman"/>
                <w:bCs/>
                <w:sz w:val="21"/>
                <w:szCs w:val="21"/>
                <w:lang w:val="en-US" w:eastAsia="zh-CN"/>
                <w14:ligatures w14:val="none"/>
              </w:rPr>
              <w:t>14.3.1</w:t>
            </w:r>
            <w:r>
              <w:rPr>
                <w:rFonts w:hint="default" w:ascii="Times New Roman" w:hAnsi="Times New Roman" w:eastAsia="宋体" w:cs="Times New Roman"/>
                <w:bCs/>
                <w:sz w:val="21"/>
                <w:szCs w:val="21"/>
                <w14:ligatures w14:val="none"/>
              </w:rPr>
              <w:t>条</w:t>
            </w:r>
          </w:p>
        </w:tc>
        <w:tc>
          <w:tcPr>
            <w:tcW w:w="1142" w:type="pct"/>
            <w:vAlign w:val="center"/>
          </w:tcPr>
          <w:p w14:paraId="3A91F554">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站内未种植油性植物</w:t>
            </w:r>
          </w:p>
        </w:tc>
        <w:tc>
          <w:tcPr>
            <w:tcW w:w="403" w:type="pct"/>
            <w:vAlign w:val="center"/>
          </w:tcPr>
          <w:p w14:paraId="5591C99B">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符合</w:t>
            </w:r>
          </w:p>
        </w:tc>
      </w:tr>
      <w:tr w14:paraId="20A1B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pct"/>
            <w:vMerge w:val="restart"/>
            <w:vAlign w:val="center"/>
          </w:tcPr>
          <w:p w14:paraId="2B208EEE">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其他</w:t>
            </w:r>
          </w:p>
        </w:tc>
        <w:tc>
          <w:tcPr>
            <w:tcW w:w="1991" w:type="pct"/>
            <w:vAlign w:val="center"/>
          </w:tcPr>
          <w:p w14:paraId="6117DE5F">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39、清洗油罐应根据GB30871的规定按照受限空间作业进行管理，办理作业许可手续。</w:t>
            </w:r>
          </w:p>
        </w:tc>
        <w:tc>
          <w:tcPr>
            <w:tcW w:w="1020" w:type="pct"/>
            <w:vAlign w:val="center"/>
          </w:tcPr>
          <w:p w14:paraId="4C3738E9">
            <w:pPr>
              <w:adjustRightInd/>
              <w:snapToGrid/>
              <w:spacing w:line="240" w:lineRule="auto"/>
              <w:ind w:firstLine="0" w:firstLineChars="0"/>
              <w:jc w:val="center"/>
              <w:rPr>
                <w:rFonts w:hint="default" w:ascii="Times New Roman" w:hAnsi="Times New Roman" w:eastAsia="宋体" w:cs="Times New Roman"/>
                <w:bCs/>
                <w:sz w:val="21"/>
                <w:szCs w:val="21"/>
                <w:highlight w:val="none"/>
                <w:lang w:val="en-US" w:eastAsia="zh-CN"/>
                <w14:ligatures w14:val="none"/>
              </w:rPr>
            </w:pPr>
            <w:r>
              <w:rPr>
                <w:rFonts w:hint="default" w:ascii="Times New Roman" w:hAnsi="Times New Roman" w:eastAsia="宋体" w:cs="Times New Roman"/>
                <w:bCs/>
                <w:sz w:val="21"/>
                <w:szCs w:val="21"/>
                <w:highlight w:val="none"/>
                <w:lang w:val="en-US" w:eastAsia="zh-CN"/>
                <w14:ligatures w14:val="none"/>
              </w:rPr>
              <w:t>AQ</w:t>
            </w:r>
            <w:r>
              <w:rPr>
                <w:rFonts w:hint="default" w:ascii="Times New Roman" w:hAnsi="Times New Roman" w:eastAsia="宋体" w:cs="Times New Roman"/>
                <w:bCs/>
                <w:sz w:val="21"/>
                <w:szCs w:val="21"/>
                <w:highlight w:val="none"/>
                <w14:ligatures w14:val="none"/>
              </w:rPr>
              <w:t xml:space="preserve"> </w:t>
            </w:r>
            <w:r>
              <w:rPr>
                <w:rFonts w:hint="default" w:ascii="Times New Roman" w:hAnsi="Times New Roman" w:eastAsia="宋体" w:cs="Times New Roman"/>
                <w:bCs/>
                <w:sz w:val="21"/>
                <w:szCs w:val="21"/>
                <w:highlight w:val="none"/>
                <w:lang w:val="en-US" w:eastAsia="zh-CN"/>
                <w14:ligatures w14:val="none"/>
              </w:rPr>
              <w:t>3010-2022</w:t>
            </w:r>
          </w:p>
          <w:p w14:paraId="23EF0F2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highlight w:val="none"/>
                <w14:ligatures w14:val="none"/>
              </w:rPr>
              <w:t>第</w:t>
            </w:r>
            <w:r>
              <w:rPr>
                <w:rFonts w:hint="eastAsia" w:ascii="Times New Roman" w:hAnsi="Times New Roman" w:eastAsia="宋体" w:cs="Times New Roman"/>
                <w:bCs/>
                <w:sz w:val="21"/>
                <w:szCs w:val="21"/>
                <w:highlight w:val="none"/>
                <w:lang w:val="en-US" w:eastAsia="zh-CN"/>
                <w14:ligatures w14:val="none"/>
              </w:rPr>
              <w:t>8.1.1</w:t>
            </w:r>
            <w:r>
              <w:rPr>
                <w:rFonts w:hint="default" w:ascii="Times New Roman" w:hAnsi="Times New Roman" w:eastAsia="宋体" w:cs="Times New Roman"/>
                <w:bCs/>
                <w:sz w:val="21"/>
                <w:szCs w:val="21"/>
                <w:highlight w:val="none"/>
                <w14:ligatures w14:val="none"/>
              </w:rPr>
              <w:t>条</w:t>
            </w:r>
          </w:p>
        </w:tc>
        <w:tc>
          <w:tcPr>
            <w:tcW w:w="1142" w:type="pct"/>
            <w:vAlign w:val="center"/>
          </w:tcPr>
          <w:p w14:paraId="007A97BA">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清罐作业符合相关规范要求</w:t>
            </w:r>
          </w:p>
        </w:tc>
        <w:tc>
          <w:tcPr>
            <w:tcW w:w="403" w:type="pct"/>
            <w:vAlign w:val="center"/>
          </w:tcPr>
          <w:p w14:paraId="31F774E4">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符合</w:t>
            </w:r>
          </w:p>
        </w:tc>
      </w:tr>
      <w:tr w14:paraId="596E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pct"/>
            <w:vMerge w:val="continue"/>
            <w:vAlign w:val="center"/>
          </w:tcPr>
          <w:p w14:paraId="4F837ADD">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p>
        </w:tc>
        <w:tc>
          <w:tcPr>
            <w:tcW w:w="1991" w:type="pct"/>
            <w:vAlign w:val="center"/>
          </w:tcPr>
          <w:p w14:paraId="43247EAA">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40、清罐作业前，应对特种作业人员操作证进行核对和审查，根据作业分组情况对检测、施工、监护、维修等清罐人员进行安全和清罐操作技术的培训。机械清罐应按其操作规程执行。</w:t>
            </w:r>
          </w:p>
        </w:tc>
        <w:tc>
          <w:tcPr>
            <w:tcW w:w="1869" w:type="dxa"/>
            <w:vAlign w:val="center"/>
          </w:tcPr>
          <w:p w14:paraId="5FCE171B">
            <w:pPr>
              <w:adjustRightInd/>
              <w:snapToGrid/>
              <w:spacing w:line="240" w:lineRule="auto"/>
              <w:ind w:firstLine="0" w:firstLineChars="0"/>
              <w:jc w:val="center"/>
              <w:rPr>
                <w:rFonts w:hint="default" w:ascii="Times New Roman" w:hAnsi="Times New Roman" w:eastAsia="宋体" w:cs="Times New Roman"/>
                <w:bCs/>
                <w:sz w:val="21"/>
                <w:szCs w:val="21"/>
                <w:highlight w:val="none"/>
                <w:lang w:val="en-US" w:eastAsia="zh-CN"/>
                <w14:ligatures w14:val="none"/>
              </w:rPr>
            </w:pPr>
            <w:r>
              <w:rPr>
                <w:rFonts w:hint="default" w:ascii="Times New Roman" w:hAnsi="Times New Roman" w:eastAsia="宋体" w:cs="Times New Roman"/>
                <w:bCs/>
                <w:sz w:val="21"/>
                <w:szCs w:val="21"/>
                <w:highlight w:val="none"/>
                <w:lang w:val="en-US" w:eastAsia="zh-CN"/>
                <w14:ligatures w14:val="none"/>
              </w:rPr>
              <w:t>AQ</w:t>
            </w:r>
            <w:r>
              <w:rPr>
                <w:rFonts w:hint="default" w:ascii="Times New Roman" w:hAnsi="Times New Roman" w:eastAsia="宋体" w:cs="Times New Roman"/>
                <w:bCs/>
                <w:sz w:val="21"/>
                <w:szCs w:val="21"/>
                <w:highlight w:val="none"/>
                <w14:ligatures w14:val="none"/>
              </w:rPr>
              <w:t xml:space="preserve"> </w:t>
            </w:r>
            <w:r>
              <w:rPr>
                <w:rFonts w:hint="default" w:ascii="Times New Roman" w:hAnsi="Times New Roman" w:eastAsia="宋体" w:cs="Times New Roman"/>
                <w:bCs/>
                <w:sz w:val="21"/>
                <w:szCs w:val="21"/>
                <w:highlight w:val="none"/>
                <w:lang w:val="en-US" w:eastAsia="zh-CN"/>
                <w14:ligatures w14:val="none"/>
              </w:rPr>
              <w:t>3010-2022</w:t>
            </w:r>
          </w:p>
          <w:p w14:paraId="6E36DFC8">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highlight w:val="none"/>
                <w14:ligatures w14:val="none"/>
              </w:rPr>
              <w:t>第</w:t>
            </w:r>
            <w:r>
              <w:rPr>
                <w:rFonts w:hint="eastAsia" w:ascii="Times New Roman" w:hAnsi="Times New Roman" w:eastAsia="宋体" w:cs="Times New Roman"/>
                <w:bCs/>
                <w:sz w:val="21"/>
                <w:szCs w:val="21"/>
                <w:highlight w:val="none"/>
                <w:lang w:val="en-US" w:eastAsia="zh-CN"/>
                <w14:ligatures w14:val="none"/>
              </w:rPr>
              <w:t>8.1.2</w:t>
            </w:r>
            <w:r>
              <w:rPr>
                <w:rFonts w:hint="default" w:ascii="Times New Roman" w:hAnsi="Times New Roman" w:eastAsia="宋体" w:cs="Times New Roman"/>
                <w:bCs/>
                <w:sz w:val="21"/>
                <w:szCs w:val="21"/>
                <w:highlight w:val="none"/>
                <w14:ligatures w14:val="none"/>
              </w:rPr>
              <w:t>条</w:t>
            </w:r>
          </w:p>
        </w:tc>
        <w:tc>
          <w:tcPr>
            <w:tcW w:w="2093" w:type="dxa"/>
            <w:vAlign w:val="center"/>
          </w:tcPr>
          <w:p w14:paraId="033A15FA">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清罐作业符合相关规范要求</w:t>
            </w:r>
          </w:p>
        </w:tc>
        <w:tc>
          <w:tcPr>
            <w:tcW w:w="739" w:type="dxa"/>
            <w:vAlign w:val="center"/>
          </w:tcPr>
          <w:p w14:paraId="0A716138">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符合</w:t>
            </w:r>
          </w:p>
        </w:tc>
      </w:tr>
      <w:tr w14:paraId="7F819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pct"/>
            <w:vMerge w:val="continue"/>
            <w:vAlign w:val="center"/>
          </w:tcPr>
          <w:p w14:paraId="204E9F89">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p>
        </w:tc>
        <w:tc>
          <w:tcPr>
            <w:tcW w:w="1991" w:type="pct"/>
            <w:vAlign w:val="center"/>
          </w:tcPr>
          <w:p w14:paraId="3CC8BD4B">
            <w:pPr>
              <w:spacing w:line="240" w:lineRule="auto"/>
              <w:ind w:firstLine="0" w:firstLineChars="0"/>
              <w:rPr>
                <w:rFonts w:hint="eastAsia"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41、人员进入油罐前应进行通风置换，油罐内空气达不到安全要求时，人员不应进入油罐内。</w:t>
            </w:r>
          </w:p>
        </w:tc>
        <w:tc>
          <w:tcPr>
            <w:tcW w:w="1869" w:type="dxa"/>
            <w:vAlign w:val="center"/>
          </w:tcPr>
          <w:p w14:paraId="070BE034">
            <w:pPr>
              <w:adjustRightInd/>
              <w:snapToGrid/>
              <w:spacing w:line="240" w:lineRule="auto"/>
              <w:ind w:firstLine="0" w:firstLineChars="0"/>
              <w:jc w:val="center"/>
              <w:rPr>
                <w:rFonts w:hint="default" w:ascii="Times New Roman" w:hAnsi="Times New Roman" w:eastAsia="宋体" w:cs="Times New Roman"/>
                <w:bCs/>
                <w:sz w:val="21"/>
                <w:szCs w:val="21"/>
                <w:highlight w:val="none"/>
                <w:lang w:val="en-US" w:eastAsia="zh-CN"/>
                <w14:ligatures w14:val="none"/>
              </w:rPr>
            </w:pPr>
            <w:r>
              <w:rPr>
                <w:rFonts w:hint="default" w:ascii="Times New Roman" w:hAnsi="Times New Roman" w:eastAsia="宋体" w:cs="Times New Roman"/>
                <w:bCs/>
                <w:sz w:val="21"/>
                <w:szCs w:val="21"/>
                <w:highlight w:val="none"/>
                <w:lang w:val="en-US" w:eastAsia="zh-CN"/>
                <w14:ligatures w14:val="none"/>
              </w:rPr>
              <w:t>AQ</w:t>
            </w:r>
            <w:r>
              <w:rPr>
                <w:rFonts w:hint="default" w:ascii="Times New Roman" w:hAnsi="Times New Roman" w:eastAsia="宋体" w:cs="Times New Roman"/>
                <w:bCs/>
                <w:sz w:val="21"/>
                <w:szCs w:val="21"/>
                <w:highlight w:val="none"/>
                <w14:ligatures w14:val="none"/>
              </w:rPr>
              <w:t xml:space="preserve"> </w:t>
            </w:r>
            <w:r>
              <w:rPr>
                <w:rFonts w:hint="default" w:ascii="Times New Roman" w:hAnsi="Times New Roman" w:eastAsia="宋体" w:cs="Times New Roman"/>
                <w:bCs/>
                <w:sz w:val="21"/>
                <w:szCs w:val="21"/>
                <w:highlight w:val="none"/>
                <w:lang w:val="en-US" w:eastAsia="zh-CN"/>
                <w14:ligatures w14:val="none"/>
              </w:rPr>
              <w:t>3010-2022</w:t>
            </w:r>
          </w:p>
          <w:p w14:paraId="7561C8A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highlight w:val="none"/>
                <w14:ligatures w14:val="none"/>
              </w:rPr>
              <w:t>第</w:t>
            </w:r>
            <w:r>
              <w:rPr>
                <w:rFonts w:hint="eastAsia" w:ascii="Times New Roman" w:hAnsi="Times New Roman" w:eastAsia="宋体" w:cs="Times New Roman"/>
                <w:bCs/>
                <w:sz w:val="21"/>
                <w:szCs w:val="21"/>
                <w:highlight w:val="none"/>
                <w:lang w:val="en-US" w:eastAsia="zh-CN"/>
                <w14:ligatures w14:val="none"/>
              </w:rPr>
              <w:t>8.1.7</w:t>
            </w:r>
            <w:r>
              <w:rPr>
                <w:rFonts w:hint="default" w:ascii="Times New Roman" w:hAnsi="Times New Roman" w:eastAsia="宋体" w:cs="Times New Roman"/>
                <w:bCs/>
                <w:sz w:val="21"/>
                <w:szCs w:val="21"/>
                <w:highlight w:val="none"/>
                <w14:ligatures w14:val="none"/>
              </w:rPr>
              <w:t>条</w:t>
            </w:r>
          </w:p>
        </w:tc>
        <w:tc>
          <w:tcPr>
            <w:tcW w:w="2093" w:type="dxa"/>
            <w:vAlign w:val="center"/>
          </w:tcPr>
          <w:p w14:paraId="2F64DE35">
            <w:pPr>
              <w:spacing w:line="240" w:lineRule="auto"/>
              <w:ind w:firstLine="0" w:firstLineChars="0"/>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清罐作业前进行通风置换</w:t>
            </w:r>
          </w:p>
        </w:tc>
        <w:tc>
          <w:tcPr>
            <w:tcW w:w="739" w:type="dxa"/>
            <w:vAlign w:val="center"/>
          </w:tcPr>
          <w:p w14:paraId="668A4F3B">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符合</w:t>
            </w:r>
          </w:p>
        </w:tc>
      </w:tr>
      <w:tr w14:paraId="1E27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5"/>
            <w:vAlign w:val="center"/>
          </w:tcPr>
          <w:p w14:paraId="7C24784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pacing w:val="10"/>
                <w:sz w:val="21"/>
                <w:szCs w:val="21"/>
                <w14:ligatures w14:val="none"/>
              </w:rPr>
              <w:t>三、主要设施的布局</w:t>
            </w:r>
          </w:p>
        </w:tc>
      </w:tr>
      <w:tr w14:paraId="4D413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restart"/>
            <w:vAlign w:val="center"/>
          </w:tcPr>
          <w:p w14:paraId="7BD5104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总平面布置</w:t>
            </w:r>
          </w:p>
        </w:tc>
        <w:tc>
          <w:tcPr>
            <w:tcW w:w="1991" w:type="pct"/>
            <w:vAlign w:val="center"/>
          </w:tcPr>
          <w:p w14:paraId="37DDB574">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1、项目站内建（构）筑物之间的安全距离符合《汽车加油加气加氢站技术标准》（GB 50156-2021）的要求。</w:t>
            </w:r>
          </w:p>
        </w:tc>
        <w:tc>
          <w:tcPr>
            <w:tcW w:w="1020" w:type="pct"/>
            <w:vAlign w:val="center"/>
          </w:tcPr>
          <w:p w14:paraId="68A2BF12">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50156-2021</w:t>
            </w:r>
          </w:p>
          <w:p w14:paraId="4F86F82F">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第4.0.4条、第5.0.13条</w:t>
            </w:r>
          </w:p>
        </w:tc>
        <w:tc>
          <w:tcPr>
            <w:tcW w:w="1142" w:type="pct"/>
            <w:vAlign w:val="center"/>
          </w:tcPr>
          <w:p w14:paraId="07EC0323">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站内工艺设施与站外建（构）筑物防火间距、站内设施的防火间距，均符合《汽车加油加气加氢站技术标准》（GB50156-2021）的要求，详见附表4.1-3、附表4.1-4</w:t>
            </w:r>
          </w:p>
        </w:tc>
        <w:tc>
          <w:tcPr>
            <w:tcW w:w="403" w:type="pct"/>
            <w:vAlign w:val="center"/>
          </w:tcPr>
          <w:p w14:paraId="044103F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A44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5CBA635">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00091EF">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2、</w:t>
            </w:r>
            <w:r>
              <w:rPr>
                <w:rFonts w:hint="default" w:ascii="Times New Roman" w:hAnsi="Times New Roman" w:eastAsia="宋体" w:cs="Times New Roman"/>
                <w:spacing w:val="10"/>
                <w:sz w:val="21"/>
                <w:szCs w:val="21"/>
                <w14:ligatures w14:val="none"/>
              </w:rPr>
              <w:t>站区内停车位和道路应符合下列规定：</w:t>
            </w:r>
          </w:p>
          <w:p w14:paraId="24BC25B2">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1）站内车道或停车位宽度应按车辆类型确定。加油站的车道或停车位，单车道或单车停车位宽度不应小于4m，双车道或双车停车位不应小于6m。</w:t>
            </w:r>
          </w:p>
          <w:p w14:paraId="1D2C6D82">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2）站内的道路转弯半径应按行驶车型确定，且不宜小于9m。</w:t>
            </w:r>
          </w:p>
          <w:p w14:paraId="3B6CB8D8">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3）站内停车位应为平坡，道路坡度不应大于8%，且宜坡向站外。</w:t>
            </w:r>
          </w:p>
          <w:p w14:paraId="473CAA57">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4）加油作业区内的停车位和道路路面不应采用沥青路面。</w:t>
            </w:r>
          </w:p>
        </w:tc>
        <w:tc>
          <w:tcPr>
            <w:tcW w:w="1020" w:type="pct"/>
            <w:shd w:val="clear" w:color="auto" w:fill="auto"/>
            <w:vAlign w:val="center"/>
          </w:tcPr>
          <w:p w14:paraId="45B0D5A2">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50156-2021</w:t>
            </w:r>
          </w:p>
          <w:p w14:paraId="62E60399">
            <w:pPr>
              <w:adjustRightInd/>
              <w:snapToGrid/>
              <w:spacing w:line="240" w:lineRule="auto"/>
              <w:ind w:firstLine="0" w:firstLineChars="0"/>
              <w:jc w:val="center"/>
              <w:rPr>
                <w:rFonts w:hint="default" w:ascii="Times New Roman" w:hAnsi="Times New Roman" w:eastAsia="宋体" w:cs="Times New Roman"/>
                <w:bCs/>
                <w:kern w:val="2"/>
                <w:sz w:val="21"/>
                <w:szCs w:val="21"/>
                <w:lang w:val="en-US" w:eastAsia="zh-CN" w:bidi="ar-SA"/>
                <w14:ligatures w14:val="none"/>
              </w:rPr>
            </w:pPr>
            <w:r>
              <w:rPr>
                <w:rFonts w:hint="default" w:ascii="Times New Roman" w:hAnsi="Times New Roman" w:eastAsia="宋体" w:cs="Times New Roman"/>
                <w:bCs/>
                <w:sz w:val="21"/>
                <w:szCs w:val="21"/>
                <w14:ligatures w14:val="none"/>
              </w:rPr>
              <w:t>第5.0.</w:t>
            </w:r>
            <w:r>
              <w:rPr>
                <w:rFonts w:hint="default" w:ascii="Times New Roman" w:hAnsi="Times New Roman" w:eastAsia="宋体" w:cs="Times New Roman"/>
                <w:bCs/>
                <w:sz w:val="21"/>
                <w:szCs w:val="21"/>
                <w:lang w:val="en-US" w:eastAsia="zh-CN"/>
                <w14:ligatures w14:val="none"/>
              </w:rPr>
              <w:t>2</w:t>
            </w:r>
            <w:r>
              <w:rPr>
                <w:rFonts w:hint="default" w:ascii="Times New Roman" w:hAnsi="Times New Roman" w:eastAsia="宋体" w:cs="Times New Roman"/>
                <w:bCs/>
                <w:sz w:val="21"/>
                <w:szCs w:val="21"/>
                <w14:ligatures w14:val="none"/>
              </w:rPr>
              <w:t>条</w:t>
            </w:r>
          </w:p>
        </w:tc>
        <w:tc>
          <w:tcPr>
            <w:tcW w:w="1142" w:type="pct"/>
            <w:vAlign w:val="center"/>
          </w:tcPr>
          <w:p w14:paraId="36E549EA">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站内单车道</w:t>
            </w:r>
            <w:r>
              <w:rPr>
                <w:rFonts w:hint="default" w:ascii="Times New Roman" w:hAnsi="Times New Roman" w:eastAsia="宋体" w:cs="Times New Roman"/>
                <w:bCs/>
                <w:sz w:val="21"/>
                <w:szCs w:val="21"/>
                <w:lang w:val="en-US" w:eastAsia="zh-CN"/>
                <w14:ligatures w14:val="none"/>
              </w:rPr>
              <w:t>宽度为</w:t>
            </w:r>
            <w:r>
              <w:rPr>
                <w:rFonts w:hint="eastAsia" w:ascii="Times New Roman" w:hAnsi="Times New Roman" w:eastAsia="宋体" w:cs="Times New Roman"/>
                <w:bCs/>
                <w:sz w:val="21"/>
                <w:szCs w:val="21"/>
                <w:highlight w:val="none"/>
                <w:lang w:val="en-US" w:eastAsia="zh-CN"/>
                <w14:ligatures w14:val="none"/>
              </w:rPr>
              <w:t>7.0</w:t>
            </w:r>
            <w:r>
              <w:rPr>
                <w:rFonts w:hint="default" w:ascii="Times New Roman" w:hAnsi="Times New Roman" w:eastAsia="宋体" w:cs="Times New Roman"/>
                <w:bCs/>
                <w:sz w:val="21"/>
                <w:szCs w:val="21"/>
                <w:highlight w:val="none"/>
                <w:lang w:val="en-US" w:eastAsia="zh-CN"/>
                <w14:ligatures w14:val="none"/>
              </w:rPr>
              <w:t>m，</w:t>
            </w:r>
            <w:r>
              <w:rPr>
                <w:rFonts w:hint="default" w:ascii="Times New Roman" w:hAnsi="Times New Roman" w:eastAsia="宋体" w:cs="Times New Roman"/>
                <w:bCs/>
                <w:sz w:val="21"/>
                <w:szCs w:val="21"/>
                <w:highlight w:val="none"/>
                <w14:ligatures w14:val="none"/>
              </w:rPr>
              <w:t>双车道停车位</w:t>
            </w:r>
            <w:r>
              <w:rPr>
                <w:rFonts w:hint="default" w:ascii="Times New Roman" w:hAnsi="Times New Roman" w:eastAsia="宋体" w:cs="Times New Roman"/>
                <w:bCs/>
                <w:sz w:val="21"/>
                <w:szCs w:val="21"/>
                <w:highlight w:val="none"/>
                <w:lang w:val="en-US" w:eastAsia="zh-CN"/>
                <w14:ligatures w14:val="none"/>
              </w:rPr>
              <w:t>为</w:t>
            </w:r>
            <w:r>
              <w:rPr>
                <w:rFonts w:hint="eastAsia" w:ascii="Times New Roman" w:hAnsi="Times New Roman" w:eastAsia="宋体" w:cs="Times New Roman"/>
                <w:bCs/>
                <w:sz w:val="21"/>
                <w:szCs w:val="21"/>
                <w:highlight w:val="none"/>
                <w:lang w:val="en-US" w:eastAsia="zh-CN"/>
                <w14:ligatures w14:val="none"/>
              </w:rPr>
              <w:t>9.0</w:t>
            </w:r>
            <w:r>
              <w:rPr>
                <w:rFonts w:hint="default" w:ascii="Times New Roman" w:hAnsi="Times New Roman" w:eastAsia="宋体" w:cs="Times New Roman"/>
                <w:bCs/>
                <w:sz w:val="21"/>
                <w:szCs w:val="21"/>
                <w:highlight w:val="none"/>
                <w14:ligatures w14:val="none"/>
              </w:rPr>
              <w:t>m。</w:t>
            </w:r>
            <w:r>
              <w:rPr>
                <w:rFonts w:hint="default" w:ascii="Times New Roman" w:hAnsi="Times New Roman" w:eastAsia="宋体" w:cs="Times New Roman"/>
                <w:bCs/>
                <w:sz w:val="21"/>
                <w:szCs w:val="21"/>
                <w14:ligatures w14:val="none"/>
              </w:rPr>
              <w:t>站内的道路转弯半径不小于9m。站内停车位为平坡，道路坡度不大于8%，且坡向站外</w:t>
            </w:r>
            <w:r>
              <w:rPr>
                <w:rFonts w:hint="default" w:ascii="Times New Roman" w:hAnsi="Times New Roman" w:eastAsia="宋体" w:cs="Times New Roman"/>
                <w:bCs/>
                <w:sz w:val="21"/>
                <w:szCs w:val="21"/>
                <w:lang w:eastAsia="zh-CN"/>
                <w14:ligatures w14:val="none"/>
              </w:rPr>
              <w:t>。</w:t>
            </w:r>
            <w:r>
              <w:rPr>
                <w:rFonts w:hint="default" w:ascii="Times New Roman" w:hAnsi="Times New Roman" w:eastAsia="宋体" w:cs="Times New Roman"/>
                <w:bCs/>
                <w:sz w:val="21"/>
                <w:szCs w:val="21"/>
                <w14:ligatures w14:val="none"/>
              </w:rPr>
              <w:t>加油作业区内的停车位和道路路面不采用沥青路面</w:t>
            </w:r>
          </w:p>
        </w:tc>
        <w:tc>
          <w:tcPr>
            <w:tcW w:w="403" w:type="pct"/>
            <w:vAlign w:val="center"/>
          </w:tcPr>
          <w:p w14:paraId="373375A9">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符合</w:t>
            </w:r>
          </w:p>
        </w:tc>
      </w:tr>
      <w:tr w14:paraId="246A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64DF02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257EE43">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3</w:t>
            </w:r>
            <w:r>
              <w:rPr>
                <w:rFonts w:hint="default" w:ascii="Times New Roman" w:hAnsi="Times New Roman" w:eastAsia="宋体" w:cs="Times New Roman"/>
                <w:spacing w:val="10"/>
                <w:sz w:val="21"/>
                <w:szCs w:val="21"/>
                <w14:ligatures w14:val="none"/>
              </w:rPr>
              <w:t>、作业区与辅助服务区之间应有界线标识。</w:t>
            </w:r>
          </w:p>
        </w:tc>
        <w:tc>
          <w:tcPr>
            <w:tcW w:w="1020" w:type="pct"/>
            <w:vAlign w:val="center"/>
          </w:tcPr>
          <w:p w14:paraId="7B69FBF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50156-2021</w:t>
            </w:r>
          </w:p>
          <w:p w14:paraId="325C6A37">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第5.0.3条</w:t>
            </w:r>
          </w:p>
        </w:tc>
        <w:tc>
          <w:tcPr>
            <w:tcW w:w="1142" w:type="pct"/>
            <w:vAlign w:val="center"/>
          </w:tcPr>
          <w:p w14:paraId="1E638CC9">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加油作业区与辅助服务区之间有界线标识</w:t>
            </w:r>
          </w:p>
        </w:tc>
        <w:tc>
          <w:tcPr>
            <w:tcW w:w="403" w:type="pct"/>
            <w:vAlign w:val="center"/>
          </w:tcPr>
          <w:p w14:paraId="6C1CB57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35BBC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2082C97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5478DECF">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4</w:t>
            </w:r>
            <w:r>
              <w:rPr>
                <w:rFonts w:hint="default" w:ascii="Times New Roman" w:hAnsi="Times New Roman" w:eastAsia="宋体" w:cs="Times New Roman"/>
                <w:spacing w:val="10"/>
                <w:sz w:val="21"/>
                <w:szCs w:val="21"/>
                <w14:ligatures w14:val="none"/>
              </w:rPr>
              <w:t>、加油站作业区内，不得有“明火地点”或“散发火花地点”。</w:t>
            </w:r>
          </w:p>
        </w:tc>
        <w:tc>
          <w:tcPr>
            <w:tcW w:w="1020" w:type="pct"/>
            <w:vAlign w:val="center"/>
          </w:tcPr>
          <w:p w14:paraId="67C24AE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50156-2021</w:t>
            </w:r>
          </w:p>
          <w:p w14:paraId="3C088497">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第5.0.5条</w:t>
            </w:r>
          </w:p>
        </w:tc>
        <w:tc>
          <w:tcPr>
            <w:tcW w:w="1142" w:type="pct"/>
            <w:vAlign w:val="center"/>
          </w:tcPr>
          <w:p w14:paraId="2DD36315">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加油作业区内，未有“明火地点”或“散发火花地点”</w:t>
            </w:r>
          </w:p>
        </w:tc>
        <w:tc>
          <w:tcPr>
            <w:tcW w:w="403" w:type="pct"/>
            <w:vAlign w:val="center"/>
          </w:tcPr>
          <w:p w14:paraId="218CE86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65066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FDA343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1D88D29">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5、</w:t>
            </w:r>
            <w:r>
              <w:rPr>
                <w:rFonts w:hint="default" w:ascii="Times New Roman" w:hAnsi="Times New Roman" w:eastAsia="宋体" w:cs="Times New Roman"/>
                <w:spacing w:val="10"/>
                <w:sz w:val="21"/>
                <w:szCs w:val="21"/>
                <w14:ligatures w14:val="none"/>
              </w:rPr>
              <w:t>加油站的变配电间或室外变压器应布置在作业区之外。变配电间的起算点应为门窗等洞口</w:t>
            </w:r>
          </w:p>
        </w:tc>
        <w:tc>
          <w:tcPr>
            <w:tcW w:w="1020" w:type="pct"/>
            <w:shd w:val="clear" w:color="auto" w:fill="auto"/>
            <w:vAlign w:val="center"/>
          </w:tcPr>
          <w:p w14:paraId="6F5E242F">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50156-2021</w:t>
            </w:r>
          </w:p>
          <w:p w14:paraId="488C61C5">
            <w:pPr>
              <w:adjustRightInd/>
              <w:snapToGrid/>
              <w:spacing w:line="240" w:lineRule="auto"/>
              <w:ind w:firstLine="0" w:firstLineChars="0"/>
              <w:jc w:val="center"/>
              <w:rPr>
                <w:rFonts w:hint="default" w:ascii="Times New Roman" w:hAnsi="Times New Roman" w:eastAsia="宋体" w:cs="Times New Roman"/>
                <w:bCs/>
                <w:kern w:val="2"/>
                <w:sz w:val="21"/>
                <w:szCs w:val="21"/>
                <w:lang w:val="en-US" w:eastAsia="zh-CN" w:bidi="ar-SA"/>
                <w14:ligatures w14:val="none"/>
              </w:rPr>
            </w:pPr>
            <w:r>
              <w:rPr>
                <w:rFonts w:hint="default" w:ascii="Times New Roman" w:hAnsi="Times New Roman" w:eastAsia="宋体" w:cs="Times New Roman"/>
                <w:bCs/>
                <w:sz w:val="21"/>
                <w:szCs w:val="21"/>
                <w14:ligatures w14:val="none"/>
              </w:rPr>
              <w:t>第5.0.</w:t>
            </w:r>
            <w:r>
              <w:rPr>
                <w:rFonts w:hint="default" w:ascii="Times New Roman" w:hAnsi="Times New Roman" w:eastAsia="宋体" w:cs="Times New Roman"/>
                <w:bCs/>
                <w:sz w:val="21"/>
                <w:szCs w:val="21"/>
                <w:lang w:val="en-US" w:eastAsia="zh-CN"/>
                <w14:ligatures w14:val="none"/>
              </w:rPr>
              <w:t>8</w:t>
            </w:r>
            <w:r>
              <w:rPr>
                <w:rFonts w:hint="default" w:ascii="Times New Roman" w:hAnsi="Times New Roman" w:eastAsia="宋体" w:cs="Times New Roman"/>
                <w:bCs/>
                <w:sz w:val="21"/>
                <w:szCs w:val="21"/>
                <w14:ligatures w14:val="none"/>
              </w:rPr>
              <w:t>条</w:t>
            </w:r>
          </w:p>
        </w:tc>
        <w:tc>
          <w:tcPr>
            <w:tcW w:w="1142" w:type="pct"/>
            <w:vAlign w:val="center"/>
          </w:tcPr>
          <w:p w14:paraId="128F2D78">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加油站的变配电间布置在爆炸危险区域之外，且与爆炸危险区域边界线的距离不小于3m。变配电间的起算点为门窗等洞口</w:t>
            </w:r>
          </w:p>
        </w:tc>
        <w:tc>
          <w:tcPr>
            <w:tcW w:w="403" w:type="pct"/>
            <w:vAlign w:val="center"/>
          </w:tcPr>
          <w:p w14:paraId="36CFCDD1">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符合</w:t>
            </w:r>
          </w:p>
        </w:tc>
      </w:tr>
      <w:tr w14:paraId="1B70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3FDA5FD">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5C30FF9C">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6</w:t>
            </w:r>
            <w:r>
              <w:rPr>
                <w:rFonts w:hint="default" w:ascii="Times New Roman" w:hAnsi="Times New Roman" w:eastAsia="宋体" w:cs="Times New Roman"/>
                <w:spacing w:val="10"/>
                <w:sz w:val="21"/>
                <w:szCs w:val="21"/>
                <w14:ligatures w14:val="none"/>
              </w:rPr>
              <w:t>、汽车加油站内的爆炸危险区域，不应超出站区围墙和可用地界线。</w:t>
            </w:r>
          </w:p>
        </w:tc>
        <w:tc>
          <w:tcPr>
            <w:tcW w:w="1020" w:type="pct"/>
            <w:vAlign w:val="center"/>
          </w:tcPr>
          <w:p w14:paraId="7493B280">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50156-2021</w:t>
            </w:r>
          </w:p>
          <w:p w14:paraId="5ECAEA66">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第5.0.11条</w:t>
            </w:r>
          </w:p>
        </w:tc>
        <w:tc>
          <w:tcPr>
            <w:tcW w:w="1142" w:type="pct"/>
            <w:vAlign w:val="center"/>
          </w:tcPr>
          <w:p w14:paraId="298F2605">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加油站内的爆炸危险区域，不超出站区围墙和可用地界线</w:t>
            </w:r>
          </w:p>
        </w:tc>
        <w:tc>
          <w:tcPr>
            <w:tcW w:w="403" w:type="pct"/>
            <w:vAlign w:val="center"/>
          </w:tcPr>
          <w:p w14:paraId="73B254E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CD65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AED081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88657DF">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7、</w:t>
            </w:r>
            <w:r>
              <w:rPr>
                <w:rFonts w:hint="default" w:ascii="Times New Roman" w:hAnsi="Times New Roman" w:eastAsia="宋体" w:cs="Times New Roman"/>
                <w:spacing w:val="10"/>
                <w:sz w:val="21"/>
                <w:szCs w:val="21"/>
                <w14:ligatures w14:val="none"/>
              </w:rPr>
              <w:t>汽车加油站的工艺设备与站外建（构）筑物之间，宜设置不燃烧体实体围墙，围墙高度相对于站内和站外地坪均不宜低于2.2m。当汽车加油加气加氢站的工艺设备与站外建（构）筑物之间的距离大于本标准表4.0.4~表4.0.8中安全间距的1.5倍，且大于25m时，可设置非实体围墙。面向车辆入口和出口道路的一侧可设非实体围墙或不设围墙。</w:t>
            </w:r>
          </w:p>
        </w:tc>
        <w:tc>
          <w:tcPr>
            <w:tcW w:w="1020" w:type="pct"/>
            <w:shd w:val="clear" w:color="auto" w:fill="auto"/>
            <w:vAlign w:val="center"/>
          </w:tcPr>
          <w:p w14:paraId="0071456D">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50156-2021</w:t>
            </w:r>
          </w:p>
          <w:p w14:paraId="56912A48">
            <w:pPr>
              <w:adjustRightInd/>
              <w:snapToGrid/>
              <w:spacing w:line="240" w:lineRule="auto"/>
              <w:ind w:firstLine="0" w:firstLineChars="0"/>
              <w:jc w:val="center"/>
              <w:rPr>
                <w:rFonts w:hint="default" w:ascii="Times New Roman" w:hAnsi="Times New Roman" w:eastAsia="宋体" w:cs="Times New Roman"/>
                <w:bCs/>
                <w:kern w:val="2"/>
                <w:sz w:val="21"/>
                <w:szCs w:val="21"/>
                <w:lang w:val="en-US" w:eastAsia="zh-CN" w:bidi="ar-SA"/>
                <w14:ligatures w14:val="none"/>
              </w:rPr>
            </w:pPr>
            <w:r>
              <w:rPr>
                <w:rFonts w:hint="default" w:ascii="Times New Roman" w:hAnsi="Times New Roman" w:eastAsia="宋体" w:cs="Times New Roman"/>
                <w:bCs/>
                <w:sz w:val="21"/>
                <w:szCs w:val="21"/>
                <w14:ligatures w14:val="none"/>
              </w:rPr>
              <w:t>第5.0.</w:t>
            </w:r>
            <w:r>
              <w:rPr>
                <w:rFonts w:hint="default" w:ascii="Times New Roman" w:hAnsi="Times New Roman" w:eastAsia="宋体" w:cs="Times New Roman"/>
                <w:bCs/>
                <w:sz w:val="21"/>
                <w:szCs w:val="21"/>
                <w:lang w:val="en-US" w:eastAsia="zh-CN"/>
                <w14:ligatures w14:val="none"/>
              </w:rPr>
              <w:t>12</w:t>
            </w:r>
            <w:r>
              <w:rPr>
                <w:rFonts w:hint="default" w:ascii="Times New Roman" w:hAnsi="Times New Roman" w:eastAsia="宋体" w:cs="Times New Roman"/>
                <w:bCs/>
                <w:sz w:val="21"/>
                <w:szCs w:val="21"/>
                <w14:ligatures w14:val="none"/>
              </w:rPr>
              <w:t>条</w:t>
            </w:r>
          </w:p>
        </w:tc>
        <w:tc>
          <w:tcPr>
            <w:tcW w:w="1142" w:type="pct"/>
            <w:vAlign w:val="center"/>
          </w:tcPr>
          <w:p w14:paraId="40774374">
            <w:pPr>
              <w:spacing w:line="240" w:lineRule="auto"/>
              <w:ind w:firstLine="0" w:firstLineChars="0"/>
              <w:rPr>
                <w:rFonts w:hint="default" w:ascii="Times New Roman" w:hAnsi="Times New Roman" w:eastAsia="宋体" w:cs="Times New Roman"/>
                <w:bCs/>
                <w:sz w:val="21"/>
                <w:szCs w:val="21"/>
                <w:lang w:val="en-US" w:eastAsia="zh-CN"/>
                <w14:ligatures w14:val="none"/>
              </w:rPr>
            </w:pPr>
            <w:r>
              <w:rPr>
                <w:rFonts w:hint="default" w:ascii="Times New Roman" w:hAnsi="Times New Roman" w:eastAsia="宋体" w:cs="Times New Roman"/>
                <w:bCs/>
                <w:sz w:val="21"/>
                <w:szCs w:val="21"/>
                <w:lang w:val="en-US" w:eastAsia="zh-CN"/>
                <w14:ligatures w14:val="none"/>
              </w:rPr>
              <w:t>围墙的设置符合要求</w:t>
            </w:r>
          </w:p>
        </w:tc>
        <w:tc>
          <w:tcPr>
            <w:tcW w:w="403" w:type="pct"/>
            <w:vAlign w:val="center"/>
          </w:tcPr>
          <w:p w14:paraId="5DE335E3">
            <w:pPr>
              <w:adjustRightInd/>
              <w:snapToGrid/>
              <w:spacing w:line="240" w:lineRule="auto"/>
              <w:ind w:firstLine="0" w:firstLineChars="0"/>
              <w:jc w:val="center"/>
              <w:rPr>
                <w:rFonts w:hint="default" w:ascii="Times New Roman" w:hAnsi="Times New Roman" w:eastAsia="宋体" w:cs="Times New Roman"/>
                <w:sz w:val="21"/>
                <w:szCs w:val="21"/>
                <w:lang w:eastAsia="zh-CN"/>
                <w14:ligatures w14:val="none"/>
              </w:rPr>
            </w:pPr>
            <w:r>
              <w:rPr>
                <w:rFonts w:hint="default" w:ascii="Times New Roman" w:hAnsi="Times New Roman" w:eastAsia="宋体" w:cs="Times New Roman"/>
                <w:sz w:val="21"/>
                <w:szCs w:val="21"/>
                <w:lang w:val="en-US" w:eastAsia="zh-CN"/>
                <w14:ligatures w14:val="none"/>
              </w:rPr>
              <w:t>符合</w:t>
            </w:r>
          </w:p>
        </w:tc>
      </w:tr>
      <w:tr w14:paraId="0D535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4C748FD">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61978D6">
            <w:pPr>
              <w:spacing w:line="240" w:lineRule="auto"/>
              <w:ind w:firstLine="0" w:firstLineChars="0"/>
              <w:rPr>
                <w:rFonts w:hint="default" w:ascii="Times New Roman" w:hAnsi="Times New Roman" w:eastAsia="宋体" w:cs="Times New Roman"/>
                <w:spacing w:val="10"/>
                <w:sz w:val="21"/>
                <w:szCs w:val="21"/>
                <w14:ligatures w14:val="none"/>
              </w:rPr>
            </w:pPr>
            <w:r>
              <w:rPr>
                <w:rFonts w:hint="eastAsia" w:ascii="Times New Roman" w:hAnsi="Times New Roman" w:eastAsia="宋体" w:cs="Times New Roman"/>
                <w:color w:val="auto"/>
                <w:sz w:val="22"/>
                <w:szCs w:val="22"/>
                <w:highlight w:val="none"/>
                <w:lang w:val="en-US" w:eastAsia="zh-CN"/>
              </w:rPr>
              <w:t>8</w:t>
            </w:r>
            <w:r>
              <w:rPr>
                <w:rFonts w:hint="default" w:ascii="Times New Roman" w:hAnsi="Times New Roman" w:eastAsia="宋体" w:cs="Times New Roman"/>
                <w:color w:val="auto"/>
                <w:sz w:val="22"/>
                <w:szCs w:val="22"/>
                <w:highlight w:val="none"/>
                <w:lang w:val="en-US" w:eastAsia="zh-CN"/>
              </w:rPr>
              <w:t>、</w:t>
            </w:r>
            <w:r>
              <w:rPr>
                <w:rFonts w:hint="default" w:ascii="Times New Roman" w:hAnsi="Times New Roman" w:eastAsia="宋体" w:cs="Times New Roman"/>
                <w:color w:val="auto"/>
                <w:sz w:val="22"/>
                <w:szCs w:val="22"/>
                <w:highlight w:val="none"/>
              </w:rPr>
              <w:t>化工装置区、油库、罐区、化学危险品仓库等危险区应设置永久性“严禁烟火”标志。</w:t>
            </w:r>
          </w:p>
        </w:tc>
        <w:tc>
          <w:tcPr>
            <w:tcW w:w="1020" w:type="pct"/>
            <w:shd w:val="clear" w:color="auto" w:fill="auto"/>
            <w:vAlign w:val="center"/>
          </w:tcPr>
          <w:p w14:paraId="53FE2D86">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HG 20571-2014第6.2.2条</w:t>
            </w:r>
          </w:p>
        </w:tc>
        <w:tc>
          <w:tcPr>
            <w:tcW w:w="1142" w:type="pct"/>
            <w:vAlign w:val="center"/>
          </w:tcPr>
          <w:p w14:paraId="3C9AD685">
            <w:pPr>
              <w:spacing w:line="240" w:lineRule="auto"/>
              <w:ind w:firstLine="0" w:firstLineChars="0"/>
              <w:rPr>
                <w:rFonts w:hint="default" w:ascii="Times New Roman" w:hAnsi="Times New Roman" w:eastAsia="宋体" w:cs="Times New Roman"/>
                <w:bCs/>
                <w:sz w:val="21"/>
                <w:szCs w:val="21"/>
                <w:lang w:val="en-US" w:eastAsia="zh-CN"/>
                <w14:ligatures w14:val="none"/>
              </w:rPr>
            </w:pPr>
            <w:r>
              <w:rPr>
                <w:rFonts w:hint="default" w:ascii="Times New Roman" w:hAnsi="Times New Roman" w:eastAsia="宋体" w:cs="Times New Roman"/>
                <w:bCs/>
                <w:sz w:val="21"/>
                <w:szCs w:val="21"/>
                <w:lang w:val="en-US" w:eastAsia="zh-CN"/>
                <w14:ligatures w14:val="none"/>
              </w:rPr>
              <w:t>设置“严禁烟火”标志</w:t>
            </w:r>
          </w:p>
        </w:tc>
        <w:tc>
          <w:tcPr>
            <w:tcW w:w="403" w:type="pct"/>
            <w:vAlign w:val="center"/>
          </w:tcPr>
          <w:p w14:paraId="2D47804A">
            <w:pPr>
              <w:adjustRightInd/>
              <w:snapToGrid/>
              <w:spacing w:line="240" w:lineRule="auto"/>
              <w:ind w:firstLine="0" w:firstLineChars="0"/>
              <w:jc w:val="center"/>
              <w:rPr>
                <w:rFonts w:hint="default" w:ascii="Times New Roman" w:hAnsi="Times New Roman" w:eastAsia="宋体" w:cs="Times New Roman"/>
                <w:sz w:val="21"/>
                <w:szCs w:val="21"/>
                <w:lang w:val="en-US" w:eastAsia="zh-CN"/>
                <w14:ligatures w14:val="none"/>
              </w:rPr>
            </w:pPr>
            <w:r>
              <w:rPr>
                <w:rFonts w:hint="default" w:ascii="Times New Roman" w:hAnsi="Times New Roman" w:eastAsia="宋体" w:cs="Times New Roman"/>
                <w:sz w:val="21"/>
                <w:szCs w:val="21"/>
                <w:lang w:val="en-US" w:eastAsia="zh-CN"/>
                <w14:ligatures w14:val="none"/>
              </w:rPr>
              <w:t>符合</w:t>
            </w:r>
          </w:p>
        </w:tc>
      </w:tr>
      <w:tr w14:paraId="5440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5000" w:type="pct"/>
            <w:gridSpan w:val="5"/>
            <w:vAlign w:val="center"/>
          </w:tcPr>
          <w:p w14:paraId="747C010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四、事故应急及安全管理</w:t>
            </w:r>
          </w:p>
        </w:tc>
      </w:tr>
      <w:tr w14:paraId="20C5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Align w:val="center"/>
          </w:tcPr>
          <w:p w14:paraId="4F634BC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事故应急</w:t>
            </w:r>
          </w:p>
        </w:tc>
        <w:tc>
          <w:tcPr>
            <w:tcW w:w="1991" w:type="pct"/>
            <w:vAlign w:val="center"/>
          </w:tcPr>
          <w:p w14:paraId="2F5EC299">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default" w:ascii="Times New Roman" w:hAnsi="Times New Roman" w:eastAsia="宋体" w:cs="Times New Roman"/>
                <w:spacing w:val="10"/>
                <w:sz w:val="21"/>
                <w:szCs w:val="21"/>
                <w:highlight w:val="none"/>
                <w14:ligatures w14:val="none"/>
              </w:rPr>
              <w:t>1、</w:t>
            </w:r>
            <w:r>
              <w:rPr>
                <w:rFonts w:hint="eastAsia" w:ascii="Times New Roman" w:hAnsi="Times New Roman" w:eastAsia="宋体" w:cs="Times New Roman"/>
                <w:spacing w:val="10"/>
                <w:sz w:val="21"/>
                <w:szCs w:val="21"/>
                <w:highlight w:val="none"/>
                <w:lang w:eastAsia="zh-CN"/>
                <w14:ligatures w14:val="none"/>
              </w:rPr>
              <w:t>沈阳市于洪区大兴乡星火特加油站</w:t>
            </w:r>
            <w:r>
              <w:rPr>
                <w:rFonts w:hint="default" w:ascii="Times New Roman" w:hAnsi="Times New Roman" w:eastAsia="宋体" w:cs="Times New Roman"/>
                <w:spacing w:val="10"/>
                <w:sz w:val="21"/>
                <w:szCs w:val="21"/>
                <w:highlight w:val="none"/>
                <w:lang w:eastAsia="zh-CN"/>
                <w14:ligatures w14:val="none"/>
              </w:rPr>
              <w:t>根据《生产经营单位生产安全事故应急预案编制导则》（GB/T 29639-2020）要求编写了危险化学品事故应急救援预案，应急救援预案主要内容应包括：总则、事故风险描述、应急组织机构及职责、预警及信息报告、应急响应、信息公开、后期处置、保障措施、应急预案管理等，事故应急救援预案符合要求。加油站根据本次改造后，修订应急预案。</w:t>
            </w:r>
          </w:p>
        </w:tc>
        <w:tc>
          <w:tcPr>
            <w:tcW w:w="1020" w:type="pct"/>
            <w:vAlign w:val="center"/>
          </w:tcPr>
          <w:p w14:paraId="615C2EFD">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《生产经营单位生产安全事故应急预案编制导则》（GB/T 29639-2020）</w:t>
            </w:r>
          </w:p>
        </w:tc>
        <w:tc>
          <w:tcPr>
            <w:tcW w:w="1142" w:type="pct"/>
            <w:vAlign w:val="center"/>
          </w:tcPr>
          <w:p w14:paraId="28837DB9">
            <w:pPr>
              <w:spacing w:line="240" w:lineRule="auto"/>
              <w:ind w:firstLine="0" w:firstLineChars="0"/>
              <w:rPr>
                <w:rFonts w:hint="default" w:ascii="Times New Roman" w:hAnsi="Times New Roman" w:eastAsia="宋体" w:cs="Times New Roman"/>
                <w:bCs/>
                <w:sz w:val="21"/>
                <w:szCs w:val="21"/>
                <w:lang w:val="en-US" w:eastAsia="zh-CN"/>
                <w14:ligatures w14:val="none"/>
              </w:rPr>
            </w:pPr>
            <w:r>
              <w:rPr>
                <w:rFonts w:hint="default" w:ascii="Times New Roman" w:hAnsi="Times New Roman" w:eastAsia="宋体" w:cs="Times New Roman"/>
                <w:bCs/>
                <w:sz w:val="21"/>
                <w:szCs w:val="21"/>
                <w14:ligatures w14:val="none"/>
              </w:rPr>
              <w:t>企业已</w:t>
            </w:r>
            <w:r>
              <w:rPr>
                <w:rFonts w:hint="eastAsia" w:ascii="Times New Roman" w:hAnsi="Times New Roman" w:eastAsia="宋体" w:cs="Times New Roman"/>
                <w:bCs/>
                <w:sz w:val="21"/>
                <w:szCs w:val="21"/>
                <w:lang w:val="en-US" w:eastAsia="zh-CN"/>
                <w14:ligatures w14:val="none"/>
              </w:rPr>
              <w:t>取得沈阳市应急管理局的备案表，并进行修订</w:t>
            </w:r>
          </w:p>
        </w:tc>
        <w:tc>
          <w:tcPr>
            <w:tcW w:w="403" w:type="pct"/>
            <w:vAlign w:val="center"/>
          </w:tcPr>
          <w:p w14:paraId="577AE59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CF49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restart"/>
            <w:vAlign w:val="center"/>
          </w:tcPr>
          <w:p w14:paraId="51C69E2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安全管理</w:t>
            </w:r>
          </w:p>
        </w:tc>
        <w:tc>
          <w:tcPr>
            <w:tcW w:w="1991" w:type="pct"/>
            <w:vAlign w:val="center"/>
          </w:tcPr>
          <w:p w14:paraId="4BAD331A">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default" w:ascii="Times New Roman" w:hAnsi="Times New Roman" w:eastAsia="宋体" w:cs="Times New Roman"/>
                <w:spacing w:val="10"/>
                <w:sz w:val="21"/>
                <w:szCs w:val="21"/>
                <w:highlight w:val="none"/>
                <w14:ligatures w14:val="none"/>
              </w:rPr>
              <w:t>2、危险化学品建设项目必须由具备相应资质和相关设计经验的设计单位负责设计，设计单位要加强安全设计审查工作，建设项目设计要以保证安全生产为前提，合理布局，选择成熟、可靠的工艺路线、设备设施，配备完善的自动化控制系统。</w:t>
            </w:r>
          </w:p>
        </w:tc>
        <w:tc>
          <w:tcPr>
            <w:tcW w:w="1020" w:type="pct"/>
            <w:vAlign w:val="center"/>
          </w:tcPr>
          <w:p w14:paraId="4E8E417D">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《关于开展提升危险化学品领域本质安全水平专项行动的通知》（安监总管三〔2012〕87号）</w:t>
            </w:r>
          </w:p>
        </w:tc>
        <w:tc>
          <w:tcPr>
            <w:tcW w:w="1142" w:type="pct"/>
            <w:vAlign w:val="center"/>
          </w:tcPr>
          <w:p w14:paraId="42733878">
            <w:pPr>
              <w:spacing w:line="240" w:lineRule="auto"/>
              <w:ind w:firstLine="0" w:firstLineChars="0"/>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本项目由具备相应资质和相关设计经验的设计单位负责设计</w:t>
            </w:r>
          </w:p>
        </w:tc>
        <w:tc>
          <w:tcPr>
            <w:tcW w:w="403" w:type="pct"/>
            <w:vAlign w:val="center"/>
          </w:tcPr>
          <w:p w14:paraId="594A2830">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符合</w:t>
            </w:r>
          </w:p>
        </w:tc>
      </w:tr>
      <w:tr w14:paraId="59F1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941DFE6">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3F372963">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default" w:ascii="Times New Roman" w:hAnsi="Times New Roman" w:eastAsia="宋体" w:cs="Times New Roman"/>
                <w:spacing w:val="10"/>
                <w:sz w:val="21"/>
                <w:szCs w:val="21"/>
                <w:highlight w:val="none"/>
                <w14:ligatures w14:val="none"/>
              </w:rPr>
              <w:t>3、建设项目的设计、施工、监理单位和安全评价机构应当具备相应的资质，并对其工作成果负责。涉及重点监管危险化工工艺、重点监管危险化学品或者危险化学品重大危险源的建设项目，应当由具有石油化工医药行业等相应资质的设计单位设计。</w:t>
            </w:r>
          </w:p>
        </w:tc>
        <w:tc>
          <w:tcPr>
            <w:tcW w:w="1020" w:type="pct"/>
            <w:vAlign w:val="center"/>
          </w:tcPr>
          <w:p w14:paraId="423B8299">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《辽宁省危险化学品建设项目安全监督管理实施细则》（辽安监管三〔2016〕24号）</w:t>
            </w:r>
          </w:p>
        </w:tc>
        <w:tc>
          <w:tcPr>
            <w:tcW w:w="1142" w:type="pct"/>
            <w:vAlign w:val="center"/>
          </w:tcPr>
          <w:p w14:paraId="000DF3F0">
            <w:pPr>
              <w:spacing w:line="240" w:lineRule="auto"/>
              <w:ind w:firstLine="0" w:firstLineChars="0"/>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本项目的设计、施工和安全评价机构均具备相应的资质</w:t>
            </w:r>
          </w:p>
        </w:tc>
        <w:tc>
          <w:tcPr>
            <w:tcW w:w="403" w:type="pct"/>
            <w:vAlign w:val="center"/>
          </w:tcPr>
          <w:p w14:paraId="3253F530">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符合</w:t>
            </w:r>
          </w:p>
        </w:tc>
      </w:tr>
      <w:tr w14:paraId="7BF1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449498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5A95883E">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default" w:ascii="Times New Roman" w:hAnsi="Times New Roman" w:eastAsia="宋体" w:cs="Times New Roman"/>
                <w:sz w:val="21"/>
                <w:szCs w:val="21"/>
                <w:highlight w:val="none"/>
                <w14:ligatures w14:val="none"/>
              </w:rPr>
              <w:t>4、矿山、金属冶炼、建筑施工、运输单位和危险物品的生产、经营、储存、装卸单位，应当设置安全生产管理机构或者配备专职安全生产管理人员。</w:t>
            </w:r>
          </w:p>
        </w:tc>
        <w:tc>
          <w:tcPr>
            <w:tcW w:w="1020" w:type="pct"/>
            <w:vAlign w:val="center"/>
          </w:tcPr>
          <w:p w14:paraId="35989D13">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sz w:val="21"/>
                <w:szCs w:val="21"/>
                <w:highlight w:val="none"/>
                <w14:ligatures w14:val="none"/>
              </w:rPr>
              <w:t>《中华人民共和国安全生产法》第二十四条</w:t>
            </w:r>
          </w:p>
        </w:tc>
        <w:tc>
          <w:tcPr>
            <w:tcW w:w="1142" w:type="pct"/>
            <w:vAlign w:val="center"/>
          </w:tcPr>
          <w:p w14:paraId="3ACEA09E">
            <w:pPr>
              <w:spacing w:line="240" w:lineRule="auto"/>
              <w:ind w:firstLine="0" w:firstLineChars="0"/>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sz w:val="21"/>
                <w:szCs w:val="21"/>
                <w:highlight w:val="none"/>
                <w14:ligatures w14:val="none"/>
              </w:rPr>
              <w:t>站内已配备1名专职安全员。</w:t>
            </w:r>
          </w:p>
        </w:tc>
        <w:tc>
          <w:tcPr>
            <w:tcW w:w="403" w:type="pct"/>
            <w:vAlign w:val="center"/>
          </w:tcPr>
          <w:p w14:paraId="23F4A883">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kern w:val="28"/>
                <w:sz w:val="21"/>
                <w:szCs w:val="21"/>
                <w:highlight w:val="none"/>
                <w14:ligatures w14:val="none"/>
              </w:rPr>
              <w:t>符合</w:t>
            </w:r>
          </w:p>
        </w:tc>
      </w:tr>
      <w:tr w14:paraId="31FA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1EB4BD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AC9A5EA">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default" w:ascii="Times New Roman" w:hAnsi="Times New Roman" w:eastAsia="宋体" w:cs="Times New Roman"/>
                <w:sz w:val="21"/>
                <w:szCs w:val="21"/>
                <w:highlight w:val="none"/>
                <w14:ligatures w14:val="none"/>
              </w:rPr>
              <w:t>5、生产经营单位新建、改建、扩建工程项目的安全设施，必须与主体工程同时设计、同时施工、同时投入生产和使用，安全设施投资应当纳入建设项目概算</w:t>
            </w:r>
          </w:p>
        </w:tc>
        <w:tc>
          <w:tcPr>
            <w:tcW w:w="1020" w:type="pct"/>
            <w:vAlign w:val="center"/>
          </w:tcPr>
          <w:p w14:paraId="14EED2EF">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sz w:val="21"/>
                <w:szCs w:val="21"/>
                <w:highlight w:val="none"/>
                <w14:ligatures w14:val="none"/>
              </w:rPr>
              <w:t>《中华人民共和国安全生产法》第三十一条</w:t>
            </w:r>
          </w:p>
        </w:tc>
        <w:tc>
          <w:tcPr>
            <w:tcW w:w="1142" w:type="pct"/>
            <w:vAlign w:val="center"/>
          </w:tcPr>
          <w:p w14:paraId="291ED4E5">
            <w:pPr>
              <w:spacing w:line="240" w:lineRule="auto"/>
              <w:ind w:firstLine="0" w:firstLineChars="0"/>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kern w:val="28"/>
                <w:sz w:val="21"/>
                <w:szCs w:val="21"/>
                <w:highlight w:val="none"/>
                <w14:ligatures w14:val="none"/>
              </w:rPr>
              <w:t>本项目三同时符合要求，本次评价为验收阶段，相关批复文件见附件</w:t>
            </w:r>
          </w:p>
        </w:tc>
        <w:tc>
          <w:tcPr>
            <w:tcW w:w="403" w:type="pct"/>
            <w:vAlign w:val="center"/>
          </w:tcPr>
          <w:p w14:paraId="1EDA2644">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kern w:val="28"/>
                <w:sz w:val="21"/>
                <w:szCs w:val="21"/>
                <w:highlight w:val="none"/>
                <w14:ligatures w14:val="none"/>
              </w:rPr>
              <w:t>符合</w:t>
            </w:r>
          </w:p>
        </w:tc>
      </w:tr>
      <w:tr w14:paraId="5E4B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77BC94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2E4E97B">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6、生产经营单位必须依法参加工伤保险，为从业人员缴纳保险费。国家鼓励生产经营单位投保安全生产责任保险；属于国家规定的高危行业、领域的生产经营单位，应当投保安全生产责任保险。</w:t>
            </w:r>
          </w:p>
        </w:tc>
        <w:tc>
          <w:tcPr>
            <w:tcW w:w="1020" w:type="pct"/>
            <w:vAlign w:val="center"/>
          </w:tcPr>
          <w:p w14:paraId="42DDDAD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《中华人民共和国安全生产法》第五十一条</w:t>
            </w:r>
          </w:p>
        </w:tc>
        <w:tc>
          <w:tcPr>
            <w:tcW w:w="1142" w:type="pct"/>
            <w:vAlign w:val="center"/>
          </w:tcPr>
          <w:p w14:paraId="54223F8E">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kern w:val="28"/>
                <w:sz w:val="21"/>
                <w:szCs w:val="21"/>
                <w14:ligatures w14:val="none"/>
              </w:rPr>
              <w:t>该站已为从业人员缴纳工伤保险及安全生产责任保险</w:t>
            </w:r>
          </w:p>
        </w:tc>
        <w:tc>
          <w:tcPr>
            <w:tcW w:w="403" w:type="pct"/>
            <w:vAlign w:val="center"/>
          </w:tcPr>
          <w:p w14:paraId="40ECFA4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kern w:val="28"/>
                <w:sz w:val="21"/>
                <w:szCs w:val="21"/>
                <w14:ligatures w14:val="none"/>
              </w:rPr>
              <w:t>符合</w:t>
            </w:r>
          </w:p>
        </w:tc>
      </w:tr>
      <w:tr w14:paraId="67FD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3EDC41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ADC2E5B">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7、建设单位应当在建设项目初步设计完成后、详细设计开始前，向出具建设项目设立安全评价意见书的安全生产监督管理部门申请建设项目安全设施设计审查。</w:t>
            </w:r>
          </w:p>
        </w:tc>
        <w:tc>
          <w:tcPr>
            <w:tcW w:w="1020" w:type="pct"/>
            <w:vAlign w:val="center"/>
          </w:tcPr>
          <w:p w14:paraId="7BEB33D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《危险化学品建设项目安全监督管理办法》（原国家安全生产监督管理总局令 第45号）第十六条</w:t>
            </w:r>
          </w:p>
        </w:tc>
        <w:tc>
          <w:tcPr>
            <w:tcW w:w="1142" w:type="pct"/>
            <w:vAlign w:val="center"/>
          </w:tcPr>
          <w:p w14:paraId="0931D18D">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本项目已取得安全设施设计审查意见书，详见附件</w:t>
            </w:r>
          </w:p>
        </w:tc>
        <w:tc>
          <w:tcPr>
            <w:tcW w:w="403" w:type="pct"/>
            <w:vAlign w:val="center"/>
          </w:tcPr>
          <w:p w14:paraId="5740B21D">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7410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104C02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E4CB1EB">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8、建设项目安全设施施工完成后，建设单位应当按照有关安全生产法律、法规、规章和国家标准、行业标准的规定，对建设项目安全设施进行检验、检测，保证建设项目安全设施满足危险化学品生产、储存的安全要求，并处于正常适用状态</w:t>
            </w:r>
          </w:p>
        </w:tc>
        <w:tc>
          <w:tcPr>
            <w:tcW w:w="1020" w:type="pct"/>
            <w:vAlign w:val="center"/>
          </w:tcPr>
          <w:p w14:paraId="5F527A15">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《危险化学品建设项目安全监督管理办法》（原国家安全生产监督管理总局令 第45号）第二十一条</w:t>
            </w:r>
          </w:p>
        </w:tc>
        <w:tc>
          <w:tcPr>
            <w:tcW w:w="1142" w:type="pct"/>
            <w:vAlign w:val="center"/>
          </w:tcPr>
          <w:p w14:paraId="7A225F40">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该站已对本项目的安全设施进行检验、检测，保证安全设施满足危险化学品生产、储存的安全要求，并处于正常适用状态</w:t>
            </w:r>
          </w:p>
        </w:tc>
        <w:tc>
          <w:tcPr>
            <w:tcW w:w="403" w:type="pct"/>
            <w:vAlign w:val="center"/>
          </w:tcPr>
          <w:p w14:paraId="13AD227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6FD26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2D45F7F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047B97E">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default" w:ascii="Times New Roman" w:hAnsi="Times New Roman" w:eastAsia="宋体" w:cs="Times New Roman"/>
                <w:spacing w:val="10"/>
                <w:sz w:val="21"/>
                <w:szCs w:val="21"/>
                <w:highlight w:val="none"/>
                <w14:ligatures w14:val="none"/>
              </w:rPr>
              <w:t>9、企业主要负责人和安全生产管理人员具备与本企业危险化学品经营活动相适应的安全生产知识和管理能力，经专门的安全生产培训和安全生产监督管理部门考核合格，取得相应安全资格证书；其他从业人员依照有关规定经安全生产教育和专业技术培训合格。</w:t>
            </w:r>
          </w:p>
        </w:tc>
        <w:tc>
          <w:tcPr>
            <w:tcW w:w="1020" w:type="pct"/>
            <w:vAlign w:val="center"/>
          </w:tcPr>
          <w:p w14:paraId="0AA3F809">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《危险化学品经营许可证管理办法》（国家安全监督管理总局令第55号）第六条（二）</w:t>
            </w:r>
          </w:p>
        </w:tc>
        <w:tc>
          <w:tcPr>
            <w:tcW w:w="1142" w:type="pct"/>
            <w:vAlign w:val="center"/>
          </w:tcPr>
          <w:p w14:paraId="4F6F1C0E">
            <w:pPr>
              <w:spacing w:line="240" w:lineRule="auto"/>
              <w:ind w:firstLine="0" w:firstLineChars="0"/>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主要负责人和安全生产管理人员均取得相应安全资格证书，其他从业人员依照有关规定培训合格</w:t>
            </w:r>
          </w:p>
        </w:tc>
        <w:tc>
          <w:tcPr>
            <w:tcW w:w="403" w:type="pct"/>
            <w:vAlign w:val="center"/>
          </w:tcPr>
          <w:p w14:paraId="7494140F">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符合</w:t>
            </w:r>
          </w:p>
        </w:tc>
      </w:tr>
      <w:tr w14:paraId="4BEA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994527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A2CE139">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default" w:ascii="Times New Roman" w:hAnsi="Times New Roman" w:eastAsia="宋体" w:cs="Times New Roman"/>
                <w:spacing w:val="10"/>
                <w:sz w:val="21"/>
                <w:szCs w:val="21"/>
                <w:highlight w:val="none"/>
                <w14:ligatures w14:val="none"/>
              </w:rPr>
              <w:t>10、经营单位应有健全的安全生产规章制度和岗位操作规程。前款规定的安全生产规章制度，是指全员安全生产责任制度、危险化学品购销管理制度、危险化学品安全管理制度（包括防火、防爆、防中毒、防泄漏管理等内容）、安全投入保障制度、安全生产奖惩制度、安全生产教育培训制度、隐患排查治理制度、安全风险管理制度、应急管理制度、事故管理制度、职业卫生管理制度等。</w:t>
            </w:r>
          </w:p>
        </w:tc>
        <w:tc>
          <w:tcPr>
            <w:tcW w:w="1020" w:type="pct"/>
            <w:vAlign w:val="center"/>
          </w:tcPr>
          <w:p w14:paraId="16C90573">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《危险化学品经营许可证管理办法》（国家安全监督管理总局令第55号）第六条（三）</w:t>
            </w:r>
          </w:p>
        </w:tc>
        <w:tc>
          <w:tcPr>
            <w:tcW w:w="1142" w:type="pct"/>
            <w:vAlign w:val="center"/>
          </w:tcPr>
          <w:p w14:paraId="38E2DA07">
            <w:pPr>
              <w:spacing w:line="240" w:lineRule="auto"/>
              <w:ind w:firstLine="0" w:firstLineChars="0"/>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企业有健全的安全生产规章制度和岗位操作规程</w:t>
            </w:r>
          </w:p>
        </w:tc>
        <w:tc>
          <w:tcPr>
            <w:tcW w:w="403" w:type="pct"/>
            <w:vAlign w:val="center"/>
          </w:tcPr>
          <w:p w14:paraId="71D322CB">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符合</w:t>
            </w:r>
          </w:p>
        </w:tc>
      </w:tr>
      <w:tr w14:paraId="6C9C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C43A84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A9C5C74">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11、施工开工前建设单位应组织或委托监理单位组织设计单位、施工单位进行设计交底﹑图纸会审。</w:t>
            </w:r>
          </w:p>
        </w:tc>
        <w:tc>
          <w:tcPr>
            <w:tcW w:w="1020" w:type="pct"/>
            <w:vAlign w:val="center"/>
          </w:tcPr>
          <w:p w14:paraId="647B8EA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50156-2021</w:t>
            </w:r>
          </w:p>
          <w:p w14:paraId="4B9396BF">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第15.1.2条</w:t>
            </w:r>
          </w:p>
        </w:tc>
        <w:tc>
          <w:tcPr>
            <w:tcW w:w="1142" w:type="pct"/>
            <w:vAlign w:val="center"/>
          </w:tcPr>
          <w:p w14:paraId="780AF799">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施工前企业已组织设计单位、施工单位进行设计交底﹑图纸会审</w:t>
            </w:r>
          </w:p>
        </w:tc>
        <w:tc>
          <w:tcPr>
            <w:tcW w:w="403" w:type="pct"/>
            <w:vAlign w:val="center"/>
          </w:tcPr>
          <w:p w14:paraId="57C99D1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2FF9D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8EC8AB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591B191">
            <w:pPr>
              <w:spacing w:line="240" w:lineRule="auto"/>
              <w:ind w:firstLine="0" w:firstLineChars="0"/>
              <w:rPr>
                <w:rFonts w:hint="default" w:ascii="Times New Roman" w:hAnsi="Times New Roman" w:eastAsia="宋体" w:cs="Times New Roman"/>
                <w:spacing w:val="10"/>
                <w:sz w:val="21"/>
                <w:szCs w:val="21"/>
                <w:highlight w:val="none"/>
                <w14:ligatures w14:val="none"/>
              </w:rPr>
            </w:pPr>
            <w:r>
              <w:rPr>
                <w:rFonts w:hint="default" w:ascii="Times New Roman" w:hAnsi="Times New Roman" w:eastAsia="宋体" w:cs="Times New Roman"/>
                <w:spacing w:val="10"/>
                <w:sz w:val="21"/>
                <w:szCs w:val="21"/>
                <w:highlight w:val="none"/>
                <w14:ligatures w14:val="none"/>
              </w:rPr>
              <w:t>12、施工用设备、检测设备性能应可靠，计量器具应经过检定或校准，处于合格状态，并应在有效期内使用。</w:t>
            </w:r>
          </w:p>
        </w:tc>
        <w:tc>
          <w:tcPr>
            <w:tcW w:w="1020" w:type="pct"/>
            <w:vAlign w:val="center"/>
          </w:tcPr>
          <w:p w14:paraId="602FC704">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GB 50156-2021</w:t>
            </w:r>
          </w:p>
          <w:p w14:paraId="7155FEE2">
            <w:pPr>
              <w:adjustRightInd/>
              <w:snapToGrid/>
              <w:spacing w:line="240" w:lineRule="auto"/>
              <w:ind w:firstLine="0" w:firstLineChars="0"/>
              <w:jc w:val="center"/>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第15.1.4条</w:t>
            </w:r>
          </w:p>
        </w:tc>
        <w:tc>
          <w:tcPr>
            <w:tcW w:w="1142" w:type="pct"/>
            <w:vAlign w:val="center"/>
          </w:tcPr>
          <w:p w14:paraId="0B202402">
            <w:pPr>
              <w:spacing w:line="240" w:lineRule="auto"/>
              <w:ind w:firstLine="0" w:firstLineChars="0"/>
              <w:rPr>
                <w:rFonts w:hint="default" w:ascii="Times New Roman" w:hAnsi="Times New Roman" w:eastAsia="宋体" w:cs="Times New Roman"/>
                <w:bCs/>
                <w:sz w:val="21"/>
                <w:szCs w:val="21"/>
                <w:highlight w:val="none"/>
                <w14:ligatures w14:val="none"/>
              </w:rPr>
            </w:pPr>
            <w:r>
              <w:rPr>
                <w:rFonts w:hint="default" w:ascii="Times New Roman" w:hAnsi="Times New Roman" w:eastAsia="宋体" w:cs="Times New Roman"/>
                <w:bCs/>
                <w:sz w:val="21"/>
                <w:szCs w:val="21"/>
                <w:highlight w:val="none"/>
                <w14:ligatures w14:val="none"/>
              </w:rPr>
              <w:t>施工用设备、检测设备性能可靠，计量器具经过检定或校准，处于合格状态，并在有效期内</w:t>
            </w:r>
          </w:p>
        </w:tc>
        <w:tc>
          <w:tcPr>
            <w:tcW w:w="403" w:type="pct"/>
            <w:vAlign w:val="center"/>
          </w:tcPr>
          <w:p w14:paraId="6B121699">
            <w:pPr>
              <w:adjustRightInd/>
              <w:snapToGrid/>
              <w:spacing w:line="240" w:lineRule="auto"/>
              <w:ind w:firstLine="0" w:firstLineChars="0"/>
              <w:jc w:val="center"/>
              <w:rPr>
                <w:rFonts w:hint="default" w:ascii="Times New Roman" w:hAnsi="Times New Roman" w:eastAsia="宋体" w:cs="Times New Roman"/>
                <w:sz w:val="21"/>
                <w:szCs w:val="21"/>
                <w:highlight w:val="none"/>
                <w14:ligatures w14:val="none"/>
              </w:rPr>
            </w:pPr>
            <w:r>
              <w:rPr>
                <w:rFonts w:hint="default" w:ascii="Times New Roman" w:hAnsi="Times New Roman" w:eastAsia="宋体" w:cs="Times New Roman"/>
                <w:sz w:val="21"/>
                <w:szCs w:val="21"/>
                <w:highlight w:val="none"/>
                <w14:ligatures w14:val="none"/>
              </w:rPr>
              <w:t>符合</w:t>
            </w:r>
          </w:p>
        </w:tc>
      </w:tr>
      <w:tr w14:paraId="492D5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BA6A7F9">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386D706">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13、汽车加油加气加氢站施工应做好施工记录，其中隐蔽工程施工记录应有相关单位代表参加现场验收并书面确认签字。</w:t>
            </w:r>
          </w:p>
        </w:tc>
        <w:tc>
          <w:tcPr>
            <w:tcW w:w="1020" w:type="pct"/>
            <w:vAlign w:val="center"/>
          </w:tcPr>
          <w:p w14:paraId="4F7711B8">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GB 50156-2021</w:t>
            </w:r>
          </w:p>
          <w:p w14:paraId="66F3B34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第15.1.5条</w:t>
            </w:r>
          </w:p>
        </w:tc>
        <w:tc>
          <w:tcPr>
            <w:tcW w:w="1142" w:type="pct"/>
            <w:vAlign w:val="center"/>
          </w:tcPr>
          <w:p w14:paraId="2E32A508">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本项目有工程竣工验收表</w:t>
            </w:r>
          </w:p>
        </w:tc>
        <w:tc>
          <w:tcPr>
            <w:tcW w:w="403" w:type="pct"/>
            <w:vAlign w:val="center"/>
          </w:tcPr>
          <w:p w14:paraId="67F1FAB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3AB4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B075F2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4DB4466">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w:t>
            </w:r>
            <w:r>
              <w:rPr>
                <w:rFonts w:hint="default" w:ascii="Times New Roman" w:hAnsi="Times New Roman" w:eastAsia="宋体" w:cs="Times New Roman"/>
                <w:spacing w:val="10"/>
                <w:sz w:val="21"/>
                <w:szCs w:val="21"/>
                <w:lang w:val="en-US" w:eastAsia="zh-CN"/>
                <w14:ligatures w14:val="none"/>
              </w:rPr>
              <w:t>4</w:t>
            </w:r>
            <w:r>
              <w:rPr>
                <w:rFonts w:hint="default" w:ascii="Times New Roman" w:hAnsi="Times New Roman" w:eastAsia="宋体" w:cs="Times New Roman"/>
                <w:spacing w:val="10"/>
                <w:sz w:val="21"/>
                <w:szCs w:val="21"/>
                <w14:ligatures w14:val="none"/>
              </w:rPr>
              <w:t>、作业人员应经安全生产教育和培训考试合格后方可上岗。</w:t>
            </w:r>
          </w:p>
        </w:tc>
        <w:tc>
          <w:tcPr>
            <w:tcW w:w="1020" w:type="pct"/>
            <w:vAlign w:val="center"/>
          </w:tcPr>
          <w:p w14:paraId="14653EAF">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AQ 3010-2022</w:t>
            </w:r>
          </w:p>
          <w:p w14:paraId="2ADBCAF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第4.1条</w:t>
            </w:r>
          </w:p>
        </w:tc>
        <w:tc>
          <w:tcPr>
            <w:tcW w:w="1142" w:type="pct"/>
            <w:vAlign w:val="center"/>
          </w:tcPr>
          <w:p w14:paraId="4D06D56D">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主要负责人和安全生产管理人员均取得相应安全资格证书，其他从业人员依照有关规定培训合格后上岗</w:t>
            </w:r>
          </w:p>
        </w:tc>
        <w:tc>
          <w:tcPr>
            <w:tcW w:w="403" w:type="pct"/>
            <w:vAlign w:val="center"/>
          </w:tcPr>
          <w:p w14:paraId="1A36931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4221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A7F1EF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39D484E3">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w:t>
            </w:r>
            <w:r>
              <w:rPr>
                <w:rFonts w:hint="default" w:ascii="Times New Roman" w:hAnsi="Times New Roman" w:eastAsia="宋体" w:cs="Times New Roman"/>
                <w:spacing w:val="10"/>
                <w:sz w:val="21"/>
                <w:szCs w:val="21"/>
                <w:lang w:val="en-US" w:eastAsia="zh-CN"/>
                <w14:ligatures w14:val="none"/>
              </w:rPr>
              <w:t>5</w:t>
            </w:r>
            <w:r>
              <w:rPr>
                <w:rFonts w:hint="default" w:ascii="Times New Roman" w:hAnsi="Times New Roman" w:eastAsia="宋体" w:cs="Times New Roman"/>
                <w:spacing w:val="10"/>
                <w:sz w:val="21"/>
                <w:szCs w:val="21"/>
                <w14:ligatures w14:val="none"/>
              </w:rPr>
              <w:t>、作业区人员上岗时应穿防静电工作服、防静电工作鞋。不应在作业区穿脱及拍打衣服、帽子或类似物。</w:t>
            </w:r>
          </w:p>
        </w:tc>
        <w:tc>
          <w:tcPr>
            <w:tcW w:w="1020" w:type="pct"/>
            <w:vAlign w:val="center"/>
          </w:tcPr>
          <w:p w14:paraId="4C21254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AQ 3010-2022</w:t>
            </w:r>
          </w:p>
          <w:p w14:paraId="28FABC0D">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第4.2条</w:t>
            </w:r>
          </w:p>
        </w:tc>
        <w:tc>
          <w:tcPr>
            <w:tcW w:w="1142" w:type="pct"/>
            <w:vAlign w:val="center"/>
          </w:tcPr>
          <w:p w14:paraId="360D126B">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作业区人员上岗时穿防静电工作服、防静电工作鞋</w:t>
            </w:r>
          </w:p>
        </w:tc>
        <w:tc>
          <w:tcPr>
            <w:tcW w:w="403" w:type="pct"/>
            <w:vAlign w:val="center"/>
          </w:tcPr>
          <w:p w14:paraId="2E88689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254F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FDD85C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0625001">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w:t>
            </w:r>
            <w:r>
              <w:rPr>
                <w:rFonts w:hint="default" w:ascii="Times New Roman" w:hAnsi="Times New Roman" w:eastAsia="宋体" w:cs="Times New Roman"/>
                <w:spacing w:val="10"/>
                <w:sz w:val="21"/>
                <w:szCs w:val="21"/>
                <w:lang w:val="en-US" w:eastAsia="zh-CN"/>
                <w14:ligatures w14:val="none"/>
              </w:rPr>
              <w:t>6</w:t>
            </w:r>
            <w:r>
              <w:rPr>
                <w:rFonts w:hint="default" w:ascii="Times New Roman" w:hAnsi="Times New Roman" w:eastAsia="宋体" w:cs="Times New Roman"/>
                <w:spacing w:val="10"/>
                <w:sz w:val="21"/>
                <w:szCs w:val="21"/>
                <w14:ligatures w14:val="none"/>
              </w:rPr>
              <w:t>、不应在加油站内吸烟。</w:t>
            </w:r>
          </w:p>
        </w:tc>
        <w:tc>
          <w:tcPr>
            <w:tcW w:w="1020" w:type="pct"/>
            <w:vAlign w:val="center"/>
          </w:tcPr>
          <w:p w14:paraId="0D24F33C">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AQ 3010-2022</w:t>
            </w:r>
          </w:p>
          <w:p w14:paraId="16A403F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第4.3条</w:t>
            </w:r>
          </w:p>
        </w:tc>
        <w:tc>
          <w:tcPr>
            <w:tcW w:w="1142" w:type="pct"/>
            <w:vAlign w:val="center"/>
          </w:tcPr>
          <w:p w14:paraId="2D39E1A5">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作业人员未在加油站内吸烟</w:t>
            </w:r>
          </w:p>
        </w:tc>
        <w:tc>
          <w:tcPr>
            <w:tcW w:w="403" w:type="pct"/>
            <w:vAlign w:val="center"/>
          </w:tcPr>
          <w:p w14:paraId="20923D8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AAEC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6E1540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6D608B65">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1</w:t>
            </w:r>
            <w:r>
              <w:rPr>
                <w:rFonts w:hint="default" w:ascii="Times New Roman" w:hAnsi="Times New Roman" w:eastAsia="宋体" w:cs="Times New Roman"/>
                <w:spacing w:val="10"/>
                <w:sz w:val="21"/>
                <w:szCs w:val="21"/>
                <w:lang w:val="en-US" w:eastAsia="zh-CN"/>
                <w14:ligatures w14:val="none"/>
              </w:rPr>
              <w:t>7</w:t>
            </w:r>
            <w:r>
              <w:rPr>
                <w:rFonts w:hint="default" w:ascii="Times New Roman" w:hAnsi="Times New Roman" w:eastAsia="宋体" w:cs="Times New Roman"/>
                <w:spacing w:val="10"/>
                <w:sz w:val="21"/>
                <w:szCs w:val="21"/>
                <w14:ligatures w14:val="none"/>
              </w:rPr>
              <w:t>、作业区应按GB/T 2893.5、GB 2894、GB 13495.1、GB 15630的规定设置安全标志和安全色。</w:t>
            </w:r>
          </w:p>
        </w:tc>
        <w:tc>
          <w:tcPr>
            <w:tcW w:w="1020" w:type="pct"/>
            <w:vAlign w:val="center"/>
          </w:tcPr>
          <w:p w14:paraId="5E49018F">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AQ 3010-2022</w:t>
            </w:r>
          </w:p>
          <w:p w14:paraId="2BD08426">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第4.4条</w:t>
            </w:r>
          </w:p>
        </w:tc>
        <w:tc>
          <w:tcPr>
            <w:tcW w:w="1142" w:type="pct"/>
            <w:vAlign w:val="center"/>
          </w:tcPr>
          <w:p w14:paraId="796A735A">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作业区按GB/T 2893.5、GB 2894、GB 13495.1、GB 15630的规定设置安全标志和安全色</w:t>
            </w:r>
          </w:p>
        </w:tc>
        <w:tc>
          <w:tcPr>
            <w:tcW w:w="403" w:type="pct"/>
            <w:vAlign w:val="center"/>
          </w:tcPr>
          <w:p w14:paraId="03D843D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5BBB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D1C005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644C2AB">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18</w:t>
            </w:r>
            <w:r>
              <w:rPr>
                <w:rFonts w:hint="default" w:ascii="Times New Roman" w:hAnsi="Times New Roman" w:eastAsia="宋体" w:cs="Times New Roman"/>
                <w:spacing w:val="10"/>
                <w:sz w:val="21"/>
                <w:szCs w:val="21"/>
                <w14:ligatures w14:val="none"/>
              </w:rPr>
              <w:t>、加油站遇雷暴、龙卷风和台风等恶劣天气时应停止加油、卸油、取样和人工计量等作业。</w:t>
            </w:r>
          </w:p>
        </w:tc>
        <w:tc>
          <w:tcPr>
            <w:tcW w:w="1020" w:type="pct"/>
            <w:vAlign w:val="center"/>
          </w:tcPr>
          <w:p w14:paraId="4C1A69BA">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AQ 3010-2022</w:t>
            </w:r>
          </w:p>
          <w:p w14:paraId="46ED1082">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第4.6条</w:t>
            </w:r>
          </w:p>
        </w:tc>
        <w:tc>
          <w:tcPr>
            <w:tcW w:w="1142" w:type="pct"/>
            <w:vAlign w:val="center"/>
          </w:tcPr>
          <w:p w14:paraId="0F9F24C5">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加油站遇雷暴、龙卷风和台风等恶劣天气时停止加油、卸油、取样和人工计量等作业</w:t>
            </w:r>
          </w:p>
        </w:tc>
        <w:tc>
          <w:tcPr>
            <w:tcW w:w="403" w:type="pct"/>
            <w:vAlign w:val="center"/>
          </w:tcPr>
          <w:p w14:paraId="67524F5D">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7E1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A53059F">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2E0B47FB">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lang w:val="en-US" w:eastAsia="zh-CN"/>
                <w14:ligatures w14:val="none"/>
              </w:rPr>
              <w:t>19</w:t>
            </w:r>
            <w:r>
              <w:rPr>
                <w:rFonts w:hint="default" w:ascii="Times New Roman" w:hAnsi="Times New Roman" w:eastAsia="宋体" w:cs="Times New Roman"/>
                <w:spacing w:val="10"/>
                <w:sz w:val="21"/>
                <w:szCs w:val="21"/>
                <w14:ligatures w14:val="none"/>
              </w:rPr>
              <w:t>、不应在作业区内抛掷、拖拉、滚动、敲打金属物品及进行易产生火花的作业。</w:t>
            </w:r>
          </w:p>
        </w:tc>
        <w:tc>
          <w:tcPr>
            <w:tcW w:w="1020" w:type="pct"/>
            <w:vAlign w:val="center"/>
          </w:tcPr>
          <w:p w14:paraId="782B9DCF">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AQ 3010-2022</w:t>
            </w:r>
          </w:p>
          <w:p w14:paraId="01D529E6">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第4.7条</w:t>
            </w:r>
          </w:p>
        </w:tc>
        <w:tc>
          <w:tcPr>
            <w:tcW w:w="1142" w:type="pct"/>
            <w:vAlign w:val="center"/>
          </w:tcPr>
          <w:p w14:paraId="69B51B7E">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该站未在作业区内抛掷、拖拉、滚动、敲打金属物品及进行易产生火花的作业</w:t>
            </w:r>
          </w:p>
        </w:tc>
        <w:tc>
          <w:tcPr>
            <w:tcW w:w="403" w:type="pct"/>
            <w:vAlign w:val="center"/>
          </w:tcPr>
          <w:p w14:paraId="63ECA0C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65ECB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DE33313">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02B511F">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2</w:t>
            </w:r>
            <w:r>
              <w:rPr>
                <w:rFonts w:hint="default" w:ascii="Times New Roman" w:hAnsi="Times New Roman" w:eastAsia="宋体" w:cs="Times New Roman"/>
                <w:spacing w:val="10"/>
                <w:sz w:val="21"/>
                <w:szCs w:val="21"/>
                <w:lang w:val="en-US" w:eastAsia="zh-CN"/>
                <w14:ligatures w14:val="none"/>
              </w:rPr>
              <w:t>0</w:t>
            </w:r>
            <w:r>
              <w:rPr>
                <w:rFonts w:hint="default" w:ascii="Times New Roman" w:hAnsi="Times New Roman" w:eastAsia="宋体" w:cs="Times New Roman"/>
                <w:spacing w:val="10"/>
                <w:sz w:val="21"/>
                <w:szCs w:val="21"/>
                <w14:ligatures w14:val="none"/>
              </w:rPr>
              <w:t>、不应在作业区内进行车辆维修和洗车作业。</w:t>
            </w:r>
          </w:p>
        </w:tc>
        <w:tc>
          <w:tcPr>
            <w:tcW w:w="1020" w:type="pct"/>
            <w:vAlign w:val="center"/>
          </w:tcPr>
          <w:p w14:paraId="69CB90DE">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AQ 3010-2022</w:t>
            </w:r>
          </w:p>
          <w:p w14:paraId="58D3D76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第4.8条</w:t>
            </w:r>
          </w:p>
        </w:tc>
        <w:tc>
          <w:tcPr>
            <w:tcW w:w="1142" w:type="pct"/>
            <w:vAlign w:val="center"/>
          </w:tcPr>
          <w:p w14:paraId="51FC16CF">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该站未在作业区内进行车辆维修和洗车作业</w:t>
            </w:r>
          </w:p>
        </w:tc>
        <w:tc>
          <w:tcPr>
            <w:tcW w:w="403" w:type="pct"/>
            <w:vAlign w:val="center"/>
          </w:tcPr>
          <w:p w14:paraId="4F03F577">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3B6D9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442E5415">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05C7EE6">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2</w:t>
            </w:r>
            <w:r>
              <w:rPr>
                <w:rFonts w:hint="default" w:ascii="Times New Roman" w:hAnsi="Times New Roman" w:eastAsia="宋体" w:cs="Times New Roman"/>
                <w:spacing w:val="10"/>
                <w:sz w:val="21"/>
                <w:szCs w:val="21"/>
                <w:lang w:val="en-US" w:eastAsia="zh-CN"/>
                <w14:ligatures w14:val="none"/>
              </w:rPr>
              <w:t>1</w:t>
            </w:r>
            <w:r>
              <w:rPr>
                <w:rFonts w:hint="default" w:ascii="Times New Roman" w:hAnsi="Times New Roman" w:eastAsia="宋体" w:cs="Times New Roman"/>
                <w:spacing w:val="10"/>
                <w:sz w:val="21"/>
                <w:szCs w:val="21"/>
                <w14:ligatures w14:val="none"/>
              </w:rPr>
              <w:t>、不应使用汽油和易燃清洗剂做清洁工作。不应使用可能会产生静电或火花的清洁工具。</w:t>
            </w:r>
          </w:p>
        </w:tc>
        <w:tc>
          <w:tcPr>
            <w:tcW w:w="1020" w:type="pct"/>
            <w:vAlign w:val="center"/>
          </w:tcPr>
          <w:p w14:paraId="3F771412">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AQ 3010-2022</w:t>
            </w:r>
          </w:p>
          <w:p w14:paraId="377D0C28">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第4.9条</w:t>
            </w:r>
          </w:p>
        </w:tc>
        <w:tc>
          <w:tcPr>
            <w:tcW w:w="1142" w:type="pct"/>
            <w:vAlign w:val="center"/>
          </w:tcPr>
          <w:p w14:paraId="534822C3">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该站未使用汽油和易燃清洗剂做清洁工作，未使用可能会产生静电或火花的清洁工具</w:t>
            </w:r>
          </w:p>
        </w:tc>
        <w:tc>
          <w:tcPr>
            <w:tcW w:w="403" w:type="pct"/>
            <w:vAlign w:val="center"/>
          </w:tcPr>
          <w:p w14:paraId="116A709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1363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6BFD9CD">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3913958B">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pacing w:val="10"/>
                <w:sz w:val="21"/>
                <w:szCs w:val="21"/>
                <w14:ligatures w14:val="none"/>
              </w:rPr>
              <w:t>2</w:t>
            </w:r>
            <w:r>
              <w:rPr>
                <w:rFonts w:hint="default" w:ascii="Times New Roman" w:hAnsi="Times New Roman" w:eastAsia="宋体" w:cs="Times New Roman"/>
                <w:spacing w:val="10"/>
                <w:sz w:val="21"/>
                <w:szCs w:val="21"/>
                <w:lang w:val="en-US" w:eastAsia="zh-CN"/>
                <w14:ligatures w14:val="none"/>
              </w:rPr>
              <w:t>2</w:t>
            </w:r>
            <w:r>
              <w:rPr>
                <w:rFonts w:hint="default" w:ascii="Times New Roman" w:hAnsi="Times New Roman" w:eastAsia="宋体" w:cs="Times New Roman"/>
                <w:spacing w:val="10"/>
                <w:sz w:val="21"/>
                <w:szCs w:val="21"/>
                <w14:ligatures w14:val="none"/>
              </w:rPr>
              <w:t>、作业人员应按设备说明书、操作规程和管理规定对设备设施进行正确操作和维护保养，保障设备处于安全状态；加油站油气回收系统应完好有效，并保持正常使用，满足GB 20952的规定。</w:t>
            </w:r>
          </w:p>
        </w:tc>
        <w:tc>
          <w:tcPr>
            <w:tcW w:w="1020" w:type="pct"/>
            <w:vAlign w:val="center"/>
          </w:tcPr>
          <w:p w14:paraId="78B3C21B">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AQ 3010-2022</w:t>
            </w:r>
          </w:p>
          <w:p w14:paraId="3F5CC9F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第4.10条</w:t>
            </w:r>
          </w:p>
        </w:tc>
        <w:tc>
          <w:tcPr>
            <w:tcW w:w="1142" w:type="pct"/>
            <w:vAlign w:val="center"/>
          </w:tcPr>
          <w:p w14:paraId="65BBF139">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bCs/>
                <w:sz w:val="21"/>
                <w:szCs w:val="21"/>
                <w14:ligatures w14:val="none"/>
              </w:rPr>
              <w:t>作业人员按设备说明书、操作规程和管理规定对设备设施进行正确操作和维护保养，加油站油气回收系统完好有效，正常使用</w:t>
            </w:r>
          </w:p>
        </w:tc>
        <w:tc>
          <w:tcPr>
            <w:tcW w:w="403" w:type="pct"/>
            <w:vAlign w:val="center"/>
          </w:tcPr>
          <w:p w14:paraId="76220D4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00E8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43" w:type="pct"/>
            <w:vMerge w:val="continue"/>
            <w:vAlign w:val="center"/>
          </w:tcPr>
          <w:p w14:paraId="14E37A60">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5DA7ED4">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2</w:t>
            </w:r>
            <w:r>
              <w:rPr>
                <w:rFonts w:hint="default" w:ascii="Times New Roman" w:hAnsi="Times New Roman" w:eastAsia="宋体" w:cs="Times New Roman"/>
                <w:sz w:val="21"/>
                <w:szCs w:val="21"/>
                <w:lang w:val="en-US" w:eastAsia="zh-CN"/>
                <w14:ligatures w14:val="none"/>
              </w:rPr>
              <w:t>3</w:t>
            </w:r>
            <w:r>
              <w:rPr>
                <w:rFonts w:hint="default" w:ascii="Times New Roman" w:hAnsi="Times New Roman" w:eastAsia="宋体" w:cs="Times New Roman"/>
                <w:sz w:val="21"/>
                <w:szCs w:val="21"/>
                <w14:ligatures w14:val="none"/>
              </w:rPr>
              <w:t>、生产经营单位的主要负责人是本单位安全生产第一责任人，对本单位的安全生产工作全面负责。其他负责人对职责范围内的安全生产工作负责。</w:t>
            </w:r>
          </w:p>
        </w:tc>
        <w:tc>
          <w:tcPr>
            <w:tcW w:w="1020" w:type="pct"/>
            <w:vAlign w:val="center"/>
          </w:tcPr>
          <w:p w14:paraId="5A406F9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《中华人民共和国安全生产法》第5条</w:t>
            </w:r>
          </w:p>
        </w:tc>
        <w:tc>
          <w:tcPr>
            <w:tcW w:w="1142" w:type="pct"/>
            <w:vAlign w:val="center"/>
          </w:tcPr>
          <w:p w14:paraId="750504E2">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主要负责人对站内安全生产工作全面负责，安全员对站内职责范围内的安全生产工作负责，其主要负责人、安全员证件详见附件</w:t>
            </w:r>
          </w:p>
        </w:tc>
        <w:tc>
          <w:tcPr>
            <w:tcW w:w="403" w:type="pct"/>
            <w:vAlign w:val="center"/>
          </w:tcPr>
          <w:p w14:paraId="5C9951E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kern w:val="28"/>
                <w:sz w:val="21"/>
                <w:szCs w:val="21"/>
                <w14:ligatures w14:val="none"/>
              </w:rPr>
              <w:t>符合</w:t>
            </w:r>
          </w:p>
        </w:tc>
      </w:tr>
      <w:tr w14:paraId="19B9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02D1706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37D209E5">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2</w:t>
            </w:r>
            <w:r>
              <w:rPr>
                <w:rFonts w:hint="default" w:ascii="Times New Roman" w:hAnsi="Times New Roman" w:eastAsia="宋体" w:cs="Times New Roman"/>
                <w:sz w:val="21"/>
                <w:szCs w:val="21"/>
                <w:lang w:val="en-US" w:eastAsia="zh-CN"/>
                <w14:ligatures w14:val="none"/>
              </w:rPr>
              <w:t>4</w:t>
            </w:r>
            <w:r>
              <w:rPr>
                <w:rFonts w:hint="default" w:ascii="Times New Roman" w:hAnsi="Times New Roman" w:eastAsia="宋体" w:cs="Times New Roman"/>
                <w:sz w:val="21"/>
                <w:szCs w:val="21"/>
                <w14:ligatures w14:val="none"/>
              </w:rPr>
              <w:t>、生产经营单位应当具备的安全生产条件所必需的资金投入，由生产经营单位的决策机构、主要负责人或者个人经营的投资人予以保证，并对由于安全生产所必需的资金投入不足导致的后果承担责任。</w:t>
            </w:r>
          </w:p>
        </w:tc>
        <w:tc>
          <w:tcPr>
            <w:tcW w:w="1020" w:type="pct"/>
            <w:vAlign w:val="center"/>
          </w:tcPr>
          <w:p w14:paraId="0FD25971">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《中华人民共和国安全生产法》第23条</w:t>
            </w:r>
          </w:p>
        </w:tc>
        <w:tc>
          <w:tcPr>
            <w:tcW w:w="1142" w:type="pct"/>
            <w:vAlign w:val="center"/>
          </w:tcPr>
          <w:p w14:paraId="13BDF49B">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安全生产条件所必需的资金投入资金符合要求</w:t>
            </w:r>
          </w:p>
        </w:tc>
        <w:tc>
          <w:tcPr>
            <w:tcW w:w="403" w:type="pct"/>
            <w:vAlign w:val="center"/>
          </w:tcPr>
          <w:p w14:paraId="795DACC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符合</w:t>
            </w:r>
          </w:p>
        </w:tc>
      </w:tr>
      <w:tr w14:paraId="69903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79E9517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6E7A544">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2</w:t>
            </w:r>
            <w:r>
              <w:rPr>
                <w:rFonts w:hint="default" w:ascii="Times New Roman" w:hAnsi="Times New Roman" w:eastAsia="宋体" w:cs="Times New Roman"/>
                <w:sz w:val="21"/>
                <w:szCs w:val="21"/>
                <w:lang w:val="en-US" w:eastAsia="zh-CN"/>
                <w14:ligatures w14:val="none"/>
              </w:rPr>
              <w:t>5</w:t>
            </w:r>
            <w:r>
              <w:rPr>
                <w:rFonts w:hint="default" w:ascii="Times New Roman" w:hAnsi="Times New Roman" w:eastAsia="宋体" w:cs="Times New Roman"/>
                <w:sz w:val="21"/>
                <w:szCs w:val="21"/>
                <w14:ligatures w14:val="none"/>
              </w:rPr>
              <w:t>、生产经营单位应当建立安全风险分级管控制度，按照安全风险分级采取相应的管控措施。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tc>
        <w:tc>
          <w:tcPr>
            <w:tcW w:w="1020" w:type="pct"/>
            <w:vAlign w:val="center"/>
          </w:tcPr>
          <w:p w14:paraId="7FBBE390">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《中华人民共和国安全生产法》第41条</w:t>
            </w:r>
          </w:p>
        </w:tc>
        <w:tc>
          <w:tcPr>
            <w:tcW w:w="1142" w:type="pct"/>
            <w:vAlign w:val="center"/>
          </w:tcPr>
          <w:p w14:paraId="6615FE8D">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kern w:val="28"/>
                <w:sz w:val="21"/>
                <w:szCs w:val="21"/>
                <w14:ligatures w14:val="none"/>
              </w:rPr>
              <w:t>站内制定有加油站事故管理制度，符合要求</w:t>
            </w:r>
          </w:p>
        </w:tc>
        <w:tc>
          <w:tcPr>
            <w:tcW w:w="403" w:type="pct"/>
            <w:vAlign w:val="center"/>
          </w:tcPr>
          <w:p w14:paraId="74D34F25">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kern w:val="28"/>
                <w:sz w:val="21"/>
                <w:szCs w:val="21"/>
                <w14:ligatures w14:val="none"/>
              </w:rPr>
              <w:t>符合</w:t>
            </w:r>
          </w:p>
        </w:tc>
      </w:tr>
      <w:tr w14:paraId="56EE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D613608">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562A6C5">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2</w:t>
            </w:r>
            <w:r>
              <w:rPr>
                <w:rFonts w:hint="default" w:ascii="Times New Roman" w:hAnsi="Times New Roman" w:eastAsia="宋体" w:cs="Times New Roman"/>
                <w:sz w:val="21"/>
                <w:szCs w:val="21"/>
                <w:lang w:val="en-US" w:eastAsia="zh-CN"/>
                <w14:ligatures w14:val="none"/>
              </w:rPr>
              <w:t>6</w:t>
            </w:r>
            <w:r>
              <w:rPr>
                <w:rFonts w:hint="default" w:ascii="Times New Roman" w:hAnsi="Times New Roman" w:eastAsia="宋体" w:cs="Times New Roman"/>
                <w:sz w:val="21"/>
                <w:szCs w:val="21"/>
                <w14:ligatures w14:val="none"/>
              </w:rPr>
              <w:t>、生产经营单位进行爆破、吊装、动火、临时用电以及国务院应急管理部门会同国务院有关部门规定的其他危险作业，应当安排专门人员进行现场安全管理，确保操作规程的遵守和安全措施的落实。</w:t>
            </w:r>
          </w:p>
        </w:tc>
        <w:tc>
          <w:tcPr>
            <w:tcW w:w="1020" w:type="pct"/>
            <w:vAlign w:val="center"/>
          </w:tcPr>
          <w:p w14:paraId="64A4D9E9">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《中华人民共和国安全生产法》第43条</w:t>
            </w:r>
          </w:p>
        </w:tc>
        <w:tc>
          <w:tcPr>
            <w:tcW w:w="1142" w:type="pct"/>
            <w:vAlign w:val="center"/>
          </w:tcPr>
          <w:p w14:paraId="2348B3B6">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kern w:val="28"/>
                <w:sz w:val="21"/>
                <w:szCs w:val="21"/>
                <w14:ligatures w14:val="none"/>
              </w:rPr>
              <w:t>站内危险作业管理符合要求</w:t>
            </w:r>
          </w:p>
        </w:tc>
        <w:tc>
          <w:tcPr>
            <w:tcW w:w="403" w:type="pct"/>
            <w:vAlign w:val="center"/>
          </w:tcPr>
          <w:p w14:paraId="37230E75">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kern w:val="28"/>
                <w:sz w:val="21"/>
                <w:szCs w:val="21"/>
                <w14:ligatures w14:val="none"/>
              </w:rPr>
              <w:t>符合</w:t>
            </w:r>
          </w:p>
        </w:tc>
      </w:tr>
      <w:tr w14:paraId="0F52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120AC1FE">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41C0F415">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14:ligatures w14:val="none"/>
              </w:rPr>
              <w:t>2</w:t>
            </w:r>
            <w:r>
              <w:rPr>
                <w:rFonts w:hint="default" w:ascii="Times New Roman" w:hAnsi="Times New Roman" w:eastAsia="宋体" w:cs="Times New Roman"/>
                <w:sz w:val="21"/>
                <w:szCs w:val="21"/>
                <w:lang w:val="en-US" w:eastAsia="zh-CN"/>
                <w14:ligatures w14:val="none"/>
              </w:rPr>
              <w:t>7</w:t>
            </w:r>
            <w:r>
              <w:rPr>
                <w:rFonts w:hint="default" w:ascii="Times New Roman" w:hAnsi="Times New Roman" w:eastAsia="宋体" w:cs="Times New Roman"/>
                <w:sz w:val="21"/>
                <w:szCs w:val="21"/>
                <w14:ligatures w14:val="none"/>
              </w:rPr>
              <w:t>、生产经营单位应当教育和督促从业人员严格执行本单位的安全生产规章制度和安全操作规程；并向从业人员如实告知作业场所和工作岗位存在的危险因素、防范措施以及事故应急措施。</w:t>
            </w:r>
          </w:p>
        </w:tc>
        <w:tc>
          <w:tcPr>
            <w:tcW w:w="1020" w:type="pct"/>
            <w:vAlign w:val="center"/>
          </w:tcPr>
          <w:p w14:paraId="2260960F">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《中华人民共和国安全生产法》第44条</w:t>
            </w:r>
          </w:p>
        </w:tc>
        <w:tc>
          <w:tcPr>
            <w:tcW w:w="1142" w:type="pct"/>
            <w:vAlign w:val="center"/>
          </w:tcPr>
          <w:p w14:paraId="6E697B6A">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kern w:val="28"/>
                <w:sz w:val="21"/>
                <w:szCs w:val="21"/>
                <w14:ligatures w14:val="none"/>
              </w:rPr>
              <w:t>站内安全教育、规章制度、操作规程及事故防范措施符合要求</w:t>
            </w:r>
          </w:p>
        </w:tc>
        <w:tc>
          <w:tcPr>
            <w:tcW w:w="403" w:type="pct"/>
            <w:vAlign w:val="center"/>
          </w:tcPr>
          <w:p w14:paraId="5FB073AA">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kern w:val="28"/>
                <w:sz w:val="21"/>
                <w:szCs w:val="21"/>
                <w14:ligatures w14:val="none"/>
              </w:rPr>
              <w:t>符合</w:t>
            </w:r>
          </w:p>
        </w:tc>
      </w:tr>
      <w:tr w14:paraId="13FE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5B8E345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97B76A0">
            <w:pPr>
              <w:spacing w:line="240" w:lineRule="auto"/>
              <w:ind w:firstLine="0" w:firstLineChars="0"/>
              <w:rPr>
                <w:rFonts w:hint="default" w:ascii="Times New Roman" w:hAnsi="Times New Roman" w:eastAsia="宋体" w:cs="Times New Roman"/>
                <w:spacing w:val="10"/>
                <w:sz w:val="21"/>
                <w:szCs w:val="21"/>
                <w14:ligatures w14:val="none"/>
              </w:rPr>
            </w:pPr>
            <w:r>
              <w:rPr>
                <w:rFonts w:hint="default" w:ascii="Times New Roman" w:hAnsi="Times New Roman" w:eastAsia="宋体" w:cs="Times New Roman"/>
                <w:sz w:val="21"/>
                <w:szCs w:val="21"/>
                <w:lang w:val="en-US" w:eastAsia="zh-CN"/>
                <w14:ligatures w14:val="none"/>
              </w:rPr>
              <w:t>28</w:t>
            </w:r>
            <w:r>
              <w:rPr>
                <w:rFonts w:hint="default" w:ascii="Times New Roman" w:hAnsi="Times New Roman" w:eastAsia="宋体" w:cs="Times New Roman"/>
                <w:sz w:val="21"/>
                <w:szCs w:val="21"/>
                <w14:ligatures w14:val="none"/>
              </w:rPr>
              <w:t>、生产经营单位必须为从业人员提供符合国家标准或者行业标准的劳动防护用品，并监督、教育从业人员按照使用规则佩戴、使用。</w:t>
            </w:r>
          </w:p>
        </w:tc>
        <w:tc>
          <w:tcPr>
            <w:tcW w:w="1020" w:type="pct"/>
            <w:vAlign w:val="center"/>
          </w:tcPr>
          <w:p w14:paraId="1082C3BA">
            <w:pPr>
              <w:adjustRightInd/>
              <w:snapToGrid/>
              <w:spacing w:line="240" w:lineRule="auto"/>
              <w:ind w:firstLine="0" w:firstLineChars="0"/>
              <w:jc w:val="center"/>
              <w:rPr>
                <w:rFonts w:hint="default" w:ascii="Times New Roman" w:hAnsi="Times New Roman" w:eastAsia="宋体" w:cs="Times New Roman"/>
                <w:bCs/>
                <w:sz w:val="21"/>
                <w:szCs w:val="21"/>
                <w14:ligatures w14:val="none"/>
              </w:rPr>
            </w:pPr>
            <w:r>
              <w:rPr>
                <w:rFonts w:hint="default" w:ascii="Times New Roman" w:hAnsi="Times New Roman" w:eastAsia="宋体" w:cs="Times New Roman"/>
                <w:sz w:val="21"/>
                <w:szCs w:val="21"/>
                <w14:ligatures w14:val="none"/>
              </w:rPr>
              <w:t>《中华人民共和国安全生产法》第45条</w:t>
            </w:r>
          </w:p>
        </w:tc>
        <w:tc>
          <w:tcPr>
            <w:tcW w:w="1142" w:type="pct"/>
            <w:vAlign w:val="center"/>
          </w:tcPr>
          <w:p w14:paraId="039B63C2">
            <w:pPr>
              <w:spacing w:line="240" w:lineRule="auto"/>
              <w:ind w:firstLine="0" w:firstLineChars="0"/>
              <w:rPr>
                <w:rFonts w:hint="default" w:ascii="Times New Roman" w:hAnsi="Times New Roman" w:eastAsia="宋体" w:cs="Times New Roman"/>
                <w:bCs/>
                <w:sz w:val="21"/>
                <w:szCs w:val="21"/>
                <w14:ligatures w14:val="none"/>
              </w:rPr>
            </w:pPr>
            <w:r>
              <w:rPr>
                <w:rFonts w:hint="default" w:ascii="Times New Roman" w:hAnsi="Times New Roman" w:eastAsia="宋体" w:cs="Times New Roman"/>
                <w:kern w:val="28"/>
                <w:sz w:val="21"/>
                <w:szCs w:val="21"/>
                <w14:ligatures w14:val="none"/>
              </w:rPr>
              <w:t>站内为从业人员提供符合标准的劳动防护用品</w:t>
            </w:r>
          </w:p>
        </w:tc>
        <w:tc>
          <w:tcPr>
            <w:tcW w:w="403" w:type="pct"/>
            <w:vAlign w:val="center"/>
          </w:tcPr>
          <w:p w14:paraId="7B4EAAE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kern w:val="28"/>
                <w:sz w:val="21"/>
                <w:szCs w:val="21"/>
                <w14:ligatures w14:val="none"/>
              </w:rPr>
              <w:t>符合</w:t>
            </w:r>
          </w:p>
        </w:tc>
      </w:tr>
      <w:tr w14:paraId="2679F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6D28E11B">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0E43F39C">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29、</w:t>
            </w:r>
            <w:r>
              <w:rPr>
                <w:rFonts w:hint="default" w:ascii="Times New Roman" w:hAnsi="Times New Roman" w:eastAsia="宋体" w:cs="Times New Roman"/>
                <w:sz w:val="21"/>
                <w:szCs w:val="21"/>
                <w14:ligatures w14:val="none"/>
              </w:rPr>
              <w:t>建设项目的设计、施工、监理单位和安全评价机构应当具备相应的资质，并对其工作成果负责。</w:t>
            </w:r>
          </w:p>
        </w:tc>
        <w:tc>
          <w:tcPr>
            <w:tcW w:w="1020" w:type="pct"/>
            <w:vAlign w:val="center"/>
          </w:tcPr>
          <w:p w14:paraId="726C6A52">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《危险化学品建设项目安全监督管理办法》（国家安全生产监督管理总局令 第45号）第七条</w:t>
            </w:r>
          </w:p>
        </w:tc>
        <w:tc>
          <w:tcPr>
            <w:tcW w:w="1142" w:type="pct"/>
            <w:vAlign w:val="center"/>
          </w:tcPr>
          <w:p w14:paraId="795D002B">
            <w:pPr>
              <w:spacing w:line="240" w:lineRule="auto"/>
              <w:ind w:firstLine="0" w:firstLineChars="0"/>
              <w:rPr>
                <w:rFonts w:hint="default" w:ascii="Times New Roman" w:hAnsi="Times New Roman" w:eastAsia="宋体" w:cs="Times New Roman"/>
                <w:kern w:val="28"/>
                <w:sz w:val="21"/>
                <w:szCs w:val="21"/>
                <w:lang w:val="en-US" w:eastAsia="zh-CN"/>
                <w14:ligatures w14:val="none"/>
              </w:rPr>
            </w:pPr>
            <w:r>
              <w:rPr>
                <w:rFonts w:hint="default" w:ascii="Times New Roman" w:hAnsi="Times New Roman" w:eastAsia="宋体" w:cs="Times New Roman"/>
                <w:kern w:val="28"/>
                <w:sz w:val="21"/>
                <w:szCs w:val="21"/>
                <w:lang w:val="en-US" w:eastAsia="zh-CN"/>
                <w14:ligatures w14:val="none"/>
              </w:rPr>
              <w:t>设计、施工以及评价单位均具备相应的资质</w:t>
            </w:r>
          </w:p>
        </w:tc>
        <w:tc>
          <w:tcPr>
            <w:tcW w:w="403" w:type="pct"/>
            <w:vAlign w:val="center"/>
          </w:tcPr>
          <w:p w14:paraId="75CBFE83">
            <w:pPr>
              <w:adjustRightInd/>
              <w:snapToGrid/>
              <w:spacing w:line="240" w:lineRule="auto"/>
              <w:ind w:firstLine="0" w:firstLineChars="0"/>
              <w:jc w:val="center"/>
              <w:rPr>
                <w:rFonts w:hint="default" w:ascii="Times New Roman" w:hAnsi="Times New Roman" w:eastAsia="宋体" w:cs="Times New Roman"/>
                <w:kern w:val="28"/>
                <w:sz w:val="21"/>
                <w:szCs w:val="21"/>
                <w:lang w:val="en-US" w:eastAsia="zh-CN"/>
                <w14:ligatures w14:val="none"/>
              </w:rPr>
            </w:pPr>
            <w:r>
              <w:rPr>
                <w:rFonts w:hint="default" w:ascii="Times New Roman" w:hAnsi="Times New Roman" w:eastAsia="宋体" w:cs="Times New Roman"/>
                <w:kern w:val="28"/>
                <w:sz w:val="21"/>
                <w:szCs w:val="21"/>
                <w:lang w:val="en-US" w:eastAsia="zh-CN"/>
                <w14:ligatures w14:val="none"/>
              </w:rPr>
              <w:t>符合</w:t>
            </w:r>
          </w:p>
        </w:tc>
      </w:tr>
      <w:tr w14:paraId="77C07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EE5C474">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30449AB4">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30、</w:t>
            </w:r>
            <w:r>
              <w:rPr>
                <w:rFonts w:hint="default" w:ascii="Times New Roman" w:hAnsi="Times New Roman" w:eastAsia="宋体" w:cs="Times New Roman"/>
                <w:sz w:val="21"/>
                <w:szCs w:val="21"/>
                <w14:ligatures w14:val="none"/>
              </w:rPr>
              <w:t>建设项目安全设施施工完成后，建设单位应当按照有关安全生产法律、法规、规章和国家标准、行业标准的规定，对建设项目安全设施进行检验、检测，保证建设项目安全设施满足危险化学品生产、储存的安全要求，并处于正常适用状态。</w:t>
            </w:r>
          </w:p>
        </w:tc>
        <w:tc>
          <w:tcPr>
            <w:tcW w:w="1020" w:type="pct"/>
            <w:vAlign w:val="center"/>
          </w:tcPr>
          <w:p w14:paraId="3A9FA70C">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《危险化学品建设项目安全监督管理办法》（国家安全生产监督管理总局令 第45号）第二十一条</w:t>
            </w:r>
          </w:p>
        </w:tc>
        <w:tc>
          <w:tcPr>
            <w:tcW w:w="1142" w:type="pct"/>
            <w:vAlign w:val="center"/>
          </w:tcPr>
          <w:p w14:paraId="11945ADF">
            <w:pPr>
              <w:spacing w:line="240" w:lineRule="auto"/>
              <w:ind w:firstLine="0" w:firstLineChars="0"/>
              <w:rPr>
                <w:rFonts w:hint="default" w:ascii="Times New Roman" w:hAnsi="Times New Roman" w:eastAsia="宋体" w:cs="Times New Roman"/>
                <w:kern w:val="28"/>
                <w:sz w:val="21"/>
                <w:szCs w:val="21"/>
                <w:lang w:val="en-US" w:eastAsia="zh-CN"/>
                <w14:ligatures w14:val="none"/>
              </w:rPr>
            </w:pPr>
            <w:r>
              <w:rPr>
                <w:rFonts w:hint="default" w:ascii="Times New Roman" w:hAnsi="Times New Roman" w:eastAsia="宋体" w:cs="Times New Roman"/>
                <w:kern w:val="28"/>
                <w:sz w:val="21"/>
                <w:szCs w:val="21"/>
                <w:lang w:val="en-US" w:eastAsia="zh-CN"/>
                <w14:ligatures w14:val="none"/>
              </w:rPr>
              <w:t>符合要求</w:t>
            </w:r>
          </w:p>
        </w:tc>
        <w:tc>
          <w:tcPr>
            <w:tcW w:w="403" w:type="pct"/>
            <w:vAlign w:val="center"/>
          </w:tcPr>
          <w:p w14:paraId="11DA5981">
            <w:pPr>
              <w:adjustRightInd/>
              <w:snapToGrid/>
              <w:spacing w:line="240" w:lineRule="auto"/>
              <w:ind w:firstLine="0" w:firstLineChars="0"/>
              <w:jc w:val="center"/>
              <w:rPr>
                <w:rFonts w:hint="default" w:ascii="Times New Roman" w:hAnsi="Times New Roman" w:eastAsia="宋体" w:cs="Times New Roman"/>
                <w:kern w:val="28"/>
                <w:sz w:val="21"/>
                <w:szCs w:val="21"/>
                <w:lang w:val="en-US" w:eastAsia="zh-CN"/>
                <w14:ligatures w14:val="none"/>
              </w:rPr>
            </w:pPr>
            <w:r>
              <w:rPr>
                <w:rFonts w:hint="default" w:ascii="Times New Roman" w:hAnsi="Times New Roman" w:eastAsia="宋体" w:cs="Times New Roman"/>
                <w:kern w:val="28"/>
                <w:sz w:val="21"/>
                <w:szCs w:val="21"/>
                <w:lang w:val="en-US" w:eastAsia="zh-CN"/>
                <w14:ligatures w14:val="none"/>
              </w:rPr>
              <w:t>符合</w:t>
            </w:r>
          </w:p>
        </w:tc>
      </w:tr>
      <w:tr w14:paraId="23B2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3" w:type="pct"/>
            <w:vMerge w:val="continue"/>
            <w:vAlign w:val="center"/>
          </w:tcPr>
          <w:p w14:paraId="3952EDA1">
            <w:pPr>
              <w:adjustRightInd/>
              <w:snapToGrid/>
              <w:spacing w:line="240" w:lineRule="auto"/>
              <w:ind w:firstLine="0" w:firstLineChars="0"/>
              <w:jc w:val="center"/>
              <w:rPr>
                <w:rFonts w:hint="default" w:ascii="Times New Roman" w:hAnsi="Times New Roman" w:eastAsia="宋体" w:cs="Times New Roman"/>
                <w:sz w:val="21"/>
                <w:szCs w:val="21"/>
                <w14:ligatures w14:val="none"/>
              </w:rPr>
            </w:pPr>
          </w:p>
        </w:tc>
        <w:tc>
          <w:tcPr>
            <w:tcW w:w="1991" w:type="pct"/>
            <w:vAlign w:val="center"/>
          </w:tcPr>
          <w:p w14:paraId="77FD0AB1">
            <w:pPr>
              <w:spacing w:line="240" w:lineRule="auto"/>
              <w:ind w:firstLine="0" w:firstLineChars="0"/>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lang w:val="en-US" w:eastAsia="zh-CN"/>
                <w14:ligatures w14:val="none"/>
              </w:rPr>
              <w:t>31、</w:t>
            </w:r>
            <w:r>
              <w:rPr>
                <w:rFonts w:hint="default" w:ascii="Times New Roman" w:hAnsi="Times New Roman" w:eastAsia="宋体" w:cs="Times New Roman"/>
                <w:sz w:val="21"/>
                <w:szCs w:val="21"/>
                <w14:ligatures w14:val="none"/>
              </w:rPr>
              <w:t>各类建（构）筑物、场所和设施安装的雷电防护装置，应当符合国家有关防雷标准和国务院气象主管机构规定的使用要求，并由具有相应资质的单位承担检测。</w:t>
            </w:r>
          </w:p>
        </w:tc>
        <w:tc>
          <w:tcPr>
            <w:tcW w:w="1020" w:type="pct"/>
            <w:vAlign w:val="center"/>
          </w:tcPr>
          <w:p w14:paraId="7A577265">
            <w:pPr>
              <w:adjustRightInd/>
              <w:snapToGrid/>
              <w:spacing w:line="240" w:lineRule="auto"/>
              <w:ind w:firstLine="0" w:firstLineChars="0"/>
              <w:jc w:val="center"/>
              <w:rPr>
                <w:rFonts w:hint="default" w:ascii="Times New Roman" w:hAnsi="Times New Roman" w:eastAsia="宋体" w:cs="Times New Roman"/>
                <w:sz w:val="21"/>
                <w:szCs w:val="21"/>
                <w14:ligatures w14:val="none"/>
              </w:rPr>
            </w:pPr>
            <w:r>
              <w:rPr>
                <w:rFonts w:hint="default" w:ascii="Times New Roman" w:hAnsi="Times New Roman" w:eastAsia="宋体" w:cs="Times New Roman"/>
                <w:sz w:val="21"/>
                <w:szCs w:val="21"/>
                <w14:ligatures w14:val="none"/>
              </w:rPr>
              <w:t>《防雷减灾管理办法》（国家气象局令第44号）第十一条</w:t>
            </w:r>
          </w:p>
        </w:tc>
        <w:tc>
          <w:tcPr>
            <w:tcW w:w="1142" w:type="pct"/>
            <w:vAlign w:val="center"/>
          </w:tcPr>
          <w:p w14:paraId="62896D34">
            <w:pPr>
              <w:spacing w:line="240" w:lineRule="auto"/>
              <w:ind w:firstLine="0" w:firstLineChars="0"/>
              <w:rPr>
                <w:rFonts w:hint="default" w:ascii="Times New Roman" w:hAnsi="Times New Roman" w:eastAsia="宋体" w:cs="Times New Roman"/>
                <w:kern w:val="28"/>
                <w:sz w:val="21"/>
                <w:szCs w:val="21"/>
                <w:lang w:val="en-US" w:eastAsia="zh-CN"/>
                <w14:ligatures w14:val="none"/>
              </w:rPr>
            </w:pPr>
            <w:r>
              <w:rPr>
                <w:rFonts w:hint="default" w:ascii="Times New Roman" w:hAnsi="Times New Roman" w:eastAsia="宋体" w:cs="Times New Roman"/>
                <w:kern w:val="28"/>
                <w:sz w:val="21"/>
                <w:szCs w:val="21"/>
                <w:lang w:val="en-US" w:eastAsia="zh-CN"/>
                <w14:ligatures w14:val="none"/>
              </w:rPr>
              <w:t>已由</w:t>
            </w:r>
            <w:r>
              <w:rPr>
                <w:rFonts w:hint="default" w:ascii="Times New Roman" w:hAnsi="Times New Roman" w:eastAsia="宋体" w:cs="Times New Roman"/>
                <w:sz w:val="21"/>
                <w:szCs w:val="21"/>
                <w14:ligatures w14:val="none"/>
              </w:rPr>
              <w:t>相应资质的单位承担检测</w:t>
            </w:r>
            <w:r>
              <w:rPr>
                <w:rFonts w:hint="default" w:ascii="Times New Roman" w:hAnsi="Times New Roman" w:eastAsia="宋体" w:cs="Times New Roman"/>
                <w:sz w:val="21"/>
                <w:szCs w:val="21"/>
                <w:lang w:eastAsia="zh-CN"/>
                <w14:ligatures w14:val="none"/>
              </w:rPr>
              <w:t>，</w:t>
            </w:r>
            <w:r>
              <w:rPr>
                <w:rFonts w:hint="default" w:ascii="Times New Roman" w:hAnsi="Times New Roman" w:eastAsia="宋体" w:cs="Times New Roman"/>
                <w:sz w:val="21"/>
                <w:szCs w:val="21"/>
                <w:lang w:val="en-US" w:eastAsia="zh-CN"/>
                <w14:ligatures w14:val="none"/>
              </w:rPr>
              <w:t>并出具报告</w:t>
            </w:r>
          </w:p>
        </w:tc>
        <w:tc>
          <w:tcPr>
            <w:tcW w:w="403" w:type="pct"/>
            <w:vAlign w:val="center"/>
          </w:tcPr>
          <w:p w14:paraId="6446E2CC">
            <w:pPr>
              <w:adjustRightInd/>
              <w:snapToGrid/>
              <w:spacing w:line="240" w:lineRule="auto"/>
              <w:ind w:firstLine="0" w:firstLineChars="0"/>
              <w:jc w:val="center"/>
              <w:rPr>
                <w:rFonts w:hint="default" w:ascii="Times New Roman" w:hAnsi="Times New Roman" w:eastAsia="宋体" w:cs="Times New Roman"/>
                <w:kern w:val="28"/>
                <w:sz w:val="21"/>
                <w:szCs w:val="21"/>
                <w:lang w:val="en-US" w:eastAsia="zh-CN"/>
                <w14:ligatures w14:val="none"/>
              </w:rPr>
            </w:pPr>
            <w:r>
              <w:rPr>
                <w:rFonts w:hint="default" w:ascii="Times New Roman" w:hAnsi="Times New Roman" w:eastAsia="宋体" w:cs="Times New Roman"/>
                <w:kern w:val="28"/>
                <w:sz w:val="21"/>
                <w:szCs w:val="21"/>
                <w:lang w:val="en-US" w:eastAsia="zh-CN"/>
                <w14:ligatures w14:val="none"/>
              </w:rPr>
              <w:t>符合</w:t>
            </w:r>
          </w:p>
        </w:tc>
      </w:tr>
    </w:tbl>
    <w:p w14:paraId="37B8FB4A">
      <w:pPr>
        <w:keepNext/>
        <w:keepLines/>
        <w:spacing w:before="156" w:beforeLines="50" w:after="156" w:afterLines="50" w:line="240" w:lineRule="auto"/>
        <w:ind w:firstLine="0" w:firstLineChars="0"/>
        <w:jc w:val="center"/>
        <w:rPr>
          <w:rFonts w:ascii="Times New Roman" w:hAnsi="Times New Roman" w:eastAsia="黑体"/>
          <w:sz w:val="24"/>
        </w:rPr>
      </w:pPr>
      <w:r>
        <w:rPr>
          <w:rFonts w:ascii="Times New Roman" w:hAnsi="Times New Roman" w:eastAsia="黑体"/>
          <w:sz w:val="24"/>
        </w:rPr>
        <w:t>附表4.1-2  重大安全事故隐患判定单元检查表</w:t>
      </w:r>
    </w:p>
    <w:tbl>
      <w:tblPr>
        <w:tblStyle w:val="33"/>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13"/>
        <w:gridCol w:w="3661"/>
        <w:gridCol w:w="1611"/>
        <w:gridCol w:w="2402"/>
        <w:gridCol w:w="689"/>
      </w:tblGrid>
      <w:tr w14:paraId="108EDE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tblHeader/>
          <w:jc w:val="center"/>
        </w:trPr>
        <w:tc>
          <w:tcPr>
            <w:tcW w:w="443" w:type="pct"/>
            <w:vAlign w:val="center"/>
          </w:tcPr>
          <w:p w14:paraId="4E8D1070">
            <w:pPr>
              <w:adjustRightInd/>
              <w:snapToGrid/>
              <w:spacing w:line="36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序号</w:t>
            </w:r>
          </w:p>
        </w:tc>
        <w:tc>
          <w:tcPr>
            <w:tcW w:w="1994" w:type="pct"/>
            <w:vAlign w:val="center"/>
          </w:tcPr>
          <w:p w14:paraId="14BC6844">
            <w:pPr>
              <w:adjustRightInd/>
              <w:snapToGrid/>
              <w:spacing w:line="360" w:lineRule="exact"/>
              <w:ind w:firstLine="0" w:firstLineChars="0"/>
              <w:jc w:val="center"/>
              <w:rPr>
                <w:rFonts w:hint="default" w:ascii="Times New Roman" w:hAnsi="Times New Roman" w:eastAsia="宋体" w:cs="Times New Roman"/>
                <w:sz w:val="21"/>
                <w:szCs w:val="21"/>
                <w:lang w:val="en-US" w:eastAsia="zh-CN"/>
                <w14:ligatures w14:val="none"/>
              </w:rPr>
            </w:pPr>
            <w:r>
              <w:rPr>
                <w:rFonts w:hint="eastAsia" w:ascii="Times New Roman" w:hAnsi="Times New Roman" w:eastAsia="宋体" w:cs="Times New Roman"/>
                <w:sz w:val="21"/>
                <w:szCs w:val="21"/>
                <w:lang w:val="en-US" w:eastAsia="zh-CN"/>
                <w14:ligatures w14:val="none"/>
              </w:rPr>
              <w:t>检查内容</w:t>
            </w:r>
          </w:p>
        </w:tc>
        <w:tc>
          <w:tcPr>
            <w:tcW w:w="877" w:type="pct"/>
            <w:vAlign w:val="center"/>
          </w:tcPr>
          <w:p w14:paraId="1AF8A86F">
            <w:pPr>
              <w:adjustRightInd/>
              <w:snapToGrid/>
              <w:spacing w:line="36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检查依据</w:t>
            </w:r>
          </w:p>
        </w:tc>
        <w:tc>
          <w:tcPr>
            <w:tcW w:w="1308" w:type="pct"/>
            <w:vAlign w:val="center"/>
          </w:tcPr>
          <w:p w14:paraId="506278D9">
            <w:pPr>
              <w:adjustRightInd/>
              <w:snapToGrid/>
              <w:spacing w:line="36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检查记录</w:t>
            </w:r>
          </w:p>
        </w:tc>
        <w:tc>
          <w:tcPr>
            <w:tcW w:w="375" w:type="pct"/>
            <w:vAlign w:val="center"/>
          </w:tcPr>
          <w:p w14:paraId="6CC30475">
            <w:pPr>
              <w:adjustRightInd/>
              <w:snapToGrid/>
              <w:spacing w:line="36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结论</w:t>
            </w:r>
          </w:p>
        </w:tc>
      </w:tr>
      <w:tr w14:paraId="561E4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53F551F4">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w:t>
            </w:r>
          </w:p>
        </w:tc>
        <w:tc>
          <w:tcPr>
            <w:tcW w:w="1994" w:type="pct"/>
            <w:vAlign w:val="center"/>
          </w:tcPr>
          <w:p w14:paraId="0555D204">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危险化学品生产、经营单位主要负责人和安全生产管理人员未依法经考核合格。</w:t>
            </w:r>
          </w:p>
        </w:tc>
        <w:tc>
          <w:tcPr>
            <w:tcW w:w="877" w:type="pct"/>
            <w:vAlign w:val="center"/>
          </w:tcPr>
          <w:p w14:paraId="486684CC">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2001596F">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站内主要负责人和安全生产管理人员</w:t>
            </w:r>
            <w:r>
              <w:rPr>
                <w:rFonts w:hint="eastAsia" w:ascii="Times New Roman" w:hAnsi="Times New Roman" w:eastAsia="宋体" w:cs="Times New Roman"/>
                <w:sz w:val="21"/>
                <w:szCs w:val="21"/>
                <w14:ligatures w14:val="none"/>
              </w:rPr>
              <w:t>均</w:t>
            </w:r>
            <w:r>
              <w:rPr>
                <w:rFonts w:ascii="Times New Roman" w:hAnsi="Times New Roman" w:eastAsia="宋体" w:cs="Times New Roman"/>
                <w:sz w:val="21"/>
                <w:szCs w:val="21"/>
                <w14:ligatures w14:val="none"/>
              </w:rPr>
              <w:t>取得</w:t>
            </w:r>
            <w:r>
              <w:rPr>
                <w:rFonts w:hint="eastAsia" w:ascii="Times New Roman" w:hAnsi="Times New Roman" w:eastAsia="宋体" w:cs="Times New Roman"/>
                <w:sz w:val="21"/>
                <w:szCs w:val="21"/>
                <w14:ligatures w14:val="none"/>
              </w:rPr>
              <w:t>安全资格证书</w:t>
            </w:r>
            <w:r>
              <w:rPr>
                <w:rFonts w:ascii="Times New Roman" w:hAnsi="Times New Roman" w:eastAsia="宋体" w:cs="Times New Roman"/>
                <w:sz w:val="21"/>
                <w:szCs w:val="21"/>
                <w14:ligatures w14:val="none"/>
              </w:rPr>
              <w:t>。</w:t>
            </w:r>
          </w:p>
        </w:tc>
        <w:tc>
          <w:tcPr>
            <w:tcW w:w="375" w:type="pct"/>
            <w:vAlign w:val="center"/>
          </w:tcPr>
          <w:p w14:paraId="6ED0AA33">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r w14:paraId="49929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6383B1DB">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2</w:t>
            </w:r>
          </w:p>
        </w:tc>
        <w:tc>
          <w:tcPr>
            <w:tcW w:w="1994" w:type="pct"/>
            <w:vAlign w:val="center"/>
          </w:tcPr>
          <w:p w14:paraId="4E4AF7B9">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特种作业人员未持证上岗。</w:t>
            </w:r>
          </w:p>
        </w:tc>
        <w:tc>
          <w:tcPr>
            <w:tcW w:w="877" w:type="pct"/>
            <w:vAlign w:val="center"/>
          </w:tcPr>
          <w:p w14:paraId="2D0E53E4">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19B529F2">
            <w:pPr>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未涉及特种作业人员</w:t>
            </w:r>
            <w:r>
              <w:rPr>
                <w:rFonts w:ascii="Times New Roman" w:hAnsi="Times New Roman" w:eastAsia="宋体" w:cs="Times New Roman"/>
                <w:sz w:val="21"/>
                <w:szCs w:val="21"/>
                <w14:ligatures w14:val="none"/>
              </w:rPr>
              <w:t>。</w:t>
            </w:r>
          </w:p>
        </w:tc>
        <w:tc>
          <w:tcPr>
            <w:tcW w:w="375" w:type="pct"/>
            <w:vAlign w:val="center"/>
          </w:tcPr>
          <w:p w14:paraId="5616F3C4">
            <w:pPr>
              <w:adjustRightInd/>
              <w:snapToGrid/>
              <w:spacing w:line="340" w:lineRule="exact"/>
              <w:ind w:firstLine="0" w:firstLineChars="0"/>
              <w:jc w:val="center"/>
              <w:rPr>
                <w:rFonts w:hint="eastAsia" w:ascii="Times New Roman" w:hAnsi="Times New Roman" w:eastAsia="宋体" w:cs="Times New Roman"/>
                <w:sz w:val="21"/>
                <w:szCs w:val="21"/>
                <w:lang w:eastAsia="zh-CN"/>
                <w14:ligatures w14:val="none"/>
              </w:rPr>
            </w:pPr>
            <w:r>
              <w:rPr>
                <w:rFonts w:hint="eastAsia" w:ascii="Times New Roman" w:hAnsi="Times New Roman" w:eastAsia="宋体" w:cs="Times New Roman"/>
                <w:sz w:val="21"/>
                <w:szCs w:val="21"/>
                <w:lang w:val="en-US" w:eastAsia="zh-CN"/>
                <w14:ligatures w14:val="none"/>
              </w:rPr>
              <w:t>无关</w:t>
            </w:r>
          </w:p>
        </w:tc>
      </w:tr>
      <w:tr w14:paraId="28EDD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16EA7947">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3</w:t>
            </w:r>
          </w:p>
        </w:tc>
        <w:tc>
          <w:tcPr>
            <w:tcW w:w="1994" w:type="pct"/>
            <w:vAlign w:val="center"/>
          </w:tcPr>
          <w:p w14:paraId="3C3B68D1">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涉及“两重点一重大”的生产装置、储存设施外部安全防护距离不符合国家标准要求。</w:t>
            </w:r>
          </w:p>
        </w:tc>
        <w:tc>
          <w:tcPr>
            <w:tcW w:w="877" w:type="pct"/>
            <w:vAlign w:val="center"/>
          </w:tcPr>
          <w:p w14:paraId="4E30F377">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46F8F864">
            <w:pPr>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本项目</w:t>
            </w:r>
            <w:r>
              <w:rPr>
                <w:rFonts w:ascii="Times New Roman" w:hAnsi="Times New Roman" w:eastAsia="宋体" w:cs="Times New Roman"/>
                <w:sz w:val="21"/>
                <w:szCs w:val="21"/>
                <w14:ligatures w14:val="none"/>
              </w:rPr>
              <w:t>车用乙醇汽油为重点监管危险化学品，车用乙醇汽油储存设施外部安全防护距离符合要求。</w:t>
            </w:r>
          </w:p>
        </w:tc>
        <w:tc>
          <w:tcPr>
            <w:tcW w:w="375" w:type="pct"/>
            <w:vAlign w:val="center"/>
          </w:tcPr>
          <w:p w14:paraId="585DFE33">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r w14:paraId="4DBE8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485BD03D">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4</w:t>
            </w:r>
          </w:p>
        </w:tc>
        <w:tc>
          <w:tcPr>
            <w:tcW w:w="1994" w:type="pct"/>
            <w:vAlign w:val="center"/>
          </w:tcPr>
          <w:p w14:paraId="055085D6">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涉及重点监管危险化工工艺的装置未实现自动化控制，系统未实现紧急停车功能，装备的自动化控制系统、紧急停车系统未投入使用。</w:t>
            </w:r>
          </w:p>
        </w:tc>
        <w:tc>
          <w:tcPr>
            <w:tcW w:w="877" w:type="pct"/>
            <w:vAlign w:val="center"/>
          </w:tcPr>
          <w:p w14:paraId="7D2B15C4">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78EEF4CA">
            <w:pPr>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本项目</w:t>
            </w:r>
            <w:r>
              <w:rPr>
                <w:rFonts w:ascii="Times New Roman" w:hAnsi="Times New Roman" w:eastAsia="宋体" w:cs="Times New Roman"/>
                <w:sz w:val="21"/>
                <w:szCs w:val="21"/>
                <w14:ligatures w14:val="none"/>
              </w:rPr>
              <w:t>不涉及重点监管化工工艺</w:t>
            </w:r>
            <w:r>
              <w:rPr>
                <w:rFonts w:hint="eastAsia" w:ascii="Times New Roman" w:hAnsi="Times New Roman" w:eastAsia="宋体" w:cs="Times New Roman"/>
                <w:sz w:val="21"/>
                <w:szCs w:val="21"/>
                <w14:ligatures w14:val="none"/>
              </w:rPr>
              <w:t>。</w:t>
            </w:r>
          </w:p>
        </w:tc>
        <w:tc>
          <w:tcPr>
            <w:tcW w:w="375" w:type="pct"/>
            <w:vAlign w:val="center"/>
          </w:tcPr>
          <w:p w14:paraId="0231DB81">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无关</w:t>
            </w:r>
          </w:p>
        </w:tc>
      </w:tr>
      <w:tr w14:paraId="7CD81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21AFCE14">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5</w:t>
            </w:r>
          </w:p>
        </w:tc>
        <w:tc>
          <w:tcPr>
            <w:tcW w:w="1994" w:type="pct"/>
            <w:vAlign w:val="center"/>
          </w:tcPr>
          <w:p w14:paraId="7081964D">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构成一级、二级重大危险源的危险化学品罐区未实现紧急切断功能；涉及毒性气体、液化气体、剧毒液体的一级、二级重大危险源的危险化学品罐区未配备独立的安全仪表系统。</w:t>
            </w:r>
          </w:p>
        </w:tc>
        <w:tc>
          <w:tcPr>
            <w:tcW w:w="877" w:type="pct"/>
            <w:vAlign w:val="center"/>
          </w:tcPr>
          <w:p w14:paraId="366FFB4A">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01080E58">
            <w:pPr>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本项目</w:t>
            </w:r>
            <w:r>
              <w:rPr>
                <w:rFonts w:ascii="Times New Roman" w:hAnsi="Times New Roman" w:eastAsia="宋体" w:cs="Times New Roman"/>
                <w:sz w:val="21"/>
                <w:szCs w:val="21"/>
                <w14:ligatures w14:val="none"/>
              </w:rPr>
              <w:t>未构成危险化学品重大危险源</w:t>
            </w:r>
            <w:r>
              <w:rPr>
                <w:rFonts w:hint="eastAsia" w:ascii="Times New Roman" w:hAnsi="Times New Roman" w:eastAsia="宋体" w:cs="Times New Roman"/>
                <w:sz w:val="21"/>
                <w:szCs w:val="21"/>
                <w14:ligatures w14:val="none"/>
              </w:rPr>
              <w:t>；不涉及</w:t>
            </w:r>
            <w:r>
              <w:rPr>
                <w:rFonts w:ascii="Times New Roman" w:hAnsi="Times New Roman" w:eastAsia="宋体" w:cs="Times New Roman"/>
                <w:sz w:val="21"/>
                <w:szCs w:val="21"/>
                <w14:ligatures w14:val="none"/>
              </w:rPr>
              <w:t>毒性气体、液化气体、剧毒液体</w:t>
            </w:r>
            <w:r>
              <w:rPr>
                <w:rFonts w:hint="eastAsia" w:ascii="Times New Roman" w:hAnsi="Times New Roman" w:eastAsia="宋体" w:cs="Times New Roman"/>
                <w:sz w:val="21"/>
                <w:szCs w:val="21"/>
                <w14:ligatures w14:val="none"/>
              </w:rPr>
              <w:t>。</w:t>
            </w:r>
          </w:p>
        </w:tc>
        <w:tc>
          <w:tcPr>
            <w:tcW w:w="375" w:type="pct"/>
            <w:vAlign w:val="center"/>
          </w:tcPr>
          <w:p w14:paraId="2D1AEBE2">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无关</w:t>
            </w:r>
          </w:p>
        </w:tc>
      </w:tr>
      <w:tr w14:paraId="35AD18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0870BEAD">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6</w:t>
            </w:r>
          </w:p>
        </w:tc>
        <w:tc>
          <w:tcPr>
            <w:tcW w:w="1994" w:type="pct"/>
            <w:vAlign w:val="center"/>
          </w:tcPr>
          <w:p w14:paraId="684FB24F">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全压力式液化烃储罐未按国家标准设置注水措施。</w:t>
            </w:r>
          </w:p>
        </w:tc>
        <w:tc>
          <w:tcPr>
            <w:tcW w:w="877" w:type="pct"/>
            <w:vAlign w:val="center"/>
          </w:tcPr>
          <w:p w14:paraId="54787B22">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2D18998D">
            <w:pPr>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本项目</w:t>
            </w:r>
            <w:r>
              <w:rPr>
                <w:rFonts w:ascii="Times New Roman" w:hAnsi="Times New Roman" w:eastAsia="宋体" w:cs="Times New Roman"/>
                <w:sz w:val="21"/>
                <w:szCs w:val="21"/>
                <w14:ligatures w14:val="none"/>
              </w:rPr>
              <w:t>不涉及全压力式液化烃储罐。</w:t>
            </w:r>
          </w:p>
        </w:tc>
        <w:tc>
          <w:tcPr>
            <w:tcW w:w="375" w:type="pct"/>
            <w:vAlign w:val="center"/>
          </w:tcPr>
          <w:p w14:paraId="23C773AA">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无关</w:t>
            </w:r>
          </w:p>
        </w:tc>
      </w:tr>
      <w:tr w14:paraId="568EEC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4C91B4E0">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7</w:t>
            </w:r>
          </w:p>
        </w:tc>
        <w:tc>
          <w:tcPr>
            <w:tcW w:w="1994" w:type="pct"/>
            <w:vAlign w:val="center"/>
          </w:tcPr>
          <w:p w14:paraId="0CD4CF11">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液化烃、液氨、液氯等易燃易爆、有毒有害液化气体的充装未使用万向管道充装系统。</w:t>
            </w:r>
          </w:p>
        </w:tc>
        <w:tc>
          <w:tcPr>
            <w:tcW w:w="877" w:type="pct"/>
            <w:vAlign w:val="center"/>
          </w:tcPr>
          <w:p w14:paraId="5B1882E9">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56630646">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本项目不涉及液化烃、液氨、液氯等易燃易爆、有毒有害液化气体的充装</w:t>
            </w:r>
            <w:r>
              <w:rPr>
                <w:rFonts w:hint="eastAsia" w:ascii="Times New Roman" w:hAnsi="Times New Roman" w:eastAsia="宋体" w:cs="Times New Roman"/>
                <w:sz w:val="21"/>
                <w:szCs w:val="21"/>
                <w14:ligatures w14:val="none"/>
              </w:rPr>
              <w:t>。</w:t>
            </w:r>
          </w:p>
        </w:tc>
        <w:tc>
          <w:tcPr>
            <w:tcW w:w="375" w:type="pct"/>
            <w:vAlign w:val="center"/>
          </w:tcPr>
          <w:p w14:paraId="2FF49F45">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无关</w:t>
            </w:r>
          </w:p>
        </w:tc>
      </w:tr>
      <w:tr w14:paraId="2BDECB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4421A91C">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8</w:t>
            </w:r>
          </w:p>
        </w:tc>
        <w:tc>
          <w:tcPr>
            <w:tcW w:w="1994" w:type="pct"/>
            <w:vAlign w:val="center"/>
          </w:tcPr>
          <w:p w14:paraId="5A61744E">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光气、氯气等剧毒气体及硫化氢气体管道穿越除厂区（包括化工园区、工业园区）外的公共区域。</w:t>
            </w:r>
          </w:p>
        </w:tc>
        <w:tc>
          <w:tcPr>
            <w:tcW w:w="877" w:type="pct"/>
            <w:vAlign w:val="center"/>
          </w:tcPr>
          <w:p w14:paraId="67B7CC12">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111CB26C">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本项目不涉及光气、氯气等剧毒气体及硫化氢气体管道</w:t>
            </w:r>
            <w:r>
              <w:rPr>
                <w:rFonts w:hint="eastAsia" w:ascii="Times New Roman" w:hAnsi="Times New Roman" w:eastAsia="宋体" w:cs="Times New Roman"/>
                <w:sz w:val="21"/>
                <w:szCs w:val="21"/>
                <w14:ligatures w14:val="none"/>
              </w:rPr>
              <w:t>。</w:t>
            </w:r>
          </w:p>
        </w:tc>
        <w:tc>
          <w:tcPr>
            <w:tcW w:w="375" w:type="pct"/>
            <w:vAlign w:val="center"/>
          </w:tcPr>
          <w:p w14:paraId="14F59195">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无关</w:t>
            </w:r>
          </w:p>
        </w:tc>
      </w:tr>
      <w:tr w14:paraId="687BC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1D2D48AB">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9</w:t>
            </w:r>
          </w:p>
        </w:tc>
        <w:tc>
          <w:tcPr>
            <w:tcW w:w="1994" w:type="pct"/>
            <w:vAlign w:val="center"/>
          </w:tcPr>
          <w:p w14:paraId="6D498855">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地区架空电力线路穿越生产区且不符合国家标准要求。</w:t>
            </w:r>
          </w:p>
        </w:tc>
        <w:tc>
          <w:tcPr>
            <w:tcW w:w="877" w:type="pct"/>
            <w:vAlign w:val="center"/>
          </w:tcPr>
          <w:p w14:paraId="39001845">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53AFDE6A">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站内无电力线穿越</w:t>
            </w:r>
            <w:r>
              <w:rPr>
                <w:rFonts w:hint="eastAsia" w:ascii="Times New Roman" w:hAnsi="Times New Roman" w:eastAsia="宋体" w:cs="Times New Roman"/>
                <w:sz w:val="21"/>
                <w:szCs w:val="21"/>
                <w14:ligatures w14:val="none"/>
              </w:rPr>
              <w:t>生产作业区。</w:t>
            </w:r>
          </w:p>
        </w:tc>
        <w:tc>
          <w:tcPr>
            <w:tcW w:w="375" w:type="pct"/>
            <w:vAlign w:val="center"/>
          </w:tcPr>
          <w:p w14:paraId="1CF47010">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r w14:paraId="3D56A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700E2BBE">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10</w:t>
            </w:r>
          </w:p>
        </w:tc>
        <w:tc>
          <w:tcPr>
            <w:tcW w:w="1994" w:type="pct"/>
            <w:vAlign w:val="center"/>
          </w:tcPr>
          <w:p w14:paraId="6AB10471">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在役化工装置未经正规设计且未进行安全设计诊断。</w:t>
            </w:r>
          </w:p>
        </w:tc>
        <w:tc>
          <w:tcPr>
            <w:tcW w:w="877" w:type="pct"/>
            <w:vAlign w:val="center"/>
          </w:tcPr>
          <w:p w14:paraId="24045CF6">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566F1126">
            <w:pPr>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该站在役化工装置</w:t>
            </w:r>
            <w:r>
              <w:rPr>
                <w:rFonts w:ascii="Times New Roman" w:hAnsi="Times New Roman" w:eastAsia="宋体" w:cs="Times New Roman"/>
                <w:sz w:val="21"/>
                <w:szCs w:val="21"/>
                <w14:ligatures w14:val="none"/>
              </w:rPr>
              <w:t>经正规设计</w:t>
            </w:r>
          </w:p>
        </w:tc>
        <w:tc>
          <w:tcPr>
            <w:tcW w:w="375" w:type="pct"/>
            <w:vAlign w:val="center"/>
          </w:tcPr>
          <w:p w14:paraId="7DF1B917">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r w14:paraId="489D4B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3FB1D2C5">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11</w:t>
            </w:r>
          </w:p>
        </w:tc>
        <w:tc>
          <w:tcPr>
            <w:tcW w:w="1994" w:type="pct"/>
            <w:vAlign w:val="center"/>
          </w:tcPr>
          <w:p w14:paraId="23EFA00B">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使用淘汰落后安全技术工艺、设备目录列出的工艺、设备。</w:t>
            </w:r>
          </w:p>
        </w:tc>
        <w:tc>
          <w:tcPr>
            <w:tcW w:w="877" w:type="pct"/>
            <w:vAlign w:val="center"/>
          </w:tcPr>
          <w:p w14:paraId="3ADB7C9F">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1148A333">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未使用淘汰落后安全技术工艺、设备目录列出的工艺、设备。</w:t>
            </w:r>
          </w:p>
        </w:tc>
        <w:tc>
          <w:tcPr>
            <w:tcW w:w="375" w:type="pct"/>
            <w:vAlign w:val="center"/>
          </w:tcPr>
          <w:p w14:paraId="2AA9A14A">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r w14:paraId="6170C8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55657EFB">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12</w:t>
            </w:r>
          </w:p>
        </w:tc>
        <w:tc>
          <w:tcPr>
            <w:tcW w:w="1994" w:type="pct"/>
            <w:vAlign w:val="center"/>
          </w:tcPr>
          <w:p w14:paraId="31C54019">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涉及可燃和有毒有害气体泄漏的场所未按国家标准设置检测报警装置，爆炸危险场所未按国家标准安装使用防爆电气设备。</w:t>
            </w:r>
          </w:p>
        </w:tc>
        <w:tc>
          <w:tcPr>
            <w:tcW w:w="877" w:type="pct"/>
            <w:vAlign w:val="center"/>
          </w:tcPr>
          <w:p w14:paraId="7738BB8C">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567FDA1A">
            <w:pPr>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该站已设置</w:t>
            </w:r>
            <w:r>
              <w:rPr>
                <w:rFonts w:ascii="Times New Roman" w:hAnsi="Times New Roman" w:eastAsia="宋体" w:cs="Times New Roman"/>
                <w:sz w:val="21"/>
                <w:szCs w:val="21"/>
                <w14:ligatures w14:val="none"/>
              </w:rPr>
              <w:t>可燃</w:t>
            </w:r>
            <w:r>
              <w:rPr>
                <w:rFonts w:hint="eastAsia" w:ascii="Times New Roman" w:hAnsi="Times New Roman" w:eastAsia="宋体" w:cs="Times New Roman"/>
                <w:sz w:val="21"/>
                <w:szCs w:val="21"/>
                <w14:ligatures w14:val="none"/>
              </w:rPr>
              <w:t>气体报警检测系统，</w:t>
            </w:r>
            <w:r>
              <w:rPr>
                <w:rFonts w:ascii="Times New Roman" w:hAnsi="Times New Roman" w:eastAsia="宋体" w:cs="Times New Roman"/>
                <w:sz w:val="21"/>
                <w:szCs w:val="21"/>
                <w14:ligatures w14:val="none"/>
              </w:rPr>
              <w:t>爆炸危险场所按国家标准安装防爆电气设备</w:t>
            </w:r>
            <w:r>
              <w:rPr>
                <w:rFonts w:hint="eastAsia" w:ascii="Times New Roman" w:hAnsi="Times New Roman" w:eastAsia="宋体" w:cs="Times New Roman"/>
                <w:sz w:val="21"/>
                <w:szCs w:val="21"/>
                <w14:ligatures w14:val="none"/>
              </w:rPr>
              <w:t>。</w:t>
            </w:r>
          </w:p>
        </w:tc>
        <w:tc>
          <w:tcPr>
            <w:tcW w:w="375" w:type="pct"/>
            <w:vAlign w:val="center"/>
          </w:tcPr>
          <w:p w14:paraId="01DEF52F">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r w14:paraId="58B35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3EC76682">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13</w:t>
            </w:r>
          </w:p>
        </w:tc>
        <w:tc>
          <w:tcPr>
            <w:tcW w:w="1994" w:type="pct"/>
            <w:vAlign w:val="center"/>
          </w:tcPr>
          <w:p w14:paraId="02B45B94">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控制室或机柜室面向具有火灾、爆炸危险性装置一侧不满足国家标准关于防火防爆的要求。</w:t>
            </w:r>
          </w:p>
        </w:tc>
        <w:tc>
          <w:tcPr>
            <w:tcW w:w="877" w:type="pct"/>
            <w:vAlign w:val="center"/>
          </w:tcPr>
          <w:p w14:paraId="5C29E1C7">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4DC78528">
            <w:pPr>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该站站房内控制机柜</w:t>
            </w:r>
            <w:r>
              <w:rPr>
                <w:rFonts w:ascii="Times New Roman" w:hAnsi="Times New Roman" w:eastAsia="宋体" w:cs="Times New Roman"/>
                <w:sz w:val="21"/>
                <w:szCs w:val="21"/>
                <w14:ligatures w14:val="none"/>
              </w:rPr>
              <w:t>未面向具有火灾、爆炸危险性装置一侧</w:t>
            </w:r>
            <w:r>
              <w:rPr>
                <w:rFonts w:hint="eastAsia" w:ascii="Times New Roman" w:hAnsi="Times New Roman" w:eastAsia="宋体" w:cs="Times New Roman"/>
                <w:sz w:val="21"/>
                <w:szCs w:val="21"/>
                <w14:ligatures w14:val="none"/>
              </w:rPr>
              <w:t>。</w:t>
            </w:r>
          </w:p>
        </w:tc>
        <w:tc>
          <w:tcPr>
            <w:tcW w:w="375" w:type="pct"/>
            <w:vAlign w:val="center"/>
          </w:tcPr>
          <w:p w14:paraId="7A4C35A8">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r w14:paraId="76E99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742901AE">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14</w:t>
            </w:r>
          </w:p>
        </w:tc>
        <w:tc>
          <w:tcPr>
            <w:tcW w:w="1994" w:type="pct"/>
            <w:vAlign w:val="center"/>
          </w:tcPr>
          <w:p w14:paraId="64326373">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化工生产装置未按国家标准要求设置双重电源供电，自动化控制系统</w:t>
            </w:r>
            <w:r>
              <w:rPr>
                <w:rFonts w:hint="eastAsia" w:ascii="Times New Roman" w:hAnsi="Times New Roman" w:eastAsia="宋体" w:cs="Times New Roman"/>
                <w:sz w:val="21"/>
                <w:szCs w:val="21"/>
                <w14:ligatures w14:val="none"/>
              </w:rPr>
              <w:t>应</w:t>
            </w:r>
            <w:r>
              <w:rPr>
                <w:rFonts w:ascii="Times New Roman" w:hAnsi="Times New Roman" w:eastAsia="宋体" w:cs="Times New Roman"/>
                <w:sz w:val="21"/>
                <w:szCs w:val="21"/>
                <w14:ligatures w14:val="none"/>
              </w:rPr>
              <w:t>设置不间断电源。</w:t>
            </w:r>
          </w:p>
        </w:tc>
        <w:tc>
          <w:tcPr>
            <w:tcW w:w="877" w:type="pct"/>
            <w:vAlign w:val="center"/>
          </w:tcPr>
          <w:p w14:paraId="7C1E1AB3">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29F342C2">
            <w:pPr>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本项目不涉及化工生产装置，</w:t>
            </w:r>
            <w:r>
              <w:rPr>
                <w:rFonts w:ascii="Times New Roman" w:hAnsi="Times New Roman" w:eastAsia="宋体" w:cs="Times New Roman"/>
                <w:sz w:val="21"/>
                <w:szCs w:val="21"/>
                <w14:ligatures w14:val="none"/>
              </w:rPr>
              <w:t>自动化控制系统</w:t>
            </w:r>
            <w:r>
              <w:rPr>
                <w:rFonts w:hint="eastAsia" w:ascii="Times New Roman" w:hAnsi="Times New Roman" w:eastAsia="宋体" w:cs="Times New Roman"/>
                <w:sz w:val="21"/>
                <w:szCs w:val="21"/>
                <w14:ligatures w14:val="none"/>
              </w:rPr>
              <w:t>已</w:t>
            </w:r>
            <w:r>
              <w:rPr>
                <w:rFonts w:ascii="Times New Roman" w:hAnsi="Times New Roman" w:eastAsia="宋体" w:cs="Times New Roman"/>
                <w:sz w:val="21"/>
                <w:szCs w:val="21"/>
                <w14:ligatures w14:val="none"/>
              </w:rPr>
              <w:t>设置不间断电源</w:t>
            </w:r>
            <w:r>
              <w:rPr>
                <w:rFonts w:hint="eastAsia" w:ascii="Times New Roman" w:hAnsi="Times New Roman" w:eastAsia="宋体" w:cs="Times New Roman"/>
                <w:sz w:val="21"/>
                <w:szCs w:val="21"/>
                <w14:ligatures w14:val="none"/>
              </w:rPr>
              <w:t>。</w:t>
            </w:r>
          </w:p>
        </w:tc>
        <w:tc>
          <w:tcPr>
            <w:tcW w:w="375" w:type="pct"/>
            <w:vAlign w:val="center"/>
          </w:tcPr>
          <w:p w14:paraId="7454DE85">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符合</w:t>
            </w:r>
          </w:p>
        </w:tc>
      </w:tr>
      <w:tr w14:paraId="55DB3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795B2AFD">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15</w:t>
            </w:r>
          </w:p>
        </w:tc>
        <w:tc>
          <w:tcPr>
            <w:tcW w:w="1994" w:type="pct"/>
            <w:vAlign w:val="center"/>
          </w:tcPr>
          <w:p w14:paraId="398D2DE9">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安全阀、爆破片等安全附件未正常投用。</w:t>
            </w:r>
          </w:p>
        </w:tc>
        <w:tc>
          <w:tcPr>
            <w:tcW w:w="877" w:type="pct"/>
            <w:vAlign w:val="center"/>
          </w:tcPr>
          <w:p w14:paraId="7827232D">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107D65E5">
            <w:pPr>
              <w:spacing w:line="240" w:lineRule="auto"/>
              <w:ind w:firstLine="0" w:firstLineChars="0"/>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本项目</w:t>
            </w:r>
            <w:r>
              <w:rPr>
                <w:rFonts w:ascii="Times New Roman" w:hAnsi="Times New Roman" w:eastAsia="宋体" w:cs="Times New Roman"/>
                <w:sz w:val="21"/>
                <w:szCs w:val="21"/>
                <w14:ligatures w14:val="none"/>
              </w:rPr>
              <w:t>未涉及安全阀、爆破片等附件</w:t>
            </w:r>
            <w:r>
              <w:rPr>
                <w:rFonts w:hint="eastAsia" w:ascii="Times New Roman" w:hAnsi="Times New Roman" w:eastAsia="宋体" w:cs="Times New Roman"/>
                <w:sz w:val="21"/>
                <w:szCs w:val="21"/>
                <w14:ligatures w14:val="none"/>
              </w:rPr>
              <w:t>。</w:t>
            </w:r>
          </w:p>
        </w:tc>
        <w:tc>
          <w:tcPr>
            <w:tcW w:w="375" w:type="pct"/>
            <w:vAlign w:val="center"/>
          </w:tcPr>
          <w:p w14:paraId="35BAAF13">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无关</w:t>
            </w:r>
          </w:p>
        </w:tc>
      </w:tr>
      <w:tr w14:paraId="4B6D6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56ED08C2">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16</w:t>
            </w:r>
          </w:p>
        </w:tc>
        <w:tc>
          <w:tcPr>
            <w:tcW w:w="1994" w:type="pct"/>
            <w:vAlign w:val="center"/>
          </w:tcPr>
          <w:p w14:paraId="5E75CE18">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未建立与岗位相匹配的全员安全生产责任制或者未制定实施生产安全事故隐患排查治理制度。</w:t>
            </w:r>
          </w:p>
        </w:tc>
        <w:tc>
          <w:tcPr>
            <w:tcW w:w="877" w:type="pct"/>
            <w:vAlign w:val="center"/>
          </w:tcPr>
          <w:p w14:paraId="687063D4">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3AB2B88C">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已建立全员责任制，制定生产安全事故隐患排查治理制度。</w:t>
            </w:r>
          </w:p>
        </w:tc>
        <w:tc>
          <w:tcPr>
            <w:tcW w:w="375" w:type="pct"/>
            <w:vAlign w:val="center"/>
          </w:tcPr>
          <w:p w14:paraId="755EA85A">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r w14:paraId="34F26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3F434EC2">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17</w:t>
            </w:r>
          </w:p>
        </w:tc>
        <w:tc>
          <w:tcPr>
            <w:tcW w:w="1994" w:type="pct"/>
            <w:vAlign w:val="center"/>
          </w:tcPr>
          <w:p w14:paraId="14314757">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未制定操作规程和工艺控制指标。</w:t>
            </w:r>
          </w:p>
        </w:tc>
        <w:tc>
          <w:tcPr>
            <w:tcW w:w="877" w:type="pct"/>
            <w:vAlign w:val="center"/>
          </w:tcPr>
          <w:p w14:paraId="418A866F">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7A542225">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已制定相关操作规程</w:t>
            </w:r>
          </w:p>
        </w:tc>
        <w:tc>
          <w:tcPr>
            <w:tcW w:w="375" w:type="pct"/>
            <w:vAlign w:val="center"/>
          </w:tcPr>
          <w:p w14:paraId="08AECCC5">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r w14:paraId="6B6A4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527E3898">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18</w:t>
            </w:r>
          </w:p>
        </w:tc>
        <w:tc>
          <w:tcPr>
            <w:tcW w:w="1994" w:type="pct"/>
            <w:vAlign w:val="center"/>
          </w:tcPr>
          <w:p w14:paraId="4F4E0665">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未按照国家标准制定动火、进入受限空间等特殊作业管理制度，或者制度未有效执行。</w:t>
            </w:r>
          </w:p>
        </w:tc>
        <w:tc>
          <w:tcPr>
            <w:tcW w:w="877" w:type="pct"/>
            <w:vAlign w:val="center"/>
          </w:tcPr>
          <w:p w14:paraId="7F582F19">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7513CD30">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已制定动火、进入受限空间等特殊作业管理制度，并认真执行。</w:t>
            </w:r>
          </w:p>
        </w:tc>
        <w:tc>
          <w:tcPr>
            <w:tcW w:w="375" w:type="pct"/>
            <w:vAlign w:val="center"/>
          </w:tcPr>
          <w:p w14:paraId="13B39510">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r w14:paraId="1609A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68085AFF">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19</w:t>
            </w:r>
          </w:p>
        </w:tc>
        <w:tc>
          <w:tcPr>
            <w:tcW w:w="1994" w:type="pct"/>
            <w:vAlign w:val="center"/>
          </w:tcPr>
          <w:p w14:paraId="2397E073">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新开发的危险化学品生产工艺未经小试、中试、工业化试验直接进行工业化生产；国内首次使用的化工工艺未经过省级人民政府有关部门组织的安全可靠性论证；新建装置未制定试生产方案投料开车；精细化工企业未按规范性文件要求开展反应安全风险评估。</w:t>
            </w:r>
          </w:p>
        </w:tc>
        <w:tc>
          <w:tcPr>
            <w:tcW w:w="877" w:type="pct"/>
            <w:vAlign w:val="center"/>
          </w:tcPr>
          <w:p w14:paraId="148A6044">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1B9BC4EE">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加油站未涉及上述内容。</w:t>
            </w:r>
          </w:p>
        </w:tc>
        <w:tc>
          <w:tcPr>
            <w:tcW w:w="375" w:type="pct"/>
            <w:vAlign w:val="center"/>
          </w:tcPr>
          <w:p w14:paraId="41DEA917">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无关</w:t>
            </w:r>
          </w:p>
        </w:tc>
      </w:tr>
      <w:tr w14:paraId="7226E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443" w:type="pct"/>
            <w:vAlign w:val="center"/>
          </w:tcPr>
          <w:p w14:paraId="0C612288">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20</w:t>
            </w:r>
          </w:p>
        </w:tc>
        <w:tc>
          <w:tcPr>
            <w:tcW w:w="1994" w:type="pct"/>
            <w:vAlign w:val="center"/>
          </w:tcPr>
          <w:p w14:paraId="057663F2">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未按国家标准分区分类储存危险化学品，超量、超品种储存危险化学品，相互禁配物质混放混存。</w:t>
            </w:r>
          </w:p>
        </w:tc>
        <w:tc>
          <w:tcPr>
            <w:tcW w:w="877" w:type="pct"/>
            <w:vAlign w:val="center"/>
          </w:tcPr>
          <w:p w14:paraId="29E4F8A8">
            <w:pPr>
              <w:adjustRightInd/>
              <w:snapToGrid/>
              <w:spacing w:line="340" w:lineRule="exact"/>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安监总管三〔2017〕121号</w:t>
            </w:r>
          </w:p>
        </w:tc>
        <w:tc>
          <w:tcPr>
            <w:tcW w:w="1308" w:type="pct"/>
            <w:vAlign w:val="center"/>
          </w:tcPr>
          <w:p w14:paraId="50241248">
            <w:pPr>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无超量、超品种储存危险化学品现象，无禁配物质混放混存现象。</w:t>
            </w:r>
          </w:p>
        </w:tc>
        <w:tc>
          <w:tcPr>
            <w:tcW w:w="375" w:type="pct"/>
            <w:vAlign w:val="center"/>
          </w:tcPr>
          <w:p w14:paraId="12DE386A">
            <w:pPr>
              <w:adjustRightInd/>
              <w:snapToGrid/>
              <w:spacing w:line="340" w:lineRule="exact"/>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符合</w:t>
            </w:r>
          </w:p>
        </w:tc>
      </w:tr>
    </w:tbl>
    <w:p w14:paraId="60FCBB01">
      <w:pPr>
        <w:keepNext/>
        <w:keepLines/>
        <w:spacing w:before="156" w:beforeLines="50" w:after="156" w:afterLines="50" w:line="240" w:lineRule="auto"/>
        <w:ind w:firstLine="0" w:firstLineChars="0"/>
        <w:jc w:val="center"/>
        <w:rPr>
          <w:rFonts w:ascii="Times New Roman" w:hAnsi="Times New Roman" w:eastAsia="黑体"/>
          <w:sz w:val="24"/>
        </w:rPr>
      </w:pPr>
      <w:r>
        <w:rPr>
          <w:rFonts w:ascii="Times New Roman" w:hAnsi="Times New Roman" w:eastAsia="黑体"/>
          <w:sz w:val="24"/>
        </w:rPr>
        <w:br w:type="page"/>
      </w:r>
    </w:p>
    <w:p w14:paraId="5ED707D2">
      <w:pPr>
        <w:keepNext/>
        <w:keepLines/>
        <w:spacing w:before="156" w:beforeLines="50" w:after="156" w:afterLines="50" w:line="240" w:lineRule="auto"/>
        <w:ind w:firstLine="0" w:firstLineChars="0"/>
        <w:jc w:val="center"/>
        <w:rPr>
          <w:rFonts w:hint="eastAsia" w:ascii="Times New Roman" w:hAnsi="Times New Roman" w:eastAsia="黑体"/>
          <w:sz w:val="24"/>
          <w:highlight w:val="none"/>
        </w:rPr>
      </w:pPr>
      <w:r>
        <w:rPr>
          <w:rFonts w:ascii="Times New Roman" w:hAnsi="Times New Roman" w:eastAsia="黑体"/>
          <w:sz w:val="24"/>
          <w:highlight w:val="none"/>
        </w:rPr>
        <w:t xml:space="preserve">附表4.1-3  </w:t>
      </w:r>
      <w:r>
        <w:rPr>
          <w:rFonts w:hint="eastAsia" w:ascii="Times New Roman" w:hAnsi="Times New Roman" w:eastAsia="黑体"/>
          <w:sz w:val="24"/>
          <w:highlight w:val="none"/>
        </w:rPr>
        <w:t>站内</w:t>
      </w:r>
      <w:r>
        <w:rPr>
          <w:rFonts w:ascii="Times New Roman" w:hAnsi="Times New Roman" w:eastAsia="黑体"/>
          <w:sz w:val="24"/>
          <w:highlight w:val="none"/>
        </w:rPr>
        <w:t>加油工艺设备与站外建（构）筑物安全间距表</w:t>
      </w:r>
      <w:r>
        <w:rPr>
          <w:rFonts w:hint="eastAsia" w:ascii="Times New Roman" w:hAnsi="Times New Roman" w:eastAsia="黑体"/>
          <w:sz w:val="24"/>
          <w:highlight w:val="none"/>
        </w:rPr>
        <w:t>（二级加油站）</w:t>
      </w:r>
    </w:p>
    <w:p w14:paraId="5C659348">
      <w:pPr>
        <w:keepNext w:val="0"/>
        <w:keepLines w:val="0"/>
        <w:pageBreakBefore w:val="0"/>
        <w:widowControl w:val="0"/>
        <w:kinsoku/>
        <w:wordWrap/>
        <w:overflowPunct/>
        <w:topLinePunct w:val="0"/>
        <w:autoSpaceDE/>
        <w:autoSpaceDN/>
        <w:bidi w:val="0"/>
        <w:adjustRightInd w:val="0"/>
        <w:snapToGrid w:val="0"/>
        <w:spacing w:before="157" w:beforeLines="50"/>
        <w:ind w:left="0" w:leftChars="0" w:firstLine="560" w:firstLineChars="200"/>
        <w:jc w:val="left"/>
        <w:textAlignment w:val="auto"/>
        <w:rPr>
          <w:rFonts w:ascii="Times New Roman" w:hAnsi="Times New Roman" w:eastAsia="宋体" w:cs="Times New Roman"/>
          <w:szCs w:val="28"/>
          <w14:ligatures w14:val="none"/>
        </w:rPr>
      </w:pPr>
      <w:r>
        <w:rPr>
          <w:rFonts w:ascii="Times New Roman" w:hAnsi="Times New Roman" w:eastAsia="宋体" w:cs="Times New Roman"/>
          <w:szCs w:val="28"/>
          <w14:ligatures w14:val="none"/>
        </w:rPr>
        <w:t>小结：</w:t>
      </w:r>
      <w:r>
        <w:rPr>
          <w:rFonts w:hint="eastAsia" w:ascii="Times New Roman" w:hAnsi="Times New Roman" w:eastAsia="宋体" w:cs="Times New Roman"/>
          <w:szCs w:val="28"/>
          <w14:ligatures w14:val="none"/>
        </w:rPr>
        <w:t>站内</w:t>
      </w:r>
      <w:r>
        <w:rPr>
          <w:rFonts w:ascii="Times New Roman" w:hAnsi="Times New Roman" w:eastAsia="宋体" w:cs="Times New Roman"/>
          <w:szCs w:val="28"/>
          <w14:ligatures w14:val="none"/>
        </w:rPr>
        <w:t>加油工艺设备与站外相邻建（构）筑物安全间距符合《汽车加油加气加氢站技术标准》GB50156-2021表4.0.4规定要求。</w:t>
      </w:r>
    </w:p>
    <w:p w14:paraId="5CAF9703">
      <w:pPr>
        <w:keepNext/>
        <w:keepLines/>
        <w:spacing w:before="156" w:beforeLines="50" w:after="156" w:afterLines="50" w:line="240" w:lineRule="auto"/>
        <w:ind w:firstLine="0" w:firstLineChars="0"/>
        <w:jc w:val="center"/>
        <w:rPr>
          <w:rFonts w:hint="eastAsia" w:ascii="Times New Roman" w:hAnsi="Times New Roman" w:eastAsia="黑体"/>
          <w:sz w:val="24"/>
          <w:highlight w:val="none"/>
        </w:rPr>
      </w:pPr>
      <w:r>
        <w:rPr>
          <w:rFonts w:ascii="Times New Roman" w:hAnsi="Times New Roman" w:eastAsia="黑体"/>
          <w:sz w:val="24"/>
          <w:highlight w:val="none"/>
        </w:rPr>
        <w:t xml:space="preserve">附表4.1-4  </w:t>
      </w:r>
      <w:r>
        <w:rPr>
          <w:rFonts w:hint="eastAsia" w:ascii="Times New Roman" w:hAnsi="Times New Roman" w:eastAsia="黑体"/>
          <w:sz w:val="24"/>
          <w:highlight w:val="none"/>
        </w:rPr>
        <w:t>站内</w:t>
      </w:r>
      <w:r>
        <w:rPr>
          <w:rFonts w:ascii="Times New Roman" w:hAnsi="Times New Roman" w:eastAsia="黑体"/>
          <w:sz w:val="24"/>
          <w:highlight w:val="none"/>
        </w:rPr>
        <w:t>加油工艺设备与</w:t>
      </w:r>
      <w:r>
        <w:rPr>
          <w:rFonts w:hint="eastAsia" w:ascii="Times New Roman" w:hAnsi="Times New Roman" w:eastAsia="黑体"/>
          <w:sz w:val="24"/>
          <w:highlight w:val="none"/>
        </w:rPr>
        <w:t>站内设施</w:t>
      </w:r>
      <w:r>
        <w:rPr>
          <w:rFonts w:ascii="Times New Roman" w:hAnsi="Times New Roman" w:eastAsia="黑体"/>
          <w:sz w:val="24"/>
          <w:highlight w:val="none"/>
        </w:rPr>
        <w:t>安全间距表</w:t>
      </w:r>
      <w:r>
        <w:rPr>
          <w:rFonts w:hint="eastAsia" w:ascii="Times New Roman" w:hAnsi="Times New Roman" w:eastAsia="黑体"/>
          <w:sz w:val="24"/>
          <w:highlight w:val="none"/>
        </w:rPr>
        <w:t>（二级加油站）</w:t>
      </w:r>
    </w:p>
    <w:p w14:paraId="61B13C9B">
      <w:pPr>
        <w:keepNext w:val="0"/>
        <w:keepLines w:val="0"/>
        <w:pageBreakBefore w:val="0"/>
        <w:widowControl w:val="0"/>
        <w:kinsoku/>
        <w:wordWrap/>
        <w:overflowPunct/>
        <w:topLinePunct w:val="0"/>
        <w:autoSpaceDE/>
        <w:autoSpaceDN/>
        <w:bidi w:val="0"/>
        <w:adjustRightInd w:val="0"/>
        <w:snapToGrid w:val="0"/>
        <w:spacing w:before="157" w:beforeLines="50"/>
        <w:ind w:firstLine="560"/>
        <w:textAlignment w:val="auto"/>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小结：站内加油部分工艺设备的建（构）筑物间的防火间距均符合《汽车加油加气加氢站技术标准》GB50156-2021表5.0.13-</w:t>
      </w:r>
      <w:r>
        <w:rPr>
          <w:rFonts w:hint="eastAsia" w:ascii="Times New Roman" w:hAnsi="Times New Roman" w:eastAsia="宋体" w:cs="Times New Roman"/>
          <w:szCs w:val="20"/>
          <w14:ligatures w14:val="none"/>
        </w:rPr>
        <w:t>1</w:t>
      </w:r>
      <w:r>
        <w:rPr>
          <w:rFonts w:ascii="Times New Roman" w:hAnsi="Times New Roman" w:eastAsia="宋体" w:cs="Times New Roman"/>
          <w:szCs w:val="20"/>
          <w14:ligatures w14:val="none"/>
        </w:rPr>
        <w:t>、表</w:t>
      </w:r>
      <w:r>
        <w:rPr>
          <w:rFonts w:hint="eastAsia" w:ascii="Times New Roman" w:hAnsi="Times New Roman" w:eastAsia="宋体" w:cs="Times New Roman"/>
          <w:szCs w:val="20"/>
          <w14:ligatures w14:val="none"/>
        </w:rPr>
        <w:t>4.0.4</w:t>
      </w:r>
      <w:r>
        <w:rPr>
          <w:rFonts w:ascii="Times New Roman" w:hAnsi="Times New Roman" w:eastAsia="宋体" w:cs="Times New Roman"/>
          <w:szCs w:val="20"/>
          <w14:ligatures w14:val="none"/>
        </w:rPr>
        <w:t>的要求。</w:t>
      </w:r>
    </w:p>
    <w:p w14:paraId="676EEF82">
      <w:pPr>
        <w:ind w:firstLine="560"/>
        <w:rPr>
          <w:rFonts w:ascii="Times New Roman" w:hAnsi="Times New Roman" w:eastAsia="宋体" w:cs="Times New Roman"/>
          <w:szCs w:val="20"/>
          <w:lang w:val="zh-CN"/>
          <w14:ligatures w14:val="none"/>
        </w:rPr>
      </w:pPr>
      <w:r>
        <w:rPr>
          <w:rFonts w:ascii="Times New Roman" w:hAnsi="Times New Roman" w:eastAsia="宋体" w:cs="Times New Roman"/>
          <w:szCs w:val="20"/>
          <w14:ligatures w14:val="none"/>
        </w:rPr>
        <w:t>安全检查表的检查结果为五个评价单元总检查项目共</w:t>
      </w:r>
      <w:r>
        <w:rPr>
          <w:rFonts w:hint="eastAsia" w:ascii="Times New Roman" w:hAnsi="Times New Roman" w:eastAsia="宋体" w:cs="Times New Roman"/>
          <w:szCs w:val="20"/>
          <w:lang w:val="en-US" w:eastAsia="zh-CN"/>
          <w14:ligatures w14:val="none"/>
        </w:rPr>
        <w:t>147</w:t>
      </w:r>
      <w:r>
        <w:rPr>
          <w:rFonts w:ascii="Times New Roman" w:hAnsi="Times New Roman" w:eastAsia="宋体" w:cs="Times New Roman"/>
          <w:szCs w:val="20"/>
          <w14:ligatures w14:val="none"/>
        </w:rPr>
        <w:t>项，其中符合项为</w:t>
      </w:r>
      <w:r>
        <w:rPr>
          <w:rFonts w:hint="eastAsia" w:ascii="Times New Roman" w:hAnsi="Times New Roman" w:eastAsia="宋体" w:cs="Times New Roman"/>
          <w:szCs w:val="20"/>
          <w14:ligatures w14:val="none"/>
        </w:rPr>
        <w:t>1</w:t>
      </w:r>
      <w:r>
        <w:rPr>
          <w:rFonts w:hint="eastAsia" w:ascii="Times New Roman" w:hAnsi="Times New Roman" w:eastAsia="宋体" w:cs="Times New Roman"/>
          <w:szCs w:val="20"/>
          <w:lang w:val="en-US" w:eastAsia="zh-CN"/>
          <w14:ligatures w14:val="none"/>
        </w:rPr>
        <w:t>38</w:t>
      </w:r>
      <w:r>
        <w:rPr>
          <w:rFonts w:ascii="Times New Roman" w:hAnsi="Times New Roman" w:eastAsia="宋体" w:cs="Times New Roman"/>
          <w:szCs w:val="20"/>
          <w14:ligatures w14:val="none"/>
        </w:rPr>
        <w:t>项，无关项为</w:t>
      </w:r>
      <w:r>
        <w:rPr>
          <w:rFonts w:hint="eastAsia" w:ascii="Times New Roman" w:hAnsi="Times New Roman" w:eastAsia="宋体" w:cs="Times New Roman"/>
          <w:szCs w:val="20"/>
          <w:lang w:val="en-US" w:eastAsia="zh-CN"/>
          <w14:ligatures w14:val="none"/>
        </w:rPr>
        <w:t>9</w:t>
      </w:r>
      <w:r>
        <w:rPr>
          <w:rFonts w:ascii="Times New Roman" w:hAnsi="Times New Roman" w:eastAsia="宋体" w:cs="Times New Roman"/>
          <w:szCs w:val="20"/>
          <w14:ligatures w14:val="none"/>
        </w:rPr>
        <w:t>项，检查结论汇总见下表。</w:t>
      </w:r>
    </w:p>
    <w:p w14:paraId="25E7375A">
      <w:pPr>
        <w:keepNext/>
        <w:keepLines/>
        <w:spacing w:before="156" w:beforeLines="50" w:after="156" w:afterLines="50" w:line="240" w:lineRule="auto"/>
        <w:ind w:firstLine="0" w:firstLineChars="0"/>
        <w:jc w:val="center"/>
        <w:rPr>
          <w:rFonts w:ascii="Times New Roman" w:hAnsi="Times New Roman" w:eastAsia="黑体"/>
          <w:sz w:val="24"/>
          <w:highlight w:val="none"/>
        </w:rPr>
      </w:pPr>
      <w:r>
        <w:rPr>
          <w:rFonts w:ascii="Times New Roman" w:hAnsi="Times New Roman" w:eastAsia="黑体"/>
          <w:sz w:val="24"/>
          <w:highlight w:val="none"/>
        </w:rPr>
        <w:t>附表4.1-5</w:t>
      </w:r>
      <w:r>
        <w:rPr>
          <w:rFonts w:hint="eastAsia" w:ascii="Times New Roman" w:hAnsi="Times New Roman" w:eastAsia="黑体"/>
          <w:sz w:val="24"/>
          <w:highlight w:val="none"/>
        </w:rPr>
        <w:t xml:space="preserve"> </w:t>
      </w:r>
      <w:r>
        <w:rPr>
          <w:rFonts w:ascii="Times New Roman" w:hAnsi="Times New Roman" w:eastAsia="黑体"/>
          <w:sz w:val="24"/>
          <w:highlight w:val="none"/>
        </w:rPr>
        <w:t xml:space="preserve"> 检查结论汇总表</w:t>
      </w:r>
    </w:p>
    <w:bookmarkEnd w:id="120"/>
    <w:p w14:paraId="60FD659B">
      <w:pPr>
        <w:bidi w:val="0"/>
      </w:pPr>
      <w:bookmarkStart w:id="125" w:name="_Toc1722"/>
      <w:bookmarkStart w:id="126" w:name="_Toc25787"/>
      <w:r>
        <w:br w:type="page"/>
      </w:r>
    </w:p>
    <w:p w14:paraId="7866F889">
      <w:pPr>
        <w:keepNext/>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27" w:name="_Toc218437776"/>
      <w:r>
        <w:rPr>
          <w:rFonts w:ascii="Times New Roman" w:hAnsi="Times New Roman" w:eastAsia="楷体" w:cs="Times New Roman"/>
          <w:b/>
          <w:bCs/>
          <w:sz w:val="32"/>
          <w:szCs w:val="32"/>
        </w:rPr>
        <w:t>F4.2作业条件危险性分析法定性评价过程</w:t>
      </w:r>
      <w:bookmarkEnd w:id="125"/>
      <w:bookmarkEnd w:id="126"/>
      <w:bookmarkEnd w:id="127"/>
    </w:p>
    <w:p w14:paraId="2159A6A5">
      <w:p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对</w:t>
      </w:r>
      <w:r>
        <w:rPr>
          <w:rFonts w:hint="eastAsia" w:ascii="Times New Roman" w:hAnsi="Times New Roman" w:eastAsia="宋体" w:cs="Times New Roman"/>
          <w:szCs w:val="20"/>
          <w14:ligatures w14:val="none"/>
        </w:rPr>
        <w:t>本项目工艺设备、设施</w:t>
      </w:r>
      <w:r>
        <w:rPr>
          <w:rFonts w:ascii="Times New Roman" w:hAnsi="Times New Roman" w:eastAsia="宋体" w:cs="Times New Roman"/>
          <w:szCs w:val="20"/>
          <w14:ligatures w14:val="none"/>
        </w:rPr>
        <w:t>采用作业条件危险性分析法进行危险度评价，评价过程及结果见附表4.2-1。</w:t>
      </w:r>
    </w:p>
    <w:p w14:paraId="075AB99F">
      <w:pPr>
        <w:keepNext/>
        <w:keepLines/>
        <w:spacing w:before="156" w:beforeLines="50" w:after="156" w:afterLines="50" w:line="240" w:lineRule="auto"/>
        <w:ind w:firstLine="0" w:firstLineChars="0"/>
        <w:jc w:val="center"/>
        <w:rPr>
          <w:rFonts w:ascii="Times New Roman" w:hAnsi="Times New Roman" w:eastAsia="黑体"/>
          <w:sz w:val="24"/>
        </w:rPr>
      </w:pPr>
      <w:r>
        <w:rPr>
          <w:rFonts w:ascii="Times New Roman" w:hAnsi="Times New Roman" w:eastAsia="黑体"/>
          <w:sz w:val="24"/>
        </w:rPr>
        <w:t>附表4.2-1  作业条件危险性评价结果表</w:t>
      </w:r>
    </w:p>
    <w:tbl>
      <w:tblPr>
        <w:tblStyle w:val="33"/>
        <w:tblW w:w="4992"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58"/>
        <w:gridCol w:w="763"/>
        <w:gridCol w:w="1377"/>
        <w:gridCol w:w="1071"/>
        <w:gridCol w:w="1377"/>
        <w:gridCol w:w="1377"/>
        <w:gridCol w:w="1336"/>
        <w:gridCol w:w="1102"/>
      </w:tblGrid>
      <w:tr w14:paraId="04D83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blHeader/>
        </w:trPr>
        <w:tc>
          <w:tcPr>
            <w:tcW w:w="414" w:type="pct"/>
            <w:vAlign w:val="center"/>
          </w:tcPr>
          <w:p w14:paraId="16DB8564">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作业场所</w:t>
            </w:r>
          </w:p>
        </w:tc>
        <w:tc>
          <w:tcPr>
            <w:tcW w:w="416" w:type="pct"/>
            <w:vAlign w:val="center"/>
          </w:tcPr>
          <w:p w14:paraId="614CB90E">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作业岗位</w:t>
            </w:r>
          </w:p>
        </w:tc>
        <w:tc>
          <w:tcPr>
            <w:tcW w:w="751" w:type="pct"/>
            <w:vAlign w:val="center"/>
          </w:tcPr>
          <w:p w14:paraId="4E33E86B">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危险、有害因素</w:t>
            </w:r>
          </w:p>
        </w:tc>
        <w:tc>
          <w:tcPr>
            <w:tcW w:w="584" w:type="pct"/>
            <w:vAlign w:val="center"/>
          </w:tcPr>
          <w:p w14:paraId="29CBD6C5">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可能性（</w:t>
            </w:r>
            <w:r>
              <w:rPr>
                <w:rFonts w:ascii="Times New Roman" w:hAnsi="Times New Roman" w:eastAsia="宋体" w:cs="Times New Roman"/>
                <w:sz w:val="21"/>
                <w:lang w:val="zh-CN"/>
                <w14:ligatures w14:val="none"/>
              </w:rPr>
              <w:t>L</w:t>
            </w:r>
            <w:r>
              <w:rPr>
                <w:rFonts w:hint="eastAsia" w:ascii="Times New Roman" w:hAnsi="Times New Roman" w:eastAsia="宋体" w:cs="Times New Roman"/>
                <w:sz w:val="21"/>
                <w:lang w:val="zh-CN"/>
                <w14:ligatures w14:val="none"/>
              </w:rPr>
              <w:t>）</w:t>
            </w:r>
          </w:p>
        </w:tc>
        <w:tc>
          <w:tcPr>
            <w:tcW w:w="751" w:type="pct"/>
            <w:vAlign w:val="center"/>
          </w:tcPr>
          <w:p w14:paraId="7EA1FFCE">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频繁程度（E）</w:t>
            </w:r>
          </w:p>
        </w:tc>
        <w:tc>
          <w:tcPr>
            <w:tcW w:w="751" w:type="pct"/>
            <w:vAlign w:val="center"/>
          </w:tcPr>
          <w:p w14:paraId="7E74AD95">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事故后果（C）</w:t>
            </w:r>
          </w:p>
        </w:tc>
        <w:tc>
          <w:tcPr>
            <w:tcW w:w="729" w:type="pct"/>
            <w:vAlign w:val="center"/>
          </w:tcPr>
          <w:p w14:paraId="6864F682">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危险性等级（D）</w:t>
            </w:r>
          </w:p>
        </w:tc>
        <w:tc>
          <w:tcPr>
            <w:tcW w:w="601" w:type="pct"/>
            <w:vAlign w:val="center"/>
          </w:tcPr>
          <w:p w14:paraId="211587CF">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危险程度</w:t>
            </w:r>
          </w:p>
        </w:tc>
      </w:tr>
      <w:tr w14:paraId="44F67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restart"/>
            <w:vAlign w:val="center"/>
          </w:tcPr>
          <w:p w14:paraId="4B18827C">
            <w:pPr>
              <w:autoSpaceDE w:val="0"/>
              <w:autoSpaceDN w:val="0"/>
              <w:spacing w:line="240" w:lineRule="auto"/>
              <w:ind w:firstLine="0" w:firstLineChars="0"/>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卸油区</w:t>
            </w:r>
          </w:p>
        </w:tc>
        <w:tc>
          <w:tcPr>
            <w:tcW w:w="416" w:type="pct"/>
            <w:vMerge w:val="restart"/>
            <w:vAlign w:val="center"/>
          </w:tcPr>
          <w:p w14:paraId="0824738E">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卸油作业</w:t>
            </w:r>
          </w:p>
        </w:tc>
        <w:tc>
          <w:tcPr>
            <w:tcW w:w="751" w:type="pct"/>
            <w:vAlign w:val="center"/>
          </w:tcPr>
          <w:p w14:paraId="1774D092">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火灾</w:t>
            </w:r>
          </w:p>
        </w:tc>
        <w:tc>
          <w:tcPr>
            <w:tcW w:w="584" w:type="pct"/>
            <w:vAlign w:val="center"/>
          </w:tcPr>
          <w:p w14:paraId="4F0867CE">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14:ligatures w14:val="none"/>
              </w:rPr>
              <w:t>6</w:t>
            </w:r>
          </w:p>
        </w:tc>
        <w:tc>
          <w:tcPr>
            <w:tcW w:w="751" w:type="pct"/>
            <w:vAlign w:val="center"/>
          </w:tcPr>
          <w:p w14:paraId="151E5A24">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34B4A66E">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729" w:type="pct"/>
            <w:vAlign w:val="center"/>
          </w:tcPr>
          <w:p w14:paraId="10CF8E3E">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18</w:t>
            </w:r>
          </w:p>
        </w:tc>
        <w:tc>
          <w:tcPr>
            <w:tcW w:w="601" w:type="pct"/>
            <w:vAlign w:val="center"/>
          </w:tcPr>
          <w:p w14:paraId="43FA0EE2">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4CBEB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3A6186B1">
            <w:pPr>
              <w:autoSpaceDE w:val="0"/>
              <w:autoSpaceDN w:val="0"/>
              <w:spacing w:line="240" w:lineRule="auto"/>
              <w:ind w:firstLine="0" w:firstLineChars="0"/>
              <w:rPr>
                <w:rFonts w:hint="eastAsia" w:ascii="Times New Roman" w:hAnsi="Times New Roman" w:eastAsia="宋体" w:cs="Times New Roman"/>
                <w:sz w:val="21"/>
                <w:lang w:val="zh-CN"/>
                <w14:ligatures w14:val="none"/>
              </w:rPr>
            </w:pPr>
          </w:p>
        </w:tc>
        <w:tc>
          <w:tcPr>
            <w:tcW w:w="416" w:type="pct"/>
            <w:vMerge w:val="continue"/>
            <w:vAlign w:val="center"/>
          </w:tcPr>
          <w:p w14:paraId="3022E016">
            <w:pPr>
              <w:autoSpaceDE w:val="0"/>
              <w:autoSpaceDN w:val="0"/>
              <w:spacing w:line="240" w:lineRule="auto"/>
              <w:ind w:firstLine="0" w:firstLineChars="0"/>
              <w:jc w:val="center"/>
              <w:rPr>
                <w:rFonts w:hint="eastAsia" w:ascii="Times New Roman" w:hAnsi="Times New Roman" w:eastAsia="宋体" w:cs="Times New Roman"/>
                <w:sz w:val="21"/>
                <w14:ligatures w14:val="none"/>
              </w:rPr>
            </w:pPr>
          </w:p>
        </w:tc>
        <w:tc>
          <w:tcPr>
            <w:tcW w:w="751" w:type="pct"/>
            <w:vAlign w:val="center"/>
          </w:tcPr>
          <w:p w14:paraId="11794631">
            <w:pPr>
              <w:autoSpaceDE w:val="0"/>
              <w:autoSpaceDN w:val="0"/>
              <w:spacing w:line="240" w:lineRule="auto"/>
              <w:ind w:firstLine="0" w:firstLineChars="0"/>
              <w:jc w:val="center"/>
              <w:rPr>
                <w:rFonts w:hint="eastAsia" w:ascii="Times New Roman" w:hAnsi="Times New Roman" w:eastAsia="宋体" w:cs="Times New Roman"/>
                <w:sz w:val="21"/>
                <w:lang w:val="en-US" w:eastAsia="zh-CN"/>
                <w14:ligatures w14:val="none"/>
              </w:rPr>
            </w:pPr>
            <w:r>
              <w:rPr>
                <w:rFonts w:hint="eastAsia" w:ascii="Times New Roman" w:hAnsi="Times New Roman" w:eastAsia="宋体" w:cs="Times New Roman"/>
                <w:sz w:val="21"/>
                <w:lang w:val="en-US" w:eastAsia="zh-CN"/>
                <w14:ligatures w14:val="none"/>
              </w:rPr>
              <w:t>泄漏</w:t>
            </w:r>
          </w:p>
        </w:tc>
        <w:tc>
          <w:tcPr>
            <w:tcW w:w="584" w:type="pct"/>
            <w:vAlign w:val="center"/>
          </w:tcPr>
          <w:p w14:paraId="35BF979F">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751" w:type="pct"/>
            <w:vAlign w:val="center"/>
          </w:tcPr>
          <w:p w14:paraId="2DD4352A">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654F0578">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729" w:type="pct"/>
            <w:vAlign w:val="center"/>
          </w:tcPr>
          <w:p w14:paraId="43A3D012">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18</w:t>
            </w:r>
          </w:p>
        </w:tc>
        <w:tc>
          <w:tcPr>
            <w:tcW w:w="601" w:type="pct"/>
            <w:vAlign w:val="center"/>
          </w:tcPr>
          <w:p w14:paraId="4E45C4BE">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72CE9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3521F1EA">
            <w:pPr>
              <w:autoSpaceDE w:val="0"/>
              <w:autoSpaceDN w:val="0"/>
              <w:spacing w:line="240" w:lineRule="auto"/>
              <w:ind w:firstLine="0" w:firstLineChars="0"/>
              <w:rPr>
                <w:rFonts w:hint="eastAsia" w:ascii="Times New Roman" w:hAnsi="Times New Roman" w:eastAsia="宋体" w:cs="Times New Roman"/>
                <w:sz w:val="21"/>
                <w:lang w:val="zh-CN"/>
                <w14:ligatures w14:val="none"/>
              </w:rPr>
            </w:pPr>
          </w:p>
        </w:tc>
        <w:tc>
          <w:tcPr>
            <w:tcW w:w="416" w:type="pct"/>
            <w:vMerge w:val="continue"/>
            <w:vAlign w:val="center"/>
          </w:tcPr>
          <w:p w14:paraId="5F163A2F">
            <w:pPr>
              <w:autoSpaceDE w:val="0"/>
              <w:autoSpaceDN w:val="0"/>
              <w:spacing w:line="240" w:lineRule="auto"/>
              <w:ind w:firstLine="0" w:firstLineChars="0"/>
              <w:jc w:val="center"/>
              <w:rPr>
                <w:rFonts w:hint="eastAsia" w:ascii="Times New Roman" w:hAnsi="Times New Roman" w:eastAsia="宋体" w:cs="Times New Roman"/>
                <w:sz w:val="21"/>
                <w14:ligatures w14:val="none"/>
              </w:rPr>
            </w:pPr>
          </w:p>
        </w:tc>
        <w:tc>
          <w:tcPr>
            <w:tcW w:w="751" w:type="pct"/>
            <w:vAlign w:val="center"/>
          </w:tcPr>
          <w:p w14:paraId="13BA9BA0">
            <w:pPr>
              <w:autoSpaceDE w:val="0"/>
              <w:autoSpaceDN w:val="0"/>
              <w:spacing w:line="240" w:lineRule="auto"/>
              <w:ind w:firstLine="0" w:firstLineChars="0"/>
              <w:jc w:val="center"/>
              <w:rPr>
                <w:rFonts w:hint="default" w:ascii="Times New Roman" w:hAnsi="Times New Roman" w:eastAsia="宋体" w:cs="Times New Roman"/>
                <w:sz w:val="21"/>
                <w:lang w:val="en-US" w:eastAsia="zh-CN"/>
                <w14:ligatures w14:val="none"/>
              </w:rPr>
            </w:pPr>
            <w:r>
              <w:rPr>
                <w:rFonts w:hint="eastAsia" w:ascii="Times New Roman" w:hAnsi="Times New Roman" w:eastAsia="宋体" w:cs="Times New Roman"/>
                <w:sz w:val="21"/>
                <w:lang w:val="en-US" w:eastAsia="zh-CN"/>
                <w14:ligatures w14:val="none"/>
              </w:rPr>
              <w:t>可燃液体蒸汽爆炸</w:t>
            </w:r>
          </w:p>
        </w:tc>
        <w:tc>
          <w:tcPr>
            <w:tcW w:w="584" w:type="pct"/>
            <w:vAlign w:val="center"/>
          </w:tcPr>
          <w:p w14:paraId="3D866E83">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751" w:type="pct"/>
            <w:vAlign w:val="center"/>
          </w:tcPr>
          <w:p w14:paraId="2E59A9B0">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0A32B55C">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729" w:type="pct"/>
            <w:vAlign w:val="center"/>
          </w:tcPr>
          <w:p w14:paraId="4E1C611A">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18</w:t>
            </w:r>
          </w:p>
        </w:tc>
        <w:tc>
          <w:tcPr>
            <w:tcW w:w="601" w:type="pct"/>
            <w:vAlign w:val="center"/>
          </w:tcPr>
          <w:p w14:paraId="32CD400F">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0EBEB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5663DB50">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1725D119">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50BE3F9A">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中毒</w:t>
            </w:r>
          </w:p>
        </w:tc>
        <w:tc>
          <w:tcPr>
            <w:tcW w:w="584" w:type="pct"/>
            <w:vAlign w:val="center"/>
          </w:tcPr>
          <w:p w14:paraId="43ADF606">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751" w:type="pct"/>
            <w:vAlign w:val="center"/>
          </w:tcPr>
          <w:p w14:paraId="72B0EE75">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156A7979">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3FC1CCB2">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18</w:t>
            </w:r>
          </w:p>
        </w:tc>
        <w:tc>
          <w:tcPr>
            <w:tcW w:w="601" w:type="pct"/>
            <w:vAlign w:val="center"/>
          </w:tcPr>
          <w:p w14:paraId="3BFF8148">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23313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47895E3D">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13A7FCEF">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2558C518">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窒息</w:t>
            </w:r>
          </w:p>
        </w:tc>
        <w:tc>
          <w:tcPr>
            <w:tcW w:w="584" w:type="pct"/>
            <w:vAlign w:val="center"/>
          </w:tcPr>
          <w:p w14:paraId="2639397F">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751" w:type="pct"/>
            <w:vAlign w:val="center"/>
          </w:tcPr>
          <w:p w14:paraId="7A9FB6C8">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238D4D60">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5E902753">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18</w:t>
            </w:r>
          </w:p>
        </w:tc>
        <w:tc>
          <w:tcPr>
            <w:tcW w:w="601" w:type="pct"/>
            <w:vAlign w:val="center"/>
          </w:tcPr>
          <w:p w14:paraId="4C489006">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1CAA1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1BA4C85C">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515D9CF2">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30E1245D">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触电</w:t>
            </w:r>
          </w:p>
        </w:tc>
        <w:tc>
          <w:tcPr>
            <w:tcW w:w="584" w:type="pct"/>
            <w:vAlign w:val="center"/>
          </w:tcPr>
          <w:p w14:paraId="04AE7E5B">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51" w:type="pct"/>
            <w:vAlign w:val="center"/>
          </w:tcPr>
          <w:p w14:paraId="1DB09073">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7BC3AAD9">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3340F3CD">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9</w:t>
            </w:r>
          </w:p>
        </w:tc>
        <w:tc>
          <w:tcPr>
            <w:tcW w:w="601" w:type="pct"/>
            <w:vAlign w:val="center"/>
          </w:tcPr>
          <w:p w14:paraId="678C54B3">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06E1BA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18E77C57">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4BEAC6DA">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4B03BDE3">
            <w:pPr>
              <w:autoSpaceDE w:val="0"/>
              <w:autoSpaceDN w:val="0"/>
              <w:spacing w:line="240" w:lineRule="auto"/>
              <w:ind w:firstLine="0" w:firstLineChars="0"/>
              <w:jc w:val="center"/>
              <w:rPr>
                <w:rFonts w:hint="eastAsia" w:ascii="Times New Roman" w:hAnsi="Times New Roman" w:eastAsia="宋体" w:cs="Times New Roman"/>
                <w:sz w:val="21"/>
                <w:lang w:val="en-US" w:eastAsia="zh-CN"/>
                <w14:ligatures w14:val="none"/>
              </w:rPr>
            </w:pPr>
            <w:r>
              <w:rPr>
                <w:rFonts w:hint="eastAsia" w:ascii="Times New Roman" w:hAnsi="Times New Roman" w:eastAsia="宋体" w:cs="Times New Roman"/>
                <w:sz w:val="21"/>
                <w:lang w:val="en-US" w:eastAsia="zh-CN"/>
                <w14:ligatures w14:val="none"/>
              </w:rPr>
              <w:t>跌落</w:t>
            </w:r>
          </w:p>
        </w:tc>
        <w:tc>
          <w:tcPr>
            <w:tcW w:w="1071" w:type="dxa"/>
            <w:vAlign w:val="center"/>
          </w:tcPr>
          <w:p w14:paraId="646FD2A4">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1377" w:type="dxa"/>
            <w:vAlign w:val="center"/>
          </w:tcPr>
          <w:p w14:paraId="433513CA">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1377" w:type="dxa"/>
            <w:vAlign w:val="center"/>
          </w:tcPr>
          <w:p w14:paraId="748C2258">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1336" w:type="dxa"/>
            <w:vAlign w:val="center"/>
          </w:tcPr>
          <w:p w14:paraId="70BE8F2D">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9</w:t>
            </w:r>
          </w:p>
        </w:tc>
        <w:tc>
          <w:tcPr>
            <w:tcW w:w="1102" w:type="dxa"/>
            <w:vAlign w:val="center"/>
          </w:tcPr>
          <w:p w14:paraId="3F3D88E3">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4AE19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5AFC75E2">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06A6D969">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3B280155">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车辆</w:t>
            </w:r>
            <w:r>
              <w:rPr>
                <w:rFonts w:hint="eastAsia" w:ascii="Times New Roman" w:hAnsi="Times New Roman" w:eastAsia="宋体" w:cs="Times New Roman"/>
                <w:sz w:val="21"/>
                <w:lang w:val="en-US" w:eastAsia="zh-CN"/>
                <w14:ligatures w14:val="none"/>
              </w:rPr>
              <w:t>致</w:t>
            </w:r>
            <w:r>
              <w:rPr>
                <w:rFonts w:hint="eastAsia" w:ascii="Times New Roman" w:hAnsi="Times New Roman" w:eastAsia="宋体" w:cs="Times New Roman"/>
                <w:sz w:val="21"/>
                <w14:ligatures w14:val="none"/>
              </w:rPr>
              <w:t>害</w:t>
            </w:r>
          </w:p>
        </w:tc>
        <w:tc>
          <w:tcPr>
            <w:tcW w:w="584" w:type="pct"/>
            <w:vAlign w:val="center"/>
          </w:tcPr>
          <w:p w14:paraId="60CC2D3A">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59738D01">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3</w:t>
            </w:r>
          </w:p>
        </w:tc>
        <w:tc>
          <w:tcPr>
            <w:tcW w:w="751" w:type="pct"/>
            <w:vAlign w:val="center"/>
          </w:tcPr>
          <w:p w14:paraId="73BA2FAC">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29" w:type="pct"/>
            <w:vAlign w:val="center"/>
          </w:tcPr>
          <w:p w14:paraId="3AA157A4">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9</w:t>
            </w:r>
          </w:p>
        </w:tc>
        <w:tc>
          <w:tcPr>
            <w:tcW w:w="601" w:type="pct"/>
            <w:vAlign w:val="center"/>
          </w:tcPr>
          <w:p w14:paraId="24780463">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6744E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35286747">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restart"/>
            <w:vAlign w:val="center"/>
          </w:tcPr>
          <w:p w14:paraId="36184326">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检维修作业</w:t>
            </w:r>
          </w:p>
        </w:tc>
        <w:tc>
          <w:tcPr>
            <w:tcW w:w="751" w:type="pct"/>
            <w:vAlign w:val="center"/>
          </w:tcPr>
          <w:p w14:paraId="27E30CB8">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火灾</w:t>
            </w:r>
          </w:p>
        </w:tc>
        <w:tc>
          <w:tcPr>
            <w:tcW w:w="584" w:type="pct"/>
            <w:vAlign w:val="center"/>
          </w:tcPr>
          <w:p w14:paraId="400210FA">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51" w:type="pct"/>
            <w:vAlign w:val="center"/>
          </w:tcPr>
          <w:p w14:paraId="3FFD1973">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751" w:type="pct"/>
            <w:vAlign w:val="center"/>
          </w:tcPr>
          <w:p w14:paraId="7AA47A26">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lang w:val="zh-CN"/>
                <w14:ligatures w14:val="none"/>
              </w:rPr>
              <w:t>1</w:t>
            </w:r>
          </w:p>
        </w:tc>
        <w:tc>
          <w:tcPr>
            <w:tcW w:w="729" w:type="pct"/>
            <w:vAlign w:val="center"/>
          </w:tcPr>
          <w:p w14:paraId="51FEF5CD">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601" w:type="pct"/>
            <w:vAlign w:val="center"/>
          </w:tcPr>
          <w:p w14:paraId="09E7BD41">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7421A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56747EC1">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294643A7">
            <w:pPr>
              <w:autoSpaceDE w:val="0"/>
              <w:autoSpaceDN w:val="0"/>
              <w:spacing w:line="240" w:lineRule="auto"/>
              <w:ind w:firstLine="0" w:firstLineChars="0"/>
              <w:jc w:val="center"/>
              <w:rPr>
                <w:rFonts w:hint="eastAsia" w:ascii="Times New Roman" w:hAnsi="Times New Roman" w:eastAsia="宋体" w:cs="Times New Roman"/>
                <w:sz w:val="21"/>
                <w14:ligatures w14:val="none"/>
              </w:rPr>
            </w:pPr>
          </w:p>
        </w:tc>
        <w:tc>
          <w:tcPr>
            <w:tcW w:w="1377" w:type="dxa"/>
            <w:vAlign w:val="center"/>
          </w:tcPr>
          <w:p w14:paraId="177E8B48">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lang w:val="en-US" w:eastAsia="zh-CN"/>
                <w14:ligatures w14:val="none"/>
              </w:rPr>
              <w:t>泄漏</w:t>
            </w:r>
          </w:p>
        </w:tc>
        <w:tc>
          <w:tcPr>
            <w:tcW w:w="1071" w:type="dxa"/>
            <w:vAlign w:val="center"/>
          </w:tcPr>
          <w:p w14:paraId="10CE6CCD">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1377" w:type="dxa"/>
            <w:vAlign w:val="center"/>
          </w:tcPr>
          <w:p w14:paraId="727A9A97">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1377" w:type="dxa"/>
            <w:vAlign w:val="center"/>
          </w:tcPr>
          <w:p w14:paraId="3C88E1B6">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1336" w:type="dxa"/>
            <w:vAlign w:val="center"/>
          </w:tcPr>
          <w:p w14:paraId="2ADE005C">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1102" w:type="dxa"/>
            <w:vAlign w:val="center"/>
          </w:tcPr>
          <w:p w14:paraId="039B9427">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02B3E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0B26898F">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655A1F7F">
            <w:pPr>
              <w:autoSpaceDE w:val="0"/>
              <w:autoSpaceDN w:val="0"/>
              <w:spacing w:line="240" w:lineRule="auto"/>
              <w:ind w:firstLine="0" w:firstLineChars="0"/>
              <w:jc w:val="center"/>
              <w:rPr>
                <w:rFonts w:hint="eastAsia" w:ascii="Times New Roman" w:hAnsi="Times New Roman" w:eastAsia="宋体" w:cs="Times New Roman"/>
                <w:sz w:val="21"/>
                <w14:ligatures w14:val="none"/>
              </w:rPr>
            </w:pPr>
          </w:p>
        </w:tc>
        <w:tc>
          <w:tcPr>
            <w:tcW w:w="1377" w:type="dxa"/>
            <w:vAlign w:val="center"/>
          </w:tcPr>
          <w:p w14:paraId="40AF5A3D">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lang w:val="en-US" w:eastAsia="zh-CN"/>
                <w14:ligatures w14:val="none"/>
              </w:rPr>
              <w:t>可燃液体蒸汽爆炸</w:t>
            </w:r>
          </w:p>
        </w:tc>
        <w:tc>
          <w:tcPr>
            <w:tcW w:w="1071" w:type="dxa"/>
            <w:vAlign w:val="center"/>
          </w:tcPr>
          <w:p w14:paraId="50D3CE3F">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1377" w:type="dxa"/>
            <w:vAlign w:val="center"/>
          </w:tcPr>
          <w:p w14:paraId="360D5E81">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1377" w:type="dxa"/>
            <w:vAlign w:val="center"/>
          </w:tcPr>
          <w:p w14:paraId="11BF83E9">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1336" w:type="dxa"/>
            <w:vAlign w:val="center"/>
          </w:tcPr>
          <w:p w14:paraId="488DD3A8">
            <w:pPr>
              <w:autoSpaceDE w:val="0"/>
              <w:autoSpaceDN w:val="0"/>
              <w:spacing w:line="240" w:lineRule="auto"/>
              <w:ind w:firstLine="0" w:firstLineChars="0"/>
              <w:jc w:val="center"/>
              <w:rPr>
                <w:rFonts w:hint="eastAsia" w:ascii="Times New Roman" w:hAnsi="Times New Roman" w:eastAsia="宋体" w:cs="Times New Roman"/>
                <w:sz w:val="21"/>
                <w14:ligatures w14:val="none"/>
              </w:rPr>
            </w:pPr>
            <w:r>
              <w:rPr>
                <w:rFonts w:hint="eastAsia" w:ascii="Times New Roman" w:hAnsi="Times New Roman" w:eastAsia="宋体" w:cs="Times New Roman"/>
                <w:sz w:val="21"/>
                <w14:ligatures w14:val="none"/>
              </w:rPr>
              <w:t>6</w:t>
            </w:r>
          </w:p>
        </w:tc>
        <w:tc>
          <w:tcPr>
            <w:tcW w:w="1102" w:type="dxa"/>
            <w:vAlign w:val="center"/>
          </w:tcPr>
          <w:p w14:paraId="044BA72F">
            <w:pPr>
              <w:autoSpaceDE w:val="0"/>
              <w:autoSpaceDN w:val="0"/>
              <w:spacing w:line="240" w:lineRule="auto"/>
              <w:ind w:firstLine="0" w:firstLineChars="0"/>
              <w:jc w:val="center"/>
              <w:rPr>
                <w:rFonts w:hint="eastAsia"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5926A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59082081">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1513504D">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4DC90094">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触电</w:t>
            </w:r>
          </w:p>
        </w:tc>
        <w:tc>
          <w:tcPr>
            <w:tcW w:w="584" w:type="pct"/>
            <w:vAlign w:val="center"/>
          </w:tcPr>
          <w:p w14:paraId="088592CE">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29FD271D">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751" w:type="pct"/>
            <w:vAlign w:val="center"/>
          </w:tcPr>
          <w:p w14:paraId="5ADF8A65">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13020B4D">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2</w:t>
            </w:r>
          </w:p>
        </w:tc>
        <w:tc>
          <w:tcPr>
            <w:tcW w:w="601" w:type="pct"/>
            <w:vAlign w:val="center"/>
          </w:tcPr>
          <w:p w14:paraId="01C2A276">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稍有危险</w:t>
            </w:r>
          </w:p>
        </w:tc>
      </w:tr>
      <w:tr w14:paraId="69E65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restart"/>
            <w:vAlign w:val="center"/>
          </w:tcPr>
          <w:p w14:paraId="0917EB20">
            <w:pPr>
              <w:autoSpaceDE w:val="0"/>
              <w:autoSpaceDN w:val="0"/>
              <w:spacing w:line="240" w:lineRule="auto"/>
              <w:ind w:firstLine="0" w:firstLineChars="0"/>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站房</w:t>
            </w:r>
          </w:p>
        </w:tc>
        <w:tc>
          <w:tcPr>
            <w:tcW w:w="416" w:type="pct"/>
            <w:vMerge w:val="restart"/>
            <w:vAlign w:val="center"/>
          </w:tcPr>
          <w:p w14:paraId="327D4614">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检维修作业</w:t>
            </w:r>
          </w:p>
        </w:tc>
        <w:tc>
          <w:tcPr>
            <w:tcW w:w="751" w:type="pct"/>
            <w:vAlign w:val="center"/>
          </w:tcPr>
          <w:p w14:paraId="7215738C">
            <w:pPr>
              <w:autoSpaceDE w:val="0"/>
              <w:autoSpaceDN w:val="0"/>
              <w:spacing w:line="240" w:lineRule="auto"/>
              <w:ind w:firstLine="0" w:firstLineChars="0"/>
              <w:jc w:val="center"/>
              <w:rPr>
                <w:rFonts w:hint="eastAsia" w:ascii="Times New Roman" w:hAnsi="Times New Roman" w:eastAsia="宋体" w:cs="Times New Roman"/>
                <w:sz w:val="21"/>
                <w:lang w:eastAsia="zh-CN"/>
                <w14:ligatures w14:val="none"/>
              </w:rPr>
            </w:pPr>
            <w:r>
              <w:rPr>
                <w:rFonts w:hint="eastAsia" w:ascii="Times New Roman" w:hAnsi="Times New Roman" w:eastAsia="宋体" w:cs="Times New Roman"/>
                <w:sz w:val="21"/>
                <w:lang w:val="en-US" w:eastAsia="zh-CN"/>
                <w14:ligatures w14:val="none"/>
              </w:rPr>
              <w:t>触电</w:t>
            </w:r>
          </w:p>
        </w:tc>
        <w:tc>
          <w:tcPr>
            <w:tcW w:w="584" w:type="pct"/>
            <w:vAlign w:val="center"/>
          </w:tcPr>
          <w:p w14:paraId="059186E5">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020FAC47">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751" w:type="pct"/>
            <w:vAlign w:val="center"/>
          </w:tcPr>
          <w:p w14:paraId="5FE01055">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6AEA23A7">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2</w:t>
            </w:r>
          </w:p>
        </w:tc>
        <w:tc>
          <w:tcPr>
            <w:tcW w:w="601" w:type="pct"/>
            <w:vAlign w:val="center"/>
          </w:tcPr>
          <w:p w14:paraId="513AD317">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ascii="Times New Roman" w:hAnsi="Times New Roman" w:eastAsia="宋体" w:cs="Times New Roman"/>
                <w:sz w:val="21"/>
                <w:lang w:val="zh-CN"/>
                <w14:ligatures w14:val="none"/>
              </w:rPr>
              <w:t>稍有危险</w:t>
            </w:r>
          </w:p>
        </w:tc>
      </w:tr>
      <w:tr w14:paraId="5CCDA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1BE36E65">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275546E3">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2384DDFA">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物体打击</w:t>
            </w:r>
          </w:p>
        </w:tc>
        <w:tc>
          <w:tcPr>
            <w:tcW w:w="584" w:type="pct"/>
            <w:vAlign w:val="center"/>
          </w:tcPr>
          <w:p w14:paraId="79207B6D">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6F68D32F">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2</w:t>
            </w:r>
          </w:p>
        </w:tc>
        <w:tc>
          <w:tcPr>
            <w:tcW w:w="751" w:type="pct"/>
            <w:vAlign w:val="center"/>
          </w:tcPr>
          <w:p w14:paraId="282C4D67">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29" w:type="pct"/>
            <w:vAlign w:val="center"/>
          </w:tcPr>
          <w:p w14:paraId="5D328DDB">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2</w:t>
            </w:r>
          </w:p>
        </w:tc>
        <w:tc>
          <w:tcPr>
            <w:tcW w:w="601" w:type="pct"/>
            <w:vAlign w:val="center"/>
          </w:tcPr>
          <w:p w14:paraId="4A5C7CEF">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ascii="Times New Roman" w:hAnsi="Times New Roman" w:eastAsia="宋体" w:cs="Times New Roman"/>
                <w:sz w:val="21"/>
                <w:lang w:val="zh-CN"/>
                <w14:ligatures w14:val="none"/>
              </w:rPr>
              <w:t>稍有危险</w:t>
            </w:r>
          </w:p>
        </w:tc>
      </w:tr>
      <w:tr w14:paraId="26BF0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0A8390E9">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4E4E3B22">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14295FA1">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高处坠落</w:t>
            </w:r>
          </w:p>
        </w:tc>
        <w:tc>
          <w:tcPr>
            <w:tcW w:w="584" w:type="pct"/>
            <w:vAlign w:val="center"/>
          </w:tcPr>
          <w:p w14:paraId="756F4179">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4139CBDA">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751" w:type="pct"/>
            <w:vAlign w:val="center"/>
          </w:tcPr>
          <w:p w14:paraId="40EFFABD">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29" w:type="pct"/>
            <w:vAlign w:val="center"/>
          </w:tcPr>
          <w:p w14:paraId="016D9E2F">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601" w:type="pct"/>
            <w:vAlign w:val="center"/>
          </w:tcPr>
          <w:p w14:paraId="1F4F7BAD">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ascii="Times New Roman" w:hAnsi="Times New Roman" w:eastAsia="宋体" w:cs="Times New Roman"/>
                <w:sz w:val="21"/>
                <w:lang w:val="zh-CN"/>
                <w14:ligatures w14:val="none"/>
              </w:rPr>
              <w:t>稍有危险</w:t>
            </w:r>
          </w:p>
        </w:tc>
      </w:tr>
      <w:tr w14:paraId="1F942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414" w:type="pct"/>
            <w:vMerge w:val="continue"/>
            <w:vAlign w:val="center"/>
          </w:tcPr>
          <w:p w14:paraId="6E307612">
            <w:pPr>
              <w:autoSpaceDE w:val="0"/>
              <w:autoSpaceDN w:val="0"/>
              <w:spacing w:line="240" w:lineRule="auto"/>
              <w:ind w:firstLine="0" w:firstLineChars="0"/>
              <w:rPr>
                <w:rFonts w:ascii="Times New Roman" w:hAnsi="Times New Roman" w:eastAsia="宋体" w:cs="Times New Roman"/>
                <w:sz w:val="21"/>
                <w:lang w:val="zh-CN"/>
                <w14:ligatures w14:val="none"/>
              </w:rPr>
            </w:pPr>
          </w:p>
        </w:tc>
        <w:tc>
          <w:tcPr>
            <w:tcW w:w="416" w:type="pct"/>
            <w:vMerge w:val="continue"/>
            <w:vAlign w:val="center"/>
          </w:tcPr>
          <w:p w14:paraId="604BA945">
            <w:pPr>
              <w:autoSpaceDE w:val="0"/>
              <w:autoSpaceDN w:val="0"/>
              <w:spacing w:line="240" w:lineRule="auto"/>
              <w:ind w:firstLine="0" w:firstLineChars="0"/>
              <w:jc w:val="center"/>
              <w:rPr>
                <w:rFonts w:ascii="Times New Roman" w:hAnsi="Times New Roman" w:eastAsia="宋体" w:cs="Times New Roman"/>
                <w:sz w:val="21"/>
                <w14:ligatures w14:val="none"/>
              </w:rPr>
            </w:pPr>
          </w:p>
        </w:tc>
        <w:tc>
          <w:tcPr>
            <w:tcW w:w="751" w:type="pct"/>
            <w:vAlign w:val="center"/>
          </w:tcPr>
          <w:p w14:paraId="49CE2236">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坍塌</w:t>
            </w:r>
          </w:p>
        </w:tc>
        <w:tc>
          <w:tcPr>
            <w:tcW w:w="584" w:type="pct"/>
            <w:vAlign w:val="center"/>
          </w:tcPr>
          <w:p w14:paraId="1D91FD41">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1</w:t>
            </w:r>
          </w:p>
        </w:tc>
        <w:tc>
          <w:tcPr>
            <w:tcW w:w="751" w:type="pct"/>
            <w:vAlign w:val="center"/>
          </w:tcPr>
          <w:p w14:paraId="38EBFDC8">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hint="eastAsia" w:ascii="Times New Roman" w:hAnsi="Times New Roman" w:eastAsia="宋体" w:cs="Times New Roman"/>
                <w:sz w:val="21"/>
                <w:lang w:val="zh-CN"/>
                <w14:ligatures w14:val="none"/>
              </w:rPr>
              <w:t>1</w:t>
            </w:r>
          </w:p>
        </w:tc>
        <w:tc>
          <w:tcPr>
            <w:tcW w:w="751" w:type="pct"/>
            <w:vAlign w:val="center"/>
          </w:tcPr>
          <w:p w14:paraId="6066A056">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729" w:type="pct"/>
            <w:vAlign w:val="center"/>
          </w:tcPr>
          <w:p w14:paraId="241BDE19">
            <w:pPr>
              <w:autoSpaceDE w:val="0"/>
              <w:autoSpaceDN w:val="0"/>
              <w:spacing w:line="240" w:lineRule="auto"/>
              <w:ind w:firstLine="0" w:firstLineChars="0"/>
              <w:jc w:val="center"/>
              <w:rPr>
                <w:rFonts w:ascii="Times New Roman" w:hAnsi="Times New Roman" w:eastAsia="宋体" w:cs="Times New Roman"/>
                <w:sz w:val="21"/>
                <w14:ligatures w14:val="none"/>
              </w:rPr>
            </w:pPr>
            <w:r>
              <w:rPr>
                <w:rFonts w:hint="eastAsia" w:ascii="Times New Roman" w:hAnsi="Times New Roman" w:eastAsia="宋体" w:cs="Times New Roman"/>
                <w:sz w:val="21"/>
                <w14:ligatures w14:val="none"/>
              </w:rPr>
              <w:t>3</w:t>
            </w:r>
          </w:p>
        </w:tc>
        <w:tc>
          <w:tcPr>
            <w:tcW w:w="601" w:type="pct"/>
            <w:vAlign w:val="center"/>
          </w:tcPr>
          <w:p w14:paraId="3BE859D2">
            <w:pPr>
              <w:autoSpaceDE w:val="0"/>
              <w:autoSpaceDN w:val="0"/>
              <w:spacing w:line="240" w:lineRule="auto"/>
              <w:ind w:firstLine="0" w:firstLineChars="0"/>
              <w:jc w:val="center"/>
              <w:rPr>
                <w:rFonts w:ascii="Times New Roman" w:hAnsi="Times New Roman" w:eastAsia="宋体" w:cs="Times New Roman"/>
                <w:sz w:val="21"/>
                <w:lang w:val="zh-CN"/>
                <w14:ligatures w14:val="none"/>
              </w:rPr>
            </w:pPr>
            <w:r>
              <w:rPr>
                <w:rFonts w:ascii="Times New Roman" w:hAnsi="Times New Roman" w:eastAsia="宋体" w:cs="Times New Roman"/>
                <w:sz w:val="21"/>
                <w:lang w:val="zh-CN"/>
                <w14:ligatures w14:val="none"/>
              </w:rPr>
              <w:t>稍有危险</w:t>
            </w:r>
          </w:p>
        </w:tc>
      </w:tr>
    </w:tbl>
    <w:p w14:paraId="70551A7F">
      <w:pPr>
        <w:pStyle w:val="8"/>
        <w:rPr>
          <w:rFonts w:ascii="Times New Roman" w:hAnsi="Times New Roman" w:eastAsia="黑体"/>
          <w:sz w:val="24"/>
        </w:rPr>
      </w:pPr>
    </w:p>
    <w:p w14:paraId="5BF85DAE">
      <w:p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评价小结：</w:t>
      </w:r>
      <w:r>
        <w:rPr>
          <w:rFonts w:hint="eastAsia" w:ascii="Times New Roman" w:hAnsi="Times New Roman" w:eastAsia="宋体" w:cs="Times New Roman"/>
          <w:szCs w:val="20"/>
          <w14:ligatures w14:val="none"/>
        </w:rPr>
        <w:t>通过作业条件危险性评价可知，该站在卸油区进行卸油作业时发生火灾、泄漏、可燃液体蒸汽爆炸、中毒、窒息、触电</w:t>
      </w:r>
      <w:r>
        <w:rPr>
          <w:rFonts w:hint="eastAsia" w:ascii="Times New Roman" w:hAnsi="Times New Roman" w:eastAsia="宋体" w:cs="Times New Roman"/>
          <w:szCs w:val="20"/>
          <w:lang w:eastAsia="zh-CN"/>
          <w14:ligatures w14:val="none"/>
        </w:rPr>
        <w:t>、</w:t>
      </w:r>
      <w:r>
        <w:rPr>
          <w:rFonts w:hint="eastAsia" w:ascii="Times New Roman" w:hAnsi="Times New Roman" w:eastAsia="宋体" w:cs="Times New Roman"/>
          <w:szCs w:val="20"/>
          <w:lang w:val="en-US" w:eastAsia="zh-CN"/>
          <w14:ligatures w14:val="none"/>
        </w:rPr>
        <w:t>跌落</w:t>
      </w:r>
      <w:r>
        <w:rPr>
          <w:rFonts w:hint="eastAsia" w:ascii="Times New Roman" w:hAnsi="Times New Roman" w:eastAsia="宋体" w:cs="Times New Roman"/>
          <w:szCs w:val="20"/>
          <w14:ligatures w14:val="none"/>
        </w:rPr>
        <w:t>及车辆致害的危险程度为“稍有危险”；进行检维修作业时发生火灾、泄漏、可燃液体蒸汽爆炸、及触电的危险程度为“稍有危险”；在站房进行检维修作业时发生触电、物体打击、高处坠落及坍塌的危险程度为“稍有危险”，企业</w:t>
      </w:r>
      <w:r>
        <w:rPr>
          <w:rFonts w:ascii="Times New Roman" w:hAnsi="Times New Roman" w:eastAsia="宋体" w:cs="Times New Roman"/>
          <w:szCs w:val="20"/>
          <w14:ligatures w14:val="none"/>
        </w:rPr>
        <w:t>在对以上岗位事故风险采取相应的安全对策措施后，事故风险可控制在可接受的范围内。</w:t>
      </w:r>
      <w:r>
        <w:rPr>
          <w:rFonts w:ascii="Times New Roman" w:hAnsi="Times New Roman" w:eastAsia="宋体" w:cs="Times New Roman"/>
          <w:szCs w:val="20"/>
          <w14:ligatures w14:val="none"/>
        </w:rPr>
        <w:br w:type="page"/>
      </w:r>
    </w:p>
    <w:p w14:paraId="622ECF86">
      <w:pPr>
        <w:spacing w:before="156" w:beforeLines="50"/>
        <w:ind w:firstLine="0" w:firstLineChars="0"/>
        <w:jc w:val="center"/>
        <w:outlineLvl w:val="1"/>
        <w:rPr>
          <w:rFonts w:ascii="Times New Roman" w:hAnsi="Times New Roman" w:eastAsia="楷体" w:cs="Times New Roman"/>
          <w:b/>
          <w:bCs/>
          <w:sz w:val="32"/>
          <w:szCs w:val="32"/>
        </w:rPr>
      </w:pPr>
      <w:bookmarkStart w:id="128" w:name="_Toc1691"/>
      <w:bookmarkStart w:id="129" w:name="_Toc13815"/>
      <w:bookmarkStart w:id="130" w:name="_Toc8035"/>
      <w:bookmarkStart w:id="131" w:name="_Toc218437777"/>
      <w:r>
        <w:rPr>
          <w:rFonts w:ascii="Times New Roman" w:hAnsi="Times New Roman" w:eastAsia="楷体" w:cs="Times New Roman"/>
          <w:b/>
          <w:bCs/>
          <w:sz w:val="32"/>
          <w:szCs w:val="32"/>
        </w:rPr>
        <w:t>F4.3定量分析具有可燃性化学品的</w:t>
      </w:r>
      <w:bookmarkEnd w:id="128"/>
      <w:bookmarkEnd w:id="129"/>
      <w:r>
        <w:rPr>
          <w:rFonts w:ascii="Times New Roman" w:hAnsi="Times New Roman" w:eastAsia="楷体" w:cs="Times New Roman"/>
          <w:b/>
          <w:bCs/>
          <w:sz w:val="32"/>
          <w:szCs w:val="32"/>
        </w:rPr>
        <w:t>固有风险程度</w:t>
      </w:r>
      <w:bookmarkEnd w:id="130"/>
      <w:bookmarkEnd w:id="131"/>
    </w:p>
    <w:p w14:paraId="38DC366D">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站内储罐区物质泄漏后形成蒸汽云，蒸汽云爆炸的能量常用TNT当量描述，即将参与爆炸的可燃气体释放的能量折合为能释放相同能量的TNT炸药描述。</w:t>
      </w:r>
    </w:p>
    <w:p w14:paraId="79F282DF">
      <w:pPr>
        <w:ind w:firstLine="560"/>
        <w:rPr>
          <w:rFonts w:ascii="Times New Roman" w:hAnsi="Times New Roman" w:eastAsia="宋体" w:cs="Times New Roman"/>
          <w:szCs w:val="28"/>
          <w14:ligatures w14:val="none"/>
        </w:rPr>
      </w:pPr>
      <w:r>
        <w:rPr>
          <w:rFonts w:hint="eastAsia" w:ascii="Times New Roman" w:hAnsi="Times New Roman" w:eastAsia="宋体" w:cs="Times New Roman"/>
          <w:szCs w:val="28"/>
          <w14:ligatures w14:val="none"/>
        </w:rPr>
        <w:t>本项目涉及</w:t>
      </w:r>
      <w:r>
        <w:rPr>
          <w:rFonts w:ascii="Times New Roman" w:hAnsi="Times New Roman" w:eastAsia="宋体" w:cs="Times New Roman"/>
          <w:szCs w:val="28"/>
          <w14:ligatures w14:val="none"/>
        </w:rPr>
        <w:t>物质的固有危险程度</w:t>
      </w:r>
      <w:r>
        <w:rPr>
          <w:rFonts w:hint="eastAsia" w:ascii="Times New Roman" w:hAnsi="Times New Roman" w:eastAsia="宋体" w:cs="Times New Roman"/>
          <w:szCs w:val="28"/>
          <w14:ligatures w14:val="none"/>
        </w:rPr>
        <w:t>表详见附表4.3-1，</w:t>
      </w:r>
      <w:r>
        <w:rPr>
          <w:rFonts w:ascii="Times New Roman" w:hAnsi="Times New Roman" w:eastAsia="宋体" w:cs="Times New Roman"/>
          <w:szCs w:val="28"/>
          <w14:ligatures w14:val="none"/>
        </w:rPr>
        <w:t>TNT当量</w:t>
      </w:r>
      <w:r>
        <w:rPr>
          <w:rFonts w:hint="eastAsia" w:ascii="Times New Roman" w:hAnsi="Times New Roman" w:eastAsia="宋体" w:cs="Times New Roman"/>
          <w:szCs w:val="28"/>
          <w14:ligatures w14:val="none"/>
        </w:rPr>
        <w:t>计算过程详见如下：</w:t>
      </w:r>
    </w:p>
    <w:p w14:paraId="496276CB">
      <w:pPr>
        <w:keepNext/>
        <w:keepLines/>
        <w:spacing w:before="156" w:beforeLines="50" w:after="156" w:afterLines="50" w:line="240" w:lineRule="auto"/>
        <w:ind w:firstLine="0" w:firstLineChars="0"/>
        <w:jc w:val="center"/>
        <w:rPr>
          <w:rFonts w:ascii="Times New Roman" w:hAnsi="Times New Roman" w:eastAsia="黑体"/>
          <w:sz w:val="24"/>
        </w:rPr>
      </w:pPr>
      <w:r>
        <w:rPr>
          <w:rFonts w:hint="eastAsia" w:ascii="Times New Roman" w:hAnsi="Times New Roman" w:eastAsia="黑体"/>
          <w:sz w:val="24"/>
        </w:rPr>
        <w:t>附</w:t>
      </w:r>
      <w:r>
        <w:rPr>
          <w:rFonts w:ascii="Times New Roman" w:hAnsi="Times New Roman" w:eastAsia="黑体"/>
          <w:sz w:val="24"/>
        </w:rPr>
        <w:t>表4.3-1  可燃性物质的固有危险程度情况表</w:t>
      </w:r>
    </w:p>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1058"/>
        <w:gridCol w:w="1552"/>
        <w:gridCol w:w="1418"/>
        <w:gridCol w:w="1701"/>
        <w:gridCol w:w="1133"/>
        <w:gridCol w:w="1673"/>
      </w:tblGrid>
      <w:tr w14:paraId="4EED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352" w:type="pct"/>
            <w:vAlign w:val="center"/>
          </w:tcPr>
          <w:p w14:paraId="617433C5">
            <w:pPr>
              <w:adjustRightInd/>
              <w:snapToGrid/>
              <w:spacing w:line="240" w:lineRule="auto"/>
              <w:ind w:firstLine="0" w:firstLineChars="0"/>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序号</w:t>
            </w:r>
          </w:p>
        </w:tc>
        <w:tc>
          <w:tcPr>
            <w:tcW w:w="576" w:type="pct"/>
            <w:vAlign w:val="center"/>
          </w:tcPr>
          <w:p w14:paraId="1E9D9408">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物质名称</w:t>
            </w:r>
          </w:p>
        </w:tc>
        <w:tc>
          <w:tcPr>
            <w:tcW w:w="845" w:type="pct"/>
            <w:vAlign w:val="center"/>
          </w:tcPr>
          <w:p w14:paraId="1E44C954">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单</w:t>
            </w:r>
            <w:r>
              <w:rPr>
                <w:rFonts w:hint="eastAsia" w:ascii="Times New Roman" w:hAnsi="Times New Roman" w:eastAsia="宋体" w:cs="Times New Roman"/>
                <w:sz w:val="21"/>
                <w:szCs w:val="21"/>
                <w14:ligatures w14:val="none"/>
              </w:rPr>
              <w:t>座储罐</w:t>
            </w:r>
            <w:r>
              <w:rPr>
                <w:rFonts w:ascii="Times New Roman" w:hAnsi="Times New Roman" w:eastAsia="宋体" w:cs="Times New Roman"/>
                <w:sz w:val="21"/>
                <w:szCs w:val="21"/>
                <w14:ligatures w14:val="none"/>
              </w:rPr>
              <w:t>最大储存量</w:t>
            </w:r>
          </w:p>
        </w:tc>
        <w:tc>
          <w:tcPr>
            <w:tcW w:w="772" w:type="pct"/>
            <w:vAlign w:val="center"/>
          </w:tcPr>
          <w:p w14:paraId="3C3F82AA">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相对分子量</w:t>
            </w:r>
          </w:p>
        </w:tc>
        <w:tc>
          <w:tcPr>
            <w:tcW w:w="926" w:type="pct"/>
            <w:vAlign w:val="center"/>
          </w:tcPr>
          <w:p w14:paraId="6B848341">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物质燃烧热</w:t>
            </w:r>
          </w:p>
        </w:tc>
        <w:tc>
          <w:tcPr>
            <w:tcW w:w="617" w:type="pct"/>
            <w:vAlign w:val="center"/>
          </w:tcPr>
          <w:p w14:paraId="4DA39A17">
            <w:pPr>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W</w:t>
            </w:r>
            <w:r>
              <w:rPr>
                <w:rFonts w:ascii="Times New Roman" w:hAnsi="Times New Roman" w:eastAsia="宋体" w:cs="Times New Roman"/>
                <w:sz w:val="21"/>
                <w:szCs w:val="21"/>
                <w:vertAlign w:val="subscript"/>
                <w14:ligatures w14:val="none"/>
              </w:rPr>
              <w:t>TNT</w:t>
            </w:r>
          </w:p>
        </w:tc>
        <w:tc>
          <w:tcPr>
            <w:tcW w:w="911" w:type="pct"/>
            <w:vAlign w:val="center"/>
          </w:tcPr>
          <w:p w14:paraId="185B4B9C">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相当于TNT的</w:t>
            </w:r>
          </w:p>
          <w:p w14:paraId="01705EB1">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摩尔量</w:t>
            </w:r>
          </w:p>
        </w:tc>
      </w:tr>
      <w:tr w14:paraId="5F169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2" w:type="pct"/>
            <w:vAlign w:val="center"/>
          </w:tcPr>
          <w:p w14:paraId="021E96E1">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ascii="Times New Roman" w:hAnsi="Times New Roman" w:eastAsia="宋体" w:cs="Times New Roman"/>
                <w:sz w:val="21"/>
                <w:szCs w:val="21"/>
                <w14:ligatures w14:val="none"/>
              </w:rPr>
              <w:t>1</w:t>
            </w:r>
          </w:p>
        </w:tc>
        <w:tc>
          <w:tcPr>
            <w:tcW w:w="576" w:type="pct"/>
            <w:vAlign w:val="center"/>
          </w:tcPr>
          <w:p w14:paraId="6A8ED608">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14:ligatures w14:val="none"/>
              </w:rPr>
              <w:t>车用乙醇</w:t>
            </w:r>
            <w:r>
              <w:rPr>
                <w:rFonts w:ascii="Times New Roman" w:hAnsi="Times New Roman" w:eastAsia="宋体" w:cs="Times New Roman"/>
                <w:sz w:val="21"/>
                <w:szCs w:val="21"/>
                <w14:ligatures w14:val="none"/>
              </w:rPr>
              <w:t>汽油</w:t>
            </w:r>
          </w:p>
        </w:tc>
        <w:tc>
          <w:tcPr>
            <w:tcW w:w="845" w:type="pct"/>
            <w:vAlign w:val="center"/>
          </w:tcPr>
          <w:p w14:paraId="04B5D5C4">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sz w:val="21"/>
                <w:szCs w:val="21"/>
                <w:lang w:val="en-US" w:eastAsia="zh-CN"/>
                <w14:ligatures w14:val="none"/>
              </w:rPr>
              <w:t>40</w:t>
            </w:r>
            <w:r>
              <w:rPr>
                <w:rFonts w:ascii="Times New Roman" w:hAnsi="Times New Roman" w:eastAsia="宋体" w:cs="Times New Roman"/>
                <w:sz w:val="21"/>
                <w:szCs w:val="21"/>
                <w14:ligatures w14:val="none"/>
              </w:rPr>
              <w:t>t</w:t>
            </w:r>
          </w:p>
        </w:tc>
        <w:tc>
          <w:tcPr>
            <w:tcW w:w="772" w:type="pct"/>
            <w:vAlign w:val="center"/>
          </w:tcPr>
          <w:p w14:paraId="4ED6770D">
            <w:pPr>
              <w:adjustRightInd/>
              <w:snapToGrid/>
              <w:spacing w:line="240" w:lineRule="auto"/>
              <w:ind w:firstLine="0" w:firstLineChars="0"/>
              <w:jc w:val="center"/>
              <w:rPr>
                <w:rFonts w:ascii="Times New Roman" w:hAnsi="Times New Roman" w:eastAsia="宋体" w:cs="Times New Roman"/>
                <w:bCs/>
                <w:sz w:val="21"/>
                <w:szCs w:val="21"/>
                <w14:ligatures w14:val="none"/>
              </w:rPr>
            </w:pPr>
            <w:r>
              <w:rPr>
                <w:rFonts w:hint="eastAsia" w:ascii="Times New Roman" w:hAnsi="Times New Roman" w:eastAsia="宋体" w:cs="Times New Roman"/>
                <w:bCs/>
                <w:sz w:val="21"/>
                <w:szCs w:val="21"/>
                <w14:ligatures w14:val="none"/>
              </w:rPr>
              <w:t>112</w:t>
            </w:r>
          </w:p>
        </w:tc>
        <w:tc>
          <w:tcPr>
            <w:tcW w:w="926" w:type="pct"/>
            <w:vAlign w:val="center"/>
          </w:tcPr>
          <w:p w14:paraId="14A20611">
            <w:pPr>
              <w:adjustRightInd/>
              <w:snapToGrid/>
              <w:spacing w:line="240" w:lineRule="auto"/>
              <w:ind w:firstLine="0" w:firstLineChars="0"/>
              <w:jc w:val="center"/>
              <w:rPr>
                <w:rFonts w:ascii="Times New Roman" w:hAnsi="Times New Roman" w:eastAsia="宋体" w:cs="Times New Roman"/>
                <w:sz w:val="21"/>
                <w:szCs w:val="21"/>
                <w14:ligatures w14:val="none"/>
              </w:rPr>
            </w:pPr>
            <w:r>
              <w:rPr>
                <w:rFonts w:hint="eastAsia" w:ascii="Times New Roman" w:hAnsi="Times New Roman" w:eastAsia="宋体" w:cs="Times New Roman"/>
                <w:bCs/>
                <w:sz w:val="21"/>
                <w:szCs w:val="21"/>
                <w:lang w:val="en-US" w:eastAsia="zh-CN"/>
                <w14:ligatures w14:val="none"/>
              </w:rPr>
              <w:t>45.98</w:t>
            </w:r>
            <w:r>
              <w:rPr>
                <w:rFonts w:ascii="Times New Roman" w:hAnsi="Times New Roman" w:eastAsia="宋体" w:cs="Times New Roman"/>
                <w:bCs/>
                <w:sz w:val="21"/>
                <w:szCs w:val="21"/>
                <w14:ligatures w14:val="none"/>
              </w:rPr>
              <w:t>×10</w:t>
            </w:r>
            <w:r>
              <w:rPr>
                <w:rFonts w:ascii="Times New Roman" w:hAnsi="Times New Roman" w:eastAsia="宋体" w:cs="Times New Roman"/>
                <w:bCs/>
                <w:sz w:val="21"/>
                <w:szCs w:val="21"/>
                <w:vertAlign w:val="superscript"/>
                <w14:ligatures w14:val="none"/>
              </w:rPr>
              <w:t>3</w:t>
            </w:r>
            <w:r>
              <w:rPr>
                <w:rFonts w:hint="eastAsia" w:ascii="Times New Roman" w:hAnsi="Times New Roman" w:eastAsia="宋体" w:cs="Times New Roman"/>
                <w:bCs/>
                <w:sz w:val="21"/>
                <w:szCs w:val="21"/>
                <w14:ligatures w14:val="none"/>
              </w:rPr>
              <w:t>kJ</w:t>
            </w:r>
            <w:r>
              <w:rPr>
                <w:rFonts w:ascii="Times New Roman" w:hAnsi="Times New Roman" w:eastAsia="宋体" w:cs="Times New Roman"/>
                <w:bCs/>
                <w:sz w:val="21"/>
                <w:szCs w:val="21"/>
                <w14:ligatures w14:val="none"/>
              </w:rPr>
              <w:t>/</w:t>
            </w:r>
            <w:r>
              <w:rPr>
                <w:rFonts w:hint="eastAsia" w:ascii="Times New Roman" w:hAnsi="Times New Roman" w:eastAsia="宋体" w:cs="Times New Roman"/>
                <w:bCs/>
                <w:sz w:val="21"/>
                <w:szCs w:val="21"/>
                <w14:ligatures w14:val="none"/>
              </w:rPr>
              <w:t>k</w:t>
            </w:r>
            <w:r>
              <w:rPr>
                <w:rFonts w:ascii="Times New Roman" w:hAnsi="Times New Roman" w:eastAsia="宋体" w:cs="Times New Roman"/>
                <w:bCs/>
                <w:sz w:val="21"/>
                <w:szCs w:val="21"/>
                <w14:ligatures w14:val="none"/>
              </w:rPr>
              <w:t>g</w:t>
            </w:r>
          </w:p>
        </w:tc>
        <w:tc>
          <w:tcPr>
            <w:tcW w:w="617" w:type="pct"/>
            <w:vAlign w:val="center"/>
          </w:tcPr>
          <w:p w14:paraId="7F91871F">
            <w:pPr>
              <w:adjustRightInd/>
              <w:snapToGrid/>
              <w:spacing w:line="240" w:lineRule="auto"/>
              <w:ind w:firstLine="0" w:firstLineChars="0"/>
              <w:jc w:val="center"/>
              <w:rPr>
                <w:rFonts w:ascii="Times New Roman" w:hAnsi="Times New Roman" w:eastAsia="宋体" w:cs="Times New Roman"/>
                <w:sz w:val="21"/>
                <w:szCs w:val="21"/>
                <w:highlight w:val="yellow"/>
                <w14:ligatures w14:val="none"/>
              </w:rPr>
            </w:pPr>
            <w:r>
              <w:rPr>
                <w:rFonts w:hint="eastAsia" w:ascii="Times New Roman" w:hAnsi="Times New Roman" w:eastAsia="宋体" w:cs="Times New Roman"/>
                <w:sz w:val="21"/>
                <w:szCs w:val="21"/>
                <w:highlight w:val="none"/>
                <w:lang w:val="en-US" w:eastAsia="zh-CN"/>
                <w14:ligatures w14:val="none"/>
              </w:rPr>
              <w:t>2.9</w:t>
            </w:r>
            <w:r>
              <w:rPr>
                <w:rFonts w:ascii="Times New Roman" w:hAnsi="Times New Roman" w:eastAsia="宋体" w:cs="Times New Roman"/>
                <w:sz w:val="21"/>
                <w:szCs w:val="21"/>
                <w:highlight w:val="none"/>
                <w14:ligatures w14:val="none"/>
              </w:rPr>
              <w:t>t</w:t>
            </w:r>
          </w:p>
        </w:tc>
        <w:tc>
          <w:tcPr>
            <w:tcW w:w="911" w:type="pct"/>
            <w:vAlign w:val="center"/>
          </w:tcPr>
          <w:p w14:paraId="0CF99D5C">
            <w:pPr>
              <w:adjustRightInd/>
              <w:snapToGrid/>
              <w:spacing w:line="240" w:lineRule="auto"/>
              <w:ind w:firstLine="0" w:firstLineChars="0"/>
              <w:jc w:val="center"/>
              <w:rPr>
                <w:rFonts w:ascii="Times New Roman" w:hAnsi="Times New Roman" w:eastAsia="宋体" w:cs="Times New Roman"/>
                <w:sz w:val="21"/>
                <w:szCs w:val="21"/>
                <w:highlight w:val="yellow"/>
                <w14:ligatures w14:val="none"/>
              </w:rPr>
            </w:pPr>
            <w:r>
              <w:rPr>
                <w:rFonts w:hint="eastAsia" w:ascii="Times New Roman" w:hAnsi="Times New Roman" w:eastAsia="宋体" w:cs="Times New Roman"/>
                <w:sz w:val="21"/>
                <w:szCs w:val="21"/>
                <w:highlight w:val="none"/>
                <w:lang w:val="en-US" w:eastAsia="zh-CN"/>
                <w14:ligatures w14:val="none"/>
              </w:rPr>
              <w:t>12.9</w:t>
            </w:r>
            <w:r>
              <w:rPr>
                <w:rFonts w:hint="eastAsia" w:ascii="Times New Roman" w:hAnsi="Times New Roman" w:eastAsia="宋体" w:cs="Times New Roman"/>
                <w:sz w:val="21"/>
                <w:szCs w:val="21"/>
                <w:highlight w:val="none"/>
                <w14:ligatures w14:val="none"/>
              </w:rPr>
              <w:t>k</w:t>
            </w:r>
            <w:r>
              <w:rPr>
                <w:rFonts w:ascii="Times New Roman" w:hAnsi="Times New Roman" w:eastAsia="宋体" w:cs="Times New Roman"/>
                <w:sz w:val="21"/>
                <w:szCs w:val="21"/>
                <w:highlight w:val="none"/>
                <w14:ligatures w14:val="none"/>
              </w:rPr>
              <w:t>mol</w:t>
            </w:r>
          </w:p>
        </w:tc>
      </w:tr>
    </w:tbl>
    <w:p w14:paraId="65FBC238">
      <w:pPr>
        <w:ind w:firstLine="560"/>
        <w:rPr>
          <w:rFonts w:ascii="Times New Roman" w:hAnsi="Times New Roman" w:eastAsia="宋体" w:cs="Times New Roman"/>
          <w:szCs w:val="28"/>
          <w14:ligatures w14:val="none"/>
        </w:rPr>
      </w:pPr>
      <w:bookmarkStart w:id="132" w:name="_Toc21527"/>
      <w:r>
        <w:rPr>
          <w:rFonts w:hint="eastAsia" w:ascii="Times New Roman" w:hAnsi="Times New Roman" w:eastAsia="宋体" w:cs="Times New Roman"/>
          <w:szCs w:val="28"/>
          <w14:ligatures w14:val="none"/>
        </w:rPr>
        <w:t>（1）</w:t>
      </w:r>
      <w:r>
        <w:rPr>
          <w:rFonts w:ascii="Times New Roman" w:hAnsi="Times New Roman" w:eastAsia="宋体" w:cs="Times New Roman"/>
          <w:szCs w:val="28"/>
          <w14:ligatures w14:val="none"/>
        </w:rPr>
        <w:t>TNT当量计算公式如下：</w:t>
      </w:r>
      <w:bookmarkEnd w:id="132"/>
    </w:p>
    <w:p w14:paraId="0656B9C3">
      <w:pPr>
        <w:ind w:firstLine="560"/>
        <w:rPr>
          <w:rFonts w:ascii="Times New Roman" w:hAnsi="Times New Roman" w:eastAsia="宋体" w:cs="Times New Roman"/>
          <w:szCs w:val="28"/>
          <w14:ligatures w14:val="none"/>
        </w:rPr>
      </w:pPr>
      <w:bookmarkStart w:id="133" w:name="_Toc3964"/>
      <w:r>
        <w:rPr>
          <w:rFonts w:ascii="Times New Roman" w:hAnsi="Times New Roman" w:eastAsia="宋体" w:cs="Times New Roman"/>
          <w:szCs w:val="28"/>
          <w14:ligatures w14:val="none"/>
        </w:rPr>
        <w:t>W</w:t>
      </w:r>
      <w:r>
        <w:rPr>
          <w:rFonts w:ascii="Times New Roman" w:hAnsi="Times New Roman" w:eastAsia="宋体" w:cs="Times New Roman"/>
          <w:szCs w:val="28"/>
          <w:vertAlign w:val="subscript"/>
          <w14:ligatures w14:val="none"/>
        </w:rPr>
        <w:t>TNT</w:t>
      </w:r>
      <w:r>
        <w:rPr>
          <w:rFonts w:ascii="Times New Roman" w:hAnsi="Times New Roman" w:eastAsia="宋体" w:cs="Times New Roman"/>
          <w:szCs w:val="28"/>
          <w14:ligatures w14:val="none"/>
        </w:rPr>
        <w:t>=βAW</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Q</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/Q</w:t>
      </w:r>
      <w:r>
        <w:rPr>
          <w:rFonts w:ascii="Times New Roman" w:hAnsi="Times New Roman" w:eastAsia="宋体" w:cs="Times New Roman"/>
          <w:szCs w:val="28"/>
          <w:vertAlign w:val="subscript"/>
          <w14:ligatures w14:val="none"/>
        </w:rPr>
        <w:t>TNT</w:t>
      </w:r>
      <w:bookmarkEnd w:id="133"/>
    </w:p>
    <w:p w14:paraId="48211D7E">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式中：W</w:t>
      </w:r>
      <w:r>
        <w:rPr>
          <w:rFonts w:ascii="Times New Roman" w:hAnsi="Times New Roman" w:eastAsia="宋体" w:cs="Times New Roman"/>
          <w:szCs w:val="28"/>
          <w:vertAlign w:val="subscript"/>
          <w14:ligatures w14:val="none"/>
        </w:rPr>
        <w:t>TNT</w:t>
      </w:r>
      <w:r>
        <w:rPr>
          <w:rFonts w:ascii="Times New Roman" w:hAnsi="Times New Roman" w:eastAsia="宋体" w:cs="Times New Roman"/>
          <w:szCs w:val="28"/>
          <w14:ligatures w14:val="none"/>
        </w:rPr>
        <w:t>——蒸气云的TNT当量，kg；</w:t>
      </w:r>
    </w:p>
    <w:p w14:paraId="397558B2">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 xml:space="preserve"> </w:t>
      </w:r>
      <w:r>
        <w:rPr>
          <w:rFonts w:hint="eastAsia" w:ascii="Times New Roman" w:hAnsi="Times New Roman" w:eastAsia="宋体" w:cs="Times New Roman"/>
          <w:szCs w:val="28"/>
          <w14:ligatures w14:val="none"/>
        </w:rPr>
        <w:t xml:space="preserve">    </w:t>
      </w:r>
      <w:r>
        <w:rPr>
          <w:rFonts w:ascii="Times New Roman" w:hAnsi="Times New Roman" w:eastAsia="宋体" w:cs="Times New Roman"/>
          <w:szCs w:val="28"/>
          <w14:ligatures w14:val="none"/>
        </w:rPr>
        <w:t xml:space="preserve"> β——地面爆炸系数，取β=1.8；</w:t>
      </w:r>
    </w:p>
    <w:p w14:paraId="65D86A0C">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 xml:space="preserve">  </w:t>
      </w:r>
      <w:r>
        <w:rPr>
          <w:rFonts w:hint="eastAsia" w:ascii="Times New Roman" w:hAnsi="Times New Roman" w:eastAsia="宋体" w:cs="Times New Roman"/>
          <w:szCs w:val="28"/>
          <w14:ligatures w14:val="none"/>
        </w:rPr>
        <w:t xml:space="preserve">   </w:t>
      </w:r>
      <w:r>
        <w:rPr>
          <w:rFonts w:ascii="Times New Roman" w:hAnsi="Times New Roman" w:eastAsia="宋体" w:cs="Times New Roman"/>
          <w:szCs w:val="28"/>
          <w14:ligatures w14:val="none"/>
        </w:rPr>
        <w:t xml:space="preserve"> A——蒸气云的TNT当量系数，A=4%； </w:t>
      </w:r>
    </w:p>
    <w:p w14:paraId="3A692FD7">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 xml:space="preserve"> </w:t>
      </w:r>
      <w:r>
        <w:rPr>
          <w:rFonts w:hint="eastAsia" w:ascii="Times New Roman" w:hAnsi="Times New Roman" w:eastAsia="宋体" w:cs="Times New Roman"/>
          <w:szCs w:val="28"/>
          <w14:ligatures w14:val="none"/>
        </w:rPr>
        <w:t xml:space="preserve">    </w:t>
      </w:r>
      <w:r>
        <w:rPr>
          <w:rFonts w:ascii="Times New Roman" w:hAnsi="Times New Roman" w:eastAsia="宋体" w:cs="Times New Roman"/>
          <w:szCs w:val="28"/>
          <w14:ligatures w14:val="none"/>
        </w:rPr>
        <w:t xml:space="preserve"> W</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——蒸气云中燃料的总质量：kg；</w:t>
      </w:r>
    </w:p>
    <w:p w14:paraId="705D3101">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 xml:space="preserve"> </w:t>
      </w:r>
      <w:r>
        <w:rPr>
          <w:rFonts w:hint="eastAsia" w:ascii="Times New Roman" w:hAnsi="Times New Roman" w:eastAsia="宋体" w:cs="Times New Roman"/>
          <w:szCs w:val="28"/>
          <w14:ligatures w14:val="none"/>
        </w:rPr>
        <w:t xml:space="preserve">    </w:t>
      </w:r>
      <w:r>
        <w:rPr>
          <w:rFonts w:ascii="Times New Roman" w:hAnsi="Times New Roman" w:eastAsia="宋体" w:cs="Times New Roman"/>
          <w:szCs w:val="28"/>
          <w14:ligatures w14:val="none"/>
        </w:rPr>
        <w:t xml:space="preserve"> Q</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——燃料的燃烧热，kJ/kg；</w:t>
      </w:r>
    </w:p>
    <w:p w14:paraId="422DF4C4">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 xml:space="preserve"> </w:t>
      </w:r>
      <w:r>
        <w:rPr>
          <w:rFonts w:hint="eastAsia" w:ascii="Times New Roman" w:hAnsi="Times New Roman" w:eastAsia="宋体" w:cs="Times New Roman"/>
          <w:szCs w:val="28"/>
          <w14:ligatures w14:val="none"/>
        </w:rPr>
        <w:t xml:space="preserve">    </w:t>
      </w:r>
      <w:r>
        <w:rPr>
          <w:rFonts w:ascii="Times New Roman" w:hAnsi="Times New Roman" w:eastAsia="宋体" w:cs="Times New Roman"/>
          <w:szCs w:val="28"/>
          <w14:ligatures w14:val="none"/>
        </w:rPr>
        <w:t xml:space="preserve"> Q</w:t>
      </w:r>
      <w:r>
        <w:rPr>
          <w:rFonts w:ascii="Times New Roman" w:hAnsi="Times New Roman" w:eastAsia="宋体" w:cs="Times New Roman"/>
          <w:szCs w:val="28"/>
          <w:vertAlign w:val="subscript"/>
          <w14:ligatures w14:val="none"/>
        </w:rPr>
        <w:t>TNT</w:t>
      </w:r>
      <w:r>
        <w:rPr>
          <w:rFonts w:ascii="Times New Roman" w:hAnsi="Times New Roman" w:eastAsia="宋体" w:cs="Times New Roman"/>
          <w:szCs w:val="28"/>
          <w14:ligatures w14:val="none"/>
        </w:rPr>
        <w:t>——TNT的爆热，QTNT=4520kJ/kg。</w:t>
      </w:r>
    </w:p>
    <w:p w14:paraId="7813D15A">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以</w:t>
      </w:r>
      <w:r>
        <w:rPr>
          <w:rFonts w:hint="eastAsia" w:ascii="Times New Roman" w:hAnsi="Times New Roman" w:eastAsia="宋体" w:cs="Times New Roman"/>
          <w:szCs w:val="28"/>
          <w14:ligatures w14:val="none"/>
        </w:rPr>
        <w:t>车用乙醇</w:t>
      </w:r>
      <w:r>
        <w:rPr>
          <w:rFonts w:ascii="Times New Roman" w:hAnsi="Times New Roman" w:eastAsia="宋体" w:cs="Times New Roman"/>
          <w:szCs w:val="28"/>
          <w14:ligatures w14:val="none"/>
        </w:rPr>
        <w:t>汽油储罐蒸汽云爆炸的TNT当量计算为例：</w:t>
      </w:r>
    </w:p>
    <w:p w14:paraId="2B5354D8">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本项目一</w:t>
      </w:r>
      <w:r>
        <w:rPr>
          <w:rFonts w:hint="eastAsia" w:ascii="Times New Roman" w:hAnsi="Times New Roman" w:eastAsia="宋体" w:cs="Times New Roman"/>
          <w:szCs w:val="28"/>
          <w14:ligatures w14:val="none"/>
        </w:rPr>
        <w:t>座</w:t>
      </w:r>
      <w:r>
        <w:rPr>
          <w:rFonts w:ascii="Times New Roman" w:hAnsi="Times New Roman" w:eastAsia="宋体" w:cs="Times New Roman"/>
          <w:szCs w:val="28"/>
          <w14:ligatures w14:val="none"/>
        </w:rPr>
        <w:t>埋地汽油罐</w:t>
      </w:r>
      <w:r>
        <w:rPr>
          <w:rFonts w:hint="eastAsia" w:ascii="Times New Roman" w:hAnsi="Times New Roman" w:eastAsia="宋体" w:cs="Times New Roman"/>
          <w:szCs w:val="28"/>
          <w14:ligatures w14:val="none"/>
        </w:rPr>
        <w:t>最大</w:t>
      </w:r>
      <w:r>
        <w:rPr>
          <w:rFonts w:ascii="Times New Roman" w:hAnsi="Times New Roman" w:eastAsia="宋体" w:cs="Times New Roman"/>
          <w:szCs w:val="28"/>
          <w14:ligatures w14:val="none"/>
        </w:rPr>
        <w:t>储存的质量为</w:t>
      </w:r>
      <w:r>
        <w:rPr>
          <w:rFonts w:hint="eastAsia" w:ascii="Times New Roman" w:hAnsi="Times New Roman" w:eastAsia="宋体" w:cs="Times New Roman"/>
          <w:szCs w:val="28"/>
          <w:lang w:val="en-US" w:eastAsia="zh-CN"/>
          <w14:ligatures w14:val="none"/>
        </w:rPr>
        <w:t>40</w:t>
      </w:r>
      <w:r>
        <w:rPr>
          <w:rFonts w:ascii="Times New Roman" w:hAnsi="Times New Roman" w:eastAsia="宋体" w:cs="Times New Roman"/>
          <w:szCs w:val="28"/>
          <w14:ligatures w14:val="none"/>
        </w:rPr>
        <w:t>t，假设参加蒸气云爆炸的量为1</w:t>
      </w:r>
      <w:r>
        <w:rPr>
          <w:rFonts w:hint="eastAsia" w:ascii="Times New Roman" w:hAnsi="Times New Roman" w:eastAsia="宋体" w:cs="Times New Roman"/>
          <w:szCs w:val="28"/>
          <w14:ligatures w14:val="none"/>
        </w:rPr>
        <w:t>0</w:t>
      </w:r>
      <w:r>
        <w:rPr>
          <w:rFonts w:ascii="Times New Roman" w:hAnsi="Times New Roman" w:eastAsia="宋体" w:cs="Times New Roman"/>
          <w:szCs w:val="28"/>
          <w14:ligatures w14:val="none"/>
        </w:rPr>
        <w:t>%，则W</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w:t>
      </w:r>
      <w:r>
        <w:rPr>
          <w:rFonts w:hint="eastAsia" w:ascii="Times New Roman" w:hAnsi="Times New Roman" w:eastAsia="宋体" w:cs="Times New Roman"/>
          <w:szCs w:val="28"/>
          <w:lang w:val="en-US" w:eastAsia="zh-CN"/>
          <w14:ligatures w14:val="none"/>
        </w:rPr>
        <w:t>4.0</w:t>
      </w:r>
      <w:r>
        <w:rPr>
          <w:rFonts w:ascii="Times New Roman" w:hAnsi="Times New Roman" w:eastAsia="宋体" w:cs="Times New Roman"/>
          <w:szCs w:val="28"/>
          <w14:ligatures w14:val="none"/>
        </w:rPr>
        <w:t>t。</w:t>
      </w:r>
    </w:p>
    <w:p w14:paraId="64D704EC">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W</w:t>
      </w:r>
      <w:r>
        <w:rPr>
          <w:rFonts w:ascii="Times New Roman" w:hAnsi="Times New Roman" w:eastAsia="宋体" w:cs="Times New Roman"/>
          <w:szCs w:val="28"/>
          <w:vertAlign w:val="subscript"/>
          <w14:ligatures w14:val="none"/>
        </w:rPr>
        <w:t>TNT</w:t>
      </w:r>
      <w:r>
        <w:rPr>
          <w:rFonts w:ascii="Times New Roman" w:hAnsi="Times New Roman" w:eastAsia="宋体" w:cs="Times New Roman"/>
          <w:szCs w:val="28"/>
          <w14:ligatures w14:val="none"/>
        </w:rPr>
        <w:t>=βAW</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Q</w:t>
      </w:r>
      <w:r>
        <w:rPr>
          <w:rFonts w:ascii="Times New Roman" w:hAnsi="Times New Roman" w:eastAsia="宋体" w:cs="Times New Roman"/>
          <w:szCs w:val="28"/>
          <w:vertAlign w:val="subscript"/>
          <w14:ligatures w14:val="none"/>
        </w:rPr>
        <w:t>f</w:t>
      </w:r>
      <w:r>
        <w:rPr>
          <w:rFonts w:ascii="Times New Roman" w:hAnsi="Times New Roman" w:eastAsia="宋体" w:cs="Times New Roman"/>
          <w:szCs w:val="28"/>
          <w14:ligatures w14:val="none"/>
        </w:rPr>
        <w:t>/Q</w:t>
      </w:r>
      <w:r>
        <w:rPr>
          <w:rFonts w:ascii="Times New Roman" w:hAnsi="Times New Roman" w:eastAsia="宋体" w:cs="Times New Roman"/>
          <w:szCs w:val="28"/>
          <w:vertAlign w:val="subscript"/>
          <w14:ligatures w14:val="none"/>
        </w:rPr>
        <w:t xml:space="preserve">TNT </w:t>
      </w:r>
      <w:r>
        <w:rPr>
          <w:rFonts w:ascii="Times New Roman" w:hAnsi="Times New Roman" w:eastAsia="宋体" w:cs="Times New Roman"/>
          <w:szCs w:val="28"/>
          <w14:ligatures w14:val="none"/>
        </w:rPr>
        <w:t>=1.8×0.0</w:t>
      </w:r>
      <w:r>
        <w:rPr>
          <w:rFonts w:hint="eastAsia" w:ascii="Times New Roman" w:hAnsi="Times New Roman" w:eastAsia="宋体" w:cs="Times New Roman"/>
          <w:szCs w:val="28"/>
          <w14:ligatures w14:val="none"/>
        </w:rPr>
        <w:t>4</w:t>
      </w:r>
      <w:r>
        <w:rPr>
          <w:rFonts w:ascii="Times New Roman" w:hAnsi="Times New Roman" w:eastAsia="宋体" w:cs="Times New Roman"/>
          <w:szCs w:val="28"/>
          <w14:ligatures w14:val="none"/>
        </w:rPr>
        <w:t>×</w:t>
      </w:r>
      <w:r>
        <w:rPr>
          <w:rFonts w:hint="eastAsia" w:ascii="Times New Roman" w:hAnsi="Times New Roman" w:eastAsia="宋体" w:cs="Times New Roman"/>
          <w:szCs w:val="28"/>
          <w:lang w:val="en-US" w:eastAsia="zh-CN"/>
          <w14:ligatures w14:val="none"/>
        </w:rPr>
        <w:t>4.0</w:t>
      </w:r>
      <w:r>
        <w:rPr>
          <w:rFonts w:ascii="Times New Roman" w:hAnsi="Times New Roman" w:eastAsia="宋体" w:cs="Times New Roman"/>
          <w:szCs w:val="28"/>
          <w14:ligatures w14:val="none"/>
        </w:rPr>
        <w:t>×10</w:t>
      </w:r>
      <w:r>
        <w:rPr>
          <w:rFonts w:ascii="Times New Roman" w:hAnsi="Times New Roman" w:eastAsia="宋体" w:cs="Times New Roman"/>
          <w:szCs w:val="28"/>
          <w:vertAlign w:val="superscript"/>
          <w14:ligatures w14:val="none"/>
        </w:rPr>
        <w:t>3</w:t>
      </w:r>
      <w:r>
        <w:rPr>
          <w:rFonts w:ascii="Times New Roman" w:hAnsi="Times New Roman" w:eastAsia="宋体" w:cs="Times New Roman"/>
          <w:szCs w:val="28"/>
          <w14:ligatures w14:val="none"/>
        </w:rPr>
        <w:t>×4</w:t>
      </w:r>
      <w:r>
        <w:rPr>
          <w:rFonts w:hint="eastAsia" w:ascii="Times New Roman" w:hAnsi="Times New Roman" w:eastAsia="宋体" w:cs="Times New Roman"/>
          <w:szCs w:val="28"/>
          <w:lang w:val="en-US" w:eastAsia="zh-CN"/>
          <w14:ligatures w14:val="none"/>
        </w:rPr>
        <w:t>5980</w:t>
      </w:r>
      <w:r>
        <w:rPr>
          <w:rFonts w:ascii="Times New Roman" w:hAnsi="Times New Roman" w:eastAsia="宋体" w:cs="Times New Roman"/>
          <w:szCs w:val="28"/>
          <w14:ligatures w14:val="none"/>
        </w:rPr>
        <w:t>/4520=</w:t>
      </w:r>
      <w:r>
        <w:rPr>
          <w:rFonts w:hint="eastAsia" w:ascii="Times New Roman" w:hAnsi="Times New Roman" w:eastAsia="宋体" w:cs="Times New Roman"/>
          <w:szCs w:val="28"/>
          <w:lang w:val="en-US" w:eastAsia="zh-CN"/>
          <w14:ligatures w14:val="none"/>
        </w:rPr>
        <w:t>2929.7</w:t>
      </w:r>
      <w:r>
        <w:rPr>
          <w:rFonts w:ascii="Times New Roman" w:hAnsi="Times New Roman" w:eastAsia="宋体" w:cs="Times New Roman"/>
          <w:szCs w:val="28"/>
          <w14:ligatures w14:val="none"/>
        </w:rPr>
        <w:t>kg</w:t>
      </w:r>
      <w:r>
        <w:rPr>
          <w:rFonts w:hint="eastAsia" w:ascii="Times New Roman" w:hAnsi="Times New Roman" w:eastAsia="宋体" w:cs="Times New Roman"/>
          <w:szCs w:val="28"/>
          <w14:ligatures w14:val="none"/>
        </w:rPr>
        <w:t>=</w:t>
      </w:r>
      <w:r>
        <w:rPr>
          <w:rFonts w:hint="eastAsia" w:ascii="Times New Roman" w:hAnsi="Times New Roman" w:eastAsia="宋体" w:cs="Times New Roman"/>
          <w:szCs w:val="28"/>
          <w:lang w:val="en-US" w:eastAsia="zh-CN"/>
          <w14:ligatures w14:val="none"/>
        </w:rPr>
        <w:t>2.9</w:t>
      </w:r>
      <w:r>
        <w:rPr>
          <w:rFonts w:hint="eastAsia" w:ascii="Times New Roman" w:hAnsi="Times New Roman" w:eastAsia="宋体" w:cs="Times New Roman"/>
          <w:szCs w:val="28"/>
          <w14:ligatures w14:val="none"/>
        </w:rPr>
        <w:t>t</w:t>
      </w:r>
    </w:p>
    <w:p w14:paraId="27E4C7E6">
      <w:pPr>
        <w:ind w:firstLine="560"/>
        <w:rPr>
          <w:rFonts w:ascii="Times New Roman" w:hAnsi="Times New Roman" w:eastAsia="宋体" w:cs="Times New Roman"/>
          <w:szCs w:val="28"/>
          <w14:ligatures w14:val="none"/>
        </w:rPr>
      </w:pPr>
      <w:r>
        <w:rPr>
          <w:rFonts w:ascii="Times New Roman" w:hAnsi="Times New Roman" w:eastAsia="宋体" w:cs="Times New Roman"/>
          <w:szCs w:val="28"/>
          <w14:ligatures w14:val="none"/>
        </w:rPr>
        <w:t>相当于梯恩梯（TNT）的摩尔量：</w:t>
      </w:r>
      <w:r>
        <w:rPr>
          <w:rFonts w:hint="eastAsia" w:ascii="Times New Roman" w:hAnsi="Times New Roman" w:eastAsia="宋体" w:cs="Times New Roman"/>
          <w:szCs w:val="28"/>
          <w:lang w:val="en-US" w:eastAsia="zh-CN"/>
          <w14:ligatures w14:val="none"/>
        </w:rPr>
        <w:t>2929.7</w:t>
      </w:r>
      <w:r>
        <w:rPr>
          <w:rFonts w:ascii="Times New Roman" w:hAnsi="Times New Roman" w:eastAsia="宋体" w:cs="Times New Roman"/>
          <w:szCs w:val="28"/>
          <w14:ligatures w14:val="none"/>
        </w:rPr>
        <w:t>/227=</w:t>
      </w:r>
      <w:r>
        <w:rPr>
          <w:rFonts w:hint="eastAsia" w:ascii="Times New Roman" w:hAnsi="Times New Roman" w:eastAsia="宋体" w:cs="Times New Roman"/>
          <w:szCs w:val="28"/>
          <w:lang w:val="en-US" w:eastAsia="zh-CN"/>
          <w14:ligatures w14:val="none"/>
        </w:rPr>
        <w:t>12.9</w:t>
      </w:r>
      <w:r>
        <w:rPr>
          <w:rFonts w:ascii="Times New Roman" w:hAnsi="Times New Roman" w:eastAsia="宋体" w:cs="Times New Roman"/>
          <w:szCs w:val="28"/>
          <w14:ligatures w14:val="none"/>
        </w:rPr>
        <w:t>kmol</w:t>
      </w:r>
    </w:p>
    <w:p w14:paraId="0ED58731">
      <w:pPr>
        <w:ind w:firstLine="560"/>
        <w:rPr>
          <w:rFonts w:ascii="Times New Roman" w:hAnsi="Times New Roman" w:eastAsia="宋体" w:cs="Times New Roman"/>
          <w:szCs w:val="28"/>
          <w14:ligatures w14:val="none"/>
        </w:rPr>
      </w:pPr>
      <w:r>
        <w:rPr>
          <w:rFonts w:hint="eastAsia" w:ascii="Times New Roman" w:hAnsi="Times New Roman" w:eastAsia="宋体" w:cs="Times New Roman"/>
          <w:szCs w:val="28"/>
          <w14:ligatures w14:val="none"/>
        </w:rPr>
        <w:t>（2）</w:t>
      </w:r>
      <w:r>
        <w:rPr>
          <w:rFonts w:ascii="Times New Roman" w:hAnsi="Times New Roman" w:eastAsia="宋体" w:cs="Times New Roman"/>
          <w:szCs w:val="28"/>
          <w14:ligatures w14:val="none"/>
        </w:rPr>
        <w:t>死亡半径计算根据超压-冲量准则和概率模型得出的死亡半径公式R</w:t>
      </w:r>
      <w:r>
        <w:rPr>
          <w:rFonts w:ascii="Times New Roman" w:hAnsi="Times New Roman" w:eastAsia="宋体" w:cs="Times New Roman"/>
          <w:szCs w:val="28"/>
          <w:vertAlign w:val="subscript"/>
          <w14:ligatures w14:val="none"/>
        </w:rPr>
        <w:t>0.5</w:t>
      </w:r>
      <w:r>
        <w:rPr>
          <w:rFonts w:ascii="Times New Roman" w:hAnsi="Times New Roman" w:eastAsia="宋体" w:cs="Times New Roman"/>
          <w:szCs w:val="28"/>
          <w14:ligatures w14:val="none"/>
        </w:rPr>
        <w:t>=13.6</w:t>
      </w:r>
      <w:r>
        <w:rPr>
          <w:rFonts w:hint="eastAsia" w:ascii="Times New Roman" w:hAnsi="Times New Roman" w:eastAsia="宋体" w:cs="Times New Roman"/>
          <w:szCs w:val="28"/>
          <w14:ligatures w14:val="none"/>
        </w:rPr>
        <w:t>（</w:t>
      </w:r>
      <w:r>
        <w:rPr>
          <w:rFonts w:ascii="Times New Roman" w:hAnsi="Times New Roman" w:eastAsia="宋体" w:cs="Times New Roman"/>
          <w:szCs w:val="28"/>
          <w14:ligatures w14:val="none"/>
        </w:rPr>
        <w:t>W</w:t>
      </w:r>
      <w:r>
        <w:rPr>
          <w:rFonts w:ascii="Times New Roman" w:hAnsi="Times New Roman" w:eastAsia="宋体" w:cs="Times New Roman"/>
          <w:szCs w:val="28"/>
          <w:vertAlign w:val="subscript"/>
          <w14:ligatures w14:val="none"/>
        </w:rPr>
        <w:t>TNT</w:t>
      </w:r>
      <w:r>
        <w:rPr>
          <w:rFonts w:ascii="Times New Roman" w:hAnsi="Times New Roman" w:eastAsia="宋体" w:cs="Times New Roman"/>
          <w:szCs w:val="28"/>
          <w14:ligatures w14:val="none"/>
        </w:rPr>
        <w:t>/1000</w:t>
      </w:r>
      <w:r>
        <w:rPr>
          <w:rFonts w:hint="eastAsia" w:ascii="Times New Roman" w:hAnsi="Times New Roman" w:eastAsia="宋体" w:cs="Times New Roman"/>
          <w:szCs w:val="28"/>
          <w14:ligatures w14:val="none"/>
        </w:rPr>
        <w:t>）</w:t>
      </w:r>
      <w:r>
        <w:rPr>
          <w:rFonts w:ascii="Times New Roman" w:hAnsi="Times New Roman" w:eastAsia="宋体" w:cs="Times New Roman"/>
          <w:szCs w:val="28"/>
          <w:vertAlign w:val="superscript"/>
          <w14:ligatures w14:val="none"/>
        </w:rPr>
        <w:t>0.37</w:t>
      </w:r>
    </w:p>
    <w:p w14:paraId="3B7D6ADE">
      <w:pPr>
        <w:ind w:firstLine="560"/>
        <w:rPr>
          <w:rFonts w:ascii="Times New Roman" w:hAnsi="Times New Roman" w:eastAsia="宋体" w:cs="Times New Roman"/>
          <w:szCs w:val="20"/>
          <w14:ligatures w14:val="none"/>
        </w:rPr>
      </w:pPr>
      <w:r>
        <w:rPr>
          <w:rFonts w:ascii="Times New Roman" w:hAnsi="Times New Roman" w:eastAsia="宋体" w:cs="Times New Roman"/>
          <w:szCs w:val="28"/>
          <w14:ligatures w14:val="none"/>
        </w:rPr>
        <w:t>R</w:t>
      </w:r>
      <w:r>
        <w:rPr>
          <w:rFonts w:ascii="Times New Roman" w:hAnsi="Times New Roman" w:eastAsia="宋体" w:cs="Times New Roman"/>
          <w:szCs w:val="28"/>
          <w:vertAlign w:val="subscript"/>
          <w14:ligatures w14:val="none"/>
        </w:rPr>
        <w:t>0.5</w:t>
      </w:r>
      <w:r>
        <w:rPr>
          <w:rFonts w:ascii="Times New Roman" w:hAnsi="Times New Roman" w:eastAsia="宋体" w:cs="Times New Roman"/>
          <w:szCs w:val="28"/>
          <w14:ligatures w14:val="none"/>
        </w:rPr>
        <w:t>=13.6</w:t>
      </w:r>
      <w:r>
        <w:rPr>
          <w:rFonts w:hint="eastAsia" w:ascii="Times New Roman" w:hAnsi="Times New Roman" w:eastAsia="宋体" w:cs="Times New Roman"/>
          <w:szCs w:val="28"/>
          <w14:ligatures w14:val="none"/>
        </w:rPr>
        <w:t>（</w:t>
      </w:r>
      <w:r>
        <w:rPr>
          <w:rFonts w:ascii="Times New Roman" w:hAnsi="Times New Roman" w:eastAsia="宋体" w:cs="Times New Roman"/>
          <w:szCs w:val="28"/>
          <w14:ligatures w14:val="none"/>
        </w:rPr>
        <w:t>W</w:t>
      </w:r>
      <w:r>
        <w:rPr>
          <w:rFonts w:ascii="Times New Roman" w:hAnsi="Times New Roman" w:eastAsia="宋体" w:cs="Times New Roman"/>
          <w:szCs w:val="28"/>
          <w:vertAlign w:val="subscript"/>
          <w14:ligatures w14:val="none"/>
        </w:rPr>
        <w:t>TNT</w:t>
      </w:r>
      <w:r>
        <w:rPr>
          <w:rFonts w:ascii="Times New Roman" w:hAnsi="Times New Roman" w:eastAsia="宋体" w:cs="Times New Roman"/>
          <w:szCs w:val="28"/>
          <w14:ligatures w14:val="none"/>
        </w:rPr>
        <w:t>/1000</w:t>
      </w:r>
      <w:r>
        <w:rPr>
          <w:rFonts w:hint="eastAsia" w:ascii="Times New Roman" w:hAnsi="Times New Roman" w:eastAsia="宋体" w:cs="Times New Roman"/>
          <w:szCs w:val="28"/>
          <w14:ligatures w14:val="none"/>
        </w:rPr>
        <w:t>）</w:t>
      </w:r>
      <w:r>
        <w:rPr>
          <w:rFonts w:ascii="Times New Roman" w:hAnsi="Times New Roman" w:eastAsia="宋体" w:cs="Times New Roman"/>
          <w:szCs w:val="28"/>
          <w:vertAlign w:val="superscript"/>
          <w14:ligatures w14:val="none"/>
        </w:rPr>
        <w:t>0.37</w:t>
      </w:r>
      <w:r>
        <w:rPr>
          <w:rFonts w:ascii="Times New Roman" w:hAnsi="Times New Roman" w:eastAsia="宋体" w:cs="Times New Roman"/>
          <w:szCs w:val="28"/>
          <w14:ligatures w14:val="none"/>
        </w:rPr>
        <w:t>=13.6</w:t>
      </w:r>
      <w:r>
        <w:rPr>
          <w:rFonts w:hint="eastAsia" w:ascii="Times New Roman" w:hAnsi="Times New Roman" w:eastAsia="宋体" w:cs="Times New Roman"/>
          <w:szCs w:val="28"/>
          <w14:ligatures w14:val="none"/>
        </w:rPr>
        <w:t>（</w:t>
      </w:r>
      <w:r>
        <w:rPr>
          <w:rFonts w:hint="eastAsia" w:ascii="Times New Roman" w:hAnsi="Times New Roman" w:eastAsia="宋体" w:cs="Times New Roman"/>
          <w:szCs w:val="28"/>
          <w:lang w:val="en-US" w:eastAsia="zh-CN"/>
          <w14:ligatures w14:val="none"/>
        </w:rPr>
        <w:t>2929.7</w:t>
      </w:r>
      <w:r>
        <w:rPr>
          <w:rFonts w:ascii="Times New Roman" w:hAnsi="Times New Roman" w:eastAsia="宋体" w:cs="Times New Roman"/>
          <w:szCs w:val="28"/>
          <w14:ligatures w14:val="none"/>
        </w:rPr>
        <w:t>/1000</w:t>
      </w:r>
      <w:r>
        <w:rPr>
          <w:rFonts w:hint="eastAsia" w:ascii="Times New Roman" w:hAnsi="Times New Roman" w:eastAsia="宋体" w:cs="Times New Roman"/>
          <w:szCs w:val="28"/>
          <w14:ligatures w14:val="none"/>
        </w:rPr>
        <w:t>）</w:t>
      </w:r>
      <w:r>
        <w:rPr>
          <w:rFonts w:ascii="Times New Roman" w:hAnsi="Times New Roman" w:eastAsia="宋体" w:cs="Times New Roman"/>
          <w:szCs w:val="28"/>
          <w:vertAlign w:val="superscript"/>
          <w14:ligatures w14:val="none"/>
        </w:rPr>
        <w:t>0.37</w:t>
      </w:r>
      <w:r>
        <w:rPr>
          <w:rFonts w:ascii="Times New Roman" w:hAnsi="Times New Roman" w:eastAsia="宋体" w:cs="Times New Roman"/>
          <w:szCs w:val="28"/>
          <w14:ligatures w14:val="none"/>
        </w:rPr>
        <w:t>=</w:t>
      </w:r>
      <w:r>
        <w:rPr>
          <w:rFonts w:hint="eastAsia" w:ascii="Times New Roman" w:hAnsi="Times New Roman" w:eastAsia="宋体" w:cs="Times New Roman"/>
          <w:szCs w:val="28"/>
          <w:lang w:val="en-US" w:eastAsia="zh-CN"/>
          <w14:ligatures w14:val="none"/>
        </w:rPr>
        <w:t>20.24</w:t>
      </w:r>
      <w:r>
        <w:rPr>
          <w:rFonts w:ascii="Times New Roman" w:hAnsi="Times New Roman" w:eastAsia="宋体" w:cs="Times New Roman"/>
          <w:szCs w:val="28"/>
          <w14:ligatures w14:val="none"/>
        </w:rPr>
        <w:t>m</w:t>
      </w:r>
      <w:r>
        <w:rPr>
          <w:rFonts w:ascii="Times New Roman" w:hAnsi="Times New Roman" w:eastAsia="宋体"/>
        </w:rPr>
        <w:br w:type="page"/>
      </w:r>
    </w:p>
    <w:p w14:paraId="3A2AA8D9">
      <w:pPr>
        <w:spacing w:before="468" w:beforeLines="150" w:after="468" w:afterLines="150"/>
        <w:ind w:firstLine="0" w:firstLineChars="0"/>
        <w:jc w:val="center"/>
        <w:outlineLvl w:val="0"/>
        <w:rPr>
          <w:rFonts w:ascii="Times New Roman" w:hAnsi="Times New Roman" w:eastAsia="黑体" w:cs="Times New Roman"/>
          <w:b/>
          <w:bCs/>
          <w:sz w:val="32"/>
          <w:szCs w:val="32"/>
        </w:rPr>
      </w:pPr>
      <w:bookmarkStart w:id="134" w:name="_Toc8041"/>
      <w:bookmarkStart w:id="135" w:name="_Toc218437778"/>
      <w:r>
        <w:rPr>
          <w:rFonts w:ascii="Times New Roman" w:hAnsi="Times New Roman" w:eastAsia="黑体" w:cs="Times New Roman"/>
          <w:b/>
          <w:bCs/>
          <w:sz w:val="32"/>
          <w:szCs w:val="32"/>
        </w:rPr>
        <w:t>附件5安全评价依据</w:t>
      </w:r>
      <w:bookmarkEnd w:id="134"/>
      <w:bookmarkEnd w:id="135"/>
    </w:p>
    <w:p w14:paraId="119C6F4A">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36" w:name="_Toc3401"/>
      <w:bookmarkStart w:id="137" w:name="_Toc18056"/>
      <w:bookmarkStart w:id="138" w:name="_Toc17267"/>
      <w:bookmarkStart w:id="139" w:name="_Toc218437779"/>
      <w:bookmarkStart w:id="140" w:name="_Toc17077"/>
      <w:bookmarkStart w:id="141" w:name="_Toc19166"/>
      <w:r>
        <w:rPr>
          <w:rFonts w:ascii="Times New Roman" w:hAnsi="Times New Roman" w:eastAsia="楷体" w:cs="Times New Roman"/>
          <w:b/>
          <w:bCs/>
          <w:sz w:val="32"/>
          <w:szCs w:val="32"/>
        </w:rPr>
        <w:t>F5.1法律</w:t>
      </w:r>
      <w:bookmarkEnd w:id="136"/>
      <w:bookmarkEnd w:id="137"/>
      <w:bookmarkEnd w:id="138"/>
      <w:bookmarkEnd w:id="139"/>
      <w:bookmarkEnd w:id="140"/>
      <w:bookmarkEnd w:id="141"/>
    </w:p>
    <w:p w14:paraId="52721329">
      <w:pPr>
        <w:numPr>
          <w:ilvl w:val="0"/>
          <w:numId w:val="4"/>
        </w:numPr>
        <w:ind w:left="0" w:firstLine="560"/>
        <w:rPr>
          <w:rFonts w:ascii="Times New Roman" w:hAnsi="Times New Roman" w:eastAsia="宋体"/>
        </w:rPr>
      </w:pPr>
      <w:bookmarkStart w:id="142" w:name="_Toc3607"/>
      <w:bookmarkStart w:id="143" w:name="_Toc30587"/>
      <w:bookmarkStart w:id="144" w:name="_Toc3078"/>
      <w:bookmarkStart w:id="145" w:name="_Toc22167"/>
      <w:bookmarkStart w:id="146" w:name="_Toc8671"/>
      <w:r>
        <w:rPr>
          <w:rFonts w:hint="eastAsia" w:ascii="Times New Roman" w:hAnsi="Times New Roman" w:eastAsia="宋体"/>
        </w:rPr>
        <w:t>《中华人民共和国安全生产法》（中华人民共和国主席令[2021]第八十八号，2021年09月01日实施）</w:t>
      </w:r>
    </w:p>
    <w:p w14:paraId="7D55FC95">
      <w:pPr>
        <w:numPr>
          <w:ilvl w:val="0"/>
          <w:numId w:val="4"/>
        </w:numPr>
        <w:ind w:left="0" w:firstLine="560"/>
        <w:rPr>
          <w:rFonts w:ascii="Times New Roman" w:hAnsi="Times New Roman" w:eastAsia="宋体"/>
        </w:rPr>
      </w:pPr>
      <w:r>
        <w:rPr>
          <w:rFonts w:hint="eastAsia" w:ascii="Times New Roman" w:hAnsi="Times New Roman" w:eastAsia="宋体"/>
        </w:rPr>
        <w:t>《中华人民共和国消防法》（中华人民共和国主席令[2021]第八十一号，2021年04月29日实施）</w:t>
      </w:r>
    </w:p>
    <w:p w14:paraId="66C7E786">
      <w:pPr>
        <w:numPr>
          <w:ilvl w:val="0"/>
          <w:numId w:val="4"/>
        </w:numPr>
        <w:ind w:left="0" w:firstLine="560"/>
        <w:rPr>
          <w:rFonts w:ascii="Times New Roman" w:hAnsi="Times New Roman" w:eastAsia="宋体"/>
        </w:rPr>
      </w:pPr>
      <w:r>
        <w:rPr>
          <w:rFonts w:hint="eastAsia" w:ascii="Times New Roman" w:hAnsi="Times New Roman" w:eastAsia="宋体"/>
        </w:rPr>
        <w:t>《中华人民共和国职业病防治法》（中华人民共和国主席令[2018]第二十四号，2018年12月29日实施）</w:t>
      </w:r>
    </w:p>
    <w:p w14:paraId="1E09E236">
      <w:pPr>
        <w:numPr>
          <w:ilvl w:val="0"/>
          <w:numId w:val="4"/>
        </w:numPr>
        <w:ind w:left="0" w:firstLine="560"/>
        <w:rPr>
          <w:rFonts w:ascii="Times New Roman" w:hAnsi="Times New Roman" w:eastAsia="宋体"/>
        </w:rPr>
      </w:pPr>
      <w:r>
        <w:rPr>
          <w:rFonts w:hint="eastAsia" w:ascii="Times New Roman" w:hAnsi="Times New Roman" w:eastAsia="宋体"/>
        </w:rPr>
        <w:t>《中华人民共和国气象法》（中华人民共和国主席令[2016]第五十七号，2016年11月07日实施）</w:t>
      </w:r>
    </w:p>
    <w:p w14:paraId="7C3805FC">
      <w:pPr>
        <w:numPr>
          <w:ilvl w:val="0"/>
          <w:numId w:val="4"/>
        </w:numPr>
        <w:ind w:left="0" w:firstLine="560"/>
        <w:rPr>
          <w:rFonts w:ascii="Times New Roman" w:hAnsi="Times New Roman" w:eastAsia="宋体"/>
        </w:rPr>
      </w:pPr>
      <w:r>
        <w:rPr>
          <w:rFonts w:hint="eastAsia" w:ascii="Times New Roman" w:hAnsi="Times New Roman" w:eastAsia="宋体"/>
        </w:rPr>
        <w:t>《中华人民共和国突发事件应对法》（中华人民共和国主席令[2024]第二十五号，2024年11月01日实施）</w:t>
      </w:r>
    </w:p>
    <w:p w14:paraId="0C4A829F">
      <w:pPr>
        <w:numPr>
          <w:ilvl w:val="0"/>
          <w:numId w:val="4"/>
        </w:numPr>
        <w:ind w:left="0" w:firstLine="560"/>
        <w:rPr>
          <w:rFonts w:ascii="Times New Roman" w:hAnsi="Times New Roman" w:eastAsia="宋体"/>
        </w:rPr>
      </w:pPr>
      <w:r>
        <w:rPr>
          <w:rFonts w:hint="eastAsia" w:ascii="Times New Roman" w:hAnsi="Times New Roman" w:eastAsia="宋体"/>
        </w:rPr>
        <w:t>《中华人民共和国环境保护法》（中华人民共和国主席令[2014]第九号，2015年01月01日实施）</w:t>
      </w:r>
    </w:p>
    <w:p w14:paraId="2181BACC">
      <w:pPr>
        <w:numPr>
          <w:ilvl w:val="0"/>
          <w:numId w:val="4"/>
        </w:numPr>
        <w:ind w:left="0" w:firstLine="560"/>
        <w:rPr>
          <w:rFonts w:ascii="Times New Roman" w:hAnsi="Times New Roman" w:eastAsia="宋体"/>
        </w:rPr>
      </w:pPr>
      <w:r>
        <w:rPr>
          <w:rFonts w:hint="eastAsia" w:ascii="Times New Roman" w:hAnsi="Times New Roman" w:eastAsia="宋体"/>
        </w:rPr>
        <w:t>《中华人民共和国水污染防治法》（中华人民共和国主席令[2017]第七十号，2018年01月01日实施）</w:t>
      </w:r>
    </w:p>
    <w:p w14:paraId="08E7DDF5">
      <w:pPr>
        <w:numPr>
          <w:ilvl w:val="0"/>
          <w:numId w:val="4"/>
        </w:numPr>
        <w:ind w:left="0" w:firstLine="560"/>
        <w:rPr>
          <w:rFonts w:ascii="Times New Roman" w:hAnsi="Times New Roman" w:eastAsia="宋体"/>
        </w:rPr>
      </w:pPr>
      <w:r>
        <w:rPr>
          <w:rFonts w:hint="eastAsia" w:ascii="Times New Roman" w:hAnsi="Times New Roman" w:eastAsia="宋体"/>
        </w:rPr>
        <w:t>《中华人民共和国大气污染防治法》（中华人民共和国主席令[2018]第十六号，2018年10月26日实施）</w:t>
      </w:r>
    </w:p>
    <w:p w14:paraId="423ABC2C">
      <w:pPr>
        <w:numPr>
          <w:ilvl w:val="0"/>
          <w:numId w:val="4"/>
        </w:numPr>
        <w:ind w:left="0" w:firstLine="560"/>
        <w:rPr>
          <w:rFonts w:ascii="Times New Roman" w:hAnsi="Times New Roman" w:eastAsia="宋体"/>
        </w:rPr>
      </w:pPr>
      <w:r>
        <w:rPr>
          <w:rFonts w:hint="eastAsia" w:ascii="Times New Roman" w:hAnsi="Times New Roman" w:eastAsia="宋体"/>
        </w:rPr>
        <w:t>《中华人民共和国土壤污染防治法》（中华人民共和国主席令[2018]第八号，2019年01月01日实施）</w:t>
      </w:r>
    </w:p>
    <w:p w14:paraId="20DC0B45">
      <w:pPr>
        <w:numPr>
          <w:ilvl w:val="0"/>
          <w:numId w:val="4"/>
        </w:numPr>
        <w:ind w:left="0" w:firstLine="560"/>
        <w:rPr>
          <w:rFonts w:ascii="Times New Roman" w:hAnsi="Times New Roman" w:eastAsia="宋体"/>
        </w:rPr>
      </w:pPr>
      <w:r>
        <w:rPr>
          <w:rFonts w:hint="eastAsia" w:ascii="Times New Roman" w:hAnsi="Times New Roman" w:eastAsia="宋体"/>
        </w:rPr>
        <w:t>《中华人民共和国危险化学品安全法》（中华人民共和国主席令[2025]第六十四号，2026年05月01日实施）</w:t>
      </w:r>
    </w:p>
    <w:p w14:paraId="6F8FBCD8">
      <w:pPr>
        <w:keepNext/>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47" w:name="_Toc218437780"/>
      <w:r>
        <w:rPr>
          <w:rFonts w:ascii="Times New Roman" w:hAnsi="Times New Roman" w:eastAsia="楷体" w:cs="Times New Roman"/>
          <w:b/>
          <w:bCs/>
          <w:sz w:val="32"/>
          <w:szCs w:val="32"/>
        </w:rPr>
        <w:t>F5.2法规</w:t>
      </w:r>
      <w:bookmarkEnd w:id="142"/>
      <w:bookmarkEnd w:id="143"/>
      <w:bookmarkEnd w:id="144"/>
      <w:bookmarkEnd w:id="145"/>
      <w:bookmarkEnd w:id="146"/>
      <w:bookmarkEnd w:id="147"/>
    </w:p>
    <w:p w14:paraId="53321BB0">
      <w:pPr>
        <w:numPr>
          <w:ilvl w:val="0"/>
          <w:numId w:val="5"/>
        </w:numPr>
        <w:ind w:left="0" w:firstLine="560"/>
        <w:rPr>
          <w:rFonts w:ascii="Times New Roman" w:hAnsi="Times New Roman" w:eastAsia="宋体"/>
        </w:rPr>
      </w:pPr>
      <w:bookmarkStart w:id="148" w:name="_Toc3659"/>
      <w:bookmarkStart w:id="149" w:name="_Toc27088"/>
      <w:bookmarkStart w:id="150" w:name="_Toc2718"/>
      <w:bookmarkStart w:id="151" w:name="_Toc14760"/>
      <w:bookmarkStart w:id="152" w:name="_Toc15510"/>
      <w:r>
        <w:rPr>
          <w:rFonts w:hint="eastAsia" w:ascii="Times New Roman" w:hAnsi="Times New Roman" w:eastAsia="宋体"/>
        </w:rPr>
        <w:t>《生产安全事故应急条例》（中华人民共和国国务院令[2019]第708号，2019年4月1日实施）</w:t>
      </w:r>
    </w:p>
    <w:p w14:paraId="445D23C0">
      <w:pPr>
        <w:numPr>
          <w:ilvl w:val="0"/>
          <w:numId w:val="5"/>
        </w:numPr>
        <w:ind w:left="0" w:firstLine="560"/>
        <w:rPr>
          <w:rFonts w:ascii="Times New Roman" w:hAnsi="Times New Roman" w:eastAsia="宋体"/>
        </w:rPr>
      </w:pPr>
      <w:r>
        <w:rPr>
          <w:rFonts w:hint="eastAsia" w:ascii="Times New Roman" w:hAnsi="Times New Roman" w:eastAsia="宋体"/>
        </w:rPr>
        <w:t>《危险化学品安全管理条例》（</w:t>
      </w:r>
      <w:bookmarkStart w:id="153" w:name="_Hlk182925908"/>
      <w:r>
        <w:rPr>
          <w:rFonts w:hint="eastAsia" w:ascii="Times New Roman" w:hAnsi="Times New Roman" w:eastAsia="宋体"/>
        </w:rPr>
        <w:t>中华人民共和国国务院令第344号，</w:t>
      </w:r>
      <w:bookmarkEnd w:id="153"/>
      <w:r>
        <w:rPr>
          <w:rFonts w:hint="eastAsia" w:ascii="Times New Roman" w:hAnsi="Times New Roman" w:eastAsia="宋体"/>
        </w:rPr>
        <w:t>中华人民共和国国务院令[2013]第645号修订，2013年12月7日实施）</w:t>
      </w:r>
    </w:p>
    <w:p w14:paraId="44315D68">
      <w:pPr>
        <w:numPr>
          <w:ilvl w:val="0"/>
          <w:numId w:val="5"/>
        </w:numPr>
        <w:ind w:left="0" w:firstLine="560"/>
        <w:rPr>
          <w:rFonts w:ascii="Times New Roman" w:hAnsi="Times New Roman" w:eastAsia="宋体"/>
        </w:rPr>
      </w:pPr>
      <w:r>
        <w:rPr>
          <w:rFonts w:hint="eastAsia" w:ascii="Times New Roman" w:hAnsi="Times New Roman" w:eastAsia="宋体"/>
        </w:rPr>
        <w:t>《工伤保险条例》（</w:t>
      </w:r>
      <w:bookmarkStart w:id="154" w:name="_Hlk182925919"/>
      <w:r>
        <w:rPr>
          <w:rFonts w:hint="eastAsia" w:ascii="Times New Roman" w:hAnsi="Times New Roman" w:eastAsia="宋体"/>
        </w:rPr>
        <w:t>中华人民共和国国务院令第375号公布，</w:t>
      </w:r>
      <w:bookmarkEnd w:id="154"/>
      <w:r>
        <w:rPr>
          <w:rFonts w:hint="eastAsia" w:ascii="Times New Roman" w:hAnsi="Times New Roman" w:eastAsia="宋体"/>
        </w:rPr>
        <w:t>中华人民共和国国务院令[2010]第586号修订，2011年1月1日实施）</w:t>
      </w:r>
    </w:p>
    <w:p w14:paraId="34D944C2">
      <w:pPr>
        <w:numPr>
          <w:ilvl w:val="0"/>
          <w:numId w:val="5"/>
        </w:numPr>
        <w:ind w:left="0" w:firstLine="560"/>
        <w:rPr>
          <w:rFonts w:ascii="Times New Roman" w:hAnsi="Times New Roman" w:eastAsia="宋体"/>
        </w:rPr>
      </w:pPr>
      <w:r>
        <w:rPr>
          <w:rFonts w:hint="eastAsia" w:ascii="Times New Roman" w:hAnsi="Times New Roman" w:eastAsia="宋体"/>
        </w:rPr>
        <w:t>《建设工程安全生产管理条例》（中华人民共和国国务院令[2003]第393号，2004年2月1日实施）</w:t>
      </w:r>
    </w:p>
    <w:p w14:paraId="0E2FA87C">
      <w:pPr>
        <w:numPr>
          <w:ilvl w:val="0"/>
          <w:numId w:val="5"/>
        </w:numPr>
        <w:ind w:left="0" w:firstLine="560"/>
        <w:rPr>
          <w:rFonts w:ascii="Times New Roman" w:hAnsi="Times New Roman" w:eastAsia="宋体"/>
        </w:rPr>
      </w:pPr>
      <w:r>
        <w:rPr>
          <w:rFonts w:hint="eastAsia" w:ascii="Times New Roman" w:hAnsi="Times New Roman" w:eastAsia="宋体"/>
        </w:rPr>
        <w:t>《气象灾害防御条例》（中华人民共和国国务院令[2010]第570号，中华人民共和国国务院令[2017]第687号修订，2017年10月7日实施）</w:t>
      </w:r>
    </w:p>
    <w:p w14:paraId="5ECCA67C">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55" w:name="_Toc218437781"/>
      <w:r>
        <w:rPr>
          <w:rFonts w:ascii="Times New Roman" w:hAnsi="Times New Roman" w:eastAsia="楷体" w:cs="Times New Roman"/>
          <w:b/>
          <w:bCs/>
          <w:sz w:val="32"/>
          <w:szCs w:val="32"/>
        </w:rPr>
        <w:t>F5.3规章和</w:t>
      </w:r>
      <w:r>
        <w:rPr>
          <w:rFonts w:hint="eastAsia" w:ascii="Times New Roman" w:hAnsi="Times New Roman" w:eastAsia="楷体" w:cs="Times New Roman"/>
          <w:b/>
          <w:bCs/>
          <w:sz w:val="32"/>
          <w:szCs w:val="32"/>
        </w:rPr>
        <w:t>规范性</w:t>
      </w:r>
      <w:r>
        <w:rPr>
          <w:rFonts w:ascii="Times New Roman" w:hAnsi="Times New Roman" w:eastAsia="楷体" w:cs="Times New Roman"/>
          <w:b/>
          <w:bCs/>
          <w:sz w:val="32"/>
          <w:szCs w:val="32"/>
        </w:rPr>
        <w:t>文件</w:t>
      </w:r>
      <w:bookmarkEnd w:id="148"/>
      <w:bookmarkEnd w:id="149"/>
      <w:bookmarkEnd w:id="150"/>
      <w:bookmarkEnd w:id="151"/>
      <w:bookmarkEnd w:id="152"/>
      <w:bookmarkEnd w:id="155"/>
    </w:p>
    <w:p w14:paraId="711E96EB">
      <w:pPr>
        <w:numPr>
          <w:ilvl w:val="0"/>
          <w:numId w:val="6"/>
        </w:numPr>
        <w:ind w:left="0" w:firstLine="560"/>
        <w:rPr>
          <w:rFonts w:ascii="Times New Roman" w:hAnsi="Times New Roman" w:eastAsia="宋体"/>
        </w:rPr>
      </w:pPr>
      <w:bookmarkStart w:id="156" w:name="_Toc5224"/>
      <w:bookmarkStart w:id="157" w:name="_Toc27229"/>
      <w:bookmarkStart w:id="158" w:name="_Toc11035"/>
      <w:bookmarkStart w:id="159" w:name="_Toc17502"/>
      <w:bookmarkStart w:id="160" w:name="_Toc24134"/>
      <w:r>
        <w:rPr>
          <w:rFonts w:hint="eastAsia" w:ascii="Times New Roman" w:hAnsi="Times New Roman" w:eastAsia="宋体"/>
        </w:rPr>
        <w:t>《危险化学品建设项目安全监督管理办法》（原国家安全生产督监管理总局令[2012]第45号，原国家安全监督管理局令[2015]第79号修订，2015年07月01日实施）</w:t>
      </w:r>
    </w:p>
    <w:p w14:paraId="3D90AE15">
      <w:pPr>
        <w:numPr>
          <w:ilvl w:val="0"/>
          <w:numId w:val="6"/>
        </w:numPr>
        <w:ind w:left="0" w:firstLine="560"/>
        <w:rPr>
          <w:rFonts w:ascii="Times New Roman" w:hAnsi="Times New Roman" w:eastAsia="宋体"/>
        </w:rPr>
      </w:pPr>
      <w:r>
        <w:rPr>
          <w:rFonts w:hint="eastAsia" w:ascii="Times New Roman" w:hAnsi="Times New Roman" w:eastAsia="宋体"/>
        </w:rPr>
        <w:t>《国家安全监管总局关于印发&lt;危险化学品建设项目安全评价细则（试行）&gt;的通知》（安监总危化[2007]255号，2008年1月1日实施）</w:t>
      </w:r>
    </w:p>
    <w:p w14:paraId="72732714">
      <w:pPr>
        <w:numPr>
          <w:ilvl w:val="0"/>
          <w:numId w:val="6"/>
        </w:numPr>
        <w:ind w:left="0" w:firstLine="560"/>
        <w:rPr>
          <w:rFonts w:ascii="Times New Roman" w:hAnsi="Times New Roman" w:eastAsia="宋体"/>
        </w:rPr>
      </w:pPr>
      <w:r>
        <w:rPr>
          <w:rFonts w:hint="eastAsia" w:ascii="Times New Roman" w:hAnsi="Times New Roman" w:eastAsia="宋体"/>
        </w:rPr>
        <w:t>《危险化学品生产建设项目安全风险防控指南（试行）》（应急[2022]52号，2022年6月10日实施）</w:t>
      </w:r>
    </w:p>
    <w:p w14:paraId="46AF2719">
      <w:pPr>
        <w:numPr>
          <w:ilvl w:val="0"/>
          <w:numId w:val="6"/>
        </w:numPr>
        <w:ind w:left="0" w:firstLine="560"/>
        <w:rPr>
          <w:rFonts w:ascii="Times New Roman" w:hAnsi="Times New Roman" w:eastAsia="宋体"/>
        </w:rPr>
      </w:pPr>
      <w:r>
        <w:rPr>
          <w:rFonts w:hint="eastAsia" w:ascii="Times New Roman" w:hAnsi="Times New Roman" w:eastAsia="宋体"/>
        </w:rPr>
        <w:t>《危险化学品经营许可证管理办法》（原国家安全监管总局令[2012]第55号，原国家安全监管总局令[2015]第79号修正，应急部公告[2018]12号修正，应急部公告[2019]11号修正，2019年4月13日实施）</w:t>
      </w:r>
    </w:p>
    <w:p w14:paraId="487BB53C">
      <w:pPr>
        <w:numPr>
          <w:ilvl w:val="0"/>
          <w:numId w:val="6"/>
        </w:numPr>
        <w:ind w:left="0" w:firstLine="560"/>
        <w:rPr>
          <w:rFonts w:ascii="Times New Roman" w:hAnsi="Times New Roman" w:eastAsia="宋体"/>
        </w:rPr>
      </w:pPr>
      <w:r>
        <w:rPr>
          <w:rFonts w:hint="eastAsia" w:ascii="Times New Roman" w:hAnsi="Times New Roman" w:eastAsia="宋体"/>
        </w:rPr>
        <w:t>《生产安全事故应急预案管理办法》（</w:t>
      </w:r>
      <w:bookmarkStart w:id="161" w:name="_Hlk182925934"/>
      <w:r>
        <w:rPr>
          <w:rFonts w:hint="eastAsia" w:ascii="Times New Roman" w:hAnsi="Times New Roman" w:eastAsia="宋体"/>
        </w:rPr>
        <w:t>国家安全生产监督管理总局令第88号公布，</w:t>
      </w:r>
      <w:bookmarkEnd w:id="161"/>
      <w:r>
        <w:rPr>
          <w:rFonts w:hint="eastAsia" w:ascii="Times New Roman" w:hAnsi="Times New Roman" w:eastAsia="宋体"/>
        </w:rPr>
        <w:t>应急管理部令[2019]第2号修订，2019年9月1日实施）</w:t>
      </w:r>
    </w:p>
    <w:p w14:paraId="4CE49FC1">
      <w:pPr>
        <w:numPr>
          <w:ilvl w:val="0"/>
          <w:numId w:val="6"/>
        </w:numPr>
        <w:ind w:left="0" w:firstLine="560"/>
        <w:rPr>
          <w:rFonts w:ascii="Times New Roman" w:hAnsi="Times New Roman" w:eastAsia="宋体"/>
        </w:rPr>
      </w:pPr>
      <w:r>
        <w:rPr>
          <w:rFonts w:hint="eastAsia" w:ascii="Times New Roman" w:hAnsi="Times New Roman" w:eastAsia="宋体"/>
        </w:rPr>
        <w:t>《生产经营单位安全培训规定》（原国家安全生产监督管理总局令[2006]第3号，原国家安全生产监督管理总局令[2015]第80号修订，2015年7月1日实施）</w:t>
      </w:r>
    </w:p>
    <w:p w14:paraId="79D18A99">
      <w:pPr>
        <w:numPr>
          <w:ilvl w:val="0"/>
          <w:numId w:val="6"/>
        </w:numPr>
        <w:ind w:left="0" w:firstLine="560"/>
        <w:rPr>
          <w:rFonts w:ascii="Times New Roman" w:hAnsi="Times New Roman" w:eastAsia="宋体"/>
        </w:rPr>
      </w:pPr>
      <w:r>
        <w:rPr>
          <w:rFonts w:hint="eastAsia" w:ascii="Times New Roman" w:hAnsi="Times New Roman" w:eastAsia="宋体"/>
        </w:rPr>
        <w:t>《安全生产培训管理办法》（原国家安全生产监督管理局令[2011]第44号，原国家安全监督管理局令[2015]第80号修订，2015年7月1日实施）</w:t>
      </w:r>
    </w:p>
    <w:p w14:paraId="76BF0777">
      <w:pPr>
        <w:numPr>
          <w:ilvl w:val="0"/>
          <w:numId w:val="6"/>
        </w:numPr>
        <w:ind w:left="0" w:firstLine="560"/>
        <w:rPr>
          <w:rFonts w:ascii="Times New Roman" w:hAnsi="Times New Roman" w:eastAsia="宋体"/>
        </w:rPr>
      </w:pPr>
      <w:r>
        <w:rPr>
          <w:rFonts w:hint="eastAsia" w:ascii="Times New Roman" w:hAnsi="Times New Roman" w:eastAsia="宋体"/>
        </w:rPr>
        <w:t>《危险化学品重大危险源监督管理暂行规定》（原国家安全监管总局令[2011]第40号，原国家安全监管总局令[2015]第79号修正，2015年7月1日实施）</w:t>
      </w:r>
    </w:p>
    <w:p w14:paraId="198E520D">
      <w:pPr>
        <w:numPr>
          <w:ilvl w:val="0"/>
          <w:numId w:val="6"/>
        </w:numPr>
        <w:ind w:left="0" w:firstLine="560"/>
        <w:rPr>
          <w:rFonts w:ascii="Times New Roman" w:hAnsi="Times New Roman" w:eastAsia="宋体"/>
        </w:rPr>
      </w:pPr>
      <w:r>
        <w:rPr>
          <w:rFonts w:hint="eastAsia" w:ascii="Times New Roman" w:hAnsi="Times New Roman" w:eastAsia="宋体"/>
        </w:rPr>
        <w:t>《危险化学品目录（2015版）》（国家安全生产监督管理总局等十部门公告[2015]第5号，2015年5月1日实施）</w:t>
      </w:r>
    </w:p>
    <w:p w14:paraId="03EE6CE8">
      <w:pPr>
        <w:numPr>
          <w:ilvl w:val="0"/>
          <w:numId w:val="6"/>
        </w:numPr>
        <w:ind w:left="0" w:firstLine="560"/>
        <w:rPr>
          <w:rFonts w:ascii="Times New Roman" w:hAnsi="Times New Roman" w:eastAsia="宋体"/>
        </w:rPr>
      </w:pPr>
      <w:r>
        <w:rPr>
          <w:rFonts w:hint="eastAsia" w:ascii="Times New Roman" w:hAnsi="Times New Roman" w:eastAsia="宋体"/>
        </w:rPr>
        <w:t>《国家安全监管总局办公厅关于印发危险化学品目录（2015版）实施指南（试行）的通知》（安监总厅管三[2015]80号，2015年8月19日实施）</w:t>
      </w:r>
    </w:p>
    <w:p w14:paraId="6CD4ABE3">
      <w:pPr>
        <w:numPr>
          <w:ilvl w:val="0"/>
          <w:numId w:val="6"/>
        </w:numPr>
        <w:ind w:left="0" w:firstLine="560"/>
        <w:rPr>
          <w:rFonts w:ascii="Times New Roman" w:hAnsi="Times New Roman" w:eastAsia="宋体"/>
        </w:rPr>
      </w:pPr>
      <w:r>
        <w:rPr>
          <w:rFonts w:hint="eastAsia" w:ascii="Times New Roman" w:hAnsi="Times New Roman" w:eastAsia="宋体"/>
        </w:rPr>
        <w:t>《关于调整危险化学品目录（2015版）的公告》（中华人民共和国应急管理部等十部门公告2022年第8号，2023年1月1日实施）</w:t>
      </w:r>
    </w:p>
    <w:p w14:paraId="35D318BB">
      <w:pPr>
        <w:numPr>
          <w:ilvl w:val="0"/>
          <w:numId w:val="6"/>
        </w:numPr>
        <w:ind w:left="0" w:firstLine="560"/>
        <w:rPr>
          <w:rFonts w:ascii="Times New Roman" w:hAnsi="Times New Roman" w:eastAsia="宋体"/>
        </w:rPr>
      </w:pPr>
      <w:r>
        <w:rPr>
          <w:rFonts w:hint="eastAsia" w:ascii="Times New Roman" w:hAnsi="Times New Roman" w:eastAsia="宋体"/>
        </w:rPr>
        <w:t>《应急管理部办公厅关于修改&lt;危险化学品目录（2015版）实施指南（试行）涉及柴油部分内容的通知》（应急厅函[2022]300号，2023年1月1日实施）</w:t>
      </w:r>
    </w:p>
    <w:p w14:paraId="53DD327D">
      <w:pPr>
        <w:numPr>
          <w:ilvl w:val="0"/>
          <w:numId w:val="6"/>
        </w:numPr>
        <w:ind w:left="0" w:firstLine="560"/>
        <w:rPr>
          <w:rFonts w:ascii="Times New Roman" w:hAnsi="Times New Roman" w:eastAsia="宋体"/>
        </w:rPr>
      </w:pPr>
      <w:r>
        <w:rPr>
          <w:rFonts w:hint="eastAsia" w:ascii="Times New Roman" w:hAnsi="Times New Roman" w:eastAsia="宋体"/>
        </w:rPr>
        <w:t>《关于公布将3-氯丙炔等5种化学品纳入&lt;危险化学品目录（2015版）&gt;的公告》（应急管理部等十部门公告2026年第3号，2026年04月09日实施）</w:t>
      </w:r>
    </w:p>
    <w:p w14:paraId="7E687BBF">
      <w:pPr>
        <w:numPr>
          <w:ilvl w:val="0"/>
          <w:numId w:val="6"/>
        </w:numPr>
        <w:ind w:left="0" w:firstLine="560"/>
        <w:rPr>
          <w:rFonts w:ascii="Times New Roman" w:hAnsi="Times New Roman" w:eastAsia="宋体"/>
        </w:rPr>
      </w:pPr>
      <w:r>
        <w:rPr>
          <w:rFonts w:hint="eastAsia" w:ascii="Times New Roman" w:hAnsi="Times New Roman" w:eastAsia="宋体"/>
        </w:rPr>
        <w:t>《应急管理部办公厅关于认真做好柴油安全许可有关工作的通知》（应急厅函〔2022〕317号，2022年12月26日实施）</w:t>
      </w:r>
    </w:p>
    <w:p w14:paraId="096048F9">
      <w:pPr>
        <w:numPr>
          <w:ilvl w:val="0"/>
          <w:numId w:val="6"/>
        </w:numPr>
        <w:ind w:left="0" w:firstLine="560"/>
        <w:rPr>
          <w:rFonts w:ascii="Times New Roman" w:hAnsi="Times New Roman" w:eastAsia="宋体"/>
        </w:rPr>
      </w:pPr>
      <w:r>
        <w:rPr>
          <w:rFonts w:hint="eastAsia" w:ascii="Times New Roman" w:hAnsi="Times New Roman" w:eastAsia="宋体"/>
        </w:rPr>
        <w:t>《特别管控危险化学品目录（第一版）》（应急管理部工业和信息化部公安部交通运输部公告[2020]第</w:t>
      </w:r>
      <w:r>
        <w:rPr>
          <w:rFonts w:hint="eastAsia" w:ascii="Times New Roman" w:hAnsi="Times New Roman" w:eastAsia="宋体"/>
          <w:lang w:val="en-US" w:eastAsia="zh-CN"/>
        </w:rPr>
        <w:t>3</w:t>
      </w:r>
      <w:r>
        <w:rPr>
          <w:rFonts w:hint="eastAsia" w:ascii="Times New Roman" w:hAnsi="Times New Roman" w:eastAsia="宋体"/>
        </w:rPr>
        <w:t>号，2020年5月30日实施）</w:t>
      </w:r>
    </w:p>
    <w:p w14:paraId="4DDC323A">
      <w:pPr>
        <w:numPr>
          <w:ilvl w:val="0"/>
          <w:numId w:val="6"/>
        </w:numPr>
        <w:ind w:left="0" w:firstLine="560"/>
        <w:rPr>
          <w:rFonts w:ascii="Times New Roman" w:hAnsi="Times New Roman" w:eastAsia="宋体"/>
        </w:rPr>
      </w:pPr>
      <w:r>
        <w:rPr>
          <w:rFonts w:hint="eastAsia" w:ascii="Times New Roman" w:hAnsi="Times New Roman" w:eastAsia="宋体"/>
        </w:rPr>
        <w:t>《国家安全监管总局关于公布首批重点监管的危险化学品名录的通知》（安监总管三[2011]95号，2011年6月21日实施）</w:t>
      </w:r>
    </w:p>
    <w:p w14:paraId="137FB6A3">
      <w:pPr>
        <w:numPr>
          <w:ilvl w:val="0"/>
          <w:numId w:val="6"/>
        </w:numPr>
        <w:ind w:left="0" w:firstLine="560"/>
        <w:rPr>
          <w:rFonts w:ascii="Times New Roman" w:hAnsi="Times New Roman" w:eastAsia="宋体"/>
        </w:rPr>
      </w:pPr>
      <w:r>
        <w:rPr>
          <w:rFonts w:hint="eastAsia" w:ascii="Times New Roman" w:hAnsi="Times New Roman" w:eastAsia="宋体"/>
        </w:rPr>
        <w:t>《首批重点监管的危险化学品安全措施和应急处置原则》（安监总厅管三[2011]142号，2011年7月1日实施）</w:t>
      </w:r>
    </w:p>
    <w:p w14:paraId="258E3D58">
      <w:pPr>
        <w:numPr>
          <w:ilvl w:val="0"/>
          <w:numId w:val="6"/>
        </w:numPr>
        <w:ind w:left="0" w:firstLine="560"/>
        <w:rPr>
          <w:rFonts w:ascii="Times New Roman" w:hAnsi="Times New Roman" w:eastAsia="宋体"/>
        </w:rPr>
      </w:pPr>
      <w:r>
        <w:rPr>
          <w:rFonts w:hint="eastAsia" w:ascii="Times New Roman" w:hAnsi="Times New Roman" w:eastAsia="宋体"/>
        </w:rPr>
        <w:t>《国家安全监管总局关于公布第二批重点监管危险化学品名录的通知》（安监总管三[2013]12号，2013年2月5日实施）</w:t>
      </w:r>
    </w:p>
    <w:p w14:paraId="5CD4204D">
      <w:pPr>
        <w:numPr>
          <w:ilvl w:val="0"/>
          <w:numId w:val="6"/>
        </w:numPr>
        <w:ind w:left="0" w:firstLine="560"/>
        <w:rPr>
          <w:rFonts w:ascii="Times New Roman" w:hAnsi="Times New Roman" w:eastAsia="宋体"/>
        </w:rPr>
      </w:pPr>
      <w:r>
        <w:rPr>
          <w:rFonts w:hint="eastAsia" w:ascii="Times New Roman" w:hAnsi="Times New Roman" w:eastAsia="宋体"/>
        </w:rPr>
        <w:t>《国家安全监管总局关于公布首批重点监管的危险化工工艺目录的通知》（安监总管三[2009]第116号，2009年6月12日实施）</w:t>
      </w:r>
    </w:p>
    <w:p w14:paraId="50E800D0">
      <w:pPr>
        <w:numPr>
          <w:ilvl w:val="0"/>
          <w:numId w:val="6"/>
        </w:numPr>
        <w:ind w:left="0" w:firstLine="560"/>
        <w:rPr>
          <w:rFonts w:ascii="Times New Roman" w:hAnsi="Times New Roman" w:eastAsia="宋体"/>
        </w:rPr>
      </w:pPr>
      <w:r>
        <w:rPr>
          <w:rFonts w:hint="eastAsia" w:ascii="Times New Roman" w:hAnsi="Times New Roman" w:eastAsia="宋体"/>
        </w:rPr>
        <w:t>《国家安全监管总局关于公布第二批重点监管危险化工工艺目录和调整首批重点监管危险化工工艺中部分典型工艺的通知》（安监总管三[2013]3号，2013年1月15日实施）</w:t>
      </w:r>
    </w:p>
    <w:p w14:paraId="6F741968">
      <w:pPr>
        <w:numPr>
          <w:ilvl w:val="0"/>
          <w:numId w:val="6"/>
        </w:numPr>
        <w:ind w:left="0" w:firstLine="560"/>
        <w:rPr>
          <w:rFonts w:ascii="Times New Roman" w:hAnsi="Times New Roman" w:eastAsia="宋体"/>
        </w:rPr>
      </w:pPr>
      <w:r>
        <w:rPr>
          <w:rFonts w:hint="eastAsia" w:ascii="Times New Roman" w:hAnsi="Times New Roman" w:eastAsia="宋体"/>
        </w:rPr>
        <w:t>《国家安全监管总局办公厅关于进一步加强加油站安全生产工作的通知》（安监总厅管三[2016]8号，2016年2月5日实施）</w:t>
      </w:r>
    </w:p>
    <w:p w14:paraId="53FF8F8F">
      <w:pPr>
        <w:numPr>
          <w:ilvl w:val="0"/>
          <w:numId w:val="6"/>
        </w:numPr>
        <w:ind w:left="0" w:firstLine="560"/>
        <w:rPr>
          <w:rFonts w:ascii="Times New Roman" w:hAnsi="Times New Roman" w:eastAsia="宋体"/>
        </w:rPr>
      </w:pPr>
      <w:r>
        <w:rPr>
          <w:rFonts w:hint="eastAsia" w:ascii="Times New Roman" w:hAnsi="Times New Roman" w:eastAsia="宋体"/>
        </w:rPr>
        <w:t>《国务院安全生产委员会关于印发&lt;全国危险化学品安全风险集中治理方案&gt;的通知》（安委[2021]12号，2021年12月31日实施）</w:t>
      </w:r>
    </w:p>
    <w:p w14:paraId="0E3346A1">
      <w:pPr>
        <w:numPr>
          <w:ilvl w:val="0"/>
          <w:numId w:val="6"/>
        </w:numPr>
        <w:ind w:left="0" w:firstLine="560"/>
        <w:rPr>
          <w:rFonts w:ascii="Times New Roman" w:hAnsi="Times New Roman" w:eastAsia="宋体"/>
        </w:rPr>
      </w:pPr>
      <w:r>
        <w:rPr>
          <w:rFonts w:hint="eastAsia" w:ascii="Times New Roman" w:hAnsi="Times New Roman" w:eastAsia="宋体"/>
        </w:rPr>
        <w:t>《国务院安全生产委员会印发&lt;关于进一步强化安全生产责任落实坚决防范遏制重特大事故的若干措施&gt;》的通知（安委[2022]6号，2022年4月2日实施）</w:t>
      </w:r>
    </w:p>
    <w:p w14:paraId="6029549F">
      <w:pPr>
        <w:numPr>
          <w:ilvl w:val="0"/>
          <w:numId w:val="6"/>
        </w:numPr>
        <w:ind w:left="0" w:firstLine="560"/>
        <w:rPr>
          <w:rFonts w:ascii="Times New Roman" w:hAnsi="Times New Roman" w:eastAsia="宋体"/>
        </w:rPr>
      </w:pPr>
      <w:r>
        <w:rPr>
          <w:rFonts w:hint="eastAsia" w:ascii="Times New Roman" w:hAnsi="Times New Roman" w:eastAsia="宋体"/>
        </w:rPr>
        <w:t>《关于印发&lt;企业安全生产费用提取和使用管理办法&gt;的通知》（财政部 应急部 财资〔2022〕136号，2022年11月21日实施）</w:t>
      </w:r>
    </w:p>
    <w:p w14:paraId="2CA03234">
      <w:pPr>
        <w:numPr>
          <w:ilvl w:val="0"/>
          <w:numId w:val="6"/>
        </w:numPr>
        <w:ind w:left="0" w:firstLine="560"/>
        <w:rPr>
          <w:rFonts w:ascii="Times New Roman" w:hAnsi="Times New Roman" w:eastAsia="宋体"/>
        </w:rPr>
      </w:pPr>
      <w:r>
        <w:rPr>
          <w:rFonts w:hint="eastAsia" w:ascii="Times New Roman" w:hAnsi="Times New Roman" w:eastAsia="宋体"/>
        </w:rPr>
        <w:t>《产业结构调整指导目录（2024年本）》（中华人民共和国国家发展和改革委员会令[2023]第7号，2024年2月1日实施）</w:t>
      </w:r>
    </w:p>
    <w:p w14:paraId="18B2B196">
      <w:pPr>
        <w:numPr>
          <w:ilvl w:val="0"/>
          <w:numId w:val="6"/>
        </w:numPr>
        <w:ind w:left="0" w:firstLine="560"/>
        <w:rPr>
          <w:rFonts w:ascii="Times New Roman" w:hAnsi="Times New Roman" w:eastAsia="宋体"/>
        </w:rPr>
      </w:pPr>
      <w:r>
        <w:rPr>
          <w:rFonts w:hint="eastAsia" w:ascii="Times New Roman" w:hAnsi="Times New Roman" w:eastAsia="宋体"/>
        </w:rPr>
        <w:t>《应急管理部办公厅关于印发&lt;淘</w:t>
      </w:r>
      <w:r>
        <w:rPr>
          <w:rFonts w:hint="eastAsia" w:ascii="Times New Roman" w:hAnsi="Times New Roman" w:eastAsia="宋体"/>
          <w:lang w:val="en-US" w:eastAsia="zh-CN"/>
        </w:rPr>
        <w:t>汰</w:t>
      </w:r>
      <w:r>
        <w:rPr>
          <w:rFonts w:hint="eastAsia" w:ascii="Times New Roman" w:hAnsi="Times New Roman" w:eastAsia="宋体"/>
        </w:rPr>
        <w:t>落后危险化学品安全生产工艺设备目录（第一批）&gt;的通知》（应急[2020]38号，</w:t>
      </w:r>
      <w:r>
        <w:rPr>
          <w:rFonts w:ascii="Times New Roman" w:hAnsi="Times New Roman" w:eastAsia="宋体"/>
        </w:rPr>
        <w:t>2020</w:t>
      </w:r>
      <w:r>
        <w:rPr>
          <w:rFonts w:hint="eastAsia" w:ascii="Times New Roman" w:hAnsi="Times New Roman" w:eastAsia="宋体"/>
        </w:rPr>
        <w:t>年</w:t>
      </w:r>
      <w:r>
        <w:rPr>
          <w:rFonts w:ascii="Times New Roman" w:hAnsi="Times New Roman" w:eastAsia="宋体"/>
        </w:rPr>
        <w:t>10</w:t>
      </w:r>
      <w:r>
        <w:rPr>
          <w:rFonts w:hint="eastAsia" w:ascii="Times New Roman" w:hAnsi="Times New Roman" w:eastAsia="宋体"/>
        </w:rPr>
        <w:t>月</w:t>
      </w:r>
      <w:r>
        <w:rPr>
          <w:rFonts w:ascii="Times New Roman" w:hAnsi="Times New Roman" w:eastAsia="宋体"/>
        </w:rPr>
        <w:t>23</w:t>
      </w:r>
      <w:r>
        <w:rPr>
          <w:rFonts w:hint="eastAsia" w:ascii="Times New Roman" w:hAnsi="Times New Roman" w:eastAsia="宋体"/>
        </w:rPr>
        <w:t>日实施）</w:t>
      </w:r>
    </w:p>
    <w:p w14:paraId="1A537FEA">
      <w:pPr>
        <w:numPr>
          <w:ilvl w:val="0"/>
          <w:numId w:val="6"/>
        </w:numPr>
        <w:ind w:left="0" w:firstLine="560"/>
        <w:rPr>
          <w:rFonts w:ascii="Times New Roman" w:hAnsi="Times New Roman" w:eastAsia="宋体"/>
        </w:rPr>
      </w:pPr>
      <w:r>
        <w:rPr>
          <w:rFonts w:hint="eastAsia" w:ascii="Times New Roman" w:hAnsi="Times New Roman" w:eastAsia="宋体"/>
        </w:rPr>
        <w:t>《应急管理部办公厅关于印发淘汰落后危险化学品安全生产工艺技术设备目录（第二批）的通知》（应急厅[2024]86号，</w:t>
      </w:r>
      <w:r>
        <w:rPr>
          <w:rFonts w:ascii="Times New Roman" w:hAnsi="Times New Roman" w:eastAsia="宋体"/>
        </w:rPr>
        <w:t>2024</w:t>
      </w:r>
      <w:r>
        <w:rPr>
          <w:rFonts w:hint="eastAsia" w:ascii="Times New Roman" w:hAnsi="Times New Roman" w:eastAsia="宋体"/>
        </w:rPr>
        <w:t>年</w:t>
      </w:r>
      <w:r>
        <w:rPr>
          <w:rFonts w:ascii="Times New Roman" w:hAnsi="Times New Roman" w:eastAsia="宋体"/>
        </w:rPr>
        <w:t>03</w:t>
      </w:r>
      <w:r>
        <w:rPr>
          <w:rFonts w:hint="eastAsia" w:ascii="Times New Roman" w:hAnsi="Times New Roman" w:eastAsia="宋体"/>
        </w:rPr>
        <w:t>月</w:t>
      </w:r>
      <w:r>
        <w:rPr>
          <w:rFonts w:ascii="Times New Roman" w:hAnsi="Times New Roman" w:eastAsia="宋体"/>
        </w:rPr>
        <w:t>08</w:t>
      </w:r>
      <w:r>
        <w:rPr>
          <w:rFonts w:hint="eastAsia" w:ascii="Times New Roman" w:hAnsi="Times New Roman" w:eastAsia="宋体"/>
        </w:rPr>
        <w:t>日实施）</w:t>
      </w:r>
    </w:p>
    <w:p w14:paraId="105F053C">
      <w:pPr>
        <w:numPr>
          <w:ilvl w:val="0"/>
          <w:numId w:val="6"/>
        </w:numPr>
        <w:ind w:left="0" w:firstLine="560"/>
        <w:rPr>
          <w:rFonts w:ascii="Times New Roman" w:hAnsi="Times New Roman" w:eastAsia="宋体"/>
        </w:rPr>
      </w:pPr>
      <w:r>
        <w:rPr>
          <w:rFonts w:hint="eastAsia" w:ascii="Times New Roman" w:hAnsi="Times New Roman" w:eastAsia="宋体"/>
        </w:rPr>
        <w:t>《关于进一步加强企业安全生产工作的通知》（国务院国发[2010]23号，2010年7月19日实施）</w:t>
      </w:r>
    </w:p>
    <w:p w14:paraId="28587E61">
      <w:pPr>
        <w:numPr>
          <w:ilvl w:val="0"/>
          <w:numId w:val="6"/>
        </w:numPr>
        <w:ind w:left="0" w:firstLine="560"/>
        <w:rPr>
          <w:rFonts w:ascii="Times New Roman" w:hAnsi="Times New Roman" w:eastAsia="宋体"/>
        </w:rPr>
      </w:pPr>
      <w:r>
        <w:rPr>
          <w:rFonts w:hint="eastAsia" w:ascii="Times New Roman" w:hAnsi="Times New Roman" w:eastAsia="宋体"/>
        </w:rPr>
        <w:t>《国务院办公厅关于进一步做好防雷减灾工作的通知》（国办发明电[2006]28号，</w:t>
      </w:r>
      <w:r>
        <w:rPr>
          <w:rFonts w:ascii="Times New Roman" w:hAnsi="Times New Roman" w:eastAsia="宋体"/>
        </w:rPr>
        <w:t>2006</w:t>
      </w:r>
      <w:r>
        <w:rPr>
          <w:rFonts w:hint="eastAsia" w:ascii="Times New Roman" w:hAnsi="Times New Roman" w:eastAsia="宋体"/>
        </w:rPr>
        <w:t>年</w:t>
      </w:r>
      <w:r>
        <w:rPr>
          <w:rFonts w:ascii="Times New Roman" w:hAnsi="Times New Roman" w:eastAsia="宋体"/>
        </w:rPr>
        <w:t>07</w:t>
      </w:r>
      <w:r>
        <w:rPr>
          <w:rFonts w:hint="eastAsia" w:ascii="Times New Roman" w:hAnsi="Times New Roman" w:eastAsia="宋体"/>
        </w:rPr>
        <w:t>月</w:t>
      </w:r>
      <w:r>
        <w:rPr>
          <w:rFonts w:ascii="Times New Roman" w:hAnsi="Times New Roman" w:eastAsia="宋体"/>
        </w:rPr>
        <w:t>05</w:t>
      </w:r>
      <w:r>
        <w:rPr>
          <w:rFonts w:hint="eastAsia" w:ascii="Times New Roman" w:hAnsi="Times New Roman" w:eastAsia="宋体"/>
        </w:rPr>
        <w:t>日实施）</w:t>
      </w:r>
    </w:p>
    <w:p w14:paraId="65F50FD3">
      <w:pPr>
        <w:numPr>
          <w:ilvl w:val="0"/>
          <w:numId w:val="6"/>
        </w:numPr>
        <w:ind w:left="0" w:firstLine="560"/>
        <w:rPr>
          <w:rFonts w:ascii="Times New Roman" w:hAnsi="Times New Roman" w:eastAsia="宋体"/>
        </w:rPr>
      </w:pPr>
      <w:r>
        <w:rPr>
          <w:rFonts w:hint="eastAsia" w:ascii="Times New Roman" w:hAnsi="Times New Roman" w:eastAsia="宋体"/>
        </w:rPr>
        <w:t>《防雷减灾管理办法》（中国气象局令第44号，</w:t>
      </w:r>
      <w:r>
        <w:rPr>
          <w:rFonts w:ascii="Times New Roman" w:hAnsi="Times New Roman" w:eastAsia="宋体"/>
        </w:rPr>
        <w:t>2025</w:t>
      </w:r>
      <w:r>
        <w:rPr>
          <w:rFonts w:hint="eastAsia" w:ascii="Times New Roman" w:hAnsi="Times New Roman" w:eastAsia="宋体"/>
        </w:rPr>
        <w:t>年</w:t>
      </w:r>
      <w:r>
        <w:rPr>
          <w:rFonts w:ascii="Times New Roman" w:hAnsi="Times New Roman" w:eastAsia="宋体"/>
        </w:rPr>
        <w:t>06</w:t>
      </w:r>
      <w:r>
        <w:rPr>
          <w:rFonts w:hint="eastAsia" w:ascii="Times New Roman" w:hAnsi="Times New Roman" w:eastAsia="宋体"/>
        </w:rPr>
        <w:t>月</w:t>
      </w:r>
      <w:r>
        <w:rPr>
          <w:rFonts w:ascii="Times New Roman" w:hAnsi="Times New Roman" w:eastAsia="宋体"/>
        </w:rPr>
        <w:t>01</w:t>
      </w:r>
      <w:r>
        <w:rPr>
          <w:rFonts w:hint="eastAsia" w:ascii="Times New Roman" w:hAnsi="Times New Roman" w:eastAsia="宋体"/>
        </w:rPr>
        <w:t>日实施）</w:t>
      </w:r>
    </w:p>
    <w:p w14:paraId="056D0186">
      <w:pPr>
        <w:numPr>
          <w:ilvl w:val="0"/>
          <w:numId w:val="6"/>
        </w:numPr>
        <w:ind w:left="0" w:firstLine="560"/>
        <w:rPr>
          <w:rFonts w:ascii="Times New Roman" w:hAnsi="Times New Roman" w:eastAsia="宋体"/>
        </w:rPr>
      </w:pPr>
      <w:r>
        <w:rPr>
          <w:rFonts w:hint="eastAsia" w:ascii="Times New Roman" w:hAnsi="Times New Roman" w:eastAsia="宋体"/>
        </w:rPr>
        <w:t>《国务院安委会办公室关于学好用好重大事故隐患判定标准的通知》（安委[2024]2号，2024年4月9日实施）</w:t>
      </w:r>
    </w:p>
    <w:p w14:paraId="41E02C6C">
      <w:pPr>
        <w:numPr>
          <w:ilvl w:val="0"/>
          <w:numId w:val="6"/>
        </w:numPr>
        <w:ind w:left="0" w:firstLine="560"/>
        <w:rPr>
          <w:rFonts w:ascii="Times New Roman" w:hAnsi="Times New Roman" w:eastAsia="宋体"/>
        </w:rPr>
      </w:pPr>
      <w:r>
        <w:rPr>
          <w:rFonts w:hint="eastAsia" w:ascii="Times New Roman" w:hAnsi="Times New Roman" w:eastAsia="宋体"/>
        </w:rPr>
        <w:t>《国务院安委会办公室、应急管理部关于开展2025年全国“安全生产月”活动的通知》（安委办〔2025〕1号，2025年04月22日实施）</w:t>
      </w:r>
    </w:p>
    <w:p w14:paraId="501514A8">
      <w:pPr>
        <w:numPr>
          <w:ilvl w:val="0"/>
          <w:numId w:val="6"/>
        </w:numPr>
        <w:ind w:left="0" w:firstLine="560"/>
        <w:rPr>
          <w:rFonts w:ascii="Times New Roman" w:hAnsi="Times New Roman" w:eastAsia="宋体"/>
        </w:rPr>
      </w:pPr>
      <w:r>
        <w:rPr>
          <w:rFonts w:hint="eastAsia" w:ascii="Times New Roman" w:hAnsi="Times New Roman" w:eastAsia="宋体"/>
        </w:rPr>
        <w:t>《</w:t>
      </w:r>
      <w:bookmarkStart w:id="162" w:name="OLE_LINK21"/>
      <w:r>
        <w:rPr>
          <w:rFonts w:hint="eastAsia" w:ascii="Times New Roman" w:hAnsi="Times New Roman" w:eastAsia="宋体"/>
        </w:rPr>
        <w:t>应急管理部办公厅关于印发2024年危险化学品安全监管工作要点及有关工作方案的通知</w:t>
      </w:r>
      <w:bookmarkEnd w:id="162"/>
      <w:r>
        <w:rPr>
          <w:rFonts w:hint="eastAsia" w:ascii="Times New Roman" w:hAnsi="Times New Roman" w:eastAsia="宋体"/>
        </w:rPr>
        <w:t>》（应急厅函[2024]81号，2024年2月22日实施）</w:t>
      </w:r>
    </w:p>
    <w:p w14:paraId="53C660AC">
      <w:pPr>
        <w:numPr>
          <w:ilvl w:val="0"/>
          <w:numId w:val="6"/>
        </w:numPr>
        <w:ind w:left="0" w:firstLine="560"/>
        <w:rPr>
          <w:rFonts w:ascii="Times New Roman" w:hAnsi="Times New Roman" w:eastAsia="宋体"/>
        </w:rPr>
      </w:pPr>
      <w:r>
        <w:rPr>
          <w:rFonts w:hint="eastAsia" w:ascii="Times New Roman" w:hAnsi="Times New Roman" w:eastAsia="宋体"/>
        </w:rPr>
        <w:t>《国务院办公厅关于推动成品油流通高质量发展的意见》（国办发[2025]5号，2025年1月27日实施）</w:t>
      </w:r>
    </w:p>
    <w:p w14:paraId="29BFEE74">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63" w:name="_Toc218437782"/>
      <w:r>
        <w:rPr>
          <w:rFonts w:ascii="Times New Roman" w:hAnsi="Times New Roman" w:eastAsia="楷体" w:cs="Times New Roman"/>
          <w:b/>
          <w:bCs/>
          <w:sz w:val="32"/>
          <w:szCs w:val="32"/>
        </w:rPr>
        <w:t>F5.4地方法规、规章和</w:t>
      </w:r>
      <w:r>
        <w:rPr>
          <w:rFonts w:hint="eastAsia" w:ascii="Times New Roman" w:hAnsi="Times New Roman" w:eastAsia="楷体" w:cs="Times New Roman"/>
          <w:b/>
          <w:bCs/>
          <w:sz w:val="32"/>
          <w:szCs w:val="32"/>
        </w:rPr>
        <w:t>规范性</w:t>
      </w:r>
      <w:r>
        <w:rPr>
          <w:rFonts w:ascii="Times New Roman" w:hAnsi="Times New Roman" w:eastAsia="楷体" w:cs="Times New Roman"/>
          <w:b/>
          <w:bCs/>
          <w:sz w:val="32"/>
          <w:szCs w:val="32"/>
        </w:rPr>
        <w:t>文件</w:t>
      </w:r>
      <w:bookmarkEnd w:id="156"/>
      <w:bookmarkEnd w:id="157"/>
      <w:bookmarkEnd w:id="158"/>
      <w:bookmarkEnd w:id="159"/>
      <w:bookmarkEnd w:id="160"/>
      <w:bookmarkEnd w:id="163"/>
    </w:p>
    <w:p w14:paraId="0692027F">
      <w:pPr>
        <w:numPr>
          <w:ilvl w:val="0"/>
          <w:numId w:val="7"/>
        </w:numPr>
        <w:ind w:left="0" w:firstLine="560"/>
        <w:rPr>
          <w:rFonts w:ascii="Times New Roman" w:hAnsi="Times New Roman" w:eastAsia="宋体"/>
        </w:rPr>
      </w:pPr>
      <w:bookmarkStart w:id="164" w:name="_Toc18759"/>
      <w:bookmarkStart w:id="165" w:name="_Toc20381"/>
      <w:bookmarkStart w:id="166" w:name="_Toc16685"/>
      <w:bookmarkStart w:id="167" w:name="_Toc12582"/>
      <w:bookmarkStart w:id="168" w:name="_Toc12804"/>
      <w:r>
        <w:rPr>
          <w:rFonts w:hint="eastAsia" w:ascii="Times New Roman" w:hAnsi="Times New Roman" w:eastAsia="宋体"/>
        </w:rPr>
        <w:t>《辽宁省安全生产条例》（辽宁省人民代表大会常务委员会公告〔14届〕第34号，2025年05月29日起施行）</w:t>
      </w:r>
    </w:p>
    <w:p w14:paraId="2A766C9F">
      <w:pPr>
        <w:numPr>
          <w:ilvl w:val="0"/>
          <w:numId w:val="7"/>
        </w:numPr>
        <w:ind w:left="0" w:firstLine="560"/>
        <w:rPr>
          <w:rFonts w:ascii="Times New Roman" w:hAnsi="Times New Roman" w:eastAsia="宋体"/>
        </w:rPr>
      </w:pPr>
      <w:r>
        <w:rPr>
          <w:rFonts w:hint="eastAsia" w:ascii="Times New Roman" w:hAnsi="Times New Roman" w:eastAsia="宋体"/>
        </w:rPr>
        <w:t>《辽宁省消防条例》（辽宁省人民代表大会常务委员会公告[2022]103号，2022年11月9日实施）</w:t>
      </w:r>
    </w:p>
    <w:p w14:paraId="1C31E93B">
      <w:pPr>
        <w:numPr>
          <w:ilvl w:val="0"/>
          <w:numId w:val="7"/>
        </w:numPr>
        <w:ind w:left="0" w:firstLine="560"/>
        <w:rPr>
          <w:rFonts w:ascii="Times New Roman" w:hAnsi="Times New Roman" w:eastAsia="宋体"/>
        </w:rPr>
      </w:pPr>
      <w:r>
        <w:rPr>
          <w:rFonts w:hint="eastAsia" w:ascii="Times New Roman" w:hAnsi="Times New Roman" w:eastAsia="宋体"/>
        </w:rPr>
        <w:t>《辽宁省突发事件应对条例》（辽宁省人民代表大会常务委员会公告[2020]47号，2020年3月30日实施）</w:t>
      </w:r>
    </w:p>
    <w:p w14:paraId="41CD2B44">
      <w:pPr>
        <w:numPr>
          <w:ilvl w:val="0"/>
          <w:numId w:val="7"/>
        </w:numPr>
        <w:ind w:left="0" w:firstLine="560"/>
        <w:rPr>
          <w:rFonts w:ascii="Times New Roman" w:hAnsi="Times New Roman" w:eastAsia="宋体"/>
        </w:rPr>
      </w:pPr>
      <w:r>
        <w:rPr>
          <w:rFonts w:hint="eastAsia" w:ascii="Times New Roman" w:hAnsi="Times New Roman" w:eastAsia="宋体"/>
        </w:rPr>
        <w:t>《辽宁省企业安全生产主体责任规定》（辽宁省人民政府令[2021]第341号，2021年5月18日实施）</w:t>
      </w:r>
    </w:p>
    <w:p w14:paraId="77019755">
      <w:pPr>
        <w:numPr>
          <w:ilvl w:val="0"/>
          <w:numId w:val="7"/>
        </w:numPr>
        <w:ind w:left="0" w:firstLine="560"/>
        <w:rPr>
          <w:rFonts w:ascii="Times New Roman" w:hAnsi="Times New Roman" w:eastAsia="宋体"/>
        </w:rPr>
      </w:pPr>
      <w:r>
        <w:rPr>
          <w:rFonts w:hint="eastAsia" w:ascii="Times New Roman" w:hAnsi="Times New Roman" w:eastAsia="宋体"/>
        </w:rPr>
        <w:t>《辽宁省建设项目安全设施监督管理办法》（辽宁省人民政府令[2021]第341号，2021年5月18日实施）</w:t>
      </w:r>
    </w:p>
    <w:p w14:paraId="13178A99">
      <w:pPr>
        <w:numPr>
          <w:ilvl w:val="0"/>
          <w:numId w:val="7"/>
        </w:numPr>
        <w:ind w:left="0" w:firstLine="560"/>
        <w:rPr>
          <w:rFonts w:ascii="Times New Roman" w:hAnsi="Times New Roman" w:eastAsia="宋体"/>
        </w:rPr>
      </w:pPr>
      <w:r>
        <w:rPr>
          <w:rFonts w:hint="eastAsia" w:ascii="Times New Roman" w:hAnsi="Times New Roman" w:eastAsia="宋体"/>
        </w:rPr>
        <w:t>《辽宁省雷电灾害防御管理规定》（辽宁省人民政府令[2018]第324号，2018年12月4日实施）</w:t>
      </w:r>
    </w:p>
    <w:p w14:paraId="092CC6A8">
      <w:pPr>
        <w:numPr>
          <w:ilvl w:val="0"/>
          <w:numId w:val="7"/>
        </w:numPr>
        <w:ind w:left="0" w:firstLine="560"/>
        <w:rPr>
          <w:rFonts w:ascii="Times New Roman" w:hAnsi="Times New Roman" w:eastAsia="宋体"/>
        </w:rPr>
      </w:pPr>
      <w:r>
        <w:rPr>
          <w:rFonts w:hint="eastAsia" w:ascii="Times New Roman" w:hAnsi="Times New Roman" w:eastAsia="宋体"/>
        </w:rPr>
        <w:t>《辽宁省建设项目选址规划管理办法》（辽宁省人民政府令[2016]第300号，2016年4月17日实施）</w:t>
      </w:r>
    </w:p>
    <w:p w14:paraId="15CDE1EB">
      <w:pPr>
        <w:numPr>
          <w:ilvl w:val="0"/>
          <w:numId w:val="7"/>
        </w:numPr>
        <w:ind w:left="0" w:firstLine="560"/>
        <w:rPr>
          <w:rFonts w:ascii="Times New Roman" w:hAnsi="Times New Roman" w:eastAsia="宋体"/>
        </w:rPr>
      </w:pPr>
      <w:r>
        <w:rPr>
          <w:rFonts w:hint="eastAsia" w:ascii="Times New Roman" w:hAnsi="Times New Roman" w:eastAsia="宋体"/>
        </w:rPr>
        <w:t>《辽宁省危险化学品建设项目安全监督管理实施细则》（辽宁省安全生产监督管理局辽安监管三[2016]24号）</w:t>
      </w:r>
    </w:p>
    <w:p w14:paraId="1660A168">
      <w:pPr>
        <w:numPr>
          <w:ilvl w:val="0"/>
          <w:numId w:val="7"/>
        </w:numPr>
        <w:ind w:left="0" w:firstLine="560"/>
        <w:rPr>
          <w:rFonts w:ascii="Times New Roman" w:hAnsi="Times New Roman" w:eastAsia="宋体"/>
        </w:rPr>
      </w:pPr>
      <w:r>
        <w:rPr>
          <w:rFonts w:hint="eastAsia" w:ascii="Times New Roman" w:hAnsi="Times New Roman" w:eastAsia="宋体"/>
        </w:rPr>
        <w:t>《关于印发辽宁省安全生产监督管理局贯彻落实〈生产安全事故应急预案管理办法〉实施细则的通知》（辽安监应急[2017]5号，2017年9月13日实施）</w:t>
      </w:r>
    </w:p>
    <w:p w14:paraId="141CCCA1">
      <w:pPr>
        <w:numPr>
          <w:ilvl w:val="0"/>
          <w:numId w:val="7"/>
        </w:numPr>
        <w:ind w:left="0" w:firstLine="560"/>
        <w:rPr>
          <w:rFonts w:ascii="Times New Roman" w:hAnsi="Times New Roman" w:eastAsia="宋体"/>
        </w:rPr>
      </w:pPr>
      <w:r>
        <w:rPr>
          <w:rFonts w:hint="eastAsia" w:ascii="Times New Roman" w:hAnsi="Times New Roman" w:eastAsia="宋体"/>
        </w:rPr>
        <w:t>《关于做好危险化学品经营许可证颁发管理有关工作的通知》（辽安监管三[2012]144号，2012年8月30日实施）</w:t>
      </w:r>
    </w:p>
    <w:p w14:paraId="2EA6AAB8">
      <w:pPr>
        <w:numPr>
          <w:ilvl w:val="0"/>
          <w:numId w:val="7"/>
        </w:numPr>
        <w:ind w:left="0" w:firstLine="560"/>
        <w:rPr>
          <w:rFonts w:ascii="Times New Roman" w:hAnsi="Times New Roman" w:eastAsia="宋体"/>
          <w:highlight w:val="none"/>
        </w:rPr>
      </w:pPr>
      <w:r>
        <w:rPr>
          <w:rFonts w:hint="eastAsia" w:ascii="Times New Roman" w:hAnsi="Times New Roman" w:eastAsia="宋体"/>
          <w:highlight w:val="none"/>
        </w:rPr>
        <w:t>《沈阳市安全生产条例》（沈阳市第十七届人民代表大会常务委员会第十七次会议修订，自2024年10月1日实施）</w:t>
      </w:r>
    </w:p>
    <w:p w14:paraId="39C191DE">
      <w:pPr>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69" w:name="_Toc218437783"/>
      <w:r>
        <w:rPr>
          <w:rFonts w:ascii="Times New Roman" w:hAnsi="Times New Roman" w:eastAsia="楷体" w:cs="Times New Roman"/>
          <w:b/>
          <w:bCs/>
          <w:sz w:val="32"/>
          <w:szCs w:val="32"/>
        </w:rPr>
        <w:t>F5.5国家及行业标准、规范</w:t>
      </w:r>
      <w:bookmarkEnd w:id="164"/>
      <w:bookmarkEnd w:id="165"/>
      <w:bookmarkEnd w:id="166"/>
      <w:bookmarkEnd w:id="167"/>
      <w:bookmarkEnd w:id="168"/>
      <w:bookmarkEnd w:id="169"/>
    </w:p>
    <w:p w14:paraId="5205B35C">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《安全评价通则》（AQ 8001-2007）</w:t>
      </w:r>
    </w:p>
    <w:p w14:paraId="3FBEB5BA">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《安全验收评价导则》（AQ 8003-2007）</w:t>
      </w:r>
    </w:p>
    <w:p w14:paraId="51C34130">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《汽车加油加气加氢站技术标准》（GB 50156-2021）</w:t>
      </w:r>
    </w:p>
    <w:p w14:paraId="4AA8ACEC">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《建筑防火通用规范》（GB 55037-2022）</w:t>
      </w:r>
    </w:p>
    <w:p w14:paraId="43FEC0E9">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《建筑设计防火规范（2018年版）》（GB 50016-2014）</w:t>
      </w:r>
    </w:p>
    <w:p w14:paraId="1F3B890E">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《加油站作业安全规范》（AQ 3010-2022）</w:t>
      </w:r>
    </w:p>
    <w:p w14:paraId="4A05B2D4">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《汽车加油加气站消防安全管理》（XF/T 3004-2020）</w:t>
      </w:r>
    </w:p>
    <w:p w14:paraId="57AA5990">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《视频安防监控系统工程设计规范》（GB 50395-2007）</w:t>
      </w:r>
    </w:p>
    <w:p w14:paraId="3D3ACE64">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《建筑物电子信息系统防雷技术规范》（GB 50343-2012）</w:t>
      </w:r>
    </w:p>
    <w:p w14:paraId="140CAD72">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《建筑物防雷设计规范》（GB 50057-2010）</w:t>
      </w:r>
    </w:p>
    <w:p w14:paraId="45669D18">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《建筑照明设计标准》（GB</w:t>
      </w:r>
      <w:r>
        <w:rPr>
          <w:rFonts w:hint="eastAsia" w:ascii="Times New Roman" w:hAnsi="Times New Roman" w:eastAsia="宋体" w:cs="Times New Roman"/>
          <w:szCs w:val="20"/>
          <w14:ligatures w14:val="none"/>
        </w:rPr>
        <w:t>/T</w:t>
      </w:r>
      <w:r>
        <w:rPr>
          <w:rFonts w:ascii="Times New Roman" w:hAnsi="Times New Roman" w:eastAsia="宋体" w:cs="Times New Roman"/>
          <w:szCs w:val="20"/>
          <w14:ligatures w14:val="none"/>
        </w:rPr>
        <w:t xml:space="preserve"> 50034-2024）</w:t>
      </w:r>
    </w:p>
    <w:p w14:paraId="0CA581C8">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《建筑灭火器配置设计规范》（GB 50140-2005）</w:t>
      </w:r>
    </w:p>
    <w:p w14:paraId="447083E3">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《建筑抗震设计标准（2024年版）》（GB/T 50011-2010）</w:t>
      </w:r>
    </w:p>
    <w:p w14:paraId="2B807814">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《消防设施通用规范》（GB 55036-2022）</w:t>
      </w:r>
    </w:p>
    <w:p w14:paraId="7A8B5E38">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《消防应急照明和疏散指示系统》（GB 17945-2024）</w:t>
      </w:r>
    </w:p>
    <w:p w14:paraId="4FAA8B12">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《危险化学品重大危险源辨识》（GB 18218-2018）</w:t>
      </w:r>
    </w:p>
    <w:p w14:paraId="5CA60DC6">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《易燃易爆性商品储存养护技术条件》（GB 17914-2013）</w:t>
      </w:r>
    </w:p>
    <w:p w14:paraId="55C65589">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《供配电系统设计规范》（GB 50052-2009）</w:t>
      </w:r>
    </w:p>
    <w:p w14:paraId="34CC42FC">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《低压配电设计规范》（GB 50054-2011）</w:t>
      </w:r>
    </w:p>
    <w:p w14:paraId="4350726E">
      <w:pPr>
        <w:numPr>
          <w:ilvl w:val="0"/>
          <w:numId w:val="8"/>
        </w:numPr>
        <w:ind w:firstLine="560"/>
        <w:rPr>
          <w:rFonts w:ascii="Times New Roman" w:hAnsi="Times New Roman" w:eastAsia="宋体" w:cs="Times New Roman"/>
          <w:szCs w:val="20"/>
          <w14:ligatures w14:val="none"/>
        </w:rPr>
      </w:pPr>
      <w:r>
        <w:rPr>
          <w:rFonts w:hint="eastAsia" w:ascii="Times New Roman" w:hAnsi="Times New Roman" w:eastAsia="宋体" w:cs="Times New Roman"/>
          <w:szCs w:val="20"/>
          <w14:ligatures w14:val="none"/>
        </w:rPr>
        <w:t>《防止静电事故通用要求》（GB 12158-2024）</w:t>
      </w:r>
    </w:p>
    <w:p w14:paraId="7D2616CF">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《用电安全导则》（GB/T 13869-2017）</w:t>
      </w:r>
    </w:p>
    <w:p w14:paraId="3945F9A9">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《电气装置安装工程接地装置施工及验收规范》（GB 50169-2016）</w:t>
      </w:r>
    </w:p>
    <w:p w14:paraId="4C87A8FA">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《系统接地的型式及安全技术要求》（GB 14050-2008）</w:t>
      </w:r>
    </w:p>
    <w:p w14:paraId="0B6A5DD5">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《外壳防护等级（IP代码）》（GB/T 4208-2017）</w:t>
      </w:r>
    </w:p>
    <w:p w14:paraId="0A9E7425">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《剩余电流动作保护装置安装和运行》（GB/T 13955-2017）</w:t>
      </w:r>
    </w:p>
    <w:p w14:paraId="7BDA7905">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《爆炸危险环境电力装置设计规范》（GB 50058-2014）</w:t>
      </w:r>
    </w:p>
    <w:p w14:paraId="07619CE5">
      <w:pPr>
        <w:numPr>
          <w:ilvl w:val="0"/>
          <w:numId w:val="8"/>
        </w:numPr>
        <w:ind w:firstLine="560"/>
        <w:rPr>
          <w:rFonts w:ascii="Times New Roman" w:hAnsi="Times New Roman" w:eastAsia="宋体" w:cs="Times New Roman"/>
          <w:szCs w:val="20"/>
          <w14:ligatures w14:val="none"/>
        </w:rPr>
      </w:pPr>
      <w:bookmarkStart w:id="170" w:name="_Hlk218862710"/>
      <w:r>
        <w:rPr>
          <w:rFonts w:ascii="Times New Roman" w:hAnsi="Times New Roman" w:eastAsia="宋体" w:cs="Times New Roman"/>
          <w:szCs w:val="20"/>
          <w14:ligatures w14:val="none"/>
        </w:rPr>
        <w:t>《危险场所电气防爆安全规范》（AQ 3009-2007）</w:t>
      </w:r>
    </w:p>
    <w:bookmarkEnd w:id="170"/>
    <w:p w14:paraId="46CCBC35">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《高处作业分级》（GB 3608-20</w:t>
      </w:r>
      <w:r>
        <w:rPr>
          <w:rFonts w:hint="eastAsia" w:ascii="Times New Roman" w:hAnsi="Times New Roman" w:eastAsia="宋体" w:cs="Times New Roman"/>
          <w:szCs w:val="20"/>
          <w14:ligatures w14:val="none"/>
        </w:rPr>
        <w:t>25</w:t>
      </w:r>
      <w:r>
        <w:rPr>
          <w:rFonts w:ascii="Times New Roman" w:hAnsi="Times New Roman" w:eastAsia="宋体" w:cs="Times New Roman"/>
          <w:szCs w:val="20"/>
          <w14:ligatures w14:val="none"/>
        </w:rPr>
        <w:t>）</w:t>
      </w:r>
    </w:p>
    <w:p w14:paraId="375D0DE1">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《车用汽油》（GB 17930-2016）</w:t>
      </w:r>
    </w:p>
    <w:p w14:paraId="07EA354D">
      <w:pPr>
        <w:numPr>
          <w:ilvl w:val="0"/>
          <w:numId w:val="8"/>
        </w:numPr>
        <w:ind w:firstLine="560"/>
        <w:rPr>
          <w:rFonts w:ascii="Times New Roman" w:hAnsi="Times New Roman" w:eastAsia="宋体" w:cs="Times New Roman"/>
          <w:szCs w:val="20"/>
          <w14:ligatures w14:val="none"/>
        </w:rPr>
      </w:pPr>
      <w:r>
        <w:rPr>
          <w:rFonts w:hint="eastAsia" w:ascii="Times New Roman" w:hAnsi="Times New Roman" w:eastAsia="宋体" w:cs="Times New Roman"/>
          <w:szCs w:val="20"/>
          <w14:ligatures w14:val="none"/>
        </w:rPr>
        <w:t>《车用乙醇汽油》（GB 18351-2025）</w:t>
      </w:r>
    </w:p>
    <w:p w14:paraId="3F0B862B">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《车用柴油（国家标准第1号修改单）》（GB 19147-2016/XG1-2018）</w:t>
      </w:r>
    </w:p>
    <w:p w14:paraId="3826E621">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《车用乙醇汽油储运设计规范》（GB/T 50610-2010）</w:t>
      </w:r>
    </w:p>
    <w:p w14:paraId="475756E8">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《加油站大气污染物排放标准》（GB 20952-2020）</w:t>
      </w:r>
    </w:p>
    <w:p w14:paraId="7CADD0BA">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《加油站用埋地钢-玻璃纤维增强塑料双层油罐工程技术规范》（SH/T 3178-2015）</w:t>
      </w:r>
    </w:p>
    <w:p w14:paraId="332D7698">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《钢制常压储罐 第1部分：储存对水有污染的易燃和不易燃液体的埋地卧式圆筒形单层和双层储罐》（AQ 3020-2008）</w:t>
      </w:r>
    </w:p>
    <w:p w14:paraId="464270DA">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《油气回收处理设施技术标准》（GB/T 50759-2022）</w:t>
      </w:r>
    </w:p>
    <w:p w14:paraId="7DF02811">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《油气回收系统防爆技术要求》（GB/T 34661-2017）</w:t>
      </w:r>
    </w:p>
    <w:p w14:paraId="013E2252">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《油气回收装置通用技术条件》（GB/T 35579-2017）</w:t>
      </w:r>
    </w:p>
    <w:p w14:paraId="47B746EE">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《双层罐渗漏检测系统 第1部分：通则》（GB/T 30040.1-2013）</w:t>
      </w:r>
    </w:p>
    <w:p w14:paraId="5D28F991">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《双层罐渗漏检测系统 第2部分：压力和真空系统》（GB/T 30040.2-2013）</w:t>
      </w:r>
    </w:p>
    <w:p w14:paraId="07FB2491">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《双层罐渗漏检测系统 第3部分：储罐的液体媒介系统》（GB/T 30040.3-2013）</w:t>
      </w:r>
    </w:p>
    <w:p w14:paraId="48B68FF0">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《双层罐渗漏检测系统 第4部分：应用于防渗漏设施或双层间隙的液体或蒸气传感器系统》（GB/T 30040.4-2013）</w:t>
      </w:r>
    </w:p>
    <w:p w14:paraId="1EBCCC0C">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《双层罐渗漏检测系统 第5部分：储罐液位仪测漏系统》（GB/T 30040.5-2013）</w:t>
      </w:r>
    </w:p>
    <w:p w14:paraId="4BECA460">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《双层罐渗漏检测系统 第6部分：监测井用传感器显示系统》（GB/T 30040.6-2013）</w:t>
      </w:r>
    </w:p>
    <w:p w14:paraId="506AE3AC">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《双层罐渗漏检测系统 第7部分：双层间隙、防渗漏衬里及防渗漏外套的一般要求和试验方法》（GB/T 30040.7-2013）</w:t>
      </w:r>
    </w:p>
    <w:p w14:paraId="556A69F0">
      <w:pPr>
        <w:numPr>
          <w:ilvl w:val="0"/>
          <w:numId w:val="8"/>
        </w:numPr>
        <w:ind w:firstLine="560"/>
        <w:rPr>
          <w:rFonts w:ascii="Times New Roman" w:hAnsi="Times New Roman" w:eastAsia="宋体" w:cs="Times New Roman"/>
          <w:szCs w:val="20"/>
          <w14:ligatures w14:val="none"/>
        </w:rPr>
      </w:pPr>
      <w:r>
        <w:rPr>
          <w:rFonts w:hint="eastAsia" w:ascii="Times New Roman" w:hAnsi="Times New Roman" w:eastAsia="宋体" w:cs="Times New Roman"/>
          <w:szCs w:val="20"/>
          <w14:ligatures w14:val="none"/>
        </w:rPr>
        <w:t>《生产安全事故分类与编码》（GB 6441-2025）</w:t>
      </w:r>
    </w:p>
    <w:p w14:paraId="1CE92DE6">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《生产过程危险和有害因素分类与代码》（GB/T 13861-2022）</w:t>
      </w:r>
    </w:p>
    <w:p w14:paraId="38928A7A">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《化学品分类和标签规范 第1部分：通则》（GB 30000.1-2024）</w:t>
      </w:r>
    </w:p>
    <w:p w14:paraId="68D72D74">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《危险货物运输包装通用技术条件》（GB 12463-2009）</w:t>
      </w:r>
    </w:p>
    <w:p w14:paraId="21F7B1C1">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《危险货物运输包装类别划分方法》（GB/T 15098-2008）</w:t>
      </w:r>
    </w:p>
    <w:p w14:paraId="366B0132">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《危险货物分类和品名编号》（GB 6944-20</w:t>
      </w:r>
      <w:r>
        <w:rPr>
          <w:rFonts w:hint="eastAsia" w:ascii="Times New Roman" w:hAnsi="Times New Roman" w:eastAsia="宋体" w:cs="Times New Roman"/>
          <w:szCs w:val="20"/>
          <w14:ligatures w14:val="none"/>
        </w:rPr>
        <w:t>25</w:t>
      </w:r>
      <w:r>
        <w:rPr>
          <w:rFonts w:ascii="Times New Roman" w:hAnsi="Times New Roman" w:eastAsia="宋体" w:cs="Times New Roman"/>
          <w:szCs w:val="20"/>
          <w14:ligatures w14:val="none"/>
        </w:rPr>
        <w:t>）</w:t>
      </w:r>
    </w:p>
    <w:p w14:paraId="4219AAF7">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《危险货物品名表》（GB 12268-20</w:t>
      </w:r>
      <w:r>
        <w:rPr>
          <w:rFonts w:hint="eastAsia" w:ascii="Times New Roman" w:hAnsi="Times New Roman" w:eastAsia="宋体" w:cs="Times New Roman"/>
          <w:szCs w:val="20"/>
          <w14:ligatures w14:val="none"/>
        </w:rPr>
        <w:t>25</w:t>
      </w:r>
      <w:r>
        <w:rPr>
          <w:rFonts w:ascii="Times New Roman" w:hAnsi="Times New Roman" w:eastAsia="宋体" w:cs="Times New Roman"/>
          <w:szCs w:val="20"/>
          <w14:ligatures w14:val="none"/>
        </w:rPr>
        <w:t>）</w:t>
      </w:r>
    </w:p>
    <w:p w14:paraId="0FCD8DD3">
      <w:pPr>
        <w:numPr>
          <w:ilvl w:val="0"/>
          <w:numId w:val="8"/>
        </w:numPr>
        <w:ind w:firstLine="560"/>
        <w:rPr>
          <w:rFonts w:ascii="Times New Roman" w:hAnsi="Times New Roman" w:eastAsia="宋体" w:cs="Times New Roman"/>
          <w:szCs w:val="20"/>
          <w14:ligatures w14:val="none"/>
        </w:rPr>
      </w:pPr>
      <w:r>
        <w:rPr>
          <w:rFonts w:hint="eastAsia" w:ascii="Times New Roman" w:hAnsi="Times New Roman" w:eastAsia="宋体" w:cs="Times New Roman"/>
          <w:szCs w:val="20"/>
          <w14:ligatures w14:val="none"/>
        </w:rPr>
        <w:t>《安全色和安全标志》（</w:t>
      </w:r>
      <w:r>
        <w:rPr>
          <w:rFonts w:ascii="Times New Roman" w:hAnsi="Times New Roman" w:eastAsia="宋体" w:cs="Times New Roman"/>
          <w:szCs w:val="20"/>
          <w14:ligatures w14:val="none"/>
        </w:rPr>
        <w:t>GB 2894-2025</w:t>
      </w:r>
      <w:r>
        <w:rPr>
          <w:rFonts w:hint="eastAsia" w:ascii="Times New Roman" w:hAnsi="Times New Roman" w:eastAsia="宋体" w:cs="Times New Roman"/>
          <w:szCs w:val="20"/>
          <w14:ligatures w14:val="none"/>
        </w:rPr>
        <w:t>）</w:t>
      </w:r>
    </w:p>
    <w:p w14:paraId="6DC08A5D">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《安全色和安全标志 第1部分：安全标志和安全标记设计原则》（GB/T 2893.1-2013）</w:t>
      </w:r>
    </w:p>
    <w:p w14:paraId="0E88FA50">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《安全色和安全标志 第5部分：安全标志使用原则与要求》（GB/T 2893.5-2020）</w:t>
      </w:r>
    </w:p>
    <w:p w14:paraId="37F79186">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《消防安全标志第1部分：标志》（GB 13495.1-2015）</w:t>
      </w:r>
    </w:p>
    <w:p w14:paraId="26207A20">
      <w:pPr>
        <w:numPr>
          <w:ilvl w:val="0"/>
          <w:numId w:val="8"/>
        </w:numPr>
        <w:ind w:firstLine="560"/>
        <w:rPr>
          <w:rFonts w:ascii="Times New Roman" w:hAnsi="Times New Roman" w:eastAsia="宋体" w:cs="Times New Roman"/>
          <w:szCs w:val="20"/>
          <w14:ligatures w14:val="none"/>
        </w:rPr>
      </w:pPr>
      <w:r>
        <w:rPr>
          <w:rFonts w:hint="eastAsia" w:ascii="Times New Roman" w:hAnsi="Times New Roman" w:eastAsia="宋体" w:cs="Times New Roman"/>
          <w:szCs w:val="20"/>
          <w14:ligatures w14:val="none"/>
        </w:rPr>
        <w:t>《工作场所毒物危害程度分级标准》（GBZ/T 230-2025）</w:t>
      </w:r>
    </w:p>
    <w:p w14:paraId="4082A75C">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《工作场所有害因素职业接触限值第1部分</w:t>
      </w:r>
      <w:r>
        <w:rPr>
          <w:rFonts w:hint="eastAsia" w:ascii="Times New Roman" w:hAnsi="Times New Roman" w:eastAsia="宋体" w:cs="Times New Roman"/>
          <w:szCs w:val="20"/>
          <w14:ligatures w14:val="none"/>
        </w:rPr>
        <w:t>：</w:t>
      </w:r>
      <w:r>
        <w:rPr>
          <w:rFonts w:ascii="Times New Roman" w:hAnsi="Times New Roman" w:eastAsia="宋体" w:cs="Times New Roman"/>
          <w:szCs w:val="20"/>
          <w14:ligatures w14:val="none"/>
        </w:rPr>
        <w:t>化学有害因素》行业标准第1号修改单</w:t>
      </w:r>
      <w:r>
        <w:rPr>
          <w:rFonts w:hint="eastAsia" w:ascii="Times New Roman" w:hAnsi="Times New Roman" w:eastAsia="宋体" w:cs="Times New Roman"/>
          <w:szCs w:val="20"/>
          <w14:ligatures w14:val="none"/>
        </w:rPr>
        <w:t>/</w:t>
      </w:r>
      <w:r>
        <w:rPr>
          <w:rFonts w:ascii="Times New Roman" w:hAnsi="Times New Roman" w:eastAsia="宋体" w:cs="Times New Roman"/>
          <w:szCs w:val="20"/>
          <w14:ligatures w14:val="none"/>
        </w:rPr>
        <w:t>行业标准第</w:t>
      </w:r>
      <w:r>
        <w:rPr>
          <w:rFonts w:hint="eastAsia" w:ascii="Times New Roman" w:hAnsi="Times New Roman" w:eastAsia="宋体" w:cs="Times New Roman"/>
          <w:szCs w:val="20"/>
          <w14:ligatures w14:val="none"/>
        </w:rPr>
        <w:t>2</w:t>
      </w:r>
      <w:r>
        <w:rPr>
          <w:rFonts w:ascii="Times New Roman" w:hAnsi="Times New Roman" w:eastAsia="宋体" w:cs="Times New Roman"/>
          <w:szCs w:val="20"/>
          <w14:ligatures w14:val="none"/>
        </w:rPr>
        <w:t>号修改单（GBZ 2.1-2019/XG1-2022</w:t>
      </w:r>
      <w:r>
        <w:rPr>
          <w:rFonts w:hint="eastAsia" w:ascii="Times New Roman" w:hAnsi="Times New Roman" w:eastAsia="宋体" w:cs="Times New Roman"/>
          <w:szCs w:val="20"/>
          <w14:ligatures w14:val="none"/>
        </w:rPr>
        <w:t>/</w:t>
      </w:r>
      <w:r>
        <w:rPr>
          <w:rFonts w:ascii="Times New Roman" w:hAnsi="Times New Roman" w:eastAsia="宋体" w:cs="Times New Roman"/>
          <w:szCs w:val="20"/>
          <w14:ligatures w14:val="none"/>
        </w:rPr>
        <w:t>XG2-2024）</w:t>
      </w:r>
    </w:p>
    <w:p w14:paraId="6F5B40D9">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《工作场所有害因素职业接触限值第2部分</w:t>
      </w:r>
      <w:r>
        <w:rPr>
          <w:rFonts w:hint="eastAsia" w:ascii="Times New Roman" w:hAnsi="Times New Roman" w:eastAsia="宋体" w:cs="Times New Roman"/>
          <w:szCs w:val="20"/>
          <w14:ligatures w14:val="none"/>
        </w:rPr>
        <w:t>：</w:t>
      </w:r>
      <w:r>
        <w:rPr>
          <w:rFonts w:ascii="Times New Roman" w:hAnsi="Times New Roman" w:eastAsia="宋体" w:cs="Times New Roman"/>
          <w:szCs w:val="20"/>
          <w14:ligatures w14:val="none"/>
        </w:rPr>
        <w:t>物理因素》（GBZ 2.2-2007）</w:t>
      </w:r>
    </w:p>
    <w:p w14:paraId="1AD3A92A">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《个体防护装备配备规范第1部分：总则》（GB 39800.1-2020）</w:t>
      </w:r>
    </w:p>
    <w:p w14:paraId="450D6C20">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《个体防护装备配备规范第2部分：石油、化工、天然气》（GB 39800.2-2020）</w:t>
      </w:r>
    </w:p>
    <w:p w14:paraId="2EF9E67C">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《生产经营单位生产安全事故应急预案编制导则》（GB/T 29639-2020）</w:t>
      </w:r>
    </w:p>
    <w:p w14:paraId="06BB6B57">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《生产安全事故应急演练基本规范》（YJ/T 9007-2019）</w:t>
      </w:r>
    </w:p>
    <w:p w14:paraId="5F119569">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《生产经营单位生产安全事故应急预案评估指南》（YJ/T 9011-2019）</w:t>
      </w:r>
    </w:p>
    <w:p w14:paraId="3F419883">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《危险化学品单位应急救援物资配备要求》（GB 30077-2023）</w:t>
      </w:r>
    </w:p>
    <w:p w14:paraId="01380421">
      <w:pPr>
        <w:numPr>
          <w:ilvl w:val="0"/>
          <w:numId w:val="8"/>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《危险化学品企业特殊作业安全规范》（GB 30871-2022）</w:t>
      </w:r>
    </w:p>
    <w:p w14:paraId="5D031AD0">
      <w:pPr>
        <w:keepNext/>
        <w:spacing w:before="312" w:beforeLines="100" w:after="312" w:afterLines="100"/>
        <w:ind w:firstLine="0" w:firstLineChars="0"/>
        <w:jc w:val="center"/>
        <w:outlineLvl w:val="1"/>
        <w:rPr>
          <w:rFonts w:ascii="Times New Roman" w:hAnsi="Times New Roman" w:eastAsia="楷体" w:cs="Times New Roman"/>
          <w:b/>
          <w:bCs/>
          <w:sz w:val="32"/>
          <w:szCs w:val="32"/>
        </w:rPr>
      </w:pPr>
      <w:bookmarkStart w:id="171" w:name="_Toc12523"/>
      <w:bookmarkStart w:id="172" w:name="_Toc3378"/>
      <w:bookmarkStart w:id="173" w:name="_Toc218437784"/>
      <w:r>
        <w:rPr>
          <w:rFonts w:ascii="Times New Roman" w:hAnsi="Times New Roman" w:eastAsia="楷体" w:cs="Times New Roman"/>
          <w:b/>
          <w:bCs/>
          <w:sz w:val="32"/>
          <w:szCs w:val="32"/>
        </w:rPr>
        <w:t>F5.6参考资料</w:t>
      </w:r>
      <w:bookmarkEnd w:id="171"/>
      <w:bookmarkEnd w:id="172"/>
      <w:bookmarkEnd w:id="173"/>
    </w:p>
    <w:p w14:paraId="5B287993">
      <w:pPr>
        <w:adjustRightInd/>
        <w:snapToGrid/>
        <w:spacing w:line="240" w:lineRule="auto"/>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（1）《安全评价》（国家安全生产监督管理总局 2005年4月）</w:t>
      </w:r>
    </w:p>
    <w:p w14:paraId="3ACCE3CE">
      <w:pPr>
        <w:adjustRightInd/>
        <w:snapToGrid/>
        <w:spacing w:line="240" w:lineRule="auto"/>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w:t>
      </w:r>
      <w:r>
        <w:rPr>
          <w:rFonts w:hint="eastAsia" w:ascii="Times New Roman" w:hAnsi="Times New Roman" w:eastAsia="宋体" w:cs="Times New Roman"/>
          <w:szCs w:val="20"/>
          <w14:ligatures w14:val="none"/>
        </w:rPr>
        <w:t>2</w:t>
      </w:r>
      <w:r>
        <w:rPr>
          <w:rFonts w:ascii="Times New Roman" w:hAnsi="Times New Roman" w:eastAsia="宋体" w:cs="Times New Roman"/>
          <w:szCs w:val="20"/>
          <w14:ligatures w14:val="none"/>
        </w:rPr>
        <w:t>）《</w:t>
      </w:r>
      <w:r>
        <w:rPr>
          <w:rFonts w:hint="eastAsia" w:ascii="Times New Roman" w:hAnsi="Times New Roman" w:eastAsia="宋体" w:cs="Times New Roman"/>
          <w:szCs w:val="20"/>
          <w:lang w:eastAsia="zh-CN"/>
          <w14:ligatures w14:val="none"/>
        </w:rPr>
        <w:t>沈阳市于洪区大兴乡星火特加油站罐区增容改造项目</w:t>
      </w:r>
      <w:r>
        <w:rPr>
          <w:rFonts w:ascii="Times New Roman" w:hAnsi="Times New Roman" w:eastAsia="宋体" w:cs="Times New Roman"/>
          <w:szCs w:val="20"/>
          <w14:ligatures w14:val="none"/>
        </w:rPr>
        <w:t>设立安全评价报告》</w:t>
      </w:r>
      <w:r>
        <w:rPr>
          <w:rFonts w:hint="eastAsia" w:ascii="Times New Roman" w:hAnsi="Times New Roman" w:eastAsia="宋体" w:cs="Times New Roman"/>
          <w:szCs w:val="20"/>
          <w14:ligatures w14:val="none"/>
        </w:rPr>
        <w:t>（沈阳奥思特安全技术服务集团有限公司）</w:t>
      </w:r>
    </w:p>
    <w:p w14:paraId="614C22C9">
      <w:pPr>
        <w:adjustRightInd/>
        <w:snapToGrid/>
        <w:spacing w:line="240" w:lineRule="auto"/>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w:t>
      </w:r>
      <w:r>
        <w:rPr>
          <w:rFonts w:hint="eastAsia" w:ascii="Times New Roman" w:hAnsi="Times New Roman" w:eastAsia="宋体" w:cs="Times New Roman"/>
          <w:szCs w:val="20"/>
          <w14:ligatures w14:val="none"/>
        </w:rPr>
        <w:t>3</w:t>
      </w:r>
      <w:r>
        <w:rPr>
          <w:rFonts w:ascii="Times New Roman" w:hAnsi="Times New Roman" w:eastAsia="宋体" w:cs="Times New Roman"/>
          <w:szCs w:val="20"/>
          <w14:ligatures w14:val="none"/>
        </w:rPr>
        <w:t>）《</w:t>
      </w:r>
      <w:r>
        <w:rPr>
          <w:rFonts w:hint="eastAsia" w:ascii="Times New Roman" w:hAnsi="Times New Roman" w:eastAsia="宋体" w:cs="Times New Roman"/>
          <w:szCs w:val="28"/>
          <w:lang w:val="zh-CN"/>
          <w14:ligatures w14:val="none"/>
        </w:rPr>
        <w:t>沈阳市于洪区大兴乡星火特加油站罐区增容改造项目</w:t>
      </w:r>
      <w:r>
        <w:rPr>
          <w:rFonts w:ascii="Times New Roman" w:hAnsi="Times New Roman" w:eastAsia="宋体" w:cs="Times New Roman"/>
          <w:szCs w:val="28"/>
          <w:lang w:val="zh-CN"/>
          <w14:ligatures w14:val="none"/>
        </w:rPr>
        <w:t>安全设施设计专篇</w:t>
      </w:r>
      <w:r>
        <w:rPr>
          <w:rFonts w:ascii="Times New Roman" w:hAnsi="Times New Roman" w:eastAsia="宋体" w:cs="Times New Roman"/>
          <w:szCs w:val="20"/>
          <w14:ligatures w14:val="none"/>
        </w:rPr>
        <w:t>》</w:t>
      </w:r>
      <w:r>
        <w:rPr>
          <w:rFonts w:hint="eastAsia" w:ascii="Times New Roman" w:hAnsi="Times New Roman" w:eastAsia="宋体" w:cs="Times New Roman"/>
          <w:szCs w:val="20"/>
          <w14:ligatures w14:val="none"/>
        </w:rPr>
        <w:t>（歆辰设计集团有限公司）</w:t>
      </w:r>
    </w:p>
    <w:p w14:paraId="40DF67C4">
      <w:pPr>
        <w:adjustRightInd/>
        <w:snapToGrid/>
        <w:spacing w:line="240" w:lineRule="auto"/>
        <w:ind w:firstLine="560"/>
        <w:rPr>
          <w:rFonts w:ascii="Times New Roman" w:hAnsi="Times New Roman" w:eastAsia="宋体" w:cs="Times New Roman"/>
          <w:szCs w:val="20"/>
          <w14:ligatures w14:val="none"/>
        </w:rPr>
        <w:sectPr>
          <w:pgSz w:w="11906" w:h="16838"/>
          <w:pgMar w:top="1701" w:right="1106" w:bottom="1134" w:left="1610" w:header="1191" w:footer="850" w:gutter="0"/>
          <w:cols w:space="720" w:num="1"/>
          <w:docGrid w:type="lines" w:linePitch="312" w:charSpace="0"/>
        </w:sectPr>
      </w:pPr>
    </w:p>
    <w:p w14:paraId="559C8F83">
      <w:pPr>
        <w:spacing w:before="571" w:beforeLines="150" w:after="571" w:afterLines="150"/>
        <w:ind w:firstLine="0" w:firstLineChars="0"/>
        <w:jc w:val="center"/>
        <w:outlineLvl w:val="0"/>
        <w:rPr>
          <w:rFonts w:ascii="Times New Roman" w:hAnsi="Times New Roman" w:eastAsia="黑体" w:cs="Times New Roman"/>
          <w:b/>
          <w:bCs/>
          <w:sz w:val="32"/>
          <w:szCs w:val="32"/>
        </w:rPr>
      </w:pPr>
      <w:bookmarkStart w:id="174" w:name="_Toc13889"/>
      <w:bookmarkStart w:id="175" w:name="_Toc218437785"/>
      <w:bookmarkStart w:id="176" w:name="_Toc21026"/>
      <w:bookmarkStart w:id="177" w:name="_Toc24736"/>
      <w:r>
        <w:rPr>
          <w:rFonts w:ascii="Times New Roman" w:hAnsi="Times New Roman" w:eastAsia="黑体" w:cs="Times New Roman"/>
          <w:b/>
          <w:bCs/>
          <w:sz w:val="32"/>
          <w:szCs w:val="32"/>
        </w:rPr>
        <w:t>附件6相关文件及附图目录</w:t>
      </w:r>
      <w:bookmarkEnd w:id="174"/>
      <w:bookmarkEnd w:id="175"/>
      <w:bookmarkEnd w:id="176"/>
      <w:bookmarkEnd w:id="177"/>
    </w:p>
    <w:p w14:paraId="723A6F1A">
      <w:pPr>
        <w:numPr>
          <w:ilvl w:val="0"/>
          <w:numId w:val="9"/>
        </w:numPr>
        <w:ind w:firstLine="560"/>
        <w:rPr>
          <w:rFonts w:ascii="Times New Roman" w:hAnsi="Times New Roman" w:eastAsia="宋体" w:cs="Times New Roman"/>
          <w:szCs w:val="20"/>
          <w14:ligatures w14:val="none"/>
        </w:rPr>
      </w:pPr>
      <w:r>
        <w:rPr>
          <w:rFonts w:hint="eastAsia" w:ascii="Times New Roman" w:hAnsi="Times New Roman" w:eastAsia="宋体" w:cs="Times New Roman"/>
          <w:szCs w:val="20"/>
          <w14:ligatures w14:val="none"/>
        </w:rPr>
        <w:t>营业执照</w:t>
      </w:r>
    </w:p>
    <w:p w14:paraId="46C52278">
      <w:pPr>
        <w:numPr>
          <w:ilvl w:val="0"/>
          <w:numId w:val="9"/>
        </w:numPr>
        <w:ind w:firstLine="560"/>
        <w:rPr>
          <w:rFonts w:ascii="Times New Roman" w:hAnsi="Times New Roman" w:eastAsia="宋体" w:cs="Times New Roman"/>
          <w:szCs w:val="20"/>
          <w14:ligatures w14:val="none"/>
        </w:rPr>
      </w:pPr>
      <w:r>
        <w:rPr>
          <w:rFonts w:hint="eastAsia" w:ascii="Times New Roman" w:hAnsi="Times New Roman" w:eastAsia="宋体" w:cs="Times New Roman"/>
          <w:szCs w:val="20"/>
          <w14:ligatures w14:val="none"/>
        </w:rPr>
        <w:t>项目备案证明</w:t>
      </w:r>
    </w:p>
    <w:p w14:paraId="2F7831A6">
      <w:pPr>
        <w:numPr>
          <w:ilvl w:val="0"/>
          <w:numId w:val="9"/>
        </w:numPr>
        <w:ind w:firstLine="560"/>
        <w:rPr>
          <w:rFonts w:ascii="Times New Roman" w:hAnsi="Times New Roman" w:eastAsia="宋体" w:cs="Times New Roman"/>
          <w:szCs w:val="20"/>
          <w14:ligatures w14:val="none"/>
        </w:rPr>
      </w:pPr>
      <w:r>
        <w:rPr>
          <w:rFonts w:hint="eastAsia" w:ascii="Times New Roman" w:hAnsi="Times New Roman" w:eastAsia="宋体" w:cs="Times New Roman"/>
          <w:szCs w:val="20"/>
          <w14:ligatures w14:val="none"/>
        </w:rPr>
        <w:t>不动产权证明</w:t>
      </w:r>
    </w:p>
    <w:p w14:paraId="6324B4B6">
      <w:pPr>
        <w:numPr>
          <w:ilvl w:val="0"/>
          <w:numId w:val="9"/>
        </w:numPr>
        <w:ind w:firstLine="560"/>
        <w:rPr>
          <w:rFonts w:ascii="Times New Roman" w:hAnsi="Times New Roman" w:eastAsia="宋体" w:cs="Times New Roman"/>
          <w:szCs w:val="20"/>
          <w:highlight w:val="none"/>
          <w14:ligatures w14:val="none"/>
        </w:rPr>
      </w:pPr>
      <w:r>
        <w:rPr>
          <w:rFonts w:hint="eastAsia" w:ascii="Times New Roman" w:hAnsi="Times New Roman" w:eastAsia="宋体" w:cs="Times New Roman"/>
          <w:szCs w:val="20"/>
          <w:highlight w:val="none"/>
          <w14:ligatures w14:val="none"/>
        </w:rPr>
        <w:t>设计单位、施工单位资质证书</w:t>
      </w:r>
    </w:p>
    <w:p w14:paraId="1235A335">
      <w:pPr>
        <w:numPr>
          <w:ilvl w:val="0"/>
          <w:numId w:val="9"/>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危险化学品建设项目安全条件审查意见书</w:t>
      </w:r>
    </w:p>
    <w:p w14:paraId="2EC2E0C0">
      <w:pPr>
        <w:numPr>
          <w:ilvl w:val="0"/>
          <w:numId w:val="9"/>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危险化学品建设项目安全设施设计审查意见书</w:t>
      </w:r>
    </w:p>
    <w:p w14:paraId="0534FDF2">
      <w:pPr>
        <w:numPr>
          <w:ilvl w:val="0"/>
          <w:numId w:val="9"/>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主要负责人和安全管理人员</w:t>
      </w:r>
      <w:r>
        <w:rPr>
          <w:rFonts w:hint="eastAsia" w:ascii="Times New Roman" w:hAnsi="Times New Roman" w:eastAsia="宋体" w:cs="Times New Roman"/>
          <w:szCs w:val="20"/>
          <w14:ligatures w14:val="none"/>
        </w:rPr>
        <w:t>任命文件</w:t>
      </w:r>
    </w:p>
    <w:p w14:paraId="06F053CC">
      <w:pPr>
        <w:numPr>
          <w:ilvl w:val="0"/>
          <w:numId w:val="9"/>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主要负责人和安全管理人员</w:t>
      </w:r>
      <w:r>
        <w:rPr>
          <w:rFonts w:hint="eastAsia" w:ascii="Times New Roman" w:hAnsi="Times New Roman" w:eastAsia="宋体" w:cs="Times New Roman"/>
          <w:szCs w:val="20"/>
          <w14:ligatures w14:val="none"/>
        </w:rPr>
        <w:t>安全资格证书</w:t>
      </w:r>
    </w:p>
    <w:p w14:paraId="5CA0BD41">
      <w:pPr>
        <w:numPr>
          <w:ilvl w:val="0"/>
          <w:numId w:val="9"/>
        </w:numPr>
        <w:ind w:firstLine="560"/>
        <w:rPr>
          <w:rFonts w:ascii="Times New Roman" w:hAnsi="Times New Roman" w:eastAsia="宋体" w:cs="Times New Roman"/>
          <w:szCs w:val="20"/>
          <w14:ligatures w14:val="none"/>
        </w:rPr>
      </w:pPr>
      <w:r>
        <w:rPr>
          <w:rFonts w:hint="eastAsia" w:ascii="Times New Roman" w:hAnsi="Times New Roman" w:eastAsia="宋体" w:cs="Times New Roman"/>
          <w:szCs w:val="20"/>
          <w14:ligatures w14:val="none"/>
        </w:rPr>
        <w:t>从业人员培训证明</w:t>
      </w:r>
    </w:p>
    <w:p w14:paraId="5CFED85F">
      <w:pPr>
        <w:numPr>
          <w:ilvl w:val="0"/>
          <w:numId w:val="9"/>
        </w:numPr>
        <w:ind w:firstLine="560"/>
        <w:rPr>
          <w:rFonts w:ascii="Times New Roman" w:hAnsi="Times New Roman" w:eastAsia="宋体" w:cs="Times New Roman"/>
          <w:szCs w:val="20"/>
          <w:highlight w:val="none"/>
          <w14:ligatures w14:val="none"/>
        </w:rPr>
      </w:pPr>
      <w:r>
        <w:rPr>
          <w:rFonts w:hint="eastAsia" w:ascii="Times New Roman" w:hAnsi="Times New Roman" w:eastAsia="宋体" w:cs="Times New Roman"/>
          <w:szCs w:val="20"/>
          <w:highlight w:val="none"/>
          <w14:ligatures w14:val="none"/>
        </w:rPr>
        <w:t>双层罐合格证</w:t>
      </w:r>
    </w:p>
    <w:p w14:paraId="37BF9BD7">
      <w:pPr>
        <w:numPr>
          <w:ilvl w:val="0"/>
          <w:numId w:val="9"/>
        </w:numPr>
        <w:ind w:firstLine="560"/>
        <w:rPr>
          <w:rFonts w:ascii="Times New Roman" w:hAnsi="Times New Roman" w:eastAsia="宋体" w:cs="Times New Roman"/>
          <w:szCs w:val="20"/>
          <w14:ligatures w14:val="none"/>
        </w:rPr>
      </w:pPr>
      <w:r>
        <w:rPr>
          <w:rFonts w:hint="eastAsia" w:ascii="Times New Roman" w:hAnsi="Times New Roman" w:eastAsia="宋体" w:cs="Times New Roman"/>
          <w:szCs w:val="20"/>
          <w14:ligatures w14:val="none"/>
        </w:rPr>
        <w:t>防雷</w:t>
      </w:r>
      <w:r>
        <w:rPr>
          <w:rFonts w:ascii="Times New Roman" w:hAnsi="Times New Roman" w:eastAsia="宋体" w:cs="Times New Roman"/>
          <w:szCs w:val="20"/>
          <w14:ligatures w14:val="none"/>
        </w:rPr>
        <w:t>装置</w:t>
      </w:r>
      <w:r>
        <w:rPr>
          <w:rFonts w:hint="eastAsia" w:ascii="Times New Roman" w:hAnsi="Times New Roman" w:eastAsia="宋体" w:cs="Times New Roman"/>
          <w:szCs w:val="20"/>
          <w14:ligatures w14:val="none"/>
        </w:rPr>
        <w:t>安全</w:t>
      </w:r>
      <w:r>
        <w:rPr>
          <w:rFonts w:ascii="Times New Roman" w:hAnsi="Times New Roman" w:eastAsia="宋体" w:cs="Times New Roman"/>
          <w:szCs w:val="20"/>
          <w14:ligatures w14:val="none"/>
        </w:rPr>
        <w:t>检测报告</w:t>
      </w:r>
    </w:p>
    <w:p w14:paraId="18200167">
      <w:pPr>
        <w:numPr>
          <w:ilvl w:val="0"/>
          <w:numId w:val="9"/>
        </w:numPr>
        <w:ind w:firstLine="560"/>
        <w:rPr>
          <w:rFonts w:ascii="Times New Roman" w:hAnsi="Times New Roman" w:eastAsia="宋体" w:cs="Times New Roman"/>
          <w:szCs w:val="20"/>
          <w14:ligatures w14:val="none"/>
        </w:rPr>
      </w:pPr>
      <w:r>
        <w:rPr>
          <w:rFonts w:ascii="Times New Roman" w:hAnsi="Times New Roman" w:eastAsia="宋体" w:cs="Times New Roman"/>
          <w:szCs w:val="28"/>
          <w14:ligatures w14:val="none"/>
        </w:rPr>
        <w:t>安全管理责任制、安全管理制度及安全操作规程清单</w:t>
      </w:r>
    </w:p>
    <w:p w14:paraId="34B20C40">
      <w:pPr>
        <w:numPr>
          <w:ilvl w:val="0"/>
          <w:numId w:val="9"/>
        </w:numPr>
        <w:ind w:firstLine="560"/>
        <w:rPr>
          <w:rFonts w:ascii="Times New Roman" w:hAnsi="Times New Roman" w:eastAsia="宋体" w:cs="Times New Roman"/>
          <w:szCs w:val="20"/>
          <w14:ligatures w14:val="none"/>
        </w:rPr>
      </w:pPr>
      <w:r>
        <w:rPr>
          <w:rFonts w:ascii="Times New Roman" w:hAnsi="Times New Roman" w:eastAsia="宋体" w:cs="Times New Roman"/>
          <w:szCs w:val="20"/>
          <w14:ligatures w14:val="none"/>
        </w:rPr>
        <w:t>生产安全事故应急预案备案登记表</w:t>
      </w:r>
    </w:p>
    <w:p w14:paraId="07FC37DC">
      <w:pPr>
        <w:numPr>
          <w:ilvl w:val="0"/>
          <w:numId w:val="9"/>
        </w:numPr>
        <w:ind w:firstLine="560"/>
        <w:rPr>
          <w:rFonts w:ascii="Times New Roman" w:hAnsi="Times New Roman" w:eastAsia="宋体" w:cs="Times New Roman"/>
          <w:szCs w:val="20"/>
          <w:highlight w:val="none"/>
          <w14:ligatures w14:val="none"/>
        </w:rPr>
      </w:pPr>
      <w:r>
        <w:rPr>
          <w:rFonts w:hint="eastAsia" w:ascii="Times New Roman" w:hAnsi="Times New Roman" w:eastAsia="宋体" w:cs="Times New Roman"/>
          <w:szCs w:val="20"/>
          <w:highlight w:val="none"/>
          <w14:ligatures w14:val="none"/>
        </w:rPr>
        <w:t>应急救援物资配备清单</w:t>
      </w:r>
    </w:p>
    <w:p w14:paraId="71F7B7DA">
      <w:pPr>
        <w:numPr>
          <w:ilvl w:val="0"/>
          <w:numId w:val="9"/>
        </w:numPr>
        <w:ind w:firstLine="560"/>
        <w:rPr>
          <w:rFonts w:ascii="Times New Roman" w:hAnsi="Times New Roman" w:eastAsia="宋体" w:cs="Times New Roman"/>
          <w:szCs w:val="20"/>
          <w:highlight w:val="none"/>
          <w14:ligatures w14:val="none"/>
        </w:rPr>
      </w:pPr>
      <w:r>
        <w:rPr>
          <w:rFonts w:ascii="Times New Roman" w:hAnsi="Times New Roman" w:eastAsia="宋体" w:cs="Times New Roman"/>
          <w:szCs w:val="20"/>
          <w:highlight w:val="none"/>
          <w14:ligatures w14:val="none"/>
        </w:rPr>
        <w:t>应急演练记录</w:t>
      </w:r>
      <w:r>
        <w:rPr>
          <w:rFonts w:hint="eastAsia" w:ascii="Times New Roman" w:hAnsi="Times New Roman" w:eastAsia="宋体" w:cs="Times New Roman"/>
          <w:szCs w:val="20"/>
          <w:highlight w:val="none"/>
          <w14:ligatures w14:val="none"/>
        </w:rPr>
        <w:t>及照片</w:t>
      </w:r>
    </w:p>
    <w:p w14:paraId="107C181A">
      <w:pPr>
        <w:numPr>
          <w:ilvl w:val="0"/>
          <w:numId w:val="9"/>
        </w:numPr>
        <w:ind w:firstLine="560"/>
        <w:rPr>
          <w:rFonts w:ascii="Times New Roman" w:hAnsi="Times New Roman" w:eastAsia="宋体" w:cs="Times New Roman"/>
          <w:szCs w:val="20"/>
          <w:highlight w:val="none"/>
          <w14:ligatures w14:val="none"/>
        </w:rPr>
      </w:pPr>
      <w:r>
        <w:rPr>
          <w:rFonts w:hint="eastAsia" w:ascii="Times New Roman" w:hAnsi="Times New Roman" w:eastAsia="宋体" w:cs="Times New Roman"/>
          <w:szCs w:val="20"/>
          <w:highlight w:val="none"/>
          <w14:ligatures w14:val="none"/>
        </w:rPr>
        <w:t>劳动防护用品发放记录</w:t>
      </w:r>
    </w:p>
    <w:p w14:paraId="07776A1D">
      <w:pPr>
        <w:numPr>
          <w:ilvl w:val="0"/>
          <w:numId w:val="9"/>
        </w:numPr>
        <w:ind w:firstLine="560"/>
        <w:rPr>
          <w:rFonts w:ascii="Times New Roman" w:hAnsi="Times New Roman" w:eastAsia="宋体" w:cs="Times New Roman"/>
          <w:szCs w:val="20"/>
          <w:highlight w:val="none"/>
          <w14:ligatures w14:val="none"/>
        </w:rPr>
      </w:pPr>
      <w:r>
        <w:rPr>
          <w:rFonts w:hint="eastAsia" w:ascii="Times New Roman" w:hAnsi="Times New Roman" w:eastAsia="宋体" w:cs="Times New Roman"/>
          <w:szCs w:val="20"/>
          <w:highlight w:val="none"/>
          <w14:ligatures w14:val="none"/>
        </w:rPr>
        <w:t>工伤保险证明</w:t>
      </w:r>
    </w:p>
    <w:p w14:paraId="47552A98">
      <w:pPr>
        <w:numPr>
          <w:ilvl w:val="0"/>
          <w:numId w:val="9"/>
        </w:numPr>
        <w:ind w:firstLine="560"/>
        <w:rPr>
          <w:rFonts w:ascii="Times New Roman" w:hAnsi="Times New Roman" w:eastAsia="宋体" w:cs="Times New Roman"/>
          <w:szCs w:val="20"/>
          <w:highlight w:val="none"/>
          <w14:ligatures w14:val="none"/>
        </w:rPr>
      </w:pPr>
      <w:r>
        <w:rPr>
          <w:rFonts w:ascii="Times New Roman" w:hAnsi="Times New Roman" w:eastAsia="宋体" w:cs="Times New Roman"/>
          <w:szCs w:val="20"/>
          <w:highlight w:val="none"/>
          <w14:ligatures w14:val="none"/>
        </w:rPr>
        <w:t>安全生产责任险缴费证明</w:t>
      </w:r>
    </w:p>
    <w:p w14:paraId="1CFF77F8">
      <w:pPr>
        <w:numPr>
          <w:ilvl w:val="0"/>
          <w:numId w:val="9"/>
        </w:numPr>
        <w:ind w:firstLine="560"/>
        <w:rPr>
          <w:rFonts w:ascii="Times New Roman" w:hAnsi="Times New Roman" w:eastAsia="宋体" w:cs="Times New Roman"/>
          <w:szCs w:val="20"/>
          <w:highlight w:val="none"/>
          <w14:ligatures w14:val="none"/>
        </w:rPr>
      </w:pPr>
      <w:r>
        <w:rPr>
          <w:rFonts w:hint="eastAsia" w:ascii="Times New Roman" w:hAnsi="Times New Roman" w:eastAsia="宋体" w:cs="Times New Roman"/>
          <w:szCs w:val="20"/>
          <w:highlight w:val="none"/>
          <w14:ligatures w14:val="none"/>
        </w:rPr>
        <w:t>工程竣工验收表</w:t>
      </w:r>
    </w:p>
    <w:p w14:paraId="5E4FA9EF">
      <w:pPr>
        <w:numPr>
          <w:ilvl w:val="0"/>
          <w:numId w:val="9"/>
        </w:numPr>
        <w:ind w:firstLine="560"/>
        <w:rPr>
          <w:rFonts w:ascii="Times New Roman" w:hAnsi="Times New Roman" w:eastAsia="宋体" w:cs="Times New Roman"/>
          <w:szCs w:val="20"/>
          <w:highlight w:val="none"/>
          <w14:ligatures w14:val="none"/>
        </w:rPr>
      </w:pPr>
      <w:r>
        <w:rPr>
          <w:rFonts w:hint="eastAsia" w:ascii="Times New Roman" w:hAnsi="Times New Roman" w:eastAsia="宋体" w:cs="Times New Roman"/>
          <w:szCs w:val="20"/>
          <w:highlight w:val="none"/>
          <w14:ligatures w14:val="none"/>
        </w:rPr>
        <w:t>自控系统调试记录</w:t>
      </w:r>
    </w:p>
    <w:p w14:paraId="508B34BA">
      <w:pPr>
        <w:numPr>
          <w:ilvl w:val="0"/>
          <w:numId w:val="9"/>
        </w:numPr>
        <w:ind w:firstLine="560"/>
        <w:rPr>
          <w:rFonts w:ascii="Times New Roman" w:hAnsi="Times New Roman" w:eastAsia="宋体" w:cs="Times New Roman"/>
          <w:szCs w:val="20"/>
          <w:highlight w:val="none"/>
          <w14:ligatures w14:val="none"/>
        </w:rPr>
      </w:pPr>
      <w:r>
        <w:rPr>
          <w:rFonts w:ascii="Times New Roman" w:hAnsi="Times New Roman" w:eastAsia="宋体" w:cs="Times New Roman"/>
          <w:szCs w:val="20"/>
          <w:highlight w:val="none"/>
          <w14:ligatures w14:val="none"/>
        </w:rPr>
        <w:t>总平面布置图</w:t>
      </w:r>
    </w:p>
    <w:p w14:paraId="23640654">
      <w:pPr>
        <w:numPr>
          <w:ilvl w:val="0"/>
          <w:numId w:val="9"/>
        </w:numPr>
        <w:ind w:firstLine="560"/>
        <w:rPr>
          <w:rFonts w:ascii="Times New Roman" w:hAnsi="Times New Roman" w:eastAsia="宋体" w:cs="Times New Roman"/>
          <w:szCs w:val="20"/>
          <w:highlight w:val="none"/>
          <w14:ligatures w14:val="none"/>
        </w:rPr>
      </w:pPr>
      <w:r>
        <w:rPr>
          <w:rFonts w:ascii="Times New Roman" w:hAnsi="Times New Roman" w:eastAsia="宋体" w:cs="Times New Roman"/>
          <w:szCs w:val="20"/>
          <w:highlight w:val="none"/>
          <w14:ligatures w14:val="none"/>
        </w:rPr>
        <w:t>工艺流程图</w:t>
      </w:r>
    </w:p>
    <w:p w14:paraId="5EB0A805">
      <w:pPr>
        <w:numPr>
          <w:ilvl w:val="0"/>
          <w:numId w:val="9"/>
        </w:numPr>
        <w:ind w:firstLine="560"/>
        <w:rPr>
          <w:rFonts w:ascii="Times New Roman" w:hAnsi="Times New Roman" w:eastAsia="宋体" w:cs="Times New Roman"/>
          <w:szCs w:val="20"/>
          <w:highlight w:val="none"/>
          <w14:ligatures w14:val="none"/>
        </w:rPr>
      </w:pPr>
      <w:r>
        <w:rPr>
          <w:rFonts w:ascii="Times New Roman" w:hAnsi="Times New Roman" w:eastAsia="宋体" w:cs="Times New Roman"/>
          <w:szCs w:val="20"/>
          <w:highlight w:val="none"/>
          <w14:ligatures w14:val="none"/>
        </w:rPr>
        <w:t>爆炸危险区域划分图</w:t>
      </w:r>
    </w:p>
    <w:p w14:paraId="7AFA63C3">
      <w:pPr>
        <w:numPr>
          <w:ilvl w:val="0"/>
          <w:numId w:val="9"/>
        </w:numPr>
        <w:ind w:firstLine="560"/>
        <w:rPr>
          <w:rFonts w:ascii="Times New Roman" w:hAnsi="Times New Roman" w:eastAsia="宋体" w:cs="Times New Roman"/>
          <w:szCs w:val="20"/>
          <w:highlight w:val="none"/>
          <w14:ligatures w14:val="none"/>
        </w:rPr>
      </w:pPr>
      <w:r>
        <w:rPr>
          <w:rFonts w:hint="eastAsia" w:ascii="Times New Roman" w:hAnsi="Times New Roman" w:eastAsia="宋体" w:cs="Times New Roman"/>
          <w:szCs w:val="20"/>
          <w:highlight w:val="none"/>
          <w:lang w:val="en-US" w:eastAsia="zh-CN"/>
          <w14:ligatures w14:val="none"/>
        </w:rPr>
        <w:t>评审意见</w:t>
      </w:r>
    </w:p>
    <w:p w14:paraId="08C94E36">
      <w:pPr>
        <w:numPr>
          <w:ilvl w:val="0"/>
          <w:numId w:val="9"/>
        </w:numPr>
        <w:ind w:firstLine="560"/>
        <w:rPr>
          <w:rFonts w:ascii="Times New Roman" w:hAnsi="Times New Roman" w:eastAsia="宋体" w:cs="Times New Roman"/>
          <w:szCs w:val="20"/>
          <w:highlight w:val="none"/>
          <w14:ligatures w14:val="none"/>
        </w:rPr>
      </w:pPr>
      <w:r>
        <w:rPr>
          <w:rFonts w:hint="eastAsia" w:ascii="Times New Roman" w:hAnsi="Times New Roman" w:eastAsia="宋体" w:cs="Times New Roman"/>
          <w:szCs w:val="20"/>
          <w:highlight w:val="none"/>
          <w:lang w:val="en-US" w:eastAsia="zh-CN"/>
          <w14:ligatures w14:val="none"/>
        </w:rPr>
        <w:t>报告修改说明</w:t>
      </w:r>
    </w:p>
    <w:p w14:paraId="38E65FBB">
      <w:pPr>
        <w:numPr>
          <w:ilvl w:val="0"/>
          <w:numId w:val="0"/>
        </w:numPr>
        <w:rPr>
          <w:rFonts w:ascii="Times New Roman" w:hAnsi="Times New Roman" w:eastAsia="宋体" w:cs="Times New Roman"/>
          <w:szCs w:val="20"/>
          <w14:ligatures w14:val="none"/>
        </w:rPr>
      </w:pPr>
    </w:p>
    <w:sectPr>
      <w:pgSz w:w="11906" w:h="16838"/>
      <w:pgMar w:top="1418" w:right="1134" w:bottom="1134" w:left="1588" w:header="851" w:footer="992"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Cambria Math">
    <w:panose1 w:val="02040503050406030204"/>
    <w:charset w:val="00"/>
    <w:family w:val="roman"/>
    <w:pitch w:val="default"/>
    <w:sig w:usb0="E00006FF" w:usb1="420024FF" w:usb2="02000000" w:usb3="00000000" w:csb0="2000019F" w:csb1="00000000"/>
  </w:font>
  <w:font w:name="Tw Cen MT Condensed Extra Bold">
    <w:altName w:val="Yu Gothic UI Semibold"/>
    <w:panose1 w:val="020B0803020202020204"/>
    <w:charset w:val="00"/>
    <w:family w:val="swiss"/>
    <w:pitch w:val="default"/>
    <w:sig w:usb0="00000000" w:usb1="00000000" w:usb2="00000000" w:usb3="00000000" w:csb0="00000003" w:csb1="00000000"/>
  </w:font>
  <w:font w:name="Yu Gothic UI Semibold">
    <w:panose1 w:val="020B0700000000000000"/>
    <w:charset w:val="80"/>
    <w:family w:val="auto"/>
    <w:pitch w:val="default"/>
    <w:sig w:usb0="E00002FF" w:usb1="2AC7FDFF" w:usb2="00000016" w:usb3="00000000" w:csb0="200200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1BDDF">
    <w:pPr>
      <w:pStyle w:val="2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B04E3">
    <w:pPr>
      <w:pStyle w:val="2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CFF71">
    <w:pPr>
      <w:pStyle w:val="2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E0476">
    <w:pPr>
      <w:pStyle w:val="21"/>
      <w:pBdr>
        <w:top w:val="single" w:color="auto" w:sz="4" w:space="1"/>
      </w:pBdr>
      <w:ind w:firstLine="0" w:firstLineChars="0"/>
      <w:rPr>
        <w:rFonts w:ascii="Times New Roman" w:hAnsi="Times New Roman" w:eastAsia="楷体" w:cs="Times New Roman"/>
        <w:sz w:val="21"/>
        <w:szCs w:val="21"/>
      </w:rPr>
    </w:pPr>
    <w:r>
      <w:rPr>
        <w:rFonts w:ascii="Times New Roman" w:hAnsi="Times New Roman" w:eastAsia="楷体" w:cs="Times New Roman"/>
        <w:sz w:val="21"/>
        <w:szCs w:val="21"/>
        <w14:ligatures w14:val="none"/>
      </w:rPr>
      <w:drawing>
        <wp:inline distT="0" distB="0" distL="114300" distR="114300">
          <wp:extent cx="361315" cy="136525"/>
          <wp:effectExtent l="0" t="0" r="0" b="15875"/>
          <wp:docPr id="2121421224"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21224" name="图片 1"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Pr>
        <w:rFonts w:ascii="Times New Roman" w:hAnsi="Times New Roman" w:eastAsia="楷体" w:cs="Times New Roman"/>
        <w:sz w:val="21"/>
        <w:szCs w:val="21"/>
      </w:rPr>
      <w:t>辽宁诺诚安全科技有限公司</w:t>
    </w:r>
    <w:r>
      <w:rPr>
        <w:rFonts w:ascii="Times New Roman" w:hAnsi="Times New Roman" w:eastAsia="楷体" w:cs="Times New Roman"/>
        <w:sz w:val="21"/>
        <w:szCs w:val="21"/>
      </w:rPr>
      <w:ptab w:relativeTo="margin" w:alignment="center" w:leader="none"/>
    </w:r>
    <w:r>
      <w:rPr>
        <w:rFonts w:ascii="Times New Roman" w:hAnsi="Times New Roman" w:eastAsia="楷体" w:cs="Times New Roman"/>
        <w:sz w:val="21"/>
        <w:szCs w:val="21"/>
      </w:rPr>
      <w:ptab w:relativeTo="margin" w:alignment="right" w:leader="none"/>
    </w:r>
    <w:r>
      <w:rPr>
        <w:rFonts w:ascii="Times New Roman" w:hAnsi="Times New Roman" w:eastAsia="楷体" w:cs="Times New Roman"/>
        <w:sz w:val="21"/>
        <w:szCs w:val="21"/>
      </w:rPr>
      <w:fldChar w:fldCharType="begin"/>
    </w:r>
    <w:r>
      <w:rPr>
        <w:rFonts w:ascii="Times New Roman" w:hAnsi="Times New Roman" w:eastAsia="楷体" w:cs="Times New Roman"/>
        <w:sz w:val="21"/>
        <w:szCs w:val="21"/>
      </w:rPr>
      <w:instrText xml:space="preserve">PAGE   \* MERGEFORMAT</w:instrText>
    </w:r>
    <w:r>
      <w:rPr>
        <w:rFonts w:ascii="Times New Roman" w:hAnsi="Times New Roman" w:eastAsia="楷体" w:cs="Times New Roman"/>
        <w:sz w:val="21"/>
        <w:szCs w:val="21"/>
      </w:rPr>
      <w:fldChar w:fldCharType="separate"/>
    </w:r>
    <w:r>
      <w:rPr>
        <w:rFonts w:ascii="Times New Roman" w:hAnsi="Times New Roman" w:eastAsia="楷体" w:cs="Times New Roman"/>
        <w:sz w:val="21"/>
        <w:szCs w:val="21"/>
        <w:lang w:val="zh-CN"/>
      </w:rPr>
      <w:t>1</w:t>
    </w:r>
    <w:r>
      <w:rPr>
        <w:rFonts w:ascii="Times New Roman" w:hAnsi="Times New Roman" w:eastAsia="楷体" w:cs="Times New Roman"/>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560"/>
      </w:pPr>
      <w:r>
        <w:separator/>
      </w:r>
    </w:p>
  </w:footnote>
  <w:footnote w:type="continuationSeparator" w:id="1">
    <w:p>
      <w:pPr>
        <w:spacing w:before="0" w:after="0"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26AE2">
    <w:pPr>
      <w:pStyle w:val="2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B5FF4">
    <w:pPr>
      <w:pStyle w:val="2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676C6">
    <w:pPr>
      <w:pStyle w:val="22"/>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8DD28">
    <w:pPr>
      <w:pStyle w:val="22"/>
      <w:pBdr>
        <w:bottom w:val="single" w:color="auto" w:sz="4" w:space="1"/>
      </w:pBdr>
      <w:ind w:firstLine="0" w:firstLineChars="0"/>
      <w:rPr>
        <w:rFonts w:hint="eastAsia" w:ascii="楷体" w:hAnsi="楷体" w:eastAsia="楷体"/>
        <w:sz w:val="21"/>
        <w:szCs w:val="21"/>
      </w:rPr>
    </w:pPr>
    <w:r>
      <w:rPr>
        <w:rFonts w:hint="eastAsia" w:ascii="楷体" w:hAnsi="楷体" w:eastAsia="楷体"/>
        <w:sz w:val="21"/>
        <w:szCs w:val="21"/>
        <w:lang w:eastAsia="zh-CN"/>
      </w:rPr>
      <w:t>沈阳市于洪区大兴乡星火特加油站</w:t>
    </w:r>
    <w:r>
      <w:rPr>
        <w:rFonts w:hint="eastAsia" w:ascii="楷体" w:hAnsi="楷体" w:eastAsia="楷体"/>
        <w:sz w:val="21"/>
        <w:szCs w:val="21"/>
        <w:lang w:val="en-US" w:eastAsia="zh-CN"/>
      </w:rPr>
      <w:t>罐区增容改造</w:t>
    </w:r>
    <w:r>
      <w:rPr>
        <w:rFonts w:ascii="楷体" w:hAnsi="楷体" w:eastAsia="楷体"/>
        <w:sz w:val="21"/>
        <w:szCs w:val="21"/>
      </w:rPr>
      <w:t>项目</w:t>
    </w:r>
    <w:r>
      <w:rPr>
        <w:rFonts w:hint="eastAsia" w:ascii="楷体" w:hAnsi="楷体" w:eastAsia="楷体"/>
        <w:sz w:val="21"/>
        <w:szCs w:val="21"/>
      </w:rPr>
      <w:t>安全设施竣工验收安全评价报告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390F9A"/>
    <w:multiLevelType w:val="singleLevel"/>
    <w:tmpl w:val="ED390F9A"/>
    <w:lvl w:ilvl="0" w:tentative="0">
      <w:start w:val="1"/>
      <w:numFmt w:val="decimal"/>
      <w:suff w:val="nothing"/>
      <w:lvlText w:val="（%1）"/>
      <w:lvlJc w:val="left"/>
    </w:lvl>
  </w:abstractNum>
  <w:abstractNum w:abstractNumId="1">
    <w:nsid w:val="01DB6C72"/>
    <w:multiLevelType w:val="multilevel"/>
    <w:tmpl w:val="01DB6C72"/>
    <w:lvl w:ilvl="0" w:tentative="0">
      <w:start w:val="1"/>
      <w:numFmt w:val="decimal"/>
      <w:suff w:val="nothing"/>
      <w:lvlText w:val="（%1）"/>
      <w:lvlJc w:val="left"/>
      <w:pPr>
        <w:ind w:left="1000" w:hanging="440"/>
      </w:pPr>
      <w:rPr>
        <w:rFonts w:hint="eastAsia"/>
      </w:rPr>
    </w:lvl>
    <w:lvl w:ilvl="1" w:tentative="0">
      <w:start w:val="1"/>
      <w:numFmt w:val="decimalEnclosedCircle"/>
      <w:lvlText w:val="%2"/>
      <w:lvlJc w:val="left"/>
      <w:pPr>
        <w:ind w:left="1360" w:hanging="360"/>
      </w:pPr>
      <w:rPr>
        <w:rFonts w:hint="default" w:ascii="宋体" w:hAnsi="宋体"/>
      </w:r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2">
    <w:nsid w:val="02122C4C"/>
    <w:multiLevelType w:val="multilevel"/>
    <w:tmpl w:val="02122C4C"/>
    <w:lvl w:ilvl="0" w:tentative="0">
      <w:start w:val="1"/>
      <w:numFmt w:val="decimal"/>
      <w:suff w:val="nothing"/>
      <w:lvlText w:val="（%1）"/>
      <w:lvlJc w:val="left"/>
      <w:pPr>
        <w:ind w:left="1000" w:hanging="440"/>
      </w:pPr>
      <w:rPr>
        <w:rFonts w:hint="eastAsia"/>
      </w:rPr>
    </w:lvl>
    <w:lvl w:ilvl="1" w:tentative="0">
      <w:start w:val="1"/>
      <w:numFmt w:val="decimalEnclosedCircle"/>
      <w:lvlText w:val="%2"/>
      <w:lvlJc w:val="left"/>
      <w:pPr>
        <w:ind w:left="1360" w:hanging="360"/>
      </w:pPr>
      <w:rPr>
        <w:rFonts w:hint="default"/>
      </w:r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3">
    <w:nsid w:val="0AEB9E36"/>
    <w:multiLevelType w:val="singleLevel"/>
    <w:tmpl w:val="0AEB9E36"/>
    <w:lvl w:ilvl="0" w:tentative="0">
      <w:start w:val="1"/>
      <w:numFmt w:val="decimal"/>
      <w:suff w:val="nothing"/>
      <w:lvlText w:val="（%1）"/>
      <w:lvlJc w:val="left"/>
    </w:lvl>
  </w:abstractNum>
  <w:abstractNum w:abstractNumId="4">
    <w:nsid w:val="1150624F"/>
    <w:multiLevelType w:val="multilevel"/>
    <w:tmpl w:val="1150624F"/>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193CE505"/>
    <w:multiLevelType w:val="singleLevel"/>
    <w:tmpl w:val="193CE505"/>
    <w:lvl w:ilvl="0" w:tentative="0">
      <w:start w:val="1"/>
      <w:numFmt w:val="decimal"/>
      <w:suff w:val="nothing"/>
      <w:lvlText w:val="（%1）"/>
      <w:lvlJc w:val="left"/>
    </w:lvl>
  </w:abstractNum>
  <w:abstractNum w:abstractNumId="6">
    <w:nsid w:val="22D20988"/>
    <w:multiLevelType w:val="multilevel"/>
    <w:tmpl w:val="22D20988"/>
    <w:lvl w:ilvl="0" w:tentative="0">
      <w:start w:val="1"/>
      <w:numFmt w:val="decimal"/>
      <w:suff w:val="nothing"/>
      <w:lvlText w:val="（%1）"/>
      <w:lvlJc w:val="left"/>
      <w:pPr>
        <w:ind w:left="1000" w:hanging="440"/>
      </w:pPr>
      <w:rPr>
        <w:rFonts w:hint="eastAsia"/>
      </w:rPr>
    </w:lvl>
    <w:lvl w:ilvl="1" w:tentative="0">
      <w:start w:val="1"/>
      <w:numFmt w:val="decimalEnclosedCircle"/>
      <w:lvlText w:val="%2"/>
      <w:lvlJc w:val="left"/>
      <w:pPr>
        <w:ind w:left="1360" w:hanging="360"/>
      </w:pPr>
      <w:rPr>
        <w:rFonts w:hint="default"/>
      </w:r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7">
    <w:nsid w:val="613B62C2"/>
    <w:multiLevelType w:val="multilevel"/>
    <w:tmpl w:val="613B62C2"/>
    <w:lvl w:ilvl="0" w:tentative="0">
      <w:start w:val="1"/>
      <w:numFmt w:val="decimal"/>
      <w:suff w:val="nothing"/>
      <w:lvlText w:val="%1"/>
      <w:lvlJc w:val="left"/>
      <w:pPr>
        <w:ind w:left="420" w:hanging="420"/>
      </w:pPr>
      <w:rPr>
        <w:rFonts w:hint="default" w:ascii="Times New Roman" w:hAnsi="Times New Roman"/>
        <w:sz w:val="21"/>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8">
    <w:nsid w:val="7B0B1EED"/>
    <w:multiLevelType w:val="multilevel"/>
    <w:tmpl w:val="7B0B1EED"/>
    <w:lvl w:ilvl="0" w:tentative="0">
      <w:start w:val="1"/>
      <w:numFmt w:val="decimal"/>
      <w:suff w:val="nothing"/>
      <w:lvlText w:val="（%1）"/>
      <w:lvlJc w:val="left"/>
      <w:pPr>
        <w:ind w:left="1000" w:hanging="440"/>
      </w:pPr>
      <w:rPr>
        <w:rFonts w:hint="eastAsia"/>
      </w:rPr>
    </w:lvl>
    <w:lvl w:ilvl="1" w:tentative="0">
      <w:start w:val="1"/>
      <w:numFmt w:val="decimalEnclosedCircle"/>
      <w:lvlText w:val="%2"/>
      <w:lvlJc w:val="left"/>
      <w:pPr>
        <w:ind w:left="1360" w:hanging="360"/>
      </w:pPr>
      <w:rPr>
        <w:rFonts w:hint="default" w:ascii="宋体" w:hAnsi="宋体"/>
      </w:r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5"/>
  </w:num>
  <w:num w:numId="2">
    <w:abstractNumId w:val="4"/>
  </w:num>
  <w:num w:numId="3">
    <w:abstractNumId w:val="7"/>
  </w:num>
  <w:num w:numId="4">
    <w:abstractNumId w:val="1"/>
  </w:num>
  <w:num w:numId="5">
    <w:abstractNumId w:val="8"/>
  </w:num>
  <w:num w:numId="6">
    <w:abstractNumId w:val="6"/>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40"/>
  <w:drawingGridVerticalSpacing w:val="381"/>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A1A"/>
    <w:rsid w:val="000069A1"/>
    <w:rsid w:val="00020CB4"/>
    <w:rsid w:val="00023234"/>
    <w:rsid w:val="00034B89"/>
    <w:rsid w:val="000355A1"/>
    <w:rsid w:val="000358DA"/>
    <w:rsid w:val="00036624"/>
    <w:rsid w:val="000510B1"/>
    <w:rsid w:val="00053299"/>
    <w:rsid w:val="0006008F"/>
    <w:rsid w:val="000604CA"/>
    <w:rsid w:val="00062060"/>
    <w:rsid w:val="000628E4"/>
    <w:rsid w:val="00062972"/>
    <w:rsid w:val="00064172"/>
    <w:rsid w:val="000645D7"/>
    <w:rsid w:val="0007278A"/>
    <w:rsid w:val="000738D1"/>
    <w:rsid w:val="00075190"/>
    <w:rsid w:val="000766EA"/>
    <w:rsid w:val="000815EC"/>
    <w:rsid w:val="00083284"/>
    <w:rsid w:val="00087FB8"/>
    <w:rsid w:val="00090986"/>
    <w:rsid w:val="00091859"/>
    <w:rsid w:val="000A5BEB"/>
    <w:rsid w:val="000A709D"/>
    <w:rsid w:val="000B6B71"/>
    <w:rsid w:val="000C7058"/>
    <w:rsid w:val="000C7A17"/>
    <w:rsid w:val="000D7C7C"/>
    <w:rsid w:val="000E2F1F"/>
    <w:rsid w:val="000E323D"/>
    <w:rsid w:val="000E3DE8"/>
    <w:rsid w:val="000F4E8F"/>
    <w:rsid w:val="000F7AE9"/>
    <w:rsid w:val="00107A08"/>
    <w:rsid w:val="00112BA4"/>
    <w:rsid w:val="00112F40"/>
    <w:rsid w:val="00117F06"/>
    <w:rsid w:val="001240BA"/>
    <w:rsid w:val="001266D2"/>
    <w:rsid w:val="00130EB3"/>
    <w:rsid w:val="00136BD9"/>
    <w:rsid w:val="001445BA"/>
    <w:rsid w:val="00144A65"/>
    <w:rsid w:val="00146458"/>
    <w:rsid w:val="001470B2"/>
    <w:rsid w:val="001518E4"/>
    <w:rsid w:val="001530A7"/>
    <w:rsid w:val="00160EC2"/>
    <w:rsid w:val="0016407E"/>
    <w:rsid w:val="001646AA"/>
    <w:rsid w:val="00166312"/>
    <w:rsid w:val="00167F00"/>
    <w:rsid w:val="00170617"/>
    <w:rsid w:val="00174CD7"/>
    <w:rsid w:val="00177E9C"/>
    <w:rsid w:val="0018043E"/>
    <w:rsid w:val="0018203E"/>
    <w:rsid w:val="00192C47"/>
    <w:rsid w:val="0019674A"/>
    <w:rsid w:val="0019748A"/>
    <w:rsid w:val="00197F34"/>
    <w:rsid w:val="001A16CB"/>
    <w:rsid w:val="001A1AA9"/>
    <w:rsid w:val="001A7151"/>
    <w:rsid w:val="001B0324"/>
    <w:rsid w:val="001B7855"/>
    <w:rsid w:val="001D0EE4"/>
    <w:rsid w:val="001D3AB9"/>
    <w:rsid w:val="001D79F0"/>
    <w:rsid w:val="001D7BEB"/>
    <w:rsid w:val="001E22B7"/>
    <w:rsid w:val="001F60B8"/>
    <w:rsid w:val="001F79D4"/>
    <w:rsid w:val="00203815"/>
    <w:rsid w:val="00203A6F"/>
    <w:rsid w:val="00204ABF"/>
    <w:rsid w:val="00206FF6"/>
    <w:rsid w:val="00214D3B"/>
    <w:rsid w:val="002166A9"/>
    <w:rsid w:val="00222AB4"/>
    <w:rsid w:val="002239AB"/>
    <w:rsid w:val="00223EAB"/>
    <w:rsid w:val="002249DC"/>
    <w:rsid w:val="0023680D"/>
    <w:rsid w:val="00240E88"/>
    <w:rsid w:val="00250996"/>
    <w:rsid w:val="00256890"/>
    <w:rsid w:val="002569F3"/>
    <w:rsid w:val="002649DA"/>
    <w:rsid w:val="00271363"/>
    <w:rsid w:val="00274A3B"/>
    <w:rsid w:val="00275E6E"/>
    <w:rsid w:val="002849F5"/>
    <w:rsid w:val="002868B8"/>
    <w:rsid w:val="00286B57"/>
    <w:rsid w:val="00286CC2"/>
    <w:rsid w:val="00292E1E"/>
    <w:rsid w:val="00297425"/>
    <w:rsid w:val="002A2ED6"/>
    <w:rsid w:val="002A3FFD"/>
    <w:rsid w:val="002A6B3E"/>
    <w:rsid w:val="002C13A0"/>
    <w:rsid w:val="002C6BC0"/>
    <w:rsid w:val="002D0DEF"/>
    <w:rsid w:val="002D4209"/>
    <w:rsid w:val="002E252D"/>
    <w:rsid w:val="002E2823"/>
    <w:rsid w:val="002E3D7F"/>
    <w:rsid w:val="002E5638"/>
    <w:rsid w:val="002E6962"/>
    <w:rsid w:val="002F517D"/>
    <w:rsid w:val="002F7035"/>
    <w:rsid w:val="00303C2D"/>
    <w:rsid w:val="00311B55"/>
    <w:rsid w:val="00311C7E"/>
    <w:rsid w:val="00316A27"/>
    <w:rsid w:val="00317EBA"/>
    <w:rsid w:val="00320417"/>
    <w:rsid w:val="00320BC4"/>
    <w:rsid w:val="0032264C"/>
    <w:rsid w:val="003230CC"/>
    <w:rsid w:val="00325EFA"/>
    <w:rsid w:val="0033058C"/>
    <w:rsid w:val="00334725"/>
    <w:rsid w:val="00334885"/>
    <w:rsid w:val="00334B88"/>
    <w:rsid w:val="00340301"/>
    <w:rsid w:val="003452F4"/>
    <w:rsid w:val="00345D11"/>
    <w:rsid w:val="00346868"/>
    <w:rsid w:val="00351F8A"/>
    <w:rsid w:val="00355240"/>
    <w:rsid w:val="003647D7"/>
    <w:rsid w:val="00367E2B"/>
    <w:rsid w:val="0037446D"/>
    <w:rsid w:val="0038275C"/>
    <w:rsid w:val="003862FC"/>
    <w:rsid w:val="0038791A"/>
    <w:rsid w:val="00390F05"/>
    <w:rsid w:val="00391AC4"/>
    <w:rsid w:val="00391BA3"/>
    <w:rsid w:val="003A17B2"/>
    <w:rsid w:val="003A2DF0"/>
    <w:rsid w:val="003B35EB"/>
    <w:rsid w:val="003B5545"/>
    <w:rsid w:val="003B5575"/>
    <w:rsid w:val="003B606C"/>
    <w:rsid w:val="003B7362"/>
    <w:rsid w:val="003B76EA"/>
    <w:rsid w:val="003D4C5C"/>
    <w:rsid w:val="003F2BFB"/>
    <w:rsid w:val="003F325E"/>
    <w:rsid w:val="003F39EC"/>
    <w:rsid w:val="003F4BD6"/>
    <w:rsid w:val="00404785"/>
    <w:rsid w:val="00405184"/>
    <w:rsid w:val="00406637"/>
    <w:rsid w:val="00407A93"/>
    <w:rsid w:val="00407B2D"/>
    <w:rsid w:val="004132FA"/>
    <w:rsid w:val="004166FD"/>
    <w:rsid w:val="00423D5B"/>
    <w:rsid w:val="0042465E"/>
    <w:rsid w:val="0043160B"/>
    <w:rsid w:val="004346B3"/>
    <w:rsid w:val="00435C50"/>
    <w:rsid w:val="00442F45"/>
    <w:rsid w:val="0044332D"/>
    <w:rsid w:val="00453B89"/>
    <w:rsid w:val="004560A7"/>
    <w:rsid w:val="00461337"/>
    <w:rsid w:val="00466F5B"/>
    <w:rsid w:val="0047368E"/>
    <w:rsid w:val="0048236B"/>
    <w:rsid w:val="00483CE7"/>
    <w:rsid w:val="00486C46"/>
    <w:rsid w:val="004A2D49"/>
    <w:rsid w:val="004A2E1E"/>
    <w:rsid w:val="004B0CE7"/>
    <w:rsid w:val="004B3500"/>
    <w:rsid w:val="004B6032"/>
    <w:rsid w:val="004C3FCD"/>
    <w:rsid w:val="004C64DD"/>
    <w:rsid w:val="004E0D12"/>
    <w:rsid w:val="004E23A3"/>
    <w:rsid w:val="004E7A66"/>
    <w:rsid w:val="004F4127"/>
    <w:rsid w:val="004F4923"/>
    <w:rsid w:val="0050430A"/>
    <w:rsid w:val="00506B9F"/>
    <w:rsid w:val="0051182E"/>
    <w:rsid w:val="0052570B"/>
    <w:rsid w:val="005314FE"/>
    <w:rsid w:val="00541DD2"/>
    <w:rsid w:val="00543908"/>
    <w:rsid w:val="005468D3"/>
    <w:rsid w:val="005507C3"/>
    <w:rsid w:val="005532D7"/>
    <w:rsid w:val="005618E7"/>
    <w:rsid w:val="005672CE"/>
    <w:rsid w:val="00570ACB"/>
    <w:rsid w:val="00576614"/>
    <w:rsid w:val="00576EBF"/>
    <w:rsid w:val="00581065"/>
    <w:rsid w:val="00582E4E"/>
    <w:rsid w:val="00583DC9"/>
    <w:rsid w:val="00591FEF"/>
    <w:rsid w:val="00594A99"/>
    <w:rsid w:val="00594D47"/>
    <w:rsid w:val="005C3B9B"/>
    <w:rsid w:val="005C4A83"/>
    <w:rsid w:val="005C75E5"/>
    <w:rsid w:val="005D06F8"/>
    <w:rsid w:val="005D1B85"/>
    <w:rsid w:val="005D3332"/>
    <w:rsid w:val="005E3443"/>
    <w:rsid w:val="005E349D"/>
    <w:rsid w:val="005F08B1"/>
    <w:rsid w:val="005F2C23"/>
    <w:rsid w:val="005F54E8"/>
    <w:rsid w:val="005F6ECA"/>
    <w:rsid w:val="006046CA"/>
    <w:rsid w:val="0061233B"/>
    <w:rsid w:val="00615566"/>
    <w:rsid w:val="00615716"/>
    <w:rsid w:val="00616CCD"/>
    <w:rsid w:val="006252BB"/>
    <w:rsid w:val="00626920"/>
    <w:rsid w:val="006345CC"/>
    <w:rsid w:val="006436E4"/>
    <w:rsid w:val="0065286C"/>
    <w:rsid w:val="00655517"/>
    <w:rsid w:val="006559AC"/>
    <w:rsid w:val="006619E4"/>
    <w:rsid w:val="00661BBD"/>
    <w:rsid w:val="00663D29"/>
    <w:rsid w:val="00665D6B"/>
    <w:rsid w:val="006679A8"/>
    <w:rsid w:val="00671333"/>
    <w:rsid w:val="006742C5"/>
    <w:rsid w:val="006766A8"/>
    <w:rsid w:val="00682FC9"/>
    <w:rsid w:val="0068701F"/>
    <w:rsid w:val="00691604"/>
    <w:rsid w:val="00691A9E"/>
    <w:rsid w:val="006A0B37"/>
    <w:rsid w:val="006A1723"/>
    <w:rsid w:val="006A2223"/>
    <w:rsid w:val="006A2790"/>
    <w:rsid w:val="006A7627"/>
    <w:rsid w:val="006A7BC6"/>
    <w:rsid w:val="006A7D09"/>
    <w:rsid w:val="006B1649"/>
    <w:rsid w:val="006B2C55"/>
    <w:rsid w:val="006B6305"/>
    <w:rsid w:val="006B6BA9"/>
    <w:rsid w:val="006C1530"/>
    <w:rsid w:val="006C1AB1"/>
    <w:rsid w:val="006C61AA"/>
    <w:rsid w:val="006C7C8A"/>
    <w:rsid w:val="006D4E80"/>
    <w:rsid w:val="006E1100"/>
    <w:rsid w:val="006E5803"/>
    <w:rsid w:val="006E5873"/>
    <w:rsid w:val="006F0D2C"/>
    <w:rsid w:val="006F6E4A"/>
    <w:rsid w:val="0070501C"/>
    <w:rsid w:val="00706CCC"/>
    <w:rsid w:val="00707BD5"/>
    <w:rsid w:val="0071055A"/>
    <w:rsid w:val="00711BC0"/>
    <w:rsid w:val="007126F5"/>
    <w:rsid w:val="0071389E"/>
    <w:rsid w:val="00720544"/>
    <w:rsid w:val="0073053D"/>
    <w:rsid w:val="007311E1"/>
    <w:rsid w:val="0073610C"/>
    <w:rsid w:val="0074016D"/>
    <w:rsid w:val="00742F3A"/>
    <w:rsid w:val="00753F74"/>
    <w:rsid w:val="0075465C"/>
    <w:rsid w:val="00757C16"/>
    <w:rsid w:val="007620E5"/>
    <w:rsid w:val="00765302"/>
    <w:rsid w:val="00771135"/>
    <w:rsid w:val="00771BBF"/>
    <w:rsid w:val="00773138"/>
    <w:rsid w:val="00775DBC"/>
    <w:rsid w:val="00775E47"/>
    <w:rsid w:val="00786FA7"/>
    <w:rsid w:val="00790B2F"/>
    <w:rsid w:val="007910B0"/>
    <w:rsid w:val="00794742"/>
    <w:rsid w:val="00796FD9"/>
    <w:rsid w:val="00797F0F"/>
    <w:rsid w:val="007A34F0"/>
    <w:rsid w:val="007B0B88"/>
    <w:rsid w:val="007B16BB"/>
    <w:rsid w:val="007B42B2"/>
    <w:rsid w:val="007B45E1"/>
    <w:rsid w:val="007C06B3"/>
    <w:rsid w:val="007C116C"/>
    <w:rsid w:val="007C457C"/>
    <w:rsid w:val="007E1FFB"/>
    <w:rsid w:val="007F15D7"/>
    <w:rsid w:val="007F67C6"/>
    <w:rsid w:val="007F6F0A"/>
    <w:rsid w:val="007F736E"/>
    <w:rsid w:val="00804E81"/>
    <w:rsid w:val="0081068C"/>
    <w:rsid w:val="00815DB2"/>
    <w:rsid w:val="008177F2"/>
    <w:rsid w:val="00817A96"/>
    <w:rsid w:val="00822EF7"/>
    <w:rsid w:val="00825CC4"/>
    <w:rsid w:val="00827A41"/>
    <w:rsid w:val="00831BCC"/>
    <w:rsid w:val="00832A4B"/>
    <w:rsid w:val="008355F4"/>
    <w:rsid w:val="0084006E"/>
    <w:rsid w:val="0085231C"/>
    <w:rsid w:val="008613A2"/>
    <w:rsid w:val="00863D8F"/>
    <w:rsid w:val="00865091"/>
    <w:rsid w:val="00876BA7"/>
    <w:rsid w:val="00877FD9"/>
    <w:rsid w:val="00885B19"/>
    <w:rsid w:val="00886380"/>
    <w:rsid w:val="008A0E26"/>
    <w:rsid w:val="008A104D"/>
    <w:rsid w:val="008B5E1E"/>
    <w:rsid w:val="008C1211"/>
    <w:rsid w:val="008C15AC"/>
    <w:rsid w:val="008C55B1"/>
    <w:rsid w:val="008C77F4"/>
    <w:rsid w:val="008D3C36"/>
    <w:rsid w:val="008D5CF1"/>
    <w:rsid w:val="008D5F06"/>
    <w:rsid w:val="008D6E34"/>
    <w:rsid w:val="008E4E76"/>
    <w:rsid w:val="008F2662"/>
    <w:rsid w:val="008F40EC"/>
    <w:rsid w:val="008F6808"/>
    <w:rsid w:val="00903007"/>
    <w:rsid w:val="009058CC"/>
    <w:rsid w:val="00917789"/>
    <w:rsid w:val="00920E6D"/>
    <w:rsid w:val="00921840"/>
    <w:rsid w:val="00922BAB"/>
    <w:rsid w:val="00933275"/>
    <w:rsid w:val="00937EC4"/>
    <w:rsid w:val="00940F91"/>
    <w:rsid w:val="00943AD3"/>
    <w:rsid w:val="009459E3"/>
    <w:rsid w:val="00945F06"/>
    <w:rsid w:val="009470D4"/>
    <w:rsid w:val="00951E71"/>
    <w:rsid w:val="00957814"/>
    <w:rsid w:val="0095789B"/>
    <w:rsid w:val="009625F8"/>
    <w:rsid w:val="0096462A"/>
    <w:rsid w:val="00964795"/>
    <w:rsid w:val="00972468"/>
    <w:rsid w:val="00981E23"/>
    <w:rsid w:val="00992030"/>
    <w:rsid w:val="00992314"/>
    <w:rsid w:val="00992FEC"/>
    <w:rsid w:val="009947EA"/>
    <w:rsid w:val="00996264"/>
    <w:rsid w:val="00996B6E"/>
    <w:rsid w:val="009A26B7"/>
    <w:rsid w:val="009A6BB9"/>
    <w:rsid w:val="009B0C1E"/>
    <w:rsid w:val="009B6CD5"/>
    <w:rsid w:val="009C2960"/>
    <w:rsid w:val="009D45AB"/>
    <w:rsid w:val="009D5FEE"/>
    <w:rsid w:val="009D64EB"/>
    <w:rsid w:val="009D651D"/>
    <w:rsid w:val="009F3216"/>
    <w:rsid w:val="009F4B30"/>
    <w:rsid w:val="009F4EF9"/>
    <w:rsid w:val="009F6389"/>
    <w:rsid w:val="00A00DF2"/>
    <w:rsid w:val="00A13B58"/>
    <w:rsid w:val="00A14269"/>
    <w:rsid w:val="00A34EB1"/>
    <w:rsid w:val="00A37B2B"/>
    <w:rsid w:val="00A40D46"/>
    <w:rsid w:val="00A5753F"/>
    <w:rsid w:val="00A57816"/>
    <w:rsid w:val="00A60E7C"/>
    <w:rsid w:val="00A637F2"/>
    <w:rsid w:val="00A6768A"/>
    <w:rsid w:val="00A7003A"/>
    <w:rsid w:val="00A73451"/>
    <w:rsid w:val="00A83A0C"/>
    <w:rsid w:val="00A917E0"/>
    <w:rsid w:val="00AB2A70"/>
    <w:rsid w:val="00AB6BAC"/>
    <w:rsid w:val="00AC18C0"/>
    <w:rsid w:val="00AC20B9"/>
    <w:rsid w:val="00AC26C9"/>
    <w:rsid w:val="00AC28B0"/>
    <w:rsid w:val="00AC5BA6"/>
    <w:rsid w:val="00AD118A"/>
    <w:rsid w:val="00AD15F0"/>
    <w:rsid w:val="00AE662D"/>
    <w:rsid w:val="00AF0CDC"/>
    <w:rsid w:val="00AF3F4F"/>
    <w:rsid w:val="00AF49AE"/>
    <w:rsid w:val="00AF70EF"/>
    <w:rsid w:val="00B056C4"/>
    <w:rsid w:val="00B10EE7"/>
    <w:rsid w:val="00B15D16"/>
    <w:rsid w:val="00B15F18"/>
    <w:rsid w:val="00B25F17"/>
    <w:rsid w:val="00B27EEF"/>
    <w:rsid w:val="00B32FE5"/>
    <w:rsid w:val="00B3406A"/>
    <w:rsid w:val="00B42B00"/>
    <w:rsid w:val="00B46632"/>
    <w:rsid w:val="00B5313D"/>
    <w:rsid w:val="00B571DE"/>
    <w:rsid w:val="00B5743E"/>
    <w:rsid w:val="00B61CB3"/>
    <w:rsid w:val="00B65001"/>
    <w:rsid w:val="00B65A27"/>
    <w:rsid w:val="00B828FA"/>
    <w:rsid w:val="00B83672"/>
    <w:rsid w:val="00B836F3"/>
    <w:rsid w:val="00B84A5E"/>
    <w:rsid w:val="00B8609E"/>
    <w:rsid w:val="00B90C6A"/>
    <w:rsid w:val="00B92748"/>
    <w:rsid w:val="00B95C17"/>
    <w:rsid w:val="00BA1466"/>
    <w:rsid w:val="00BA4F54"/>
    <w:rsid w:val="00BB17A3"/>
    <w:rsid w:val="00BB59AD"/>
    <w:rsid w:val="00BB7DA1"/>
    <w:rsid w:val="00BC265F"/>
    <w:rsid w:val="00BC330A"/>
    <w:rsid w:val="00BC6D56"/>
    <w:rsid w:val="00BD00A5"/>
    <w:rsid w:val="00BD6003"/>
    <w:rsid w:val="00BF0A00"/>
    <w:rsid w:val="00BF59D2"/>
    <w:rsid w:val="00BF6864"/>
    <w:rsid w:val="00C02967"/>
    <w:rsid w:val="00C062E1"/>
    <w:rsid w:val="00C07162"/>
    <w:rsid w:val="00C10442"/>
    <w:rsid w:val="00C10D7C"/>
    <w:rsid w:val="00C11503"/>
    <w:rsid w:val="00C12247"/>
    <w:rsid w:val="00C12527"/>
    <w:rsid w:val="00C16003"/>
    <w:rsid w:val="00C2209D"/>
    <w:rsid w:val="00C238B6"/>
    <w:rsid w:val="00C3004B"/>
    <w:rsid w:val="00C347E0"/>
    <w:rsid w:val="00C3492A"/>
    <w:rsid w:val="00C375B2"/>
    <w:rsid w:val="00C401A2"/>
    <w:rsid w:val="00C415B0"/>
    <w:rsid w:val="00C46E6C"/>
    <w:rsid w:val="00C475AC"/>
    <w:rsid w:val="00C52C0B"/>
    <w:rsid w:val="00C56BF6"/>
    <w:rsid w:val="00C579D6"/>
    <w:rsid w:val="00C613FD"/>
    <w:rsid w:val="00C7219C"/>
    <w:rsid w:val="00C7279E"/>
    <w:rsid w:val="00C75EEF"/>
    <w:rsid w:val="00C7614D"/>
    <w:rsid w:val="00C90092"/>
    <w:rsid w:val="00C907BA"/>
    <w:rsid w:val="00C91EE9"/>
    <w:rsid w:val="00C944AA"/>
    <w:rsid w:val="00CA26A2"/>
    <w:rsid w:val="00CA7993"/>
    <w:rsid w:val="00CB119A"/>
    <w:rsid w:val="00CB419A"/>
    <w:rsid w:val="00CC0EAF"/>
    <w:rsid w:val="00CC3F39"/>
    <w:rsid w:val="00CC45E2"/>
    <w:rsid w:val="00CC7B96"/>
    <w:rsid w:val="00CD2135"/>
    <w:rsid w:val="00CD4392"/>
    <w:rsid w:val="00CD7358"/>
    <w:rsid w:val="00CE3F44"/>
    <w:rsid w:val="00CE4C52"/>
    <w:rsid w:val="00CF1CB1"/>
    <w:rsid w:val="00CF279D"/>
    <w:rsid w:val="00CF443D"/>
    <w:rsid w:val="00D01390"/>
    <w:rsid w:val="00D018E3"/>
    <w:rsid w:val="00D01C85"/>
    <w:rsid w:val="00D0286D"/>
    <w:rsid w:val="00D0334F"/>
    <w:rsid w:val="00D060BD"/>
    <w:rsid w:val="00D14BA3"/>
    <w:rsid w:val="00D207EE"/>
    <w:rsid w:val="00D20CBF"/>
    <w:rsid w:val="00D20FD1"/>
    <w:rsid w:val="00D21ABC"/>
    <w:rsid w:val="00D238CB"/>
    <w:rsid w:val="00D25333"/>
    <w:rsid w:val="00D27866"/>
    <w:rsid w:val="00D27B88"/>
    <w:rsid w:val="00D33E1D"/>
    <w:rsid w:val="00D35E4F"/>
    <w:rsid w:val="00D3715A"/>
    <w:rsid w:val="00D41A4B"/>
    <w:rsid w:val="00D52756"/>
    <w:rsid w:val="00D54932"/>
    <w:rsid w:val="00D57DFA"/>
    <w:rsid w:val="00D93A66"/>
    <w:rsid w:val="00D95AFD"/>
    <w:rsid w:val="00DA0557"/>
    <w:rsid w:val="00DA0597"/>
    <w:rsid w:val="00DA1B90"/>
    <w:rsid w:val="00DA2F71"/>
    <w:rsid w:val="00DA3DCB"/>
    <w:rsid w:val="00DA4B5F"/>
    <w:rsid w:val="00DB1217"/>
    <w:rsid w:val="00DB5415"/>
    <w:rsid w:val="00DC228C"/>
    <w:rsid w:val="00DC2ABF"/>
    <w:rsid w:val="00DC550C"/>
    <w:rsid w:val="00DD03B9"/>
    <w:rsid w:val="00DF1B6F"/>
    <w:rsid w:val="00DF3360"/>
    <w:rsid w:val="00DF5B33"/>
    <w:rsid w:val="00DF641D"/>
    <w:rsid w:val="00E03128"/>
    <w:rsid w:val="00E06B02"/>
    <w:rsid w:val="00E12BB2"/>
    <w:rsid w:val="00E16225"/>
    <w:rsid w:val="00E1636B"/>
    <w:rsid w:val="00E21E66"/>
    <w:rsid w:val="00E25155"/>
    <w:rsid w:val="00E278AC"/>
    <w:rsid w:val="00E34D4F"/>
    <w:rsid w:val="00E35EF5"/>
    <w:rsid w:val="00E5028A"/>
    <w:rsid w:val="00E530F1"/>
    <w:rsid w:val="00E56093"/>
    <w:rsid w:val="00E57B9A"/>
    <w:rsid w:val="00E64249"/>
    <w:rsid w:val="00E70836"/>
    <w:rsid w:val="00E74DD9"/>
    <w:rsid w:val="00E75D19"/>
    <w:rsid w:val="00E76816"/>
    <w:rsid w:val="00E77CD7"/>
    <w:rsid w:val="00E908DC"/>
    <w:rsid w:val="00E95AD4"/>
    <w:rsid w:val="00E97A07"/>
    <w:rsid w:val="00EA28C6"/>
    <w:rsid w:val="00EA650D"/>
    <w:rsid w:val="00EA6D35"/>
    <w:rsid w:val="00EB2979"/>
    <w:rsid w:val="00EB2ABC"/>
    <w:rsid w:val="00EB4492"/>
    <w:rsid w:val="00EB4BBE"/>
    <w:rsid w:val="00EB60A9"/>
    <w:rsid w:val="00EB7A49"/>
    <w:rsid w:val="00EC273E"/>
    <w:rsid w:val="00EC4DA7"/>
    <w:rsid w:val="00EC6B44"/>
    <w:rsid w:val="00ED5CA2"/>
    <w:rsid w:val="00EE4381"/>
    <w:rsid w:val="00EE53F5"/>
    <w:rsid w:val="00EF128E"/>
    <w:rsid w:val="00EF1A0A"/>
    <w:rsid w:val="00EF3CCD"/>
    <w:rsid w:val="00F017F9"/>
    <w:rsid w:val="00F04C46"/>
    <w:rsid w:val="00F11E9E"/>
    <w:rsid w:val="00F13F03"/>
    <w:rsid w:val="00F26218"/>
    <w:rsid w:val="00F2714F"/>
    <w:rsid w:val="00F32FB6"/>
    <w:rsid w:val="00F44196"/>
    <w:rsid w:val="00F53E2E"/>
    <w:rsid w:val="00F56A1A"/>
    <w:rsid w:val="00F70362"/>
    <w:rsid w:val="00F73E3E"/>
    <w:rsid w:val="00F7408D"/>
    <w:rsid w:val="00F7568D"/>
    <w:rsid w:val="00F77357"/>
    <w:rsid w:val="00F77D69"/>
    <w:rsid w:val="00F80ED4"/>
    <w:rsid w:val="00F85931"/>
    <w:rsid w:val="00F862E7"/>
    <w:rsid w:val="00FA0963"/>
    <w:rsid w:val="00FB1626"/>
    <w:rsid w:val="00FC3B4B"/>
    <w:rsid w:val="00FC3E89"/>
    <w:rsid w:val="00FC5534"/>
    <w:rsid w:val="00FC7080"/>
    <w:rsid w:val="00FE4BD8"/>
    <w:rsid w:val="00FE5F60"/>
    <w:rsid w:val="014A0F35"/>
    <w:rsid w:val="014F424A"/>
    <w:rsid w:val="028479E4"/>
    <w:rsid w:val="034B2A28"/>
    <w:rsid w:val="048D195A"/>
    <w:rsid w:val="04F35535"/>
    <w:rsid w:val="05F908B7"/>
    <w:rsid w:val="085E38DA"/>
    <w:rsid w:val="0A3960E0"/>
    <w:rsid w:val="0A5A18A6"/>
    <w:rsid w:val="0ADD676A"/>
    <w:rsid w:val="0B4955F0"/>
    <w:rsid w:val="0C9B098C"/>
    <w:rsid w:val="0D98311E"/>
    <w:rsid w:val="0DD45D4E"/>
    <w:rsid w:val="0FB706F9"/>
    <w:rsid w:val="1074577C"/>
    <w:rsid w:val="115953C8"/>
    <w:rsid w:val="118C2F9A"/>
    <w:rsid w:val="12372F05"/>
    <w:rsid w:val="12AB76DB"/>
    <w:rsid w:val="13B14F39"/>
    <w:rsid w:val="14BC0ED3"/>
    <w:rsid w:val="157B156C"/>
    <w:rsid w:val="194C27A2"/>
    <w:rsid w:val="1B0A1726"/>
    <w:rsid w:val="1B2B22B8"/>
    <w:rsid w:val="1C0B0E2D"/>
    <w:rsid w:val="1F777F18"/>
    <w:rsid w:val="217C3AC3"/>
    <w:rsid w:val="22D268C6"/>
    <w:rsid w:val="24867CAF"/>
    <w:rsid w:val="2587493D"/>
    <w:rsid w:val="26665E8F"/>
    <w:rsid w:val="2788691C"/>
    <w:rsid w:val="28A15A1F"/>
    <w:rsid w:val="2B1B2F6C"/>
    <w:rsid w:val="2B1C5C3D"/>
    <w:rsid w:val="2B65243A"/>
    <w:rsid w:val="2C170237"/>
    <w:rsid w:val="2E356831"/>
    <w:rsid w:val="2E391595"/>
    <w:rsid w:val="2F5D15F8"/>
    <w:rsid w:val="2FFB0727"/>
    <w:rsid w:val="33840C59"/>
    <w:rsid w:val="351533FF"/>
    <w:rsid w:val="356419B4"/>
    <w:rsid w:val="36624145"/>
    <w:rsid w:val="368D0650"/>
    <w:rsid w:val="390B0AC4"/>
    <w:rsid w:val="3A98381F"/>
    <w:rsid w:val="3AAA1C17"/>
    <w:rsid w:val="3D221248"/>
    <w:rsid w:val="3DB50FFF"/>
    <w:rsid w:val="3EB911A0"/>
    <w:rsid w:val="40F2714A"/>
    <w:rsid w:val="41066430"/>
    <w:rsid w:val="415D5C35"/>
    <w:rsid w:val="438C104B"/>
    <w:rsid w:val="43AC15BA"/>
    <w:rsid w:val="47631ACB"/>
    <w:rsid w:val="47BE3370"/>
    <w:rsid w:val="480C0F07"/>
    <w:rsid w:val="49DA1933"/>
    <w:rsid w:val="49FC1D63"/>
    <w:rsid w:val="4B4D3F26"/>
    <w:rsid w:val="4B673281"/>
    <w:rsid w:val="4C16753D"/>
    <w:rsid w:val="4CFA4C80"/>
    <w:rsid w:val="4DC45D61"/>
    <w:rsid w:val="4EC14021"/>
    <w:rsid w:val="51C73A2A"/>
    <w:rsid w:val="52C760D0"/>
    <w:rsid w:val="54474BA8"/>
    <w:rsid w:val="5709481B"/>
    <w:rsid w:val="57486B51"/>
    <w:rsid w:val="593F5C55"/>
    <w:rsid w:val="5AB32912"/>
    <w:rsid w:val="5CC87555"/>
    <w:rsid w:val="5DB5274B"/>
    <w:rsid w:val="5EF8349E"/>
    <w:rsid w:val="5F42525F"/>
    <w:rsid w:val="5F5E0AA9"/>
    <w:rsid w:val="626D10DF"/>
    <w:rsid w:val="62AC0373"/>
    <w:rsid w:val="62DD22DA"/>
    <w:rsid w:val="638614E2"/>
    <w:rsid w:val="64916774"/>
    <w:rsid w:val="67CD7A04"/>
    <w:rsid w:val="70E03C86"/>
    <w:rsid w:val="71866233"/>
    <w:rsid w:val="72CE5ACF"/>
    <w:rsid w:val="75694089"/>
    <w:rsid w:val="7734380A"/>
    <w:rsid w:val="78825B55"/>
    <w:rsid w:val="7C065352"/>
    <w:rsid w:val="7CAD0B17"/>
    <w:rsid w:val="7E494870"/>
    <w:rsid w:val="7E9256FF"/>
    <w:rsid w:val="7F58120E"/>
    <w:rsid w:val="7FB17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after="0" w:line="360" w:lineRule="auto"/>
      <w:ind w:firstLine="200" w:firstLineChars="200"/>
      <w:jc w:val="both"/>
    </w:pPr>
    <w:rPr>
      <w:rFonts w:eastAsia="Times New Roman" w:asciiTheme="minorHAnsi" w:hAnsiTheme="minorHAnsi" w:cstheme="minorBidi"/>
      <w:kern w:val="2"/>
      <w:sz w:val="28"/>
      <w:szCs w:val="24"/>
      <w:lang w:val="en-US" w:eastAsia="zh-CN" w:bidi="ar-SA"/>
      <w14:ligatures w14:val="standardContextual"/>
    </w:rPr>
  </w:style>
  <w:style w:type="paragraph" w:styleId="2">
    <w:name w:val="heading 1"/>
    <w:basedOn w:val="1"/>
    <w:next w:val="1"/>
    <w:link w:val="48"/>
    <w:qFormat/>
    <w:uiPriority w:val="0"/>
    <w:pPr>
      <w:keepNext/>
      <w:keepLines/>
      <w:adjustRightInd/>
      <w:snapToGrid/>
      <w:spacing w:before="50" w:beforeLines="50" w:after="10" w:line="240" w:lineRule="auto"/>
      <w:ind w:firstLine="0" w:firstLineChars="0"/>
      <w:jc w:val="center"/>
      <w:outlineLvl w:val="0"/>
    </w:pPr>
    <w:rPr>
      <w:rFonts w:ascii="Times New Roman" w:hAnsi="Times New Roman" w:eastAsia="黑体" w:cs="Times New Roman"/>
      <w:kern w:val="44"/>
      <w:sz w:val="32"/>
      <w:szCs w:val="20"/>
      <w14:ligatures w14:val="none"/>
    </w:rPr>
  </w:style>
  <w:style w:type="paragraph" w:styleId="3">
    <w:name w:val="heading 2"/>
    <w:basedOn w:val="1"/>
    <w:next w:val="1"/>
    <w:link w:val="49"/>
    <w:qFormat/>
    <w:uiPriority w:val="0"/>
    <w:pPr>
      <w:keepNext/>
      <w:adjustRightInd/>
      <w:snapToGrid/>
      <w:spacing w:before="50" w:beforeLines="50" w:after="50" w:afterLines="50" w:line="240" w:lineRule="auto"/>
      <w:ind w:firstLine="0" w:firstLineChars="0"/>
      <w:jc w:val="center"/>
      <w:outlineLvl w:val="1"/>
    </w:pPr>
    <w:rPr>
      <w:rFonts w:ascii="Times New Roman" w:hAnsi="Times New Roman" w:eastAsia="楷体_GB2312" w:cs="Times New Roman"/>
      <w:color w:val="000000"/>
      <w:sz w:val="32"/>
      <w:szCs w:val="20"/>
      <w14:ligatures w14:val="none"/>
    </w:rPr>
  </w:style>
  <w:style w:type="paragraph" w:styleId="4">
    <w:name w:val="heading 3"/>
    <w:basedOn w:val="1"/>
    <w:next w:val="1"/>
    <w:link w:val="50"/>
    <w:qFormat/>
    <w:uiPriority w:val="0"/>
    <w:pPr>
      <w:keepNext/>
      <w:keepLines/>
      <w:adjustRightInd/>
      <w:snapToGrid/>
      <w:spacing w:before="20" w:beforeLines="20" w:after="20" w:afterLines="20" w:line="240" w:lineRule="auto"/>
      <w:ind w:firstLine="560"/>
      <w:jc w:val="left"/>
      <w:outlineLvl w:val="2"/>
    </w:pPr>
    <w:rPr>
      <w:rFonts w:ascii="Times New Roman" w:hAnsi="Times New Roman" w:eastAsia="黑体" w:cs="Times New Roman"/>
      <w:kern w:val="0"/>
      <w:szCs w:val="20"/>
      <w14:ligatures w14:val="none"/>
    </w:rPr>
  </w:style>
  <w:style w:type="paragraph" w:styleId="5">
    <w:name w:val="heading 4"/>
    <w:basedOn w:val="1"/>
    <w:next w:val="1"/>
    <w:link w:val="51"/>
    <w:qFormat/>
    <w:uiPriority w:val="0"/>
    <w:pPr>
      <w:keepNext/>
      <w:adjustRightInd/>
      <w:snapToGrid/>
      <w:spacing w:before="50" w:beforeLines="50" w:after="50" w:afterLines="50" w:line="240" w:lineRule="auto"/>
      <w:ind w:firstLine="560"/>
      <w:jc w:val="left"/>
      <w:outlineLvl w:val="3"/>
    </w:pPr>
    <w:rPr>
      <w:rFonts w:ascii="Times New Roman" w:hAnsi="Times New Roman" w:eastAsia="宋体" w:cs="Times New Roman"/>
      <w:kern w:val="0"/>
      <w:szCs w:val="20"/>
      <w14:ligatures w14:val="none"/>
    </w:rPr>
  </w:style>
  <w:style w:type="paragraph" w:styleId="6">
    <w:name w:val="heading 5"/>
    <w:basedOn w:val="1"/>
    <w:next w:val="1"/>
    <w:link w:val="52"/>
    <w:qFormat/>
    <w:uiPriority w:val="0"/>
    <w:pPr>
      <w:keepNext/>
      <w:adjustRightInd/>
      <w:snapToGrid/>
      <w:spacing w:line="240" w:lineRule="auto"/>
      <w:ind w:firstLine="720"/>
      <w:jc w:val="center"/>
      <w:outlineLvl w:val="4"/>
    </w:pPr>
    <w:rPr>
      <w:rFonts w:ascii="Times New Roman" w:hAnsi="Times New Roman" w:eastAsia="宋体" w:cs="Times New Roman"/>
      <w:color w:val="000000"/>
      <w:szCs w:val="20"/>
      <w14:ligatures w14:val="none"/>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39"/>
    <w:pPr>
      <w:adjustRightInd/>
      <w:snapToGrid/>
      <w:spacing w:line="240" w:lineRule="auto"/>
      <w:ind w:left="2520" w:leftChars="1200" w:firstLine="0" w:firstLineChars="0"/>
    </w:pPr>
    <w:rPr>
      <w:rFonts w:ascii="Times New Roman" w:hAnsi="Times New Roman" w:eastAsia="宋体" w:cs="Times New Roman"/>
      <w:sz w:val="21"/>
      <w14:ligatures w14:val="none"/>
    </w:rPr>
  </w:style>
  <w:style w:type="paragraph" w:styleId="8">
    <w:name w:val="Normal Indent"/>
    <w:basedOn w:val="1"/>
    <w:next w:val="1"/>
    <w:qFormat/>
    <w:uiPriority w:val="0"/>
    <w:pPr>
      <w:spacing w:line="240" w:lineRule="auto"/>
      <w:ind w:firstLine="420"/>
    </w:pPr>
    <w:rPr>
      <w:rFonts w:ascii="Times New Roman" w:hAnsi="Times New Roman" w:eastAsia="宋体" w:cs="Times New Roman"/>
      <w:szCs w:val="20"/>
      <w14:ligatures w14:val="none"/>
    </w:rPr>
  </w:style>
  <w:style w:type="paragraph" w:styleId="9">
    <w:name w:val="Document Map"/>
    <w:basedOn w:val="1"/>
    <w:link w:val="54"/>
    <w:qFormat/>
    <w:uiPriority w:val="0"/>
    <w:pPr>
      <w:adjustRightInd/>
      <w:snapToGrid/>
      <w:spacing w:line="240" w:lineRule="auto"/>
      <w:ind w:firstLine="720"/>
    </w:pPr>
    <w:rPr>
      <w:rFonts w:ascii="宋体" w:hAnsi="Times New Roman" w:eastAsia="宋体" w:cs="Times New Roman"/>
      <w:sz w:val="18"/>
      <w:szCs w:val="18"/>
      <w14:ligatures w14:val="none"/>
    </w:rPr>
  </w:style>
  <w:style w:type="paragraph" w:styleId="10">
    <w:name w:val="annotation text"/>
    <w:basedOn w:val="1"/>
    <w:link w:val="55"/>
    <w:qFormat/>
    <w:uiPriority w:val="0"/>
    <w:pPr>
      <w:adjustRightInd/>
      <w:snapToGrid/>
      <w:spacing w:line="240" w:lineRule="auto"/>
      <w:ind w:firstLine="720"/>
      <w:jc w:val="left"/>
    </w:pPr>
    <w:rPr>
      <w:rFonts w:ascii="Times New Roman" w:hAnsi="Times New Roman" w:eastAsia="宋体" w:cs="Times New Roman"/>
      <w:szCs w:val="20"/>
      <w14:ligatures w14:val="none"/>
    </w:rPr>
  </w:style>
  <w:style w:type="paragraph" w:styleId="11">
    <w:name w:val="Body Text"/>
    <w:basedOn w:val="1"/>
    <w:next w:val="12"/>
    <w:link w:val="56"/>
    <w:qFormat/>
    <w:uiPriority w:val="0"/>
    <w:pPr>
      <w:adjustRightInd/>
      <w:snapToGrid/>
      <w:spacing w:line="240" w:lineRule="auto"/>
      <w:ind w:firstLine="720"/>
    </w:pPr>
    <w:rPr>
      <w:rFonts w:ascii="Times New Roman" w:hAnsi="Times New Roman" w:eastAsia="宋体" w:cs="Times New Roman"/>
      <w:kern w:val="0"/>
      <w:szCs w:val="20"/>
      <w14:ligatures w14:val="none"/>
    </w:rPr>
  </w:style>
  <w:style w:type="paragraph" w:styleId="12">
    <w:name w:val="toc 1"/>
    <w:basedOn w:val="1"/>
    <w:next w:val="1"/>
    <w:qFormat/>
    <w:uiPriority w:val="39"/>
    <w:pPr>
      <w:adjustRightInd/>
      <w:snapToGrid/>
      <w:spacing w:line="240" w:lineRule="auto"/>
      <w:ind w:firstLine="0" w:firstLineChars="0"/>
      <w:jc w:val="left"/>
    </w:pPr>
    <w:rPr>
      <w:rFonts w:ascii="Times New Roman" w:hAnsi="Times New Roman" w:eastAsia="宋体" w:cs="Times New Roman"/>
      <w:b/>
      <w:szCs w:val="20"/>
      <w14:ligatures w14:val="none"/>
    </w:rPr>
  </w:style>
  <w:style w:type="paragraph" w:styleId="13">
    <w:name w:val="Body Text Indent"/>
    <w:basedOn w:val="1"/>
    <w:link w:val="57"/>
    <w:qFormat/>
    <w:uiPriority w:val="0"/>
    <w:pPr>
      <w:adjustRightInd/>
      <w:snapToGrid/>
      <w:spacing w:before="156" w:beforeLines="50" w:after="156" w:afterLines="50" w:line="240" w:lineRule="auto"/>
      <w:ind w:firstLine="0" w:firstLineChars="0"/>
      <w:jc w:val="center"/>
    </w:pPr>
    <w:rPr>
      <w:rFonts w:ascii="Times New Roman" w:hAnsi="Times New Roman" w:eastAsia="宋体" w:cs="Times New Roman"/>
      <w:b/>
      <w:bCs/>
      <w:kern w:val="0"/>
      <w:sz w:val="21"/>
      <w:szCs w:val="21"/>
      <w14:ligatures w14:val="none"/>
    </w:rPr>
  </w:style>
  <w:style w:type="paragraph" w:styleId="14">
    <w:name w:val="toc 5"/>
    <w:basedOn w:val="1"/>
    <w:next w:val="1"/>
    <w:qFormat/>
    <w:uiPriority w:val="39"/>
    <w:pPr>
      <w:adjustRightInd/>
      <w:snapToGrid/>
      <w:spacing w:line="240" w:lineRule="auto"/>
      <w:ind w:left="1680" w:leftChars="800" w:firstLine="0" w:firstLineChars="0"/>
    </w:pPr>
    <w:rPr>
      <w:rFonts w:ascii="Times New Roman" w:hAnsi="Times New Roman" w:eastAsia="宋体" w:cs="Times New Roman"/>
      <w:sz w:val="21"/>
      <w14:ligatures w14:val="none"/>
    </w:rPr>
  </w:style>
  <w:style w:type="paragraph" w:styleId="15">
    <w:name w:val="toc 3"/>
    <w:basedOn w:val="1"/>
    <w:next w:val="1"/>
    <w:qFormat/>
    <w:uiPriority w:val="39"/>
    <w:pPr>
      <w:adjustRightInd/>
      <w:snapToGrid/>
      <w:spacing w:line="240" w:lineRule="auto"/>
    </w:pPr>
    <w:rPr>
      <w:rFonts w:ascii="宋体" w:hAnsi="宋体" w:eastAsia="黑体" w:cs="Times New Roman"/>
      <w:sz w:val="24"/>
      <w:szCs w:val="20"/>
      <w14:ligatures w14:val="none"/>
    </w:rPr>
  </w:style>
  <w:style w:type="paragraph" w:styleId="16">
    <w:name w:val="Plain Text"/>
    <w:basedOn w:val="1"/>
    <w:link w:val="58"/>
    <w:qFormat/>
    <w:uiPriority w:val="0"/>
    <w:pPr>
      <w:adjustRightInd/>
      <w:snapToGrid/>
      <w:spacing w:line="240" w:lineRule="auto"/>
      <w:ind w:firstLine="0" w:firstLineChars="0"/>
      <w:jc w:val="center"/>
    </w:pPr>
    <w:rPr>
      <w:rFonts w:ascii="Times New Roman" w:hAnsi="Times New Roman" w:eastAsia="宋体" w:cs="Times New Roman"/>
      <w:sz w:val="21"/>
      <w:szCs w:val="21"/>
      <w14:ligatures w14:val="none"/>
    </w:rPr>
  </w:style>
  <w:style w:type="paragraph" w:styleId="17">
    <w:name w:val="toc 8"/>
    <w:basedOn w:val="1"/>
    <w:next w:val="1"/>
    <w:qFormat/>
    <w:uiPriority w:val="39"/>
    <w:pPr>
      <w:adjustRightInd/>
      <w:snapToGrid/>
      <w:spacing w:line="240" w:lineRule="auto"/>
      <w:ind w:left="2940" w:leftChars="1400" w:firstLine="0" w:firstLineChars="0"/>
    </w:pPr>
    <w:rPr>
      <w:rFonts w:ascii="Times New Roman" w:hAnsi="Times New Roman" w:eastAsia="宋体" w:cs="Times New Roman"/>
      <w:sz w:val="21"/>
      <w14:ligatures w14:val="none"/>
    </w:rPr>
  </w:style>
  <w:style w:type="paragraph" w:styleId="18">
    <w:name w:val="Date"/>
    <w:basedOn w:val="1"/>
    <w:next w:val="1"/>
    <w:link w:val="59"/>
    <w:qFormat/>
    <w:uiPriority w:val="0"/>
    <w:pPr>
      <w:adjustRightInd/>
      <w:snapToGrid/>
      <w:spacing w:line="240" w:lineRule="auto"/>
      <w:ind w:left="100" w:leftChars="2500" w:firstLine="720"/>
    </w:pPr>
    <w:rPr>
      <w:rFonts w:ascii="宋体" w:hAnsi="宋体" w:eastAsia="宋体" w:cs="Times New Roman"/>
      <w:szCs w:val="20"/>
      <w14:ligatures w14:val="none"/>
    </w:rPr>
  </w:style>
  <w:style w:type="paragraph" w:styleId="19">
    <w:name w:val="Body Text Indent 2"/>
    <w:basedOn w:val="1"/>
    <w:next w:val="1"/>
    <w:link w:val="60"/>
    <w:qFormat/>
    <w:uiPriority w:val="0"/>
    <w:pPr>
      <w:adjustRightInd/>
      <w:snapToGrid/>
      <w:spacing w:after="120" w:line="480" w:lineRule="auto"/>
      <w:ind w:left="420" w:leftChars="200" w:firstLine="720"/>
    </w:pPr>
    <w:rPr>
      <w:rFonts w:ascii="Times New Roman" w:hAnsi="Times New Roman" w:eastAsia="宋体" w:cs="Times New Roman"/>
      <w:szCs w:val="20"/>
      <w14:ligatures w14:val="none"/>
    </w:rPr>
  </w:style>
  <w:style w:type="paragraph" w:styleId="20">
    <w:name w:val="Balloon Text"/>
    <w:basedOn w:val="1"/>
    <w:link w:val="61"/>
    <w:qFormat/>
    <w:uiPriority w:val="0"/>
    <w:pPr>
      <w:adjustRightInd/>
      <w:snapToGrid/>
      <w:spacing w:line="240" w:lineRule="auto"/>
      <w:ind w:firstLine="720"/>
    </w:pPr>
    <w:rPr>
      <w:rFonts w:ascii="Times New Roman" w:hAnsi="Times New Roman" w:eastAsia="宋体" w:cs="Times New Roman"/>
      <w:sz w:val="18"/>
      <w:szCs w:val="20"/>
      <w14:ligatures w14:val="none"/>
    </w:rPr>
  </w:style>
  <w:style w:type="paragraph" w:styleId="21">
    <w:name w:val="footer"/>
    <w:basedOn w:val="1"/>
    <w:link w:val="42"/>
    <w:unhideWhenUsed/>
    <w:qFormat/>
    <w:uiPriority w:val="0"/>
    <w:pPr>
      <w:tabs>
        <w:tab w:val="center" w:pos="4153"/>
        <w:tab w:val="right" w:pos="8306"/>
      </w:tabs>
      <w:spacing w:line="240" w:lineRule="auto"/>
    </w:pPr>
    <w:rPr>
      <w:sz w:val="18"/>
      <w:szCs w:val="18"/>
    </w:rPr>
  </w:style>
  <w:style w:type="paragraph" w:styleId="22">
    <w:name w:val="header"/>
    <w:basedOn w:val="1"/>
    <w:link w:val="41"/>
    <w:unhideWhenUsed/>
    <w:qFormat/>
    <w:uiPriority w:val="0"/>
    <w:pPr>
      <w:tabs>
        <w:tab w:val="center" w:pos="4153"/>
        <w:tab w:val="right" w:pos="8306"/>
      </w:tabs>
      <w:spacing w:line="240" w:lineRule="auto"/>
      <w:jc w:val="center"/>
    </w:pPr>
    <w:rPr>
      <w:sz w:val="18"/>
      <w:szCs w:val="18"/>
    </w:rPr>
  </w:style>
  <w:style w:type="paragraph" w:styleId="23">
    <w:name w:val="toc 4"/>
    <w:basedOn w:val="1"/>
    <w:next w:val="1"/>
    <w:qFormat/>
    <w:uiPriority w:val="39"/>
    <w:pPr>
      <w:adjustRightInd/>
      <w:snapToGrid/>
      <w:spacing w:line="240" w:lineRule="auto"/>
      <w:ind w:left="630" w:firstLine="720"/>
      <w:jc w:val="left"/>
    </w:pPr>
    <w:rPr>
      <w:rFonts w:ascii="Times New Roman" w:hAnsi="Times New Roman" w:eastAsia="宋体" w:cs="Times New Roman"/>
      <w:sz w:val="24"/>
      <w:szCs w:val="20"/>
      <w14:ligatures w14:val="none"/>
    </w:rPr>
  </w:style>
  <w:style w:type="paragraph" w:styleId="24">
    <w:name w:val="List"/>
    <w:basedOn w:val="1"/>
    <w:next w:val="1"/>
    <w:qFormat/>
    <w:uiPriority w:val="0"/>
    <w:pPr>
      <w:adjustRightInd/>
      <w:snapToGrid/>
      <w:spacing w:line="240" w:lineRule="auto"/>
      <w:ind w:left="200" w:hanging="200"/>
    </w:pPr>
    <w:rPr>
      <w:rFonts w:ascii="Times New Roman" w:hAnsi="Times New Roman" w:eastAsia="宋体" w:cs="Times New Roman"/>
      <w:szCs w:val="20"/>
      <w14:ligatures w14:val="none"/>
    </w:rPr>
  </w:style>
  <w:style w:type="paragraph" w:styleId="25">
    <w:name w:val="toc 6"/>
    <w:basedOn w:val="1"/>
    <w:next w:val="1"/>
    <w:qFormat/>
    <w:uiPriority w:val="39"/>
    <w:pPr>
      <w:adjustRightInd/>
      <w:snapToGrid/>
      <w:spacing w:line="240" w:lineRule="auto"/>
      <w:ind w:left="2100" w:leftChars="1000" w:firstLine="0" w:firstLineChars="0"/>
    </w:pPr>
    <w:rPr>
      <w:rFonts w:ascii="Times New Roman" w:hAnsi="Times New Roman" w:eastAsia="宋体" w:cs="Times New Roman"/>
      <w:sz w:val="21"/>
      <w14:ligatures w14:val="none"/>
    </w:rPr>
  </w:style>
  <w:style w:type="paragraph" w:styleId="26">
    <w:name w:val="Body Text Indent 3"/>
    <w:basedOn w:val="1"/>
    <w:link w:val="62"/>
    <w:qFormat/>
    <w:uiPriority w:val="0"/>
    <w:pPr>
      <w:adjustRightInd/>
      <w:snapToGrid/>
      <w:spacing w:after="120" w:line="240" w:lineRule="auto"/>
      <w:ind w:left="420" w:leftChars="200" w:firstLine="720"/>
    </w:pPr>
    <w:rPr>
      <w:rFonts w:ascii="Times New Roman" w:hAnsi="Times New Roman" w:eastAsia="宋体" w:cs="Times New Roman"/>
      <w:sz w:val="16"/>
      <w:szCs w:val="16"/>
      <w14:ligatures w14:val="none"/>
    </w:rPr>
  </w:style>
  <w:style w:type="paragraph" w:styleId="27">
    <w:name w:val="toc 2"/>
    <w:basedOn w:val="1"/>
    <w:next w:val="1"/>
    <w:qFormat/>
    <w:uiPriority w:val="39"/>
    <w:pPr>
      <w:adjustRightInd/>
      <w:snapToGrid/>
      <w:spacing w:line="240" w:lineRule="auto"/>
      <w:ind w:firstLine="360" w:firstLineChars="100"/>
    </w:pPr>
    <w:rPr>
      <w:rFonts w:ascii="Times New Roman" w:hAnsi="Times New Roman" w:eastAsia="宋体" w:cs="Times New Roman"/>
      <w:szCs w:val="20"/>
      <w14:ligatures w14:val="none"/>
    </w:rPr>
  </w:style>
  <w:style w:type="paragraph" w:styleId="28">
    <w:name w:val="toc 9"/>
    <w:basedOn w:val="1"/>
    <w:next w:val="1"/>
    <w:qFormat/>
    <w:uiPriority w:val="39"/>
    <w:pPr>
      <w:adjustRightInd/>
      <w:snapToGrid/>
      <w:spacing w:line="240" w:lineRule="auto"/>
      <w:ind w:left="3360" w:leftChars="1600" w:firstLine="0" w:firstLineChars="0"/>
    </w:pPr>
    <w:rPr>
      <w:rFonts w:ascii="Times New Roman" w:hAnsi="Times New Roman" w:eastAsia="宋体" w:cs="Times New Roman"/>
      <w:sz w:val="21"/>
      <w14:ligatures w14:val="none"/>
    </w:rPr>
  </w:style>
  <w:style w:type="paragraph" w:styleId="29">
    <w:name w:val="Normal (Web)"/>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Times New Roman"/>
      <w:kern w:val="0"/>
      <w:sz w:val="24"/>
      <w14:ligatures w14:val="none"/>
    </w:rPr>
  </w:style>
  <w:style w:type="paragraph" w:styleId="30">
    <w:name w:val="annotation subject"/>
    <w:basedOn w:val="10"/>
    <w:next w:val="10"/>
    <w:link w:val="63"/>
    <w:qFormat/>
    <w:uiPriority w:val="0"/>
    <w:rPr>
      <w:b/>
    </w:rPr>
  </w:style>
  <w:style w:type="paragraph" w:styleId="31">
    <w:name w:val="Body Text First Indent"/>
    <w:basedOn w:val="11"/>
    <w:link w:val="64"/>
    <w:qFormat/>
    <w:uiPriority w:val="0"/>
    <w:pPr>
      <w:spacing w:after="120"/>
      <w:ind w:firstLine="420" w:firstLineChars="100"/>
    </w:pPr>
    <w:rPr>
      <w:sz w:val="21"/>
      <w:szCs w:val="24"/>
    </w:rPr>
  </w:style>
  <w:style w:type="paragraph" w:styleId="32">
    <w:name w:val="Body Text First Indent 2"/>
    <w:basedOn w:val="13"/>
    <w:next w:val="1"/>
    <w:qFormat/>
    <w:uiPriority w:val="0"/>
    <w:pPr>
      <w:ind w:firstLine="420" w:firstLineChars="200"/>
    </w:pPr>
  </w:style>
  <w:style w:type="table" w:styleId="34">
    <w:name w:val="Table Grid"/>
    <w:basedOn w:val="33"/>
    <w:qFormat/>
    <w:uiPriority w:val="0"/>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rPr>
  </w:style>
  <w:style w:type="character" w:styleId="37">
    <w:name w:val="page number"/>
    <w:qFormat/>
    <w:uiPriority w:val="0"/>
  </w:style>
  <w:style w:type="character" w:styleId="38">
    <w:name w:val="Emphasis"/>
    <w:qFormat/>
    <w:uiPriority w:val="0"/>
    <w:rPr>
      <w:color w:val="CC0000"/>
    </w:rPr>
  </w:style>
  <w:style w:type="character" w:styleId="39">
    <w:name w:val="Hyperlink"/>
    <w:qFormat/>
    <w:uiPriority w:val="99"/>
    <w:rPr>
      <w:color w:val="0033CC"/>
      <w:u w:val="single"/>
    </w:rPr>
  </w:style>
  <w:style w:type="character" w:styleId="40">
    <w:name w:val="annotation reference"/>
    <w:qFormat/>
    <w:uiPriority w:val="0"/>
    <w:rPr>
      <w:sz w:val="21"/>
    </w:rPr>
  </w:style>
  <w:style w:type="character" w:customStyle="1" w:styleId="41">
    <w:name w:val="页眉 字符"/>
    <w:basedOn w:val="35"/>
    <w:link w:val="22"/>
    <w:qFormat/>
    <w:uiPriority w:val="0"/>
    <w:rPr>
      <w:sz w:val="18"/>
      <w:szCs w:val="18"/>
    </w:rPr>
  </w:style>
  <w:style w:type="character" w:customStyle="1" w:styleId="42">
    <w:name w:val="页脚 字符"/>
    <w:basedOn w:val="35"/>
    <w:link w:val="21"/>
    <w:qFormat/>
    <w:uiPriority w:val="0"/>
    <w:rPr>
      <w:sz w:val="18"/>
      <w:szCs w:val="18"/>
    </w:rPr>
  </w:style>
  <w:style w:type="paragraph" w:customStyle="1" w:styleId="43">
    <w:name w:val="画图"/>
    <w:basedOn w:val="1"/>
    <w:link w:val="44"/>
    <w:qFormat/>
    <w:uiPriority w:val="0"/>
    <w:pPr>
      <w:spacing w:line="240" w:lineRule="auto"/>
      <w:ind w:firstLine="0" w:firstLineChars="0"/>
      <w:jc w:val="center"/>
    </w:pPr>
    <w:rPr>
      <w:rFonts w:ascii="Times New Roman" w:hAnsi="Times New Roman" w:eastAsia="宋体" w:cs="Times New Roman"/>
      <w:sz w:val="21"/>
      <w:szCs w:val="28"/>
    </w:rPr>
  </w:style>
  <w:style w:type="character" w:customStyle="1" w:styleId="44">
    <w:name w:val="画图 字符"/>
    <w:basedOn w:val="35"/>
    <w:link w:val="43"/>
    <w:qFormat/>
    <w:uiPriority w:val="0"/>
    <w:rPr>
      <w:rFonts w:ascii="Times New Roman" w:hAnsi="Times New Roman" w:eastAsia="宋体" w:cs="Times New Roman"/>
      <w:sz w:val="21"/>
      <w:szCs w:val="28"/>
    </w:rPr>
  </w:style>
  <w:style w:type="paragraph" w:customStyle="1" w:styleId="45">
    <w:name w:val="画图样式"/>
    <w:basedOn w:val="1"/>
    <w:link w:val="46"/>
    <w:qFormat/>
    <w:uiPriority w:val="0"/>
    <w:pPr>
      <w:spacing w:line="240" w:lineRule="auto"/>
      <w:ind w:firstLine="0" w:firstLineChars="0"/>
      <w:jc w:val="center"/>
    </w:pPr>
    <w:rPr>
      <w:rFonts w:ascii="Times New Roman" w:hAnsi="Times New Roman" w:eastAsia="宋体"/>
      <w:sz w:val="21"/>
    </w:rPr>
  </w:style>
  <w:style w:type="character" w:customStyle="1" w:styleId="46">
    <w:name w:val="画图样式 字符"/>
    <w:basedOn w:val="35"/>
    <w:link w:val="45"/>
    <w:qFormat/>
    <w:uiPriority w:val="0"/>
    <w:rPr>
      <w:rFonts w:ascii="Times New Roman" w:hAnsi="Times New Roman" w:eastAsia="宋体"/>
      <w:sz w:val="21"/>
    </w:rPr>
  </w:style>
  <w:style w:type="paragraph" w:styleId="47">
    <w:name w:val="List Paragraph"/>
    <w:basedOn w:val="1"/>
    <w:qFormat/>
    <w:uiPriority w:val="34"/>
    <w:pPr>
      <w:ind w:firstLine="420"/>
    </w:pPr>
  </w:style>
  <w:style w:type="character" w:customStyle="1" w:styleId="48">
    <w:name w:val="标题 1 字符"/>
    <w:basedOn w:val="35"/>
    <w:link w:val="2"/>
    <w:qFormat/>
    <w:uiPriority w:val="0"/>
    <w:rPr>
      <w:rFonts w:ascii="Times New Roman" w:hAnsi="Times New Roman" w:eastAsia="黑体" w:cs="Times New Roman"/>
      <w:kern w:val="44"/>
      <w:sz w:val="32"/>
      <w:szCs w:val="20"/>
      <w14:ligatures w14:val="none"/>
    </w:rPr>
  </w:style>
  <w:style w:type="character" w:customStyle="1" w:styleId="49">
    <w:name w:val="标题 2 字符"/>
    <w:basedOn w:val="35"/>
    <w:link w:val="3"/>
    <w:qFormat/>
    <w:uiPriority w:val="0"/>
    <w:rPr>
      <w:rFonts w:ascii="Times New Roman" w:hAnsi="Times New Roman" w:eastAsia="楷体_GB2312" w:cs="Times New Roman"/>
      <w:color w:val="000000"/>
      <w:sz w:val="32"/>
      <w:szCs w:val="20"/>
      <w14:ligatures w14:val="none"/>
    </w:rPr>
  </w:style>
  <w:style w:type="character" w:customStyle="1" w:styleId="50">
    <w:name w:val="标题 3 字符"/>
    <w:basedOn w:val="35"/>
    <w:link w:val="4"/>
    <w:qFormat/>
    <w:uiPriority w:val="0"/>
    <w:rPr>
      <w:rFonts w:ascii="Times New Roman" w:hAnsi="Times New Roman" w:eastAsia="黑体" w:cs="Times New Roman"/>
      <w:kern w:val="0"/>
      <w:sz w:val="28"/>
      <w:szCs w:val="20"/>
      <w14:ligatures w14:val="none"/>
    </w:rPr>
  </w:style>
  <w:style w:type="character" w:customStyle="1" w:styleId="51">
    <w:name w:val="标题 4 字符"/>
    <w:basedOn w:val="35"/>
    <w:link w:val="5"/>
    <w:qFormat/>
    <w:uiPriority w:val="0"/>
    <w:rPr>
      <w:rFonts w:ascii="Times New Roman" w:hAnsi="Times New Roman" w:eastAsia="宋体" w:cs="Times New Roman"/>
      <w:kern w:val="0"/>
      <w:sz w:val="28"/>
      <w:szCs w:val="20"/>
      <w14:ligatures w14:val="none"/>
    </w:rPr>
  </w:style>
  <w:style w:type="character" w:customStyle="1" w:styleId="52">
    <w:name w:val="标题 5 字符"/>
    <w:basedOn w:val="35"/>
    <w:link w:val="6"/>
    <w:qFormat/>
    <w:uiPriority w:val="0"/>
    <w:rPr>
      <w:rFonts w:ascii="Times New Roman" w:hAnsi="Times New Roman" w:eastAsia="宋体" w:cs="Times New Roman"/>
      <w:color w:val="000000"/>
      <w:sz w:val="28"/>
      <w:szCs w:val="20"/>
      <w14:ligatures w14:val="none"/>
    </w:rPr>
  </w:style>
  <w:style w:type="paragraph" w:customStyle="1" w:styleId="53">
    <w:name w:val="正文首行缩进 21"/>
    <w:qFormat/>
    <w:uiPriority w:val="0"/>
    <w:pPr>
      <w:widowControl w:val="0"/>
      <w:autoSpaceDE w:val="0"/>
      <w:autoSpaceDN w:val="0"/>
      <w:spacing w:after="120" w:line="240" w:lineRule="auto"/>
      <w:ind w:left="420" w:leftChars="200" w:firstLine="420" w:firstLineChars="200"/>
    </w:pPr>
    <w:rPr>
      <w:rFonts w:ascii="Times New Roman" w:hAnsi="Times New Roman" w:eastAsia="宋体" w:cs="宋体"/>
      <w:kern w:val="0"/>
      <w:sz w:val="21"/>
      <w:szCs w:val="24"/>
      <w:lang w:val="zh-CN" w:eastAsia="zh-CN" w:bidi="zh-CN"/>
      <w14:ligatures w14:val="none"/>
    </w:rPr>
  </w:style>
  <w:style w:type="character" w:customStyle="1" w:styleId="54">
    <w:name w:val="文档结构图 字符"/>
    <w:basedOn w:val="35"/>
    <w:link w:val="9"/>
    <w:qFormat/>
    <w:uiPriority w:val="0"/>
    <w:rPr>
      <w:rFonts w:ascii="宋体" w:hAnsi="Times New Roman" w:eastAsia="宋体" w:cs="Times New Roman"/>
      <w:sz w:val="18"/>
      <w:szCs w:val="18"/>
      <w14:ligatures w14:val="none"/>
    </w:rPr>
  </w:style>
  <w:style w:type="character" w:customStyle="1" w:styleId="55">
    <w:name w:val="批注文字 字符"/>
    <w:basedOn w:val="35"/>
    <w:link w:val="10"/>
    <w:qFormat/>
    <w:uiPriority w:val="0"/>
    <w:rPr>
      <w:rFonts w:ascii="Times New Roman" w:hAnsi="Times New Roman" w:eastAsia="宋体" w:cs="Times New Roman"/>
      <w:sz w:val="28"/>
      <w:szCs w:val="20"/>
      <w14:ligatures w14:val="none"/>
    </w:rPr>
  </w:style>
  <w:style w:type="character" w:customStyle="1" w:styleId="56">
    <w:name w:val="正文文本 字符"/>
    <w:basedOn w:val="35"/>
    <w:link w:val="11"/>
    <w:qFormat/>
    <w:uiPriority w:val="0"/>
    <w:rPr>
      <w:rFonts w:ascii="Times New Roman" w:hAnsi="Times New Roman" w:eastAsia="宋体" w:cs="Times New Roman"/>
      <w:kern w:val="0"/>
      <w:sz w:val="28"/>
      <w:szCs w:val="20"/>
      <w14:ligatures w14:val="none"/>
    </w:rPr>
  </w:style>
  <w:style w:type="character" w:customStyle="1" w:styleId="57">
    <w:name w:val="正文文本缩进 字符"/>
    <w:basedOn w:val="35"/>
    <w:link w:val="13"/>
    <w:qFormat/>
    <w:uiPriority w:val="0"/>
    <w:rPr>
      <w:rFonts w:ascii="Times New Roman" w:hAnsi="Times New Roman" w:eastAsia="宋体" w:cs="Times New Roman"/>
      <w:b/>
      <w:bCs/>
      <w:kern w:val="0"/>
      <w:sz w:val="21"/>
      <w:szCs w:val="21"/>
      <w14:ligatures w14:val="none"/>
    </w:rPr>
  </w:style>
  <w:style w:type="character" w:customStyle="1" w:styleId="58">
    <w:name w:val="纯文本 字符"/>
    <w:basedOn w:val="35"/>
    <w:link w:val="16"/>
    <w:qFormat/>
    <w:uiPriority w:val="0"/>
    <w:rPr>
      <w:rFonts w:ascii="Times New Roman" w:hAnsi="Times New Roman" w:eastAsia="宋体" w:cs="Times New Roman"/>
      <w:sz w:val="21"/>
      <w:szCs w:val="21"/>
      <w14:ligatures w14:val="none"/>
    </w:rPr>
  </w:style>
  <w:style w:type="character" w:customStyle="1" w:styleId="59">
    <w:name w:val="日期 字符"/>
    <w:basedOn w:val="35"/>
    <w:link w:val="18"/>
    <w:qFormat/>
    <w:uiPriority w:val="0"/>
    <w:rPr>
      <w:rFonts w:ascii="宋体" w:hAnsi="宋体" w:eastAsia="宋体" w:cs="Times New Roman"/>
      <w:sz w:val="28"/>
      <w:szCs w:val="20"/>
      <w14:ligatures w14:val="none"/>
    </w:rPr>
  </w:style>
  <w:style w:type="character" w:customStyle="1" w:styleId="60">
    <w:name w:val="正文文本缩进 2 字符"/>
    <w:basedOn w:val="35"/>
    <w:link w:val="19"/>
    <w:qFormat/>
    <w:uiPriority w:val="0"/>
    <w:rPr>
      <w:rFonts w:ascii="Times New Roman" w:hAnsi="Times New Roman" w:eastAsia="宋体" w:cs="Times New Roman"/>
      <w:sz w:val="28"/>
      <w:szCs w:val="20"/>
      <w14:ligatures w14:val="none"/>
    </w:rPr>
  </w:style>
  <w:style w:type="character" w:customStyle="1" w:styleId="61">
    <w:name w:val="批注框文本 字符"/>
    <w:basedOn w:val="35"/>
    <w:link w:val="20"/>
    <w:qFormat/>
    <w:uiPriority w:val="0"/>
    <w:rPr>
      <w:rFonts w:ascii="Times New Roman" w:hAnsi="Times New Roman" w:eastAsia="宋体" w:cs="Times New Roman"/>
      <w:sz w:val="18"/>
      <w:szCs w:val="20"/>
      <w14:ligatures w14:val="none"/>
    </w:rPr>
  </w:style>
  <w:style w:type="character" w:customStyle="1" w:styleId="62">
    <w:name w:val="正文文本缩进 3 字符"/>
    <w:basedOn w:val="35"/>
    <w:link w:val="26"/>
    <w:qFormat/>
    <w:uiPriority w:val="0"/>
    <w:rPr>
      <w:rFonts w:ascii="Times New Roman" w:hAnsi="Times New Roman" w:eastAsia="宋体" w:cs="Times New Roman"/>
      <w:sz w:val="16"/>
      <w:szCs w:val="16"/>
      <w14:ligatures w14:val="none"/>
    </w:rPr>
  </w:style>
  <w:style w:type="character" w:customStyle="1" w:styleId="63">
    <w:name w:val="批注主题 字符"/>
    <w:basedOn w:val="55"/>
    <w:link w:val="30"/>
    <w:qFormat/>
    <w:uiPriority w:val="0"/>
    <w:rPr>
      <w:rFonts w:ascii="Times New Roman" w:hAnsi="Times New Roman" w:eastAsia="宋体" w:cs="Times New Roman"/>
      <w:b/>
      <w:sz w:val="28"/>
      <w:szCs w:val="20"/>
      <w14:ligatures w14:val="none"/>
    </w:rPr>
  </w:style>
  <w:style w:type="character" w:customStyle="1" w:styleId="64">
    <w:name w:val="正文文本首行缩进 字符"/>
    <w:basedOn w:val="56"/>
    <w:link w:val="31"/>
    <w:qFormat/>
    <w:uiPriority w:val="0"/>
    <w:rPr>
      <w:rFonts w:ascii="Times New Roman" w:hAnsi="Times New Roman" w:eastAsia="宋体" w:cs="Times New Roman"/>
      <w:kern w:val="0"/>
      <w:sz w:val="21"/>
      <w:szCs w:val="20"/>
      <w14:ligatures w14:val="none"/>
    </w:rPr>
  </w:style>
  <w:style w:type="character" w:customStyle="1" w:styleId="65">
    <w:name w:val="10"/>
    <w:qFormat/>
    <w:uiPriority w:val="0"/>
    <w:rPr>
      <w:rFonts w:hint="default" w:ascii="Times New Roman" w:hAnsi="Times New Roman" w:cs="Times New Roman"/>
    </w:rPr>
  </w:style>
  <w:style w:type="character" w:customStyle="1" w:styleId="66">
    <w:name w:val="样式 Char Char Char Char + 宋体 四号 Char"/>
    <w:link w:val="67"/>
    <w:qFormat/>
    <w:uiPriority w:val="0"/>
    <w:rPr>
      <w:rFonts w:ascii="宋体" w:hAnsi="宋体"/>
      <w:sz w:val="28"/>
    </w:rPr>
  </w:style>
  <w:style w:type="paragraph" w:customStyle="1" w:styleId="67">
    <w:name w:val="样式 Char Char Char Char + 宋体 四号"/>
    <w:basedOn w:val="1"/>
    <w:link w:val="66"/>
    <w:qFormat/>
    <w:uiPriority w:val="0"/>
    <w:pPr>
      <w:widowControl/>
      <w:adjustRightInd/>
      <w:snapToGrid/>
      <w:spacing w:line="240" w:lineRule="auto"/>
      <w:jc w:val="left"/>
    </w:pPr>
    <w:rPr>
      <w:rFonts w:ascii="宋体" w:hAnsi="宋体" w:eastAsiaTheme="minorEastAsia"/>
    </w:rPr>
  </w:style>
  <w:style w:type="character" w:customStyle="1" w:styleId="68">
    <w:name w:val="正文 Char Char"/>
    <w:link w:val="69"/>
    <w:qFormat/>
    <w:uiPriority w:val="0"/>
    <w:rPr>
      <w:rFonts w:ascii="宋体" w:hAnsi="宋体"/>
      <w:sz w:val="28"/>
    </w:rPr>
  </w:style>
  <w:style w:type="paragraph" w:customStyle="1" w:styleId="69">
    <w:name w:val="正文2"/>
    <w:basedOn w:val="1"/>
    <w:link w:val="68"/>
    <w:qFormat/>
    <w:uiPriority w:val="0"/>
    <w:pPr>
      <w:adjustRightInd/>
      <w:snapToGrid/>
    </w:pPr>
    <w:rPr>
      <w:rFonts w:ascii="宋体" w:hAnsi="宋体" w:eastAsiaTheme="minorEastAsia"/>
    </w:rPr>
  </w:style>
  <w:style w:type="character" w:customStyle="1" w:styleId="70">
    <w:name w:val="headline-content2"/>
    <w:qFormat/>
    <w:uiPriority w:val="0"/>
  </w:style>
  <w:style w:type="character" w:customStyle="1" w:styleId="71">
    <w:name w:val="ca-1"/>
    <w:qFormat/>
    <w:uiPriority w:val="0"/>
  </w:style>
  <w:style w:type="character" w:customStyle="1" w:styleId="72">
    <w:name w:val="text"/>
    <w:qFormat/>
    <w:uiPriority w:val="0"/>
  </w:style>
  <w:style w:type="character" w:customStyle="1" w:styleId="73">
    <w:name w:val="zw1"/>
    <w:qFormat/>
    <w:uiPriority w:val="0"/>
    <w:rPr>
      <w:rFonts w:hint="eastAsia" w:ascii="宋体" w:hAnsi="宋体" w:eastAsia="宋体"/>
      <w:sz w:val="22"/>
      <w:szCs w:val="22"/>
    </w:rPr>
  </w:style>
  <w:style w:type="character" w:customStyle="1" w:styleId="74">
    <w:name w:val="px14"/>
    <w:qFormat/>
    <w:uiPriority w:val="0"/>
  </w:style>
  <w:style w:type="character" w:customStyle="1" w:styleId="75">
    <w:name w:val="unnamed113"/>
    <w:qFormat/>
    <w:uiPriority w:val="0"/>
    <w:rPr>
      <w:sz w:val="18"/>
      <w:szCs w:val="18"/>
      <w:u w:val="none"/>
    </w:rPr>
  </w:style>
  <w:style w:type="character" w:customStyle="1" w:styleId="76">
    <w:name w:val="apple-converted-space"/>
    <w:qFormat/>
    <w:uiPriority w:val="0"/>
  </w:style>
  <w:style w:type="character" w:customStyle="1" w:styleId="77">
    <w:name w:val="h2 Char"/>
    <w:qFormat/>
    <w:uiPriority w:val="0"/>
    <w:rPr>
      <w:rFonts w:ascii="Arial" w:hAnsi="Arial" w:eastAsia="黑体"/>
      <w:b/>
      <w:kern w:val="2"/>
      <w:sz w:val="32"/>
      <w:lang w:val="en-US" w:eastAsia="zh-CN"/>
    </w:rPr>
  </w:style>
  <w:style w:type="character" w:customStyle="1" w:styleId="78">
    <w:name w:val="IPE_正文 Char1"/>
    <w:link w:val="79"/>
    <w:qFormat/>
    <w:uiPriority w:val="0"/>
    <w:rPr>
      <w:sz w:val="24"/>
    </w:rPr>
  </w:style>
  <w:style w:type="paragraph" w:customStyle="1" w:styleId="79">
    <w:name w:val="IPE_正文"/>
    <w:link w:val="78"/>
    <w:qFormat/>
    <w:uiPriority w:val="0"/>
    <w:pPr>
      <w:widowControl w:val="0"/>
      <w:spacing w:after="0" w:line="480" w:lineRule="exact"/>
      <w:ind w:firstLine="200" w:firstLineChars="200"/>
      <w:jc w:val="both"/>
      <w:textAlignment w:val="bottom"/>
    </w:pPr>
    <w:rPr>
      <w:rFonts w:asciiTheme="minorHAnsi" w:hAnsiTheme="minorHAnsi" w:eastAsiaTheme="minorEastAsia" w:cstheme="minorBidi"/>
      <w:kern w:val="2"/>
      <w:sz w:val="24"/>
      <w:szCs w:val="24"/>
      <w:lang w:val="en-US" w:eastAsia="zh-CN" w:bidi="ar-SA"/>
      <w14:ligatures w14:val="standardContextual"/>
    </w:rPr>
  </w:style>
  <w:style w:type="paragraph" w:customStyle="1" w:styleId="80">
    <w:name w:val="reader-word-layer reader-word-s1-7"/>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customStyle="1" w:styleId="81">
    <w:name w:val="样式1"/>
    <w:basedOn w:val="1"/>
    <w:qFormat/>
    <w:uiPriority w:val="0"/>
    <w:pPr>
      <w:shd w:val="clear" w:color="auto" w:fill="FFFFFF"/>
      <w:autoSpaceDE w:val="0"/>
      <w:autoSpaceDN w:val="0"/>
      <w:snapToGrid/>
      <w:spacing w:line="240" w:lineRule="auto"/>
      <w:ind w:firstLine="0" w:firstLineChars="0"/>
      <w:jc w:val="center"/>
    </w:pPr>
    <w:rPr>
      <w:rFonts w:ascii="Times New Roman" w:hAnsi="Times New Roman" w:eastAsia="宋体" w:cs="Times New Roman"/>
      <w:color w:val="000000"/>
      <w:position w:val="-6"/>
      <w:sz w:val="21"/>
      <w:szCs w:val="20"/>
      <w14:ligatures w14:val="none"/>
    </w:rPr>
  </w:style>
  <w:style w:type="paragraph" w:customStyle="1" w:styleId="82">
    <w:name w:val="unnamed112"/>
    <w:basedOn w:val="1"/>
    <w:qFormat/>
    <w:uiPriority w:val="0"/>
    <w:pPr>
      <w:widowControl/>
      <w:adjustRightInd/>
      <w:snapToGrid/>
      <w:spacing w:before="100" w:beforeAutospacing="1" w:after="100" w:afterAutospacing="1" w:line="375" w:lineRule="atLeast"/>
      <w:ind w:firstLine="0" w:firstLineChars="0"/>
      <w:jc w:val="left"/>
    </w:pPr>
    <w:rPr>
      <w:rFonts w:ascii="宋体" w:hAnsi="宋体" w:eastAsia="宋体" w:cs="宋体"/>
      <w:color w:val="000000"/>
      <w:kern w:val="0"/>
      <w:sz w:val="18"/>
      <w:szCs w:val="18"/>
      <w14:ligatures w14:val="none"/>
    </w:rPr>
  </w:style>
  <w:style w:type="paragraph" w:customStyle="1" w:styleId="83">
    <w:name w:val="xl26"/>
    <w:basedOn w:val="1"/>
    <w:qFormat/>
    <w:uiPriority w:val="0"/>
    <w:pPr>
      <w:widowControl/>
      <w:pBdr>
        <w:bottom w:val="single" w:color="auto" w:sz="4" w:space="0"/>
        <w:right w:val="single" w:color="auto" w:sz="4" w:space="0"/>
      </w:pBdr>
      <w:adjustRightInd/>
      <w:snapToGrid/>
      <w:spacing w:before="100" w:beforeAutospacing="1" w:after="100" w:afterAutospacing="1" w:line="240" w:lineRule="auto"/>
      <w:ind w:firstLine="720"/>
      <w:jc w:val="center"/>
      <w:textAlignment w:val="top"/>
    </w:pPr>
    <w:rPr>
      <w:rFonts w:ascii="宋体" w:hAnsi="宋体" w:eastAsia="宋体" w:cs="Times New Roman"/>
      <w:kern w:val="0"/>
      <w:szCs w:val="21"/>
      <w14:ligatures w14:val="none"/>
    </w:rPr>
  </w:style>
  <w:style w:type="paragraph" w:customStyle="1" w:styleId="84">
    <w:name w:val="Char Char Char Char"/>
    <w:basedOn w:val="1"/>
    <w:qFormat/>
    <w:uiPriority w:val="0"/>
    <w:pPr>
      <w:widowControl/>
      <w:adjustRightInd/>
      <w:snapToGrid/>
      <w:spacing w:after="160" w:line="240" w:lineRule="exact"/>
      <w:ind w:firstLine="0" w:firstLineChars="0"/>
      <w:jc w:val="left"/>
    </w:pPr>
    <w:rPr>
      <w:rFonts w:ascii="Times New Roman" w:hAnsi="Times New Roman" w:eastAsia="宋体" w:cs="Times New Roman"/>
      <w:sz w:val="21"/>
      <w:szCs w:val="20"/>
      <w14:ligatures w14:val="none"/>
    </w:rPr>
  </w:style>
  <w:style w:type="paragraph" w:customStyle="1" w:styleId="85">
    <w:name w:val="reader-word-layer reader-word-s1-10 reader-word-s1-11"/>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customStyle="1" w:styleId="86">
    <w:name w:val="p0"/>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customStyle="1" w:styleId="87">
    <w:name w:val="一级条标题"/>
    <w:next w:val="88"/>
    <w:qFormat/>
    <w:uiPriority w:val="0"/>
    <w:pPr>
      <w:spacing w:after="0" w:line="240" w:lineRule="auto"/>
      <w:ind w:left="840"/>
      <w:outlineLvl w:val="2"/>
    </w:pPr>
    <w:rPr>
      <w:rFonts w:ascii="Times New Roman" w:hAnsi="Times New Roman" w:eastAsia="黑体" w:cs="Times New Roman"/>
      <w:kern w:val="0"/>
      <w:sz w:val="21"/>
      <w:szCs w:val="20"/>
      <w:lang w:val="en-US" w:eastAsia="zh-CN" w:bidi="ar-SA"/>
      <w14:ligatures w14:val="none"/>
    </w:rPr>
  </w:style>
  <w:style w:type="paragraph" w:customStyle="1" w:styleId="88">
    <w:name w:val="段"/>
    <w:qFormat/>
    <w:uiPriority w:val="0"/>
    <w:pPr>
      <w:autoSpaceDE w:val="0"/>
      <w:autoSpaceDN w:val="0"/>
      <w:spacing w:after="0" w:line="240" w:lineRule="auto"/>
      <w:ind w:left="525"/>
      <w:jc w:val="both"/>
    </w:pPr>
    <w:rPr>
      <w:rFonts w:ascii="宋体" w:hAnsi="Times New Roman" w:eastAsia="宋体" w:cs="Times New Roman"/>
      <w:kern w:val="0"/>
      <w:sz w:val="21"/>
      <w:szCs w:val="20"/>
      <w:lang w:val="en-US" w:eastAsia="zh-CN" w:bidi="ar-SA"/>
      <w14:ligatures w14:val="none"/>
    </w:rPr>
  </w:style>
  <w:style w:type="paragraph" w:customStyle="1" w:styleId="89">
    <w:name w:val="reader-word-layer reader-word-s1-17"/>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customStyle="1" w:styleId="90">
    <w:name w:val="reader-word-layer reader-word-s1-20"/>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customStyle="1" w:styleId="91">
    <w:name w:val="表格内"/>
    <w:basedOn w:val="1"/>
    <w:qFormat/>
    <w:uiPriority w:val="0"/>
    <w:pPr>
      <w:adjustRightInd/>
      <w:snapToGrid/>
      <w:spacing w:line="360" w:lineRule="exact"/>
      <w:ind w:firstLine="0" w:firstLineChars="0"/>
      <w:jc w:val="center"/>
    </w:pPr>
    <w:rPr>
      <w:rFonts w:ascii="Times New Roman" w:hAnsi="Times New Roman" w:cs="Times New Roman"/>
      <w:sz w:val="21"/>
      <w:szCs w:val="21"/>
      <w14:ligatures w14:val="none"/>
    </w:rPr>
  </w:style>
  <w:style w:type="paragraph" w:customStyle="1" w:styleId="92">
    <w:name w:val="reader-word-layer reader-word-s1-9"/>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customStyle="1" w:styleId="93">
    <w:name w:val="报告书表格"/>
    <w:basedOn w:val="1"/>
    <w:qFormat/>
    <w:uiPriority w:val="0"/>
    <w:pPr>
      <w:snapToGrid/>
      <w:spacing w:before="60" w:after="60" w:line="240" w:lineRule="atLeast"/>
      <w:ind w:firstLine="0" w:firstLineChars="0"/>
      <w:jc w:val="center"/>
      <w:textAlignment w:val="baseline"/>
    </w:pPr>
    <w:rPr>
      <w:rFonts w:ascii="Times New Roman" w:hAnsi="Times New Roman" w:eastAsia="宋体" w:cs="Times New Roman"/>
      <w:kern w:val="0"/>
      <w:sz w:val="21"/>
      <w:szCs w:val="20"/>
      <w14:ligatures w14:val="none"/>
    </w:rPr>
  </w:style>
  <w:style w:type="paragraph" w:customStyle="1" w:styleId="94">
    <w:name w:val="表格图标"/>
    <w:basedOn w:val="1"/>
    <w:qFormat/>
    <w:uiPriority w:val="0"/>
    <w:pPr>
      <w:adjustRightInd/>
      <w:snapToGrid/>
      <w:spacing w:after="50" w:afterLines="50" w:line="240" w:lineRule="auto"/>
      <w:ind w:firstLine="0" w:firstLineChars="0"/>
      <w:jc w:val="center"/>
    </w:pPr>
    <w:rPr>
      <w:rFonts w:ascii="Times New Roman" w:hAnsi="Times New Roman" w:eastAsia="宋体" w:cs="Times New Roman"/>
      <w:sz w:val="21"/>
      <w:szCs w:val="20"/>
      <w14:ligatures w14:val="none"/>
    </w:rPr>
  </w:style>
  <w:style w:type="paragraph" w:customStyle="1" w:styleId="95">
    <w:name w:val="style31"/>
    <w:basedOn w:val="1"/>
    <w:qFormat/>
    <w:uiPriority w:val="0"/>
    <w:pPr>
      <w:widowControl/>
      <w:adjustRightInd/>
      <w:snapToGrid/>
      <w:spacing w:before="100" w:beforeAutospacing="1" w:after="100" w:afterAutospacing="1" w:line="240" w:lineRule="auto"/>
      <w:ind w:firstLine="720"/>
      <w:jc w:val="left"/>
    </w:pPr>
    <w:rPr>
      <w:rFonts w:ascii="宋体" w:hAnsi="宋体" w:eastAsia="宋体" w:cs="宋体"/>
      <w:kern w:val="0"/>
      <w:sz w:val="24"/>
      <w:szCs w:val="20"/>
      <w14:ligatures w14:val="none"/>
    </w:rPr>
  </w:style>
  <w:style w:type="paragraph" w:customStyle="1" w:styleId="96">
    <w:name w:val="正文样式11"/>
    <w:basedOn w:val="1"/>
    <w:qFormat/>
    <w:uiPriority w:val="0"/>
    <w:pPr>
      <w:adjustRightInd/>
      <w:snapToGrid/>
      <w:ind w:firstLine="560"/>
    </w:pPr>
    <w:rPr>
      <w:rFonts w:ascii="宋体" w:hAnsi="宋体" w:eastAsia="宋体" w:cs="Arial"/>
      <w:bCs/>
      <w:color w:val="000000"/>
      <w:szCs w:val="28"/>
      <w14:ligatures w14:val="none"/>
    </w:rPr>
  </w:style>
  <w:style w:type="paragraph" w:customStyle="1" w:styleId="97">
    <w:name w:val="reader-word-layer reader-word-s1-6"/>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customStyle="1" w:styleId="98">
    <w:name w:val="章标题"/>
    <w:next w:val="88"/>
    <w:qFormat/>
    <w:uiPriority w:val="0"/>
    <w:pPr>
      <w:spacing w:before="156" w:beforeLines="50" w:after="156" w:afterLines="50" w:line="240" w:lineRule="auto"/>
      <w:jc w:val="both"/>
      <w:outlineLvl w:val="1"/>
    </w:pPr>
    <w:rPr>
      <w:rFonts w:ascii="黑体" w:hAnsi="Times New Roman" w:eastAsia="黑体" w:cs="Times New Roman"/>
      <w:kern w:val="0"/>
      <w:sz w:val="21"/>
      <w:szCs w:val="20"/>
      <w:lang w:val="en-US" w:eastAsia="zh-CN" w:bidi="ar-SA"/>
      <w14:ligatures w14:val="none"/>
    </w:rPr>
  </w:style>
  <w:style w:type="paragraph" w:customStyle="1" w:styleId="99">
    <w:name w:val="表格文字"/>
    <w:basedOn w:val="13"/>
    <w:qFormat/>
    <w:uiPriority w:val="0"/>
    <w:pPr>
      <w:spacing w:before="50" w:after="100" w:afterLines="100"/>
    </w:pPr>
    <w:rPr>
      <w:b w:val="0"/>
    </w:rPr>
  </w:style>
  <w:style w:type="paragraph" w:customStyle="1" w:styleId="100">
    <w:name w:val="zw"/>
    <w:basedOn w:val="1"/>
    <w:qFormat/>
    <w:uiPriority w:val="0"/>
    <w:pPr>
      <w:widowControl/>
      <w:adjustRightInd/>
      <w:snapToGrid/>
      <w:spacing w:before="100" w:beforeAutospacing="1" w:after="100" w:afterAutospacing="1" w:line="440" w:lineRule="atLeast"/>
      <w:ind w:firstLine="0" w:firstLineChars="0"/>
      <w:jc w:val="left"/>
    </w:pPr>
    <w:rPr>
      <w:rFonts w:ascii="宋体" w:hAnsi="宋体" w:eastAsia="宋体" w:cs="宋体"/>
      <w:kern w:val="0"/>
      <w:sz w:val="22"/>
      <w:szCs w:val="22"/>
      <w14:ligatures w14:val="none"/>
    </w:rPr>
  </w:style>
  <w:style w:type="paragraph" w:customStyle="1" w:styleId="101">
    <w:name w:val="目次、标准名称标题"/>
    <w:basedOn w:val="1"/>
    <w:next w:val="88"/>
    <w:qFormat/>
    <w:uiPriority w:val="0"/>
    <w:pPr>
      <w:widowControl/>
      <w:shd w:val="clear" w:color="FFFFFF" w:fill="FFFFFF"/>
      <w:adjustRightInd/>
      <w:snapToGrid/>
      <w:spacing w:before="640" w:after="560" w:line="460" w:lineRule="exact"/>
      <w:ind w:firstLine="0" w:firstLineChars="0"/>
      <w:jc w:val="center"/>
      <w:outlineLvl w:val="0"/>
    </w:pPr>
    <w:rPr>
      <w:rFonts w:ascii="黑体" w:hAnsi="Times New Roman" w:eastAsia="黑体" w:cs="Times New Roman"/>
      <w:kern w:val="0"/>
      <w:sz w:val="32"/>
      <w:szCs w:val="20"/>
      <w14:ligatures w14:val="none"/>
    </w:rPr>
  </w:style>
  <w:style w:type="paragraph" w:customStyle="1" w:styleId="102">
    <w:name w:val="样式 标题 3 + 首行缩进:  2 字符"/>
    <w:basedOn w:val="4"/>
    <w:qFormat/>
    <w:uiPriority w:val="0"/>
    <w:pPr>
      <w:ind w:firstLine="0" w:firstLineChars="0"/>
    </w:pPr>
    <w:rPr>
      <w:b/>
    </w:rPr>
  </w:style>
  <w:style w:type="paragraph" w:customStyle="1" w:styleId="103">
    <w:name w:val="正文　2"/>
    <w:basedOn w:val="104"/>
    <w:qFormat/>
    <w:uiPriority w:val="0"/>
  </w:style>
  <w:style w:type="paragraph" w:customStyle="1" w:styleId="104">
    <w:name w:val="样式 宋体 黑色"/>
    <w:basedOn w:val="1"/>
    <w:qFormat/>
    <w:uiPriority w:val="0"/>
    <w:pPr>
      <w:adjustRightInd/>
      <w:snapToGrid/>
      <w:spacing w:line="240" w:lineRule="auto"/>
      <w:ind w:firstLine="0" w:firstLineChars="0"/>
    </w:pPr>
    <w:rPr>
      <w:rFonts w:ascii="宋体" w:hAnsi="宋体" w:eastAsia="宋体" w:cs="Times New Roman"/>
      <w:color w:val="000000"/>
      <w:sz w:val="21"/>
      <w:szCs w:val="20"/>
      <w14:ligatures w14:val="none"/>
    </w:rPr>
  </w:style>
  <w:style w:type="paragraph" w:customStyle="1" w:styleId="105">
    <w:name w:val="方框"/>
    <w:basedOn w:val="1"/>
    <w:qFormat/>
    <w:uiPriority w:val="0"/>
    <w:pPr>
      <w:widowControl/>
      <w:adjustRightInd/>
      <w:snapToGrid/>
      <w:spacing w:line="240" w:lineRule="atLeast"/>
      <w:ind w:firstLine="720"/>
    </w:pPr>
    <w:rPr>
      <w:rFonts w:ascii="宋体" w:hAnsi="Times New Roman" w:eastAsia="宋体" w:cs="Times New Roman"/>
      <w:kern w:val="0"/>
      <w:sz w:val="24"/>
      <w:szCs w:val="20"/>
      <w14:ligatures w14:val="none"/>
    </w:rPr>
  </w:style>
  <w:style w:type="paragraph" w:customStyle="1" w:styleId="106">
    <w:name w:val="样式 标题 1 + 加粗 居中"/>
    <w:basedOn w:val="2"/>
    <w:qFormat/>
    <w:uiPriority w:val="0"/>
    <w:pPr>
      <w:spacing w:after="240" w:line="440" w:lineRule="exact"/>
      <w:jc w:val="left"/>
    </w:pPr>
    <w:rPr>
      <w:rFonts w:ascii="宋体" w:hAnsi="宋体" w:eastAsia="宋体"/>
    </w:rPr>
  </w:style>
  <w:style w:type="paragraph" w:customStyle="1" w:styleId="107">
    <w:name w:val="标题1"/>
    <w:basedOn w:val="1"/>
    <w:qFormat/>
    <w:uiPriority w:val="0"/>
    <w:pPr>
      <w:widowControl/>
      <w:adjustRightInd/>
      <w:snapToGrid/>
      <w:spacing w:line="285" w:lineRule="atLeast"/>
      <w:ind w:right="150" w:firstLine="0" w:firstLineChars="0"/>
      <w:jc w:val="left"/>
    </w:pPr>
    <w:rPr>
      <w:rFonts w:ascii="宋体" w:hAnsi="宋体" w:eastAsia="宋体" w:cs="宋体"/>
      <w:b/>
      <w:bCs/>
      <w:color w:val="FF6600"/>
      <w:kern w:val="0"/>
      <w:sz w:val="21"/>
      <w:szCs w:val="21"/>
      <w14:ligatures w14:val="none"/>
    </w:rPr>
  </w:style>
  <w:style w:type="paragraph" w:customStyle="1" w:styleId="108">
    <w:name w:val="reader-word-layer reader-word-s1-10"/>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customStyle="1" w:styleId="109">
    <w:name w:val="表头、图名"/>
    <w:basedOn w:val="1"/>
    <w:next w:val="1"/>
    <w:qFormat/>
    <w:uiPriority w:val="0"/>
    <w:pPr>
      <w:adjustRightInd/>
      <w:snapToGrid/>
      <w:spacing w:before="50" w:beforeLines="50" w:after="50" w:afterLines="50" w:line="240" w:lineRule="auto"/>
      <w:ind w:firstLine="0" w:firstLineChars="0"/>
      <w:jc w:val="center"/>
    </w:pPr>
    <w:rPr>
      <w:rFonts w:ascii="Times New Roman" w:hAnsi="Times New Roman" w:eastAsia="宋体" w:cs="Times New Roman"/>
      <w:sz w:val="21"/>
      <w:szCs w:val="20"/>
      <w14:ligatures w14:val="none"/>
    </w:rPr>
  </w:style>
  <w:style w:type="paragraph" w:customStyle="1" w:styleId="110">
    <w:name w:val="Char"/>
    <w:basedOn w:val="1"/>
    <w:qFormat/>
    <w:uiPriority w:val="0"/>
    <w:pPr>
      <w:adjustRightInd/>
      <w:snapToGrid/>
      <w:spacing w:line="240" w:lineRule="auto"/>
      <w:ind w:firstLine="720"/>
    </w:pPr>
    <w:rPr>
      <w:rFonts w:ascii="Times New Roman" w:hAnsi="Times New Roman" w:eastAsia="宋体" w:cs="Times New Roman"/>
      <w:szCs w:val="20"/>
      <w14:ligatures w14:val="none"/>
    </w:rPr>
  </w:style>
  <w:style w:type="paragraph" w:customStyle="1" w:styleId="111">
    <w:name w:val="reader-word-layer reader-word-s46-15"/>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customStyle="1" w:styleId="112">
    <w:name w:val="Default"/>
    <w:qFormat/>
    <w:uiPriority w:val="0"/>
    <w:pPr>
      <w:widowControl w:val="0"/>
      <w:autoSpaceDE w:val="0"/>
      <w:autoSpaceDN w:val="0"/>
      <w:adjustRightInd w:val="0"/>
      <w:spacing w:after="0" w:line="240" w:lineRule="auto"/>
    </w:pPr>
    <w:rPr>
      <w:rFonts w:ascii="仿宋_GB2312" w:hAnsi="Times New Roman" w:eastAsia="仿宋_GB2312" w:cs="仿宋_GB2312"/>
      <w:color w:val="000000"/>
      <w:kern w:val="0"/>
      <w:sz w:val="24"/>
      <w:szCs w:val="24"/>
      <w:lang w:val="en-US" w:eastAsia="zh-CN" w:bidi="ar-SA"/>
      <w14:ligatures w14:val="none"/>
    </w:rPr>
  </w:style>
  <w:style w:type="paragraph" w:customStyle="1" w:styleId="113">
    <w:name w:val="样式 标题 2 + 黑体 三号"/>
    <w:basedOn w:val="3"/>
    <w:qFormat/>
    <w:uiPriority w:val="0"/>
    <w:rPr>
      <w:rFonts w:ascii="黑体" w:hAnsi="黑体"/>
      <w:b/>
    </w:rPr>
  </w:style>
  <w:style w:type="paragraph" w:customStyle="1" w:styleId="114">
    <w:name w:val="reader-word-layer reader-word-s46-7"/>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paragraph" w:customStyle="1" w:styleId="115">
    <w:name w:val="Char Char Char Char Char Char Char"/>
    <w:basedOn w:val="1"/>
    <w:qFormat/>
    <w:uiPriority w:val="0"/>
    <w:pPr>
      <w:widowControl/>
      <w:adjustRightInd/>
      <w:snapToGrid/>
      <w:spacing w:after="160" w:line="240" w:lineRule="exact"/>
      <w:ind w:firstLine="0" w:firstLineChars="0"/>
      <w:jc w:val="left"/>
    </w:pPr>
    <w:rPr>
      <w:rFonts w:ascii="Arial" w:hAnsi="Arial" w:cs="Verdana"/>
      <w:b/>
      <w:kern w:val="0"/>
      <w:sz w:val="24"/>
      <w:lang w:eastAsia="en-US"/>
      <w14:ligatures w14:val="none"/>
    </w:rPr>
  </w:style>
  <w:style w:type="paragraph" w:customStyle="1" w:styleId="116">
    <w:name w:val="样式3"/>
    <w:basedOn w:val="5"/>
    <w:qFormat/>
    <w:uiPriority w:val="0"/>
    <w:rPr>
      <w:rFonts w:ascii="黑体"/>
      <w:b/>
    </w:rPr>
  </w:style>
  <w:style w:type="paragraph" w:customStyle="1" w:styleId="117">
    <w:name w:val="Char1"/>
    <w:basedOn w:val="1"/>
    <w:next w:val="2"/>
    <w:qFormat/>
    <w:uiPriority w:val="0"/>
    <w:pPr>
      <w:adjustRightInd/>
      <w:snapToGrid/>
      <w:spacing w:line="240" w:lineRule="auto"/>
      <w:ind w:firstLine="0" w:firstLineChars="0"/>
    </w:pPr>
    <w:rPr>
      <w:rFonts w:ascii="Times New Roman" w:hAnsi="Times New Roman" w:eastAsia="宋体" w:cs="Times New Roman"/>
      <w:sz w:val="44"/>
      <w14:ligatures w14:val="none"/>
    </w:rPr>
  </w:style>
  <w:style w:type="paragraph" w:customStyle="1" w:styleId="118">
    <w:name w:val="实施日期"/>
    <w:basedOn w:val="1"/>
    <w:qFormat/>
    <w:uiPriority w:val="0"/>
    <w:pPr>
      <w:widowControl/>
      <w:adjustRightInd/>
      <w:snapToGrid/>
      <w:spacing w:line="240" w:lineRule="auto"/>
      <w:ind w:firstLine="0" w:firstLineChars="0"/>
      <w:jc w:val="right"/>
    </w:pPr>
    <w:rPr>
      <w:rFonts w:ascii="Times New Roman" w:hAnsi="Times New Roman" w:eastAsia="黑体" w:cs="Times New Roman"/>
      <w:kern w:val="0"/>
      <w:szCs w:val="20"/>
      <w14:ligatures w14:val="none"/>
    </w:rPr>
  </w:style>
  <w:style w:type="paragraph" w:customStyle="1" w:styleId="119">
    <w:name w:val="reader-word-layer reader-word-s1-21"/>
    <w:basedOn w:val="1"/>
    <w:qFormat/>
    <w:uiPriority w:val="0"/>
    <w:pPr>
      <w:widowControl/>
      <w:adjustRightInd/>
      <w:snapToGrid/>
      <w:spacing w:before="100" w:beforeAutospacing="1" w:after="100" w:afterAutospacing="1" w:line="240" w:lineRule="auto"/>
      <w:ind w:firstLine="0" w:firstLineChars="0"/>
      <w:jc w:val="left"/>
    </w:pPr>
    <w:rPr>
      <w:rFonts w:ascii="宋体" w:hAnsi="宋体" w:eastAsia="宋体" w:cs="宋体"/>
      <w:kern w:val="0"/>
      <w:sz w:val="24"/>
      <w14:ligatures w14:val="none"/>
    </w:rPr>
  </w:style>
  <w:style w:type="character" w:customStyle="1" w:styleId="120">
    <w:name w:val="font21"/>
    <w:qFormat/>
    <w:uiPriority w:val="0"/>
    <w:rPr>
      <w:rFonts w:hint="eastAsia" w:ascii="宋体" w:hAnsi="宋体" w:eastAsia="宋体" w:cs="宋体"/>
      <w:color w:val="000000"/>
      <w:sz w:val="28"/>
      <w:szCs w:val="28"/>
      <w:u w:val="none"/>
    </w:rPr>
  </w:style>
  <w:style w:type="paragraph" w:customStyle="1" w:styleId="121">
    <w:name w:val="表格内容样式"/>
    <w:qFormat/>
    <w:uiPriority w:val="0"/>
    <w:pPr>
      <w:widowControl w:val="0"/>
      <w:tabs>
        <w:tab w:val="left" w:pos="540"/>
      </w:tabs>
      <w:spacing w:after="0" w:line="360" w:lineRule="auto"/>
      <w:jc w:val="center"/>
    </w:pPr>
    <w:rPr>
      <w:rFonts w:ascii="Times New Roman" w:hAnsi="Times New Roman" w:eastAsia="宋体" w:cs="Times New Roman"/>
      <w:kern w:val="2"/>
      <w:sz w:val="21"/>
      <w:szCs w:val="21"/>
      <w:lang w:val="en-US" w:eastAsia="zh-CN" w:bidi="ar-SA"/>
      <w14:ligatures w14:val="none"/>
    </w:rPr>
  </w:style>
  <w:style w:type="paragraph" w:customStyle="1" w:styleId="122">
    <w:name w:val="表格内容"/>
    <w:next w:val="11"/>
    <w:qFormat/>
    <w:uiPriority w:val="0"/>
    <w:pPr>
      <w:widowControl w:val="0"/>
      <w:spacing w:after="0" w:line="340" w:lineRule="exact"/>
      <w:jc w:val="center"/>
    </w:pPr>
    <w:rPr>
      <w:rFonts w:ascii="Times New Roman" w:hAnsi="Times New Roman" w:eastAsia="宋体" w:cs="Times New Roman"/>
      <w:bCs/>
      <w:kern w:val="44"/>
      <w:sz w:val="21"/>
      <w:szCs w:val="21"/>
      <w:lang w:val="en-US" w:eastAsia="zh-CN" w:bidi="ar-SA"/>
      <w14:ligatures w14:val="none"/>
    </w:rPr>
  </w:style>
  <w:style w:type="paragraph" w:customStyle="1" w:styleId="123">
    <w:name w:val="WPSOffice手动目录 1"/>
    <w:qFormat/>
    <w:uiPriority w:val="0"/>
    <w:pPr>
      <w:spacing w:after="0" w:line="240" w:lineRule="auto"/>
    </w:pPr>
    <w:rPr>
      <w:rFonts w:ascii="Times New Roman" w:hAnsi="Times New Roman" w:eastAsia="宋体" w:cs="Times New Roman"/>
      <w:kern w:val="0"/>
      <w:sz w:val="20"/>
      <w:szCs w:val="20"/>
      <w:lang w:val="en-US" w:eastAsia="zh-CN" w:bidi="ar-SA"/>
      <w14:ligatures w14:val="none"/>
    </w:rPr>
  </w:style>
  <w:style w:type="paragraph" w:customStyle="1" w:styleId="124">
    <w:name w:val="WPSOffice手动目录 2"/>
    <w:qFormat/>
    <w:uiPriority w:val="0"/>
    <w:pPr>
      <w:spacing w:after="0" w:line="240" w:lineRule="auto"/>
      <w:ind w:left="200" w:leftChars="200"/>
    </w:pPr>
    <w:rPr>
      <w:rFonts w:ascii="Times New Roman" w:hAnsi="Times New Roman" w:eastAsia="宋体" w:cs="Times New Roman"/>
      <w:kern w:val="0"/>
      <w:sz w:val="20"/>
      <w:szCs w:val="20"/>
      <w:lang w:val="en-US" w:eastAsia="zh-CN" w:bidi="ar-SA"/>
      <w14:ligatures w14:val="none"/>
    </w:rPr>
  </w:style>
  <w:style w:type="paragraph" w:customStyle="1" w:styleId="125">
    <w:name w:val="样式 样式 正文22 + 首行缩进:  2 字符 + 首行缩进:  2 字符"/>
    <w:basedOn w:val="126"/>
    <w:qFormat/>
    <w:uiPriority w:val="0"/>
    <w:rPr>
      <w:rFonts w:hAnsi="Times New Roman"/>
    </w:rPr>
  </w:style>
  <w:style w:type="paragraph" w:customStyle="1" w:styleId="126">
    <w:name w:val="样式 正文22 + 首行缩进:  2 字符"/>
    <w:basedOn w:val="127"/>
    <w:qFormat/>
    <w:uiPriority w:val="0"/>
    <w:rPr>
      <w:rFonts w:ascii="宋体" w:cs="宋体"/>
    </w:rPr>
  </w:style>
  <w:style w:type="paragraph" w:customStyle="1" w:styleId="127">
    <w:name w:val="正文22"/>
    <w:qFormat/>
    <w:uiPriority w:val="0"/>
    <w:pPr>
      <w:widowControl w:val="0"/>
      <w:adjustRightInd w:val="0"/>
      <w:snapToGrid w:val="0"/>
      <w:spacing w:after="0" w:line="360" w:lineRule="auto"/>
      <w:ind w:firstLine="560" w:firstLineChars="200"/>
    </w:pPr>
    <w:rPr>
      <w:rFonts w:ascii="Times New Roman" w:hAnsi="宋体" w:eastAsia="宋体" w:cs="Times New Roman"/>
      <w:kern w:val="28"/>
      <w:sz w:val="28"/>
      <w:szCs w:val="28"/>
      <w:lang w:val="en-US" w:eastAsia="zh-CN" w:bidi="ar-SA"/>
      <w14:ligatures w14:val="none"/>
    </w:rPr>
  </w:style>
  <w:style w:type="paragraph" w:customStyle="1" w:styleId="128">
    <w:name w:val="样式 正文22 + 首行缩进:  9 字符"/>
    <w:basedOn w:val="127"/>
    <w:next w:val="8"/>
    <w:qFormat/>
    <w:uiPriority w:val="0"/>
    <w:pPr>
      <w:ind w:firstLine="2520" w:firstLineChars="900"/>
    </w:pPr>
    <w:rPr>
      <w:rFonts w:ascii="黑体" w:eastAsia="黑体" w:cs="宋体"/>
      <w:kern w:val="21"/>
      <w:szCs w:val="20"/>
    </w:rPr>
  </w:style>
  <w:style w:type="character" w:customStyle="1" w:styleId="129">
    <w:name w:val="Unresolved Mention"/>
    <w:basedOn w:val="35"/>
    <w:semiHidden/>
    <w:unhideWhenUsed/>
    <w:qFormat/>
    <w:uiPriority w:val="99"/>
    <w:rPr>
      <w:color w:val="605E5C"/>
      <w:shd w:val="clear" w:color="auto" w:fill="E1DFDD"/>
    </w:rPr>
  </w:style>
  <w:style w:type="paragraph" w:customStyle="1" w:styleId="130">
    <w:name w:val="表格正文"/>
    <w:basedOn w:val="1"/>
    <w:qFormat/>
    <w:uiPriority w:val="0"/>
    <w:pPr>
      <w:spacing w:line="240" w:lineRule="auto"/>
      <w:ind w:firstLine="0" w:firstLineChars="0"/>
      <w:jc w:val="center"/>
    </w:pPr>
    <w:rPr>
      <w:rFonts w:ascii="Times New Roman" w:hAnsi="Times New Roman"/>
      <w:sz w:val="21"/>
    </w:rPr>
  </w:style>
  <w:style w:type="paragraph" w:customStyle="1" w:styleId="131">
    <w:name w:val="Table Text"/>
    <w:basedOn w:val="1"/>
    <w:semiHidden/>
    <w:qFormat/>
    <w:uiPriority w:val="0"/>
    <w:rPr>
      <w:rFonts w:ascii="宋体" w:hAnsi="宋体" w:eastAsia="宋体" w:cs="宋体"/>
      <w:sz w:val="20"/>
      <w:szCs w:val="20"/>
      <w:lang w:val="en-US" w:eastAsia="en-US" w:bidi="ar-SA"/>
    </w:rPr>
  </w:style>
  <w:style w:type="table" w:customStyle="1" w:styleId="13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1F156BF-CDC4-48FB-85A9-D78F1C56FC41}">
  <ds:schemaRefs/>
</ds:datastoreItem>
</file>

<file path=docProps/app.xml><?xml version="1.0" encoding="utf-8"?>
<Properties xmlns="http://schemas.openxmlformats.org/officeDocument/2006/extended-properties" xmlns:vt="http://schemas.openxmlformats.org/officeDocument/2006/docPropsVTypes">
  <Template>Normal</Template>
  <Pages>110</Pages>
  <Words>10923</Words>
  <Characters>11954</Characters>
  <Lines>531</Lines>
  <Paragraphs>149</Paragraphs>
  <TotalTime>213</TotalTime>
  <ScaleCrop>false</ScaleCrop>
  <LinksUpToDate>false</LinksUpToDate>
  <CharactersWithSpaces>12051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2026-01-29T07:30:00Z</dcterms:created>
  <dc:creator>Administrator</dc:creator>
  <cp:lastModifiedBy>Y</cp:lastModifiedBy>
  <cp:lastPrinted>2026-03-13T00:47:00Z</cp:lastPrinted>
  <dcterms:modified xsi:type="dcterms:W3CDTF">2026-10-14T00:48:33Z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A7AA1BF1A6734ED18DDA60FF41738ABA_13</vt:lpwstr>
  </property>
  <property fmtid="{D5CDD505-2E9C-101B-9397-08002B2CF9AE}" pid="4" name="KSOTemplateDocerSaveRecord">
    <vt:lpwstr>eyJoZGlkIjoiZmI1ZjZjZjUxY2I0MGFlNzkwYTRmOGE2YjZlY2UwNzMiLCJ1c2VySWQiOiIxMTc3MDAyODE0In0=</vt:lpwstr>
  </property>
</Properties>
</file>