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C7CF59">
      <w:pPr>
        <w:adjustRightInd w:val="0"/>
        <w:snapToGrid w:val="0"/>
        <w:spacing w:before="312" w:beforeLines="100" w:line="360" w:lineRule="auto"/>
        <w:jc w:val="right"/>
        <w:rPr>
          <w:rFonts w:hint="eastAsia"/>
          <w:b/>
          <w:sz w:val="44"/>
          <w:szCs w:val="44"/>
          <w:highlight w:val="none"/>
        </w:rPr>
      </w:pPr>
      <w:bookmarkStart w:id="0" w:name="_Toc36189459"/>
      <w:bookmarkStart w:id="1" w:name="_Toc29657"/>
      <w:bookmarkStart w:id="2" w:name="_Toc185682501"/>
      <w:bookmarkStart w:id="3" w:name="_Toc185339058"/>
      <w:bookmarkStart w:id="4" w:name="_Toc35504129"/>
      <w:bookmarkStart w:id="5" w:name="_Toc13970"/>
      <w:bookmarkStart w:id="6" w:name="_Toc185509618"/>
      <w:bookmarkStart w:id="7" w:name="_Toc529533040"/>
      <w:bookmarkStart w:id="8" w:name="_Toc2110"/>
      <w:bookmarkStart w:id="9" w:name="_Toc17666"/>
      <w:bookmarkStart w:id="10" w:name="_Toc163051161"/>
      <w:bookmarkStart w:id="11" w:name="_Toc29085"/>
      <w:bookmarkStart w:id="12" w:name="_Toc163051338"/>
      <w:bookmarkStart w:id="13" w:name="_Toc232585546"/>
      <w:bookmarkStart w:id="14" w:name="_Toc7512635"/>
      <w:bookmarkStart w:id="15" w:name="_Toc163050894"/>
      <w:bookmarkStart w:id="16" w:name="_Toc7443854"/>
      <w:r>
        <w:rPr>
          <w:b/>
          <w:sz w:val="44"/>
          <w:szCs w:val="44"/>
          <w:highlight w:val="none"/>
        </w:rPr>
        <w:drawing>
          <wp:inline distT="0" distB="0" distL="0" distR="0">
            <wp:extent cx="2190750" cy="1257300"/>
            <wp:effectExtent l="0" t="0" r="0" b="0"/>
            <wp:docPr id="1182395161" name="图片 177" descr="C:/Users/Administrator/Desktop/经营.png经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395161" name="图片 177" descr="C:/Users/Administrator/Desktop/经营.png经营"/>
                    <pic:cNvPicPr>
                      <a:picLocks noChangeAspect="1" noChangeArrowheads="1"/>
                    </pic:cNvPicPr>
                  </pic:nvPicPr>
                  <pic:blipFill>
                    <a:blip r:embed="rId8"/>
                    <a:srcRect t="232" b="232"/>
                    <a:stretch>
                      <a:fillRect/>
                    </a:stretch>
                  </pic:blipFill>
                  <pic:spPr>
                    <a:xfrm>
                      <a:off x="0" y="0"/>
                      <a:ext cx="2190750" cy="1257300"/>
                    </a:xfrm>
                    <a:prstGeom prst="rect">
                      <a:avLst/>
                    </a:prstGeom>
                    <a:noFill/>
                    <a:ln>
                      <a:noFill/>
                    </a:ln>
                  </pic:spPr>
                </pic:pic>
              </a:graphicData>
            </a:graphic>
          </wp:inline>
        </w:drawing>
      </w:r>
    </w:p>
    <w:p w14:paraId="086A4B9C">
      <w:pPr>
        <w:adjustRightInd w:val="0"/>
        <w:snapToGrid w:val="0"/>
        <w:spacing w:after="0" w:line="360" w:lineRule="auto"/>
        <w:jc w:val="center"/>
        <w:rPr>
          <w:rFonts w:ascii="Times New Roman" w:hAnsi="Times New Roman" w:eastAsia="宋体" w:cs="Times New Roman"/>
          <w:b/>
          <w:sz w:val="44"/>
          <w:szCs w:val="44"/>
          <w:highlight w:val="none"/>
          <w14:ligatures w14:val="none"/>
        </w:rPr>
      </w:pPr>
      <w:r>
        <w:rPr>
          <w:rFonts w:hint="eastAsia" w:ascii="Times New Roman" w:hAnsi="Times New Roman" w:eastAsia="宋体" w:cs="Times New Roman"/>
          <w:b/>
          <w:sz w:val="44"/>
          <w:szCs w:val="44"/>
          <w:highlight w:val="none"/>
          <w14:ligatures w14:val="none"/>
        </w:rPr>
        <w:t>沈阳新春城气体有限公司</w:t>
      </w:r>
    </w:p>
    <w:p w14:paraId="70E35954">
      <w:pPr>
        <w:adjustRightInd w:val="0"/>
        <w:snapToGrid w:val="0"/>
        <w:spacing w:after="0" w:line="360" w:lineRule="auto"/>
        <w:jc w:val="center"/>
        <w:rPr>
          <w:rFonts w:ascii="Times New Roman" w:hAnsi="Times New Roman" w:eastAsia="宋体" w:cs="Times New Roman"/>
          <w:b/>
          <w:sz w:val="44"/>
          <w:szCs w:val="44"/>
          <w:highlight w:val="none"/>
          <w14:ligatures w14:val="none"/>
        </w:rPr>
      </w:pPr>
      <w:r>
        <w:rPr>
          <w:rFonts w:ascii="Times New Roman" w:hAnsi="Times New Roman" w:eastAsia="宋体" w:cs="Times New Roman"/>
          <w:b/>
          <w:sz w:val="44"/>
          <w:szCs w:val="44"/>
          <w:highlight w:val="none"/>
          <w14:ligatures w14:val="none"/>
        </w:rPr>
        <w:t>经营危险化学品安全评价报告</w:t>
      </w:r>
    </w:p>
    <w:p w14:paraId="5CE6CFCE">
      <w:pPr>
        <w:adjustRightInd w:val="0"/>
        <w:snapToGrid w:val="0"/>
        <w:spacing w:after="0" w:line="360" w:lineRule="auto"/>
        <w:jc w:val="center"/>
        <w:rPr>
          <w:rFonts w:hint="eastAsia" w:ascii="宋体" w:hAnsi="宋体" w:eastAsia="宋体" w:cs="宋体"/>
          <w:b/>
          <w:bCs/>
          <w:sz w:val="32"/>
          <w:highlight w:val="none"/>
          <w14:ligatures w14:val="none"/>
        </w:rPr>
      </w:pPr>
      <w:r>
        <w:rPr>
          <w:rFonts w:hint="eastAsia" w:ascii="宋体" w:hAnsi="宋体" w:eastAsia="宋体" w:cs="宋体"/>
          <w:b/>
          <w:bCs/>
          <w:sz w:val="32"/>
          <w:highlight w:val="none"/>
          <w14:ligatures w14:val="none"/>
        </w:rPr>
        <w:t>（</w:t>
      </w:r>
      <w:r>
        <w:rPr>
          <w:rFonts w:hint="eastAsia" w:ascii="宋体" w:hAnsi="宋体" w:eastAsia="宋体" w:cs="宋体"/>
          <w:b/>
          <w:bCs/>
          <w:sz w:val="32"/>
          <w:highlight w:val="none"/>
          <w:lang w:val="en-US" w:eastAsia="zh-CN"/>
          <w14:ligatures w14:val="none"/>
        </w:rPr>
        <w:t>备案</w:t>
      </w:r>
      <w:r>
        <w:rPr>
          <w:rFonts w:hint="eastAsia" w:ascii="宋体" w:hAnsi="宋体" w:eastAsia="宋体" w:cs="宋体"/>
          <w:b/>
          <w:bCs/>
          <w:sz w:val="32"/>
          <w:highlight w:val="none"/>
          <w14:ligatures w14:val="none"/>
        </w:rPr>
        <w:t>稿）</w:t>
      </w:r>
    </w:p>
    <w:p w14:paraId="1DBF03CE">
      <w:pPr>
        <w:adjustRightInd w:val="0"/>
        <w:snapToGrid w:val="0"/>
        <w:spacing w:after="0" w:line="720" w:lineRule="auto"/>
        <w:jc w:val="both"/>
        <w:rPr>
          <w:rFonts w:ascii="Times New Roman" w:hAnsi="Times New Roman" w:eastAsia="宋体" w:cs="Times New Roman"/>
          <w:sz w:val="32"/>
          <w:highlight w:val="none"/>
          <w14:ligatures w14:val="none"/>
        </w:rPr>
      </w:pPr>
    </w:p>
    <w:p w14:paraId="4401B3E0">
      <w:pPr>
        <w:adjustRightInd w:val="0"/>
        <w:snapToGrid w:val="0"/>
        <w:spacing w:after="0" w:line="720" w:lineRule="auto"/>
        <w:jc w:val="both"/>
        <w:rPr>
          <w:rFonts w:ascii="Times New Roman" w:hAnsi="Times New Roman" w:eastAsia="宋体" w:cs="Times New Roman"/>
          <w:sz w:val="32"/>
          <w:highlight w:val="none"/>
          <w14:ligatures w14:val="none"/>
        </w:rPr>
      </w:pPr>
    </w:p>
    <w:p w14:paraId="105E8181">
      <w:pPr>
        <w:adjustRightInd w:val="0"/>
        <w:snapToGrid w:val="0"/>
        <w:spacing w:after="0" w:line="720" w:lineRule="auto"/>
        <w:jc w:val="both"/>
        <w:rPr>
          <w:rFonts w:ascii="Times New Roman" w:hAnsi="Times New Roman" w:eastAsia="宋体" w:cs="Times New Roman"/>
          <w:sz w:val="32"/>
          <w:highlight w:val="none"/>
          <w14:ligatures w14:val="none"/>
        </w:rPr>
      </w:pPr>
    </w:p>
    <w:p w14:paraId="149ADF46">
      <w:pPr>
        <w:adjustRightInd w:val="0"/>
        <w:snapToGrid w:val="0"/>
        <w:spacing w:after="0" w:line="720" w:lineRule="auto"/>
        <w:jc w:val="both"/>
        <w:rPr>
          <w:rFonts w:ascii="Times New Roman" w:hAnsi="Times New Roman" w:eastAsia="宋体" w:cs="Times New Roman"/>
          <w:sz w:val="32"/>
          <w:highlight w:val="none"/>
          <w14:ligatures w14:val="none"/>
        </w:rPr>
      </w:pPr>
    </w:p>
    <w:p w14:paraId="147436C1">
      <w:pPr>
        <w:adjustRightInd w:val="0"/>
        <w:snapToGrid w:val="0"/>
        <w:spacing w:after="0" w:line="720" w:lineRule="auto"/>
        <w:jc w:val="both"/>
        <w:rPr>
          <w:rFonts w:ascii="Times New Roman" w:hAnsi="Times New Roman" w:eastAsia="宋体" w:cs="Times New Roman"/>
          <w:sz w:val="32"/>
          <w:highlight w:val="none"/>
          <w14:ligatures w14:val="none"/>
        </w:rPr>
      </w:pPr>
    </w:p>
    <w:p w14:paraId="4965580A">
      <w:pPr>
        <w:adjustRightInd w:val="0"/>
        <w:snapToGrid w:val="0"/>
        <w:spacing w:before="312" w:beforeLines="100" w:after="312" w:afterLines="100" w:line="240" w:lineRule="auto"/>
        <w:jc w:val="center"/>
        <w:rPr>
          <w:rFonts w:ascii="Times New Roman" w:hAnsi="Times New Roman" w:eastAsia="宋体" w:cs="Times New Roman"/>
          <w:b/>
          <w:bCs/>
          <w:sz w:val="44"/>
          <w:highlight w:val="none"/>
          <w14:ligatures w14:val="none"/>
        </w:rPr>
      </w:pPr>
      <w:r>
        <w:rPr>
          <w:rFonts w:ascii="Times New Roman" w:hAnsi="Times New Roman" w:eastAsia="宋体" w:cs="Times New Roman"/>
          <w:b/>
          <w:bCs/>
          <w:sz w:val="44"/>
          <w:highlight w:val="none"/>
          <w14:ligatures w14:val="none"/>
        </w:rPr>
        <w:t>辽宁诺诚安全科技有限公司</w:t>
      </w:r>
    </w:p>
    <w:p w14:paraId="4FEF4DE0">
      <w:pPr>
        <w:adjustRightInd w:val="0"/>
        <w:snapToGrid w:val="0"/>
        <w:spacing w:after="0" w:line="360" w:lineRule="auto"/>
        <w:jc w:val="center"/>
        <w:rPr>
          <w:rFonts w:ascii="Times New Roman" w:hAnsi="Times New Roman" w:eastAsia="宋体" w:cs="Times New Roman"/>
          <w:b/>
          <w:sz w:val="32"/>
          <w:szCs w:val="32"/>
          <w:highlight w:val="none"/>
          <w14:ligatures w14:val="none"/>
        </w:rPr>
      </w:pPr>
      <w:r>
        <w:rPr>
          <w:rFonts w:ascii="Times New Roman" w:hAnsi="Times New Roman" w:eastAsia="宋体" w:cs="Times New Roman"/>
          <w:b/>
          <w:sz w:val="32"/>
          <w:szCs w:val="32"/>
          <w:highlight w:val="none"/>
          <w14:ligatures w14:val="none"/>
        </w:rPr>
        <w:t>资质证书编号：APJ-（辽）-021</w:t>
      </w:r>
    </w:p>
    <w:p w14:paraId="2A8B66D7">
      <w:pPr>
        <w:adjustRightInd w:val="0"/>
        <w:snapToGrid w:val="0"/>
        <w:spacing w:after="0" w:line="360" w:lineRule="auto"/>
        <w:jc w:val="center"/>
        <w:rPr>
          <w:rFonts w:ascii="Times New Roman" w:hAnsi="Times New Roman" w:eastAsia="宋体" w:cs="Times New Roman"/>
          <w:b/>
          <w:sz w:val="32"/>
          <w:szCs w:val="32"/>
          <w:highlight w:val="none"/>
          <w14:ligatures w14:val="none"/>
        </w:rPr>
      </w:pPr>
      <w:r>
        <w:rPr>
          <w:rFonts w:ascii="Times New Roman" w:hAnsi="Times New Roman" w:eastAsia="宋体" w:cs="Times New Roman"/>
          <w:b/>
          <w:sz w:val="32"/>
          <w:szCs w:val="32"/>
          <w:highlight w:val="none"/>
          <w14:ligatures w14:val="none"/>
        </w:rPr>
        <w:t>完成日期：202</w:t>
      </w:r>
      <w:r>
        <w:rPr>
          <w:rFonts w:hint="eastAsia" w:ascii="Times New Roman" w:hAnsi="Times New Roman" w:eastAsia="宋体" w:cs="Times New Roman"/>
          <w:b/>
          <w:sz w:val="32"/>
          <w:szCs w:val="32"/>
          <w:highlight w:val="none"/>
          <w14:ligatures w14:val="none"/>
        </w:rPr>
        <w:t>6</w:t>
      </w:r>
      <w:r>
        <w:rPr>
          <w:rFonts w:ascii="Times New Roman" w:hAnsi="Times New Roman" w:eastAsia="宋体" w:cs="Times New Roman"/>
          <w:b/>
          <w:sz w:val="32"/>
          <w:szCs w:val="32"/>
          <w:highlight w:val="none"/>
          <w14:ligatures w14:val="none"/>
        </w:rPr>
        <w:t>年</w:t>
      </w:r>
      <w:r>
        <w:rPr>
          <w:rFonts w:hint="eastAsia" w:ascii="Times New Roman" w:hAnsi="Times New Roman" w:eastAsia="宋体" w:cs="Times New Roman"/>
          <w:b/>
          <w:sz w:val="32"/>
          <w:szCs w:val="32"/>
          <w:highlight w:val="none"/>
          <w14:ligatures w14:val="none"/>
        </w:rPr>
        <w:t>0</w:t>
      </w:r>
      <w:r>
        <w:rPr>
          <w:rFonts w:hint="eastAsia" w:ascii="Times New Roman" w:hAnsi="Times New Roman" w:eastAsia="宋体" w:cs="Times New Roman"/>
          <w:b/>
          <w:sz w:val="32"/>
          <w:szCs w:val="32"/>
          <w:highlight w:val="none"/>
          <w:lang w:val="en-US" w:eastAsia="zh-CN"/>
          <w14:ligatures w14:val="none"/>
        </w:rPr>
        <w:t>8</w:t>
      </w:r>
      <w:r>
        <w:rPr>
          <w:rFonts w:ascii="Times New Roman" w:hAnsi="Times New Roman" w:eastAsia="宋体" w:cs="Times New Roman"/>
          <w:b/>
          <w:sz w:val="32"/>
          <w:szCs w:val="32"/>
          <w:highlight w:val="none"/>
          <w14:ligatures w14:val="none"/>
        </w:rPr>
        <w:t>月</w:t>
      </w:r>
      <w:r>
        <w:rPr>
          <w:rFonts w:hint="eastAsia" w:ascii="Times New Roman" w:hAnsi="Times New Roman" w:eastAsia="宋体" w:cs="Times New Roman"/>
          <w:b/>
          <w:sz w:val="32"/>
          <w:szCs w:val="32"/>
          <w:highlight w:val="none"/>
          <w:lang w:val="en-US" w:eastAsia="zh-CN"/>
          <w14:ligatures w14:val="none"/>
        </w:rPr>
        <w:t>15</w:t>
      </w:r>
      <w:r>
        <w:rPr>
          <w:rFonts w:ascii="Times New Roman" w:hAnsi="Times New Roman" w:eastAsia="宋体" w:cs="Times New Roman"/>
          <w:b/>
          <w:sz w:val="32"/>
          <w:szCs w:val="32"/>
          <w:highlight w:val="none"/>
          <w14:ligatures w14:val="none"/>
        </w:rPr>
        <w:t>日</w:t>
      </w:r>
    </w:p>
    <w:p w14:paraId="21DF5CBB">
      <w:pPr>
        <w:adjustRightInd w:val="0"/>
        <w:snapToGrid w:val="0"/>
        <w:spacing w:before="156" w:beforeLines="50" w:after="156" w:afterLines="50" w:line="360" w:lineRule="auto"/>
        <w:jc w:val="center"/>
        <w:outlineLvl w:val="0"/>
        <w:rPr>
          <w:rFonts w:ascii="Times New Roman" w:hAnsi="Times New Roman" w:eastAsia="黑体" w:cs="Times New Roman"/>
          <w:b/>
          <w:kern w:val="44"/>
          <w:sz w:val="32"/>
          <w:szCs w:val="44"/>
          <w:highlight w:val="none"/>
          <w14:ligatures w14:val="none"/>
        </w:rPr>
      </w:pPr>
    </w:p>
    <w:p w14:paraId="0AA30229">
      <w:pPr>
        <w:adjustRightInd w:val="0"/>
        <w:snapToGrid w:val="0"/>
        <w:spacing w:before="156" w:beforeLines="50" w:after="156" w:afterLines="50" w:line="360" w:lineRule="auto"/>
        <w:jc w:val="center"/>
        <w:outlineLvl w:val="9"/>
        <w:rPr>
          <w:rFonts w:ascii="Times New Roman" w:hAnsi="Times New Roman" w:eastAsia="黑体" w:cs="Times New Roman"/>
          <w:b/>
          <w:kern w:val="44"/>
          <w:sz w:val="32"/>
          <w:szCs w:val="44"/>
          <w:highlight w:val="none"/>
          <w14:ligatures w14:val="none"/>
        </w:rPr>
        <w:sectPr>
          <w:pgSz w:w="11906" w:h="16838"/>
          <w:pgMar w:top="1418" w:right="1134" w:bottom="1134" w:left="1588" w:header="851" w:footer="992" w:gutter="0"/>
          <w:cols w:space="425" w:num="1"/>
          <w:docGrid w:type="lines" w:linePitch="312" w:charSpace="0"/>
        </w:sectPr>
      </w:pPr>
    </w:p>
    <w:p w14:paraId="47E81B30">
      <w:pPr>
        <w:widowControl/>
        <w:spacing w:after="0" w:line="240" w:lineRule="auto"/>
        <w:jc w:val="right"/>
        <w:rPr>
          <w:rFonts w:ascii="Times New Roman" w:hAnsi="Times New Roman" w:eastAsia="宋体" w:cs="Times New Roman"/>
          <w:b/>
          <w:sz w:val="28"/>
          <w:szCs w:val="28"/>
          <w:highlight w:val="none"/>
          <w14:ligatures w14:val="none"/>
        </w:rPr>
      </w:pPr>
      <w:r>
        <w:rPr>
          <w:rFonts w:hint="eastAsia" w:ascii="Times New Roman" w:hAnsi="Times New Roman" w:eastAsia="宋体" w:cs="Times New Roman"/>
          <w:b/>
          <w:sz w:val="28"/>
          <w:szCs w:val="28"/>
          <w:highlight w:val="none"/>
          <w14:ligatures w14:val="none"/>
        </w:rPr>
        <w:t>NCAP/WH-XZ-2026-016</w:t>
      </w:r>
      <w:r>
        <w:rPr>
          <w:rFonts w:ascii="Times New Roman" w:hAnsi="Times New Roman" w:eastAsia="宋体" w:cs="Times New Roman"/>
          <w:b/>
          <w:sz w:val="28"/>
          <w:szCs w:val="28"/>
          <w:highlight w:val="none"/>
          <w14:ligatures w14:val="none"/>
        </w:rPr>
        <w:t xml:space="preserve">                                                                  </w:t>
      </w:r>
    </w:p>
    <w:p w14:paraId="2E67E4B1">
      <w:pPr>
        <w:spacing w:line="480" w:lineRule="auto"/>
        <w:rPr>
          <w:rFonts w:hint="eastAsia"/>
          <w:color w:val="000000"/>
          <w:sz w:val="44"/>
          <w:highlight w:val="none"/>
        </w:rPr>
      </w:pPr>
    </w:p>
    <w:p w14:paraId="62BD357D">
      <w:pPr>
        <w:pStyle w:val="6"/>
        <w:ind w:firstLine="0" w:firstLineChars="0"/>
        <w:rPr>
          <w:highlight w:val="none"/>
        </w:rPr>
      </w:pPr>
    </w:p>
    <w:p w14:paraId="0FB9D86D">
      <w:pPr>
        <w:pStyle w:val="6"/>
        <w:ind w:firstLine="0" w:firstLineChars="0"/>
        <w:rPr>
          <w:highlight w:val="none"/>
        </w:rPr>
      </w:pPr>
    </w:p>
    <w:p w14:paraId="67B0832B">
      <w:pPr>
        <w:pStyle w:val="6"/>
        <w:ind w:firstLine="0" w:firstLineChars="0"/>
        <w:rPr>
          <w:highlight w:val="none"/>
        </w:rPr>
      </w:pPr>
    </w:p>
    <w:p w14:paraId="79A503F3">
      <w:pPr>
        <w:pStyle w:val="6"/>
        <w:ind w:firstLine="0" w:firstLineChars="0"/>
        <w:rPr>
          <w:highlight w:val="none"/>
        </w:rPr>
      </w:pPr>
    </w:p>
    <w:p w14:paraId="00206D22">
      <w:pPr>
        <w:spacing w:after="0" w:line="360" w:lineRule="auto"/>
        <w:jc w:val="center"/>
        <w:rPr>
          <w:rFonts w:hint="eastAsia" w:ascii="Times New Roman" w:hAnsi="Times New Roman" w:eastAsia="宋体" w:cs="Times New Roman"/>
          <w:b/>
          <w:sz w:val="32"/>
          <w:szCs w:val="32"/>
          <w:highlight w:val="none"/>
          <w14:ligatures w14:val="none"/>
        </w:rPr>
      </w:pPr>
      <w:r>
        <w:rPr>
          <w:rFonts w:hint="eastAsia" w:ascii="Times New Roman" w:hAnsi="Times New Roman" w:eastAsia="宋体" w:cs="Times New Roman"/>
          <w:b/>
          <w:sz w:val="32"/>
          <w:szCs w:val="32"/>
          <w:highlight w:val="none"/>
          <w14:ligatures w14:val="none"/>
        </w:rPr>
        <w:t>沈阳新春城气体有限公司</w:t>
      </w:r>
    </w:p>
    <w:p w14:paraId="64785EB9">
      <w:pPr>
        <w:spacing w:after="0" w:line="360" w:lineRule="auto"/>
        <w:jc w:val="center"/>
        <w:rPr>
          <w:rFonts w:ascii="Times New Roman" w:hAnsi="Times New Roman" w:eastAsia="宋体" w:cs="Times New Roman"/>
          <w:b/>
          <w:kern w:val="52"/>
          <w:sz w:val="44"/>
          <w:szCs w:val="44"/>
          <w:highlight w:val="none"/>
          <w14:ligatures w14:val="none"/>
        </w:rPr>
      </w:pPr>
      <w:r>
        <w:rPr>
          <w:rFonts w:ascii="Times New Roman" w:hAnsi="Times New Roman" w:eastAsia="宋体" w:cs="Times New Roman"/>
          <w:b/>
          <w:kern w:val="52"/>
          <w:sz w:val="44"/>
          <w:szCs w:val="44"/>
          <w:highlight w:val="none"/>
          <w14:ligatures w14:val="none"/>
        </w:rPr>
        <w:t>经营危险化学品安全评价报告</w:t>
      </w:r>
    </w:p>
    <w:p w14:paraId="78D6C269">
      <w:pPr>
        <w:spacing w:after="0" w:line="720" w:lineRule="auto"/>
        <w:jc w:val="center"/>
        <w:rPr>
          <w:rFonts w:ascii="Times New Roman" w:hAnsi="Times New Roman" w:eastAsia="宋体" w:cs="Times New Roman"/>
          <w:b/>
          <w:bCs/>
          <w:color w:val="000000"/>
          <w:sz w:val="36"/>
          <w:highlight w:val="none"/>
          <w14:ligatures w14:val="none"/>
        </w:rPr>
      </w:pPr>
    </w:p>
    <w:p w14:paraId="61ED22DD">
      <w:pPr>
        <w:spacing w:after="0" w:line="720" w:lineRule="auto"/>
        <w:jc w:val="center"/>
        <w:rPr>
          <w:rFonts w:ascii="Times New Roman" w:hAnsi="Times New Roman" w:eastAsia="宋体" w:cs="Times New Roman"/>
          <w:b/>
          <w:bCs/>
          <w:color w:val="000000"/>
          <w:sz w:val="36"/>
          <w:highlight w:val="none"/>
          <w14:ligatures w14:val="none"/>
        </w:rPr>
      </w:pPr>
    </w:p>
    <w:p w14:paraId="615F67B4">
      <w:pPr>
        <w:spacing w:after="0" w:line="720" w:lineRule="auto"/>
        <w:jc w:val="center"/>
        <w:rPr>
          <w:rFonts w:ascii="Times New Roman" w:hAnsi="Times New Roman" w:eastAsia="宋体" w:cs="Times New Roman"/>
          <w:b/>
          <w:bCs/>
          <w:color w:val="000000"/>
          <w:sz w:val="36"/>
          <w:highlight w:val="none"/>
          <w14:ligatures w14:val="none"/>
        </w:rPr>
      </w:pPr>
    </w:p>
    <w:p w14:paraId="241A420E">
      <w:pPr>
        <w:spacing w:after="0" w:line="720" w:lineRule="auto"/>
        <w:jc w:val="center"/>
        <w:rPr>
          <w:rFonts w:ascii="Times New Roman" w:hAnsi="Times New Roman" w:eastAsia="宋体" w:cs="Times New Roman"/>
          <w:b/>
          <w:bCs/>
          <w:color w:val="000000"/>
          <w:sz w:val="36"/>
          <w:highlight w:val="none"/>
          <w14:ligatures w14:val="none"/>
        </w:rPr>
      </w:pPr>
    </w:p>
    <w:p w14:paraId="1E64C883">
      <w:pPr>
        <w:spacing w:after="0" w:line="720" w:lineRule="auto"/>
        <w:jc w:val="center"/>
        <w:rPr>
          <w:rFonts w:ascii="Times New Roman" w:hAnsi="Times New Roman" w:eastAsia="宋体" w:cs="Times New Roman"/>
          <w:b/>
          <w:bCs/>
          <w:color w:val="000000"/>
          <w:sz w:val="36"/>
          <w:highlight w:val="none"/>
          <w14:ligatures w14:val="none"/>
        </w:rPr>
      </w:pPr>
    </w:p>
    <w:p w14:paraId="1B6D10A0">
      <w:pPr>
        <w:spacing w:after="0" w:line="720" w:lineRule="auto"/>
        <w:jc w:val="center"/>
        <w:rPr>
          <w:rFonts w:ascii="Times New Roman" w:hAnsi="Times New Roman" w:eastAsia="宋体" w:cs="Times New Roman"/>
          <w:b/>
          <w:bCs/>
          <w:color w:val="000000"/>
          <w:sz w:val="36"/>
          <w:highlight w:val="none"/>
          <w14:ligatures w14:val="none"/>
        </w:rPr>
      </w:pPr>
    </w:p>
    <w:p w14:paraId="42238518">
      <w:pPr>
        <w:spacing w:after="0" w:line="720" w:lineRule="auto"/>
        <w:jc w:val="center"/>
        <w:rPr>
          <w:rFonts w:ascii="Times New Roman" w:hAnsi="Times New Roman" w:eastAsia="宋体" w:cs="Times New Roman"/>
          <w:b/>
          <w:bCs/>
          <w:color w:val="000000"/>
          <w:sz w:val="36"/>
          <w:highlight w:val="none"/>
          <w14:ligatures w14:val="none"/>
        </w:rPr>
      </w:pPr>
    </w:p>
    <w:p w14:paraId="42D439DB">
      <w:pPr>
        <w:spacing w:before="78" w:beforeLines="25" w:after="78" w:afterLines="25" w:line="240" w:lineRule="auto"/>
        <w:jc w:val="center"/>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法定代表人</w:t>
      </w:r>
      <w:r>
        <w:rPr>
          <w:rFonts w:ascii="Times New Roman" w:hAnsi="Times New Roman" w:eastAsia="宋体" w:cs="Times New Roman"/>
          <w:sz w:val="28"/>
          <w:szCs w:val="28"/>
          <w:highlight w:val="none"/>
          <w14:ligatures w14:val="none"/>
        </w:rPr>
        <w:t>：孙同辉</w:t>
      </w:r>
    </w:p>
    <w:p w14:paraId="62BC53E2">
      <w:pPr>
        <w:spacing w:before="78" w:beforeLines="25" w:after="78" w:afterLines="25" w:line="240" w:lineRule="auto"/>
        <w:jc w:val="center"/>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t>技术负责人：林存广</w:t>
      </w:r>
    </w:p>
    <w:p w14:paraId="6DEAF052">
      <w:pPr>
        <w:spacing w:before="78" w:beforeLines="25" w:after="78" w:afterLines="25" w:line="240" w:lineRule="auto"/>
        <w:jc w:val="center"/>
        <w:rPr>
          <w:rFonts w:hint="eastAsia" w:ascii="Times New Roman" w:hAnsi="Times New Roman" w:eastAsia="宋体" w:cs="Times New Roman"/>
          <w:sz w:val="28"/>
          <w:szCs w:val="28"/>
          <w:highlight w:val="none"/>
          <w:lang w:eastAsia="zh-CN"/>
          <w14:ligatures w14:val="none"/>
        </w:rPr>
      </w:pPr>
      <w:r>
        <w:rPr>
          <w:rFonts w:ascii="Times New Roman" w:hAnsi="Times New Roman" w:eastAsia="宋体" w:cs="Times New Roman"/>
          <w:sz w:val="28"/>
          <w:szCs w:val="28"/>
          <w:highlight w:val="none"/>
          <w14:ligatures w14:val="none"/>
        </w:rPr>
        <w:t>评价项目负责人：</w:t>
      </w:r>
      <w:r>
        <w:rPr>
          <w:rFonts w:hint="eastAsia" w:ascii="Times New Roman" w:hAnsi="Times New Roman" w:eastAsia="宋体" w:cs="Times New Roman"/>
          <w:sz w:val="28"/>
          <w:szCs w:val="28"/>
          <w:highlight w:val="none"/>
          <w:lang w:val="en-US" w:eastAsia="zh-CN"/>
          <w14:ligatures w14:val="none"/>
        </w:rPr>
        <w:t>李欣泽</w:t>
      </w:r>
    </w:p>
    <w:p w14:paraId="69127738">
      <w:pPr>
        <w:pStyle w:val="9"/>
        <w:ind w:left="0" w:leftChars="0" w:firstLine="0" w:firstLineChars="0"/>
        <w:jc w:val="center"/>
        <w:rPr>
          <w:b/>
          <w:color w:val="000000"/>
          <w:sz w:val="24"/>
          <w:szCs w:val="24"/>
          <w:highlight w:val="none"/>
        </w:rPr>
      </w:pPr>
      <w:r>
        <w:rPr>
          <w:b/>
          <w:color w:val="000000"/>
          <w:sz w:val="24"/>
          <w:szCs w:val="24"/>
          <w:highlight w:val="none"/>
        </w:rPr>
        <w:t>完成日期：202</w:t>
      </w:r>
      <w:r>
        <w:rPr>
          <w:rFonts w:hint="eastAsia"/>
          <w:b/>
          <w:color w:val="000000"/>
          <w:sz w:val="24"/>
          <w:szCs w:val="24"/>
          <w:highlight w:val="none"/>
        </w:rPr>
        <w:t>6</w:t>
      </w:r>
      <w:r>
        <w:rPr>
          <w:b/>
          <w:color w:val="000000"/>
          <w:sz w:val="24"/>
          <w:szCs w:val="24"/>
          <w:highlight w:val="none"/>
        </w:rPr>
        <w:t>年</w:t>
      </w:r>
      <w:r>
        <w:rPr>
          <w:rFonts w:hint="eastAsia"/>
          <w:b/>
          <w:color w:val="000000"/>
          <w:sz w:val="24"/>
          <w:szCs w:val="24"/>
          <w:highlight w:val="none"/>
        </w:rPr>
        <w:t>0</w:t>
      </w:r>
      <w:r>
        <w:rPr>
          <w:rFonts w:hint="eastAsia"/>
          <w:b/>
          <w:color w:val="000000"/>
          <w:sz w:val="24"/>
          <w:szCs w:val="24"/>
          <w:highlight w:val="none"/>
          <w:lang w:val="en-US" w:eastAsia="zh-CN"/>
        </w:rPr>
        <w:t>8</w:t>
      </w:r>
      <w:r>
        <w:rPr>
          <w:b/>
          <w:color w:val="000000"/>
          <w:sz w:val="24"/>
          <w:szCs w:val="24"/>
          <w:highlight w:val="none"/>
        </w:rPr>
        <w:t>月</w:t>
      </w:r>
      <w:r>
        <w:rPr>
          <w:rFonts w:hint="eastAsia"/>
          <w:b/>
          <w:color w:val="000000"/>
          <w:sz w:val="24"/>
          <w:szCs w:val="24"/>
          <w:highlight w:val="none"/>
          <w:lang w:val="en-US" w:eastAsia="zh-CN"/>
        </w:rPr>
        <w:t>15</w:t>
      </w:r>
      <w:r>
        <w:rPr>
          <w:b/>
          <w:color w:val="000000"/>
          <w:sz w:val="24"/>
          <w:szCs w:val="24"/>
          <w:highlight w:val="none"/>
        </w:rPr>
        <w:t>日</w:t>
      </w:r>
    </w:p>
    <w:p w14:paraId="04747BE2">
      <w:pPr>
        <w:spacing w:after="0" w:line="240" w:lineRule="auto"/>
        <w:jc w:val="center"/>
        <w:rPr>
          <w:rFonts w:ascii="Times New Roman" w:hAnsi="Times New Roman" w:eastAsia="宋体" w:cs="Times New Roman"/>
          <w:bCs/>
          <w:color w:val="000000"/>
          <w:sz w:val="21"/>
          <w:szCs w:val="21"/>
          <w:highlight w:val="none"/>
          <w14:ligatures w14:val="none"/>
        </w:rPr>
      </w:pPr>
      <w:r>
        <w:rPr>
          <w:rFonts w:ascii="Times New Roman" w:hAnsi="Times New Roman" w:eastAsia="宋体" w:cs="Times New Roman"/>
          <w:bCs/>
          <w:color w:val="000000"/>
          <w:sz w:val="21"/>
          <w:szCs w:val="21"/>
          <w:highlight w:val="none"/>
          <w14:ligatures w14:val="none"/>
        </w:rPr>
        <w:t>（安全评价机构公章）</w:t>
      </w:r>
    </w:p>
    <w:p w14:paraId="169F736E">
      <w:pPr>
        <w:spacing w:after="0" w:line="240" w:lineRule="auto"/>
        <w:jc w:val="center"/>
        <w:rPr>
          <w:rFonts w:ascii="Times New Roman" w:hAnsi="Times New Roman" w:eastAsia="宋体" w:cs="Times New Roman"/>
          <w:bCs/>
          <w:color w:val="000000"/>
          <w:sz w:val="21"/>
          <w:szCs w:val="21"/>
          <w:highlight w:val="none"/>
          <w14:ligatures w14:val="none"/>
        </w:rPr>
        <w:sectPr>
          <w:pgSz w:w="11906" w:h="16838"/>
          <w:pgMar w:top="1418" w:right="1134" w:bottom="1134" w:left="1588" w:header="851" w:footer="992" w:gutter="0"/>
          <w:cols w:space="425" w:num="1"/>
          <w:docGrid w:type="lines" w:linePitch="312" w:charSpace="0"/>
        </w:sectPr>
      </w:pPr>
    </w:p>
    <w:p w14:paraId="1DF11A1F">
      <w:pPr>
        <w:adjustRightInd w:val="0"/>
        <w:snapToGrid w:val="0"/>
        <w:spacing w:before="156" w:beforeLines="50" w:after="156" w:afterLines="50" w:line="360" w:lineRule="auto"/>
        <w:jc w:val="center"/>
        <w:outlineLvl w:val="0"/>
        <w:rPr>
          <w:rFonts w:ascii="Times New Roman" w:hAnsi="Times New Roman" w:eastAsia="黑体" w:cs="Times New Roman"/>
          <w:bCs/>
          <w:kern w:val="44"/>
          <w:sz w:val="32"/>
          <w:szCs w:val="44"/>
          <w:highlight w:val="none"/>
          <w14:ligatures w14:val="none"/>
        </w:rPr>
      </w:pPr>
      <w:bookmarkStart w:id="17" w:name="_Toc24061"/>
      <w:r>
        <w:rPr>
          <w:rFonts w:ascii="Times New Roman" w:hAnsi="Times New Roman" w:eastAsia="黑体" w:cs="Times New Roman"/>
          <w:b/>
          <w:kern w:val="44"/>
          <w:sz w:val="32"/>
          <w:szCs w:val="44"/>
          <w:highlight w:val="none"/>
          <w14:ligatures w14:val="none"/>
        </w:rPr>
        <w:t>前</w:t>
      </w:r>
      <w:r>
        <w:rPr>
          <w:rFonts w:hint="eastAsia" w:ascii="Times New Roman" w:hAnsi="Times New Roman" w:eastAsia="黑体" w:cs="Times New Roman"/>
          <w:b/>
          <w:kern w:val="44"/>
          <w:sz w:val="32"/>
          <w:szCs w:val="44"/>
          <w:highlight w:val="none"/>
          <w14:ligatures w14:val="none"/>
        </w:rPr>
        <w:t xml:space="preserve">  </w:t>
      </w:r>
      <w:r>
        <w:rPr>
          <w:rFonts w:ascii="Times New Roman" w:hAnsi="Times New Roman" w:eastAsia="黑体" w:cs="Times New Roman"/>
          <w:b/>
          <w:kern w:val="44"/>
          <w:sz w:val="32"/>
          <w:szCs w:val="44"/>
          <w:highlight w:val="none"/>
          <w14:ligatures w14:val="none"/>
        </w:rPr>
        <w:t>言</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14:paraId="4583D48E">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沈阳新春城气体有限公司</w:t>
      </w:r>
      <w:r>
        <w:rPr>
          <w:rFonts w:hint="eastAsia" w:ascii="Times New Roman" w:hAnsi="Times New Roman" w:eastAsia="宋体" w:cs="Times New Roman"/>
          <w:sz w:val="28"/>
          <w:szCs w:val="28"/>
          <w:highlight w:val="none"/>
          <w:lang w:eastAsia="zh-CN"/>
          <w14:ligatures w14:val="none"/>
        </w:rPr>
        <w:t>（</w:t>
      </w:r>
      <w:r>
        <w:rPr>
          <w:rFonts w:hint="eastAsia" w:ascii="Times New Roman" w:hAnsi="Times New Roman" w:eastAsia="宋体" w:cs="Times New Roman"/>
          <w:sz w:val="28"/>
          <w:szCs w:val="28"/>
          <w:highlight w:val="none"/>
          <w:lang w:val="en-US" w:eastAsia="zh-CN"/>
          <w14:ligatures w14:val="none"/>
        </w:rPr>
        <w:t>以下简称“新春城”</w:t>
      </w:r>
      <w:r>
        <w:rPr>
          <w:rFonts w:hint="eastAsia" w:ascii="Times New Roman" w:hAnsi="Times New Roman" w:eastAsia="宋体" w:cs="Times New Roman"/>
          <w:sz w:val="28"/>
          <w:szCs w:val="28"/>
          <w:highlight w:val="none"/>
          <w:lang w:eastAsia="zh-CN"/>
          <w14:ligatures w14:val="none"/>
        </w:rPr>
        <w:t>）</w:t>
      </w:r>
      <w:r>
        <w:rPr>
          <w:rFonts w:hint="eastAsia" w:ascii="Times New Roman" w:hAnsi="Times New Roman" w:eastAsia="宋体" w:cs="Times New Roman"/>
          <w:sz w:val="28"/>
          <w:szCs w:val="28"/>
          <w:highlight w:val="none"/>
          <w14:ligatures w14:val="none"/>
        </w:rPr>
        <w:t>位于辽宁省沈阳市沈北新区财落街道财落二社区，类型为</w:t>
      </w:r>
      <w:r>
        <w:rPr>
          <w:rFonts w:hint="eastAsia" w:ascii="Times New Roman" w:hAnsi="Times New Roman" w:eastAsia="宋体" w:cs="Times New Roman"/>
          <w:sz w:val="28"/>
          <w:szCs w:val="28"/>
          <w:highlight w:val="none"/>
          <w:lang w:val="en-US" w:eastAsia="zh-CN"/>
          <w14:ligatures w14:val="none"/>
        </w:rPr>
        <w:t>有限责任公司</w:t>
      </w:r>
      <w:r>
        <w:rPr>
          <w:rFonts w:hint="eastAsia" w:ascii="Times New Roman" w:hAnsi="Times New Roman" w:eastAsia="宋体" w:cs="Times New Roman"/>
          <w:sz w:val="28"/>
          <w:szCs w:val="28"/>
          <w:highlight w:val="none"/>
          <w14:ligatures w14:val="none"/>
        </w:rPr>
        <w:t>，法定代表人闻</w:t>
      </w:r>
      <w:r>
        <w:rPr>
          <w:rFonts w:hint="eastAsia" w:ascii="Times New Roman" w:hAnsi="Times New Roman" w:eastAsia="宋体" w:cs="Times New Roman"/>
          <w:sz w:val="28"/>
          <w:szCs w:val="28"/>
          <w:highlight w:val="none"/>
          <w:lang w:val="en-US" w:eastAsia="zh-CN"/>
          <w14:ligatures w14:val="none"/>
        </w:rPr>
        <w:t>杰</w:t>
      </w:r>
      <w:r>
        <w:rPr>
          <w:rFonts w:hint="eastAsia" w:ascii="Times New Roman" w:hAnsi="Times New Roman" w:eastAsia="宋体" w:cs="Times New Roman"/>
          <w:sz w:val="28"/>
          <w:szCs w:val="28"/>
          <w:highlight w:val="none"/>
          <w14:ligatures w14:val="none"/>
        </w:rPr>
        <w:t>，经营范围：许可项目</w:t>
      </w:r>
      <w:r>
        <w:rPr>
          <w:rFonts w:hint="eastAsia" w:ascii="Times New Roman" w:hAnsi="Times New Roman" w:eastAsia="宋体" w:cs="Times New Roman"/>
          <w:sz w:val="28"/>
          <w:szCs w:val="28"/>
          <w:highlight w:val="none"/>
          <w:lang w:eastAsia="zh-CN"/>
          <w14:ligatures w14:val="none"/>
        </w:rPr>
        <w:t>：</w:t>
      </w:r>
      <w:r>
        <w:rPr>
          <w:rFonts w:hint="eastAsia" w:ascii="Times New Roman" w:hAnsi="Times New Roman" w:eastAsia="宋体" w:cs="Times New Roman"/>
          <w:sz w:val="28"/>
          <w:szCs w:val="28"/>
          <w:highlight w:val="none"/>
          <w14:ligatures w14:val="none"/>
        </w:rPr>
        <w:t>危险化学品生产</w:t>
      </w:r>
      <w:r>
        <w:rPr>
          <w:rFonts w:hint="eastAsia" w:ascii="Times New Roman" w:hAnsi="Times New Roman" w:eastAsia="宋体" w:cs="Times New Roman"/>
          <w:sz w:val="28"/>
          <w:szCs w:val="28"/>
          <w:highlight w:val="none"/>
          <w:lang w:eastAsia="zh-CN"/>
          <w14:ligatures w14:val="none"/>
        </w:rPr>
        <w:t>；</w:t>
      </w:r>
      <w:r>
        <w:rPr>
          <w:rFonts w:hint="eastAsia" w:ascii="Times New Roman" w:hAnsi="Times New Roman" w:eastAsia="宋体" w:cs="Times New Roman"/>
          <w:sz w:val="28"/>
          <w:szCs w:val="28"/>
          <w:highlight w:val="none"/>
          <w14:ligatures w14:val="none"/>
        </w:rPr>
        <w:t>危险化学品经营</w:t>
      </w:r>
      <w:r>
        <w:rPr>
          <w:rFonts w:hint="eastAsia" w:ascii="Times New Roman" w:hAnsi="Times New Roman" w:eastAsia="宋体" w:cs="Times New Roman"/>
          <w:sz w:val="28"/>
          <w:szCs w:val="28"/>
          <w:highlight w:val="none"/>
          <w:lang w:eastAsia="zh-CN"/>
          <w14:ligatures w14:val="none"/>
        </w:rPr>
        <w:t>；</w:t>
      </w:r>
      <w:r>
        <w:rPr>
          <w:rFonts w:hint="eastAsia" w:ascii="Times New Roman" w:hAnsi="Times New Roman" w:eastAsia="宋体" w:cs="Times New Roman"/>
          <w:sz w:val="28"/>
          <w:szCs w:val="28"/>
          <w:highlight w:val="none"/>
          <w14:ligatures w14:val="none"/>
        </w:rPr>
        <w:t>道路危险货物运输</w:t>
      </w:r>
      <w:r>
        <w:rPr>
          <w:rFonts w:hint="eastAsia" w:ascii="Times New Roman" w:hAnsi="Times New Roman" w:eastAsia="宋体" w:cs="Times New Roman"/>
          <w:sz w:val="28"/>
          <w:szCs w:val="28"/>
          <w:highlight w:val="none"/>
          <w:lang w:eastAsia="zh-CN"/>
          <w14:ligatures w14:val="none"/>
        </w:rPr>
        <w:t>；</w:t>
      </w:r>
      <w:r>
        <w:rPr>
          <w:rFonts w:hint="eastAsia" w:ascii="Times New Roman" w:hAnsi="Times New Roman" w:eastAsia="宋体" w:cs="Times New Roman"/>
          <w:sz w:val="28"/>
          <w:szCs w:val="28"/>
          <w:highlight w:val="none"/>
          <w14:ligatures w14:val="none"/>
        </w:rPr>
        <w:t>特种设备检验检测</w:t>
      </w:r>
      <w:r>
        <w:rPr>
          <w:rFonts w:hint="eastAsia" w:ascii="Times New Roman" w:hAnsi="Times New Roman" w:eastAsia="宋体" w:cs="Times New Roman"/>
          <w:sz w:val="28"/>
          <w:szCs w:val="28"/>
          <w:highlight w:val="none"/>
          <w:lang w:eastAsia="zh-CN"/>
          <w14:ligatures w14:val="none"/>
        </w:rPr>
        <w:t>；</w:t>
      </w:r>
      <w:r>
        <w:rPr>
          <w:rFonts w:hint="eastAsia" w:ascii="Times New Roman" w:hAnsi="Times New Roman" w:eastAsia="宋体" w:cs="Times New Roman"/>
          <w:sz w:val="28"/>
          <w:szCs w:val="28"/>
          <w:highlight w:val="none"/>
          <w14:ligatures w14:val="none"/>
        </w:rPr>
        <w:t>食品添加剂生产</w:t>
      </w:r>
      <w:r>
        <w:rPr>
          <w:rFonts w:hint="eastAsia" w:ascii="Times New Roman" w:hAnsi="Times New Roman" w:eastAsia="宋体" w:cs="Times New Roman"/>
          <w:sz w:val="28"/>
          <w:szCs w:val="28"/>
          <w:highlight w:val="none"/>
          <w:lang w:eastAsia="zh-CN"/>
          <w14:ligatures w14:val="none"/>
        </w:rPr>
        <w:t>；</w:t>
      </w:r>
      <w:r>
        <w:rPr>
          <w:rFonts w:hint="eastAsia" w:ascii="Times New Roman" w:hAnsi="Times New Roman" w:eastAsia="宋体" w:cs="Times New Roman"/>
          <w:sz w:val="28"/>
          <w:szCs w:val="28"/>
          <w:highlight w:val="none"/>
          <w14:ligatures w14:val="none"/>
        </w:rPr>
        <w:t>药品生产</w:t>
      </w:r>
      <w:r>
        <w:rPr>
          <w:rFonts w:hint="eastAsia" w:ascii="Times New Roman" w:hAnsi="Times New Roman" w:eastAsia="宋体" w:cs="Times New Roman"/>
          <w:sz w:val="28"/>
          <w:szCs w:val="28"/>
          <w:highlight w:val="none"/>
          <w:lang w:eastAsia="zh-CN"/>
          <w14:ligatures w14:val="none"/>
        </w:rPr>
        <w:t>；</w:t>
      </w:r>
      <w:r>
        <w:rPr>
          <w:rFonts w:hint="eastAsia" w:ascii="Times New Roman" w:hAnsi="Times New Roman" w:eastAsia="宋体" w:cs="Times New Roman"/>
          <w:sz w:val="28"/>
          <w:szCs w:val="28"/>
          <w:highlight w:val="none"/>
          <w14:ligatures w14:val="none"/>
        </w:rPr>
        <w:t>移动式压力容器/气瓶充装。(依法须经批准的项目，经相关部门批准后方可开展经营活动，具体经营项目以相关部门批准文件或许可证件为准)</w:t>
      </w:r>
      <w:r>
        <w:rPr>
          <w:rFonts w:hint="eastAsia" w:ascii="Times New Roman" w:hAnsi="Times New Roman" w:eastAsia="宋体" w:cs="Times New Roman"/>
          <w:sz w:val="28"/>
          <w:szCs w:val="28"/>
          <w:highlight w:val="none"/>
          <w:lang w:eastAsia="zh-CN"/>
          <w14:ligatures w14:val="none"/>
        </w:rPr>
        <w:t>。</w:t>
      </w:r>
      <w:r>
        <w:rPr>
          <w:rFonts w:hint="eastAsia" w:ascii="Times New Roman" w:hAnsi="Times New Roman" w:eastAsia="宋体" w:cs="Times New Roman"/>
          <w:sz w:val="28"/>
          <w:szCs w:val="28"/>
          <w:highlight w:val="none"/>
          <w14:ligatures w14:val="none"/>
        </w:rPr>
        <w:t>一般项目</w:t>
      </w:r>
      <w:r>
        <w:rPr>
          <w:rFonts w:hint="eastAsia" w:ascii="Times New Roman" w:hAnsi="Times New Roman" w:eastAsia="宋体" w:cs="Times New Roman"/>
          <w:sz w:val="28"/>
          <w:szCs w:val="28"/>
          <w:highlight w:val="none"/>
          <w:lang w:eastAsia="zh-CN"/>
          <w14:ligatures w14:val="none"/>
        </w:rPr>
        <w:t>：</w:t>
      </w:r>
      <w:r>
        <w:rPr>
          <w:rFonts w:hint="eastAsia" w:ascii="Times New Roman" w:hAnsi="Times New Roman" w:eastAsia="宋体" w:cs="Times New Roman"/>
          <w:sz w:val="28"/>
          <w:szCs w:val="28"/>
          <w:highlight w:val="none"/>
          <w14:ligatures w14:val="none"/>
        </w:rPr>
        <w:t>金属制品销售</w:t>
      </w:r>
      <w:r>
        <w:rPr>
          <w:rFonts w:hint="eastAsia" w:ascii="Times New Roman" w:hAnsi="Times New Roman" w:eastAsia="宋体" w:cs="Times New Roman"/>
          <w:sz w:val="28"/>
          <w:szCs w:val="28"/>
          <w:highlight w:val="none"/>
          <w:lang w:eastAsia="zh-CN"/>
          <w14:ligatures w14:val="none"/>
        </w:rPr>
        <w:t>；</w:t>
      </w:r>
      <w:r>
        <w:rPr>
          <w:rFonts w:hint="eastAsia" w:ascii="Times New Roman" w:hAnsi="Times New Roman" w:eastAsia="宋体" w:cs="Times New Roman"/>
          <w:sz w:val="28"/>
          <w:szCs w:val="28"/>
          <w:highlight w:val="none"/>
          <w14:ligatures w14:val="none"/>
        </w:rPr>
        <w:t>金属制品修理</w:t>
      </w:r>
      <w:r>
        <w:rPr>
          <w:rFonts w:hint="eastAsia" w:ascii="Times New Roman" w:hAnsi="Times New Roman" w:eastAsia="宋体" w:cs="Times New Roman"/>
          <w:sz w:val="28"/>
          <w:szCs w:val="28"/>
          <w:highlight w:val="none"/>
          <w:lang w:eastAsia="zh-CN"/>
          <w14:ligatures w14:val="none"/>
        </w:rPr>
        <w:t>；</w:t>
      </w:r>
      <w:r>
        <w:rPr>
          <w:rFonts w:hint="eastAsia" w:ascii="Times New Roman" w:hAnsi="Times New Roman" w:eastAsia="宋体" w:cs="Times New Roman"/>
          <w:sz w:val="28"/>
          <w:szCs w:val="28"/>
          <w:highlight w:val="none"/>
          <w14:ligatures w14:val="none"/>
        </w:rPr>
        <w:t>五金产品批发</w:t>
      </w:r>
      <w:r>
        <w:rPr>
          <w:rFonts w:hint="eastAsia" w:ascii="Times New Roman" w:hAnsi="Times New Roman" w:eastAsia="宋体" w:cs="Times New Roman"/>
          <w:sz w:val="28"/>
          <w:szCs w:val="28"/>
          <w:highlight w:val="none"/>
          <w:lang w:eastAsia="zh-CN"/>
          <w14:ligatures w14:val="none"/>
        </w:rPr>
        <w:t>；</w:t>
      </w:r>
      <w:r>
        <w:rPr>
          <w:rFonts w:hint="eastAsia" w:ascii="Times New Roman" w:hAnsi="Times New Roman" w:eastAsia="宋体" w:cs="Times New Roman"/>
          <w:sz w:val="28"/>
          <w:szCs w:val="28"/>
          <w:highlight w:val="none"/>
          <w14:ligatures w14:val="none"/>
        </w:rPr>
        <w:t>机械零件、零部件加工</w:t>
      </w:r>
      <w:r>
        <w:rPr>
          <w:rFonts w:hint="eastAsia" w:ascii="Times New Roman" w:hAnsi="Times New Roman" w:eastAsia="宋体" w:cs="Times New Roman"/>
          <w:sz w:val="28"/>
          <w:szCs w:val="28"/>
          <w:highlight w:val="none"/>
          <w:lang w:eastAsia="zh-CN"/>
          <w14:ligatures w14:val="none"/>
        </w:rPr>
        <w:t>；</w:t>
      </w:r>
      <w:r>
        <w:rPr>
          <w:rFonts w:hint="eastAsia" w:ascii="Times New Roman" w:hAnsi="Times New Roman" w:eastAsia="宋体" w:cs="Times New Roman"/>
          <w:sz w:val="28"/>
          <w:szCs w:val="28"/>
          <w:highlight w:val="none"/>
          <w14:ligatures w14:val="none"/>
        </w:rPr>
        <w:t>机械零件、零部件销售</w:t>
      </w:r>
      <w:r>
        <w:rPr>
          <w:rFonts w:hint="eastAsia" w:ascii="Times New Roman" w:hAnsi="Times New Roman" w:eastAsia="宋体" w:cs="Times New Roman"/>
          <w:sz w:val="28"/>
          <w:szCs w:val="28"/>
          <w:highlight w:val="none"/>
          <w:lang w:eastAsia="zh-CN"/>
          <w14:ligatures w14:val="none"/>
        </w:rPr>
        <w:t>；</w:t>
      </w:r>
      <w:r>
        <w:rPr>
          <w:rFonts w:hint="eastAsia" w:ascii="Times New Roman" w:hAnsi="Times New Roman" w:eastAsia="宋体" w:cs="Times New Roman"/>
          <w:sz w:val="28"/>
          <w:szCs w:val="28"/>
          <w:highlight w:val="none"/>
          <w14:ligatures w14:val="none"/>
        </w:rPr>
        <w:t>特种设备销售</w:t>
      </w:r>
      <w:r>
        <w:rPr>
          <w:rFonts w:hint="eastAsia" w:ascii="Times New Roman" w:hAnsi="Times New Roman" w:eastAsia="宋体" w:cs="Times New Roman"/>
          <w:sz w:val="28"/>
          <w:szCs w:val="28"/>
          <w:highlight w:val="none"/>
          <w:lang w:eastAsia="zh-CN"/>
          <w14:ligatures w14:val="none"/>
        </w:rPr>
        <w:t>；</w:t>
      </w:r>
      <w:r>
        <w:rPr>
          <w:rFonts w:hint="eastAsia" w:ascii="Times New Roman" w:hAnsi="Times New Roman" w:eastAsia="宋体" w:cs="Times New Roman"/>
          <w:sz w:val="28"/>
          <w:szCs w:val="28"/>
          <w:highlight w:val="none"/>
          <w14:ligatures w14:val="none"/>
        </w:rPr>
        <w:t>特种设备出租。(除依法须经批准的项目外，凭营业执照依法自主开展经营活动）。</w:t>
      </w:r>
    </w:p>
    <w:p w14:paraId="6D7E1563">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lang w:val="en-US" w:eastAsia="zh-CN"/>
          <w14:ligatures w14:val="none"/>
        </w:rPr>
        <w:t>新春城</w:t>
      </w:r>
      <w:r>
        <w:rPr>
          <w:rFonts w:hint="eastAsia" w:ascii="Times New Roman" w:hAnsi="Times New Roman" w:eastAsia="宋体" w:cs="Times New Roman"/>
          <w:sz w:val="28"/>
          <w:szCs w:val="28"/>
          <w:highlight w:val="none"/>
          <w14:ligatures w14:val="none"/>
        </w:rPr>
        <w:t>于2023年08月</w:t>
      </w:r>
      <w:r>
        <w:rPr>
          <w:rFonts w:hint="eastAsia" w:ascii="Times New Roman" w:hAnsi="Times New Roman" w:eastAsia="宋体" w:cs="Times New Roman"/>
          <w:sz w:val="28"/>
          <w:szCs w:val="28"/>
          <w:highlight w:val="none"/>
          <w:lang w:val="en-US" w:eastAsia="zh-CN"/>
          <w14:ligatures w14:val="none"/>
        </w:rPr>
        <w:t>25</w:t>
      </w:r>
      <w:r>
        <w:rPr>
          <w:rFonts w:hint="eastAsia" w:ascii="Times New Roman" w:hAnsi="Times New Roman" w:eastAsia="宋体" w:cs="Times New Roman"/>
          <w:sz w:val="28"/>
          <w:szCs w:val="28"/>
          <w:highlight w:val="none"/>
          <w14:ligatures w14:val="none"/>
        </w:rPr>
        <w:t>日取得了</w:t>
      </w:r>
      <w:r>
        <w:rPr>
          <w:rFonts w:hint="eastAsia" w:ascii="Times New Roman" w:hAnsi="Times New Roman" w:eastAsia="宋体" w:cs="Times New Roman"/>
          <w:sz w:val="28"/>
          <w:szCs w:val="28"/>
          <w:highlight w:val="none"/>
          <w:lang w:val="en-US" w:eastAsia="zh-CN"/>
          <w14:ligatures w14:val="none"/>
        </w:rPr>
        <w:t>沈阳市沈北新区应急管理</w:t>
      </w:r>
      <w:r>
        <w:rPr>
          <w:rFonts w:hint="eastAsia" w:ascii="Times New Roman" w:hAnsi="Times New Roman" w:eastAsia="宋体" w:cs="Times New Roman"/>
          <w:sz w:val="28"/>
          <w:szCs w:val="28"/>
          <w:highlight w:val="none"/>
          <w14:ligatures w14:val="none"/>
        </w:rPr>
        <w:t>局为其颁发的《危险化学品经营许可证》，证书有效期限至202</w:t>
      </w:r>
      <w:r>
        <w:rPr>
          <w:rFonts w:hint="eastAsia" w:ascii="Times New Roman" w:hAnsi="Times New Roman" w:eastAsia="宋体" w:cs="Times New Roman"/>
          <w:sz w:val="28"/>
          <w:szCs w:val="28"/>
          <w:highlight w:val="none"/>
          <w:lang w:val="en-US" w:eastAsia="zh-CN"/>
          <w14:ligatures w14:val="none"/>
        </w:rPr>
        <w:t>6</w:t>
      </w:r>
      <w:r>
        <w:rPr>
          <w:rFonts w:hint="eastAsia" w:ascii="Times New Roman" w:hAnsi="Times New Roman" w:eastAsia="宋体" w:cs="Times New Roman"/>
          <w:sz w:val="28"/>
          <w:szCs w:val="28"/>
          <w:highlight w:val="none"/>
          <w14:ligatures w14:val="none"/>
        </w:rPr>
        <w:t>年08月</w:t>
      </w:r>
      <w:r>
        <w:rPr>
          <w:rFonts w:hint="eastAsia" w:ascii="Times New Roman" w:hAnsi="Times New Roman" w:eastAsia="宋体" w:cs="Times New Roman"/>
          <w:sz w:val="28"/>
          <w:szCs w:val="28"/>
          <w:highlight w:val="none"/>
          <w:lang w:val="en-US" w:eastAsia="zh-CN"/>
          <w14:ligatures w14:val="none"/>
        </w:rPr>
        <w:t>27</w:t>
      </w:r>
      <w:r>
        <w:rPr>
          <w:rFonts w:hint="eastAsia" w:ascii="Times New Roman" w:hAnsi="Times New Roman" w:eastAsia="宋体" w:cs="Times New Roman"/>
          <w:sz w:val="28"/>
          <w:szCs w:val="28"/>
          <w:highlight w:val="none"/>
          <w14:ligatures w14:val="none"/>
        </w:rPr>
        <w:t>日，证书编号：</w:t>
      </w:r>
      <w:r>
        <w:rPr>
          <w:rFonts w:hint="eastAsia" w:ascii="Times New Roman" w:hAnsi="Times New Roman" w:eastAsia="宋体" w:cs="Times New Roman"/>
          <w:sz w:val="28"/>
          <w:szCs w:val="28"/>
          <w:highlight w:val="none"/>
          <w:lang w:val="en-US" w:eastAsia="zh-CN"/>
          <w14:ligatures w14:val="none"/>
        </w:rPr>
        <w:t>沈北危化</w:t>
      </w:r>
      <w:r>
        <w:rPr>
          <w:rFonts w:hint="eastAsia" w:ascii="Times New Roman" w:hAnsi="Times New Roman" w:eastAsia="宋体" w:cs="Times New Roman"/>
          <w:sz w:val="28"/>
          <w:szCs w:val="28"/>
          <w:highlight w:val="none"/>
          <w14:ligatures w14:val="none"/>
        </w:rPr>
        <w:t>经字[2023]00</w:t>
      </w:r>
      <w:r>
        <w:rPr>
          <w:rFonts w:hint="eastAsia" w:ascii="Times New Roman" w:hAnsi="Times New Roman" w:eastAsia="宋体" w:cs="Times New Roman"/>
          <w:sz w:val="28"/>
          <w:szCs w:val="28"/>
          <w:highlight w:val="none"/>
          <w:lang w:val="en-US" w:eastAsia="zh-CN"/>
          <w14:ligatures w14:val="none"/>
        </w:rPr>
        <w:t>51</w:t>
      </w:r>
      <w:r>
        <w:rPr>
          <w:rFonts w:hint="eastAsia" w:ascii="Times New Roman" w:hAnsi="Times New Roman" w:eastAsia="宋体" w:cs="Times New Roman"/>
          <w:sz w:val="28"/>
          <w:szCs w:val="28"/>
          <w:highlight w:val="none"/>
          <w14:ligatures w14:val="none"/>
        </w:rPr>
        <w:t>号，经营方式：</w:t>
      </w:r>
      <w:r>
        <w:rPr>
          <w:rFonts w:hint="eastAsia" w:ascii="Times New Roman" w:hAnsi="Times New Roman" w:eastAsia="宋体" w:cs="Times New Roman"/>
          <w:sz w:val="28"/>
          <w:szCs w:val="28"/>
          <w:highlight w:val="none"/>
          <w:lang w:val="en-US" w:eastAsia="zh-CN"/>
          <w14:ligatures w14:val="none"/>
        </w:rPr>
        <w:t>充装、批发（无储存）</w:t>
      </w:r>
      <w:r>
        <w:rPr>
          <w:rFonts w:hint="eastAsia" w:ascii="Times New Roman" w:hAnsi="Times New Roman" w:eastAsia="宋体" w:cs="Times New Roman"/>
          <w:sz w:val="28"/>
          <w:szCs w:val="28"/>
          <w:highlight w:val="none"/>
          <w14:ligatures w14:val="none"/>
        </w:rPr>
        <w:t>，许可范围：</w:t>
      </w:r>
      <w:r>
        <w:rPr>
          <w:rFonts w:hint="eastAsia" w:ascii="Times New Roman" w:hAnsi="Times New Roman" w:eastAsia="宋体" w:cs="Times New Roman"/>
          <w:sz w:val="28"/>
          <w:szCs w:val="28"/>
          <w:highlight w:val="none"/>
          <w:lang w:val="en-US" w:eastAsia="zh-CN"/>
          <w14:ligatures w14:val="none"/>
        </w:rPr>
        <w:t>充装</w:t>
      </w:r>
      <w:r>
        <w:rPr>
          <w:rFonts w:hint="eastAsia" w:ascii="Times New Roman" w:hAnsi="Times New Roman" w:eastAsia="宋体" w:cs="Times New Roman"/>
          <w:sz w:val="28"/>
          <w:szCs w:val="28"/>
          <w:highlight w:val="none"/>
          <w14:ligatures w14:val="none"/>
        </w:rPr>
        <w:t>：氧[压缩的或液化的]、氮[压缩的或液化的]、氩[压缩的或液化的]、二氧化碳[压缩的或液化的]；</w:t>
      </w:r>
      <w:r>
        <w:rPr>
          <w:rFonts w:hint="eastAsia" w:ascii="Times New Roman" w:hAnsi="Times New Roman" w:eastAsia="宋体" w:cs="Times New Roman"/>
          <w:sz w:val="28"/>
          <w:szCs w:val="28"/>
          <w:highlight w:val="none"/>
          <w:lang w:val="en-US" w:eastAsia="zh-CN"/>
          <w14:ligatures w14:val="none"/>
        </w:rPr>
        <w:t>批发（</w:t>
      </w:r>
      <w:r>
        <w:rPr>
          <w:rFonts w:hint="eastAsia" w:ascii="Times New Roman" w:hAnsi="Times New Roman" w:eastAsia="宋体" w:cs="Times New Roman"/>
          <w:sz w:val="28"/>
          <w:szCs w:val="28"/>
          <w:highlight w:val="none"/>
          <w14:ligatures w14:val="none"/>
        </w:rPr>
        <w:t>无储存</w:t>
      </w:r>
      <w:r>
        <w:rPr>
          <w:rFonts w:hint="eastAsia" w:ascii="Times New Roman" w:hAnsi="Times New Roman" w:eastAsia="宋体" w:cs="Times New Roman"/>
          <w:sz w:val="28"/>
          <w:szCs w:val="28"/>
          <w:highlight w:val="none"/>
          <w:lang w:val="en-US" w:eastAsia="zh-CN"/>
          <w14:ligatures w14:val="none"/>
        </w:rPr>
        <w:t>）</w:t>
      </w:r>
      <w:r>
        <w:rPr>
          <w:rFonts w:hint="eastAsia" w:ascii="Times New Roman" w:hAnsi="Times New Roman" w:eastAsia="宋体" w:cs="Times New Roman"/>
          <w:sz w:val="28"/>
          <w:szCs w:val="28"/>
          <w:highlight w:val="none"/>
          <w14:ligatures w14:val="none"/>
        </w:rPr>
        <w:t>：氢、</w:t>
      </w:r>
      <w:r>
        <w:rPr>
          <w:rFonts w:hint="eastAsia" w:ascii="Times New Roman" w:hAnsi="Times New Roman" w:eastAsia="宋体" w:cs="Times New Roman"/>
          <w:sz w:val="28"/>
          <w:szCs w:val="28"/>
          <w:highlight w:val="none"/>
          <w:lang w:val="en-US" w:eastAsia="zh-CN"/>
          <w14:ligatures w14:val="none"/>
        </w:rPr>
        <w:t>氦</w:t>
      </w:r>
      <w:r>
        <w:rPr>
          <w:rFonts w:hint="eastAsia" w:ascii="Times New Roman" w:hAnsi="Times New Roman" w:eastAsia="宋体" w:cs="Times New Roman"/>
          <w:sz w:val="28"/>
          <w:szCs w:val="28"/>
          <w:highlight w:val="none"/>
          <w14:ligatures w14:val="none"/>
        </w:rPr>
        <w:t>[压缩的或液化的]、丙烷。</w:t>
      </w:r>
    </w:p>
    <w:p w14:paraId="190773F3">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根据《危险化学品目录（2026调整）》（应急管理部等十部门公告[2026]年第3号）的规定，</w:t>
      </w:r>
      <w:r>
        <w:rPr>
          <w:rFonts w:hint="eastAsia" w:ascii="Times New Roman" w:hAnsi="Times New Roman" w:eastAsia="宋体" w:cs="Times New Roman"/>
          <w:sz w:val="28"/>
          <w:szCs w:val="28"/>
          <w:highlight w:val="none"/>
          <w:lang w:val="en-US" w:eastAsia="zh-CN"/>
          <w14:ligatures w14:val="none"/>
        </w:rPr>
        <w:t>充装</w:t>
      </w:r>
      <w:r>
        <w:rPr>
          <w:rFonts w:hint="eastAsia" w:ascii="Times New Roman" w:hAnsi="Times New Roman" w:eastAsia="宋体" w:cs="Times New Roman"/>
          <w:sz w:val="28"/>
          <w:szCs w:val="28"/>
          <w:highlight w:val="none"/>
          <w14:ligatures w14:val="none"/>
        </w:rPr>
        <w:t>经营的化学品：氧[压缩的或液化的]序号：2528；氩[压缩的或液化的]序号：2505；氮[压缩的或液化的]序号：172；二氧化碳[压缩的或液化的]序号：642；</w:t>
      </w:r>
      <w:r>
        <w:rPr>
          <w:rFonts w:hint="eastAsia" w:ascii="Times New Roman" w:hAnsi="Times New Roman" w:eastAsia="宋体" w:cs="Times New Roman"/>
          <w:sz w:val="28"/>
          <w:szCs w:val="28"/>
          <w:highlight w:val="none"/>
          <w:lang w:val="en-US" w:eastAsia="zh-CN"/>
          <w14:ligatures w14:val="none"/>
        </w:rPr>
        <w:t>批发（无储存）</w:t>
      </w:r>
      <w:r>
        <w:rPr>
          <w:rFonts w:hint="eastAsia" w:ascii="Times New Roman" w:hAnsi="Times New Roman" w:eastAsia="宋体" w:cs="Times New Roman"/>
          <w:sz w:val="28"/>
          <w:szCs w:val="28"/>
          <w:highlight w:val="none"/>
          <w14:ligatures w14:val="none"/>
        </w:rPr>
        <w:t>经营的化学品：氢气序号：1648；</w:t>
      </w:r>
      <w:r>
        <w:rPr>
          <w:rFonts w:hint="eastAsia" w:ascii="Times New Roman" w:hAnsi="Times New Roman" w:eastAsia="宋体" w:cs="Times New Roman"/>
          <w:sz w:val="28"/>
          <w:szCs w:val="28"/>
          <w:highlight w:val="none"/>
          <w:lang w:val="en-US" w:eastAsia="zh-CN"/>
          <w14:ligatures w14:val="none"/>
        </w:rPr>
        <w:t>氦</w:t>
      </w:r>
      <w:r>
        <w:rPr>
          <w:rFonts w:hint="eastAsia" w:ascii="Times New Roman" w:hAnsi="Times New Roman" w:eastAsia="宋体" w:cs="Times New Roman"/>
          <w:sz w:val="28"/>
          <w:szCs w:val="28"/>
          <w:highlight w:val="none"/>
          <w14:ligatures w14:val="none"/>
        </w:rPr>
        <w:t>[压缩的或液化的]序号：</w:t>
      </w:r>
      <w:r>
        <w:rPr>
          <w:rFonts w:hint="eastAsia" w:ascii="Times New Roman" w:hAnsi="Times New Roman" w:eastAsia="宋体" w:cs="Times New Roman"/>
          <w:sz w:val="28"/>
          <w:szCs w:val="28"/>
          <w:highlight w:val="none"/>
          <w:lang w:val="en-US" w:eastAsia="zh-CN"/>
          <w14:ligatures w14:val="none"/>
        </w:rPr>
        <w:t>929</w:t>
      </w:r>
      <w:r>
        <w:rPr>
          <w:rFonts w:hint="eastAsia" w:ascii="Times New Roman" w:hAnsi="Times New Roman" w:eastAsia="宋体" w:cs="Times New Roman"/>
          <w:sz w:val="28"/>
          <w:szCs w:val="28"/>
          <w:highlight w:val="none"/>
          <w14:ligatures w14:val="none"/>
        </w:rPr>
        <w:t>；丙烷序号</w:t>
      </w:r>
      <w:r>
        <w:rPr>
          <w:rFonts w:hint="eastAsia" w:ascii="Times New Roman" w:hAnsi="Times New Roman" w:eastAsia="宋体" w:cs="Times New Roman"/>
          <w:sz w:val="28"/>
          <w:szCs w:val="28"/>
          <w:highlight w:val="none"/>
          <w:lang w:eastAsia="zh-CN"/>
          <w14:ligatures w14:val="none"/>
        </w:rPr>
        <w:t>：</w:t>
      </w:r>
      <w:r>
        <w:rPr>
          <w:rFonts w:hint="eastAsia" w:ascii="Times New Roman" w:hAnsi="Times New Roman" w:eastAsia="宋体" w:cs="Times New Roman"/>
          <w:sz w:val="28"/>
          <w:szCs w:val="28"/>
          <w:highlight w:val="none"/>
          <w14:ligatures w14:val="none"/>
        </w:rPr>
        <w:t>139</w:t>
      </w:r>
      <w:r>
        <w:rPr>
          <w:rFonts w:hint="eastAsia" w:ascii="Times New Roman" w:hAnsi="Times New Roman" w:eastAsia="宋体" w:cs="Times New Roman"/>
          <w:sz w:val="28"/>
          <w:szCs w:val="28"/>
          <w:highlight w:val="none"/>
          <w:lang w:eastAsia="zh-CN"/>
          <w14:ligatures w14:val="none"/>
        </w:rPr>
        <w:t>，</w:t>
      </w:r>
      <w:r>
        <w:rPr>
          <w:rFonts w:hint="eastAsia" w:ascii="Times New Roman" w:hAnsi="Times New Roman" w:eastAsia="宋体" w:cs="Times New Roman"/>
          <w:sz w:val="28"/>
          <w:szCs w:val="28"/>
          <w:highlight w:val="none"/>
          <w14:ligatures w14:val="none"/>
        </w:rPr>
        <w:t>均属于危险化学品。</w:t>
      </w:r>
    </w:p>
    <w:p w14:paraId="4DF7E3DA">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根据《中华人民共和国安全生产法》（中华人民共和国主席令[2021]第八十八号，2021年09月01日施行）、《危险化学品安全管理条例》（国务院令第591号，2013年12月07日国务院令第645号修订，2011年12月01日起施行）、《危险化学品经营许可证管理办法》（原国家安全生产监督管理总局令第55号，原国家安全生产监督管理总局令79号修订，2015年07月01日实施）的有关规定，其经营许可证有效期为3年。有效期满后，企业需要继续从事危险化学品经营活动的，应当在经营许可证有效期满3个月前，向设区的市级人民政府负有安全生产监督管理职责的部门提出经营许可证的延期申请。安全评价报告是延期申请经营许可证的要件之一，为此，沈阳新春城气体有限公司委托具有相应安全评价资质的辽宁诺诚安全科技有限公司对其进行安全现状评价。</w:t>
      </w:r>
    </w:p>
    <w:p w14:paraId="39ED1356">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接受委托后，我公司专业技术人员立即深入现场进行全面调研和现场勘验并根据国家有关安全生产方面的法律、法规规定、国家或行业标准，按照科学性、公正性、合法性、针对性的原则开展安全评价工作，并编制完成了《沈阳新春城气体有限公司经营危险化学品安全评价报告》。</w:t>
      </w:r>
    </w:p>
    <w:p w14:paraId="570BAEB8">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在本评价报告的编制过程中，得到了</w:t>
      </w:r>
      <w:r>
        <w:rPr>
          <w:rFonts w:hint="eastAsia" w:ascii="Times New Roman" w:hAnsi="Times New Roman" w:eastAsia="宋体" w:cs="Times New Roman"/>
          <w:sz w:val="28"/>
          <w:szCs w:val="28"/>
          <w:highlight w:val="none"/>
          <w:lang w:eastAsia="zh-CN"/>
          <w14:ligatures w14:val="none"/>
        </w:rPr>
        <w:t>沈阳新春城气体有限公司</w:t>
      </w:r>
      <w:r>
        <w:rPr>
          <w:rFonts w:hint="eastAsia" w:ascii="Times New Roman" w:hAnsi="Times New Roman" w:eastAsia="宋体" w:cs="Times New Roman"/>
          <w:sz w:val="28"/>
          <w:szCs w:val="28"/>
          <w:highlight w:val="none"/>
          <w14:ligatures w14:val="none"/>
        </w:rPr>
        <w:t>的领导及相关人员的大力支持配合，在此表示感谢！</w:t>
      </w:r>
    </w:p>
    <w:p w14:paraId="6F3950B9">
      <w:pPr>
        <w:rPr>
          <w:rFonts w:hint="eastAsia"/>
          <w:highlight w:val="none"/>
        </w:rPr>
      </w:pPr>
      <w:r>
        <w:rPr>
          <w:rFonts w:hint="eastAsia"/>
          <w:highlight w:val="none"/>
        </w:rPr>
        <w:br w:type="page"/>
      </w:r>
    </w:p>
    <w:sdt>
      <w:sdtPr>
        <w:rPr>
          <w:highlight w:val="none"/>
          <w:lang w:val="zh-CN"/>
        </w:rPr>
        <w:id w:val="-1616893720"/>
        <w:docPartObj>
          <w:docPartGallery w:val="Table of Contents"/>
          <w:docPartUnique/>
        </w:docPartObj>
      </w:sdtPr>
      <w:sdtEndPr>
        <w:rPr>
          <w:rFonts w:ascii="Times New Roman" w:hAnsi="Times New Roman" w:eastAsia="黑体"/>
          <w:b/>
          <w:bCs/>
          <w:sz w:val="28"/>
          <w:szCs w:val="28"/>
          <w:highlight w:val="none"/>
          <w:lang w:val="zh-CN"/>
        </w:rPr>
      </w:sdtEndPr>
      <w:sdtContent>
        <w:p w14:paraId="7CB6B1CC">
          <w:pPr>
            <w:adjustRightInd w:val="0"/>
            <w:snapToGrid w:val="0"/>
            <w:spacing w:before="156" w:beforeLines="50" w:after="156" w:afterLines="50" w:line="360" w:lineRule="auto"/>
            <w:jc w:val="center"/>
            <w:outlineLvl w:val="0"/>
            <w:rPr>
              <w:highlight w:val="none"/>
            </w:rPr>
          </w:pPr>
          <w:bookmarkStart w:id="18" w:name="_Toc185509619"/>
          <w:bookmarkStart w:id="19" w:name="_Toc185682502"/>
          <w:bookmarkStart w:id="20" w:name="_Toc14511"/>
          <w:bookmarkStart w:id="21" w:name="_Toc232585547"/>
          <w:bookmarkStart w:id="22" w:name="_Toc185339059"/>
          <w:r>
            <w:rPr>
              <w:rFonts w:hint="eastAsia" w:ascii="Times New Roman" w:hAnsi="Times New Roman" w:eastAsia="黑体" w:cs="Times New Roman"/>
              <w:b/>
              <w:kern w:val="44"/>
              <w:sz w:val="32"/>
              <w:szCs w:val="44"/>
              <w:highlight w:val="none"/>
              <w14:ligatures w14:val="none"/>
            </w:rPr>
            <w:t>目  录</w:t>
          </w:r>
          <w:bookmarkEnd w:id="18"/>
          <w:bookmarkEnd w:id="19"/>
          <w:bookmarkEnd w:id="20"/>
          <w:bookmarkEnd w:id="21"/>
          <w:bookmarkEnd w:id="22"/>
          <w:r>
            <w:rPr>
              <w:rFonts w:hint="eastAsia" w:ascii="Times New Roman" w:hAnsi="Times New Roman" w:eastAsia="黑体"/>
              <w:sz w:val="28"/>
              <w:szCs w:val="28"/>
              <w:highlight w:val="none"/>
            </w:rPr>
            <w:fldChar w:fldCharType="begin"/>
          </w:r>
          <w:r>
            <w:rPr>
              <w:rFonts w:hint="eastAsia" w:ascii="Times New Roman" w:hAnsi="Times New Roman" w:eastAsia="黑体"/>
              <w:sz w:val="28"/>
              <w:szCs w:val="28"/>
              <w:highlight w:val="none"/>
            </w:rPr>
            <w:instrText xml:space="preserve"> </w:instrText>
          </w:r>
          <w:r>
            <w:rPr>
              <w:rFonts w:ascii="Times New Roman" w:hAnsi="Times New Roman" w:eastAsia="黑体"/>
              <w:sz w:val="28"/>
              <w:szCs w:val="28"/>
              <w:highlight w:val="none"/>
            </w:rPr>
            <w:instrText xml:space="preserve">TOC \o "1-2" \h \z \u</w:instrText>
          </w:r>
          <w:r>
            <w:rPr>
              <w:rFonts w:hint="eastAsia" w:ascii="Times New Roman" w:hAnsi="Times New Roman" w:eastAsia="黑体"/>
              <w:sz w:val="28"/>
              <w:szCs w:val="28"/>
              <w:highlight w:val="none"/>
            </w:rPr>
            <w:instrText xml:space="preserve"> </w:instrText>
          </w:r>
          <w:r>
            <w:rPr>
              <w:rFonts w:hint="eastAsia" w:ascii="Times New Roman" w:hAnsi="Times New Roman" w:eastAsia="黑体"/>
              <w:sz w:val="28"/>
              <w:szCs w:val="28"/>
              <w:highlight w:val="none"/>
            </w:rPr>
            <w:fldChar w:fldCharType="separate"/>
          </w:r>
        </w:p>
        <w:p w14:paraId="1814945B">
          <w:pPr>
            <w:pStyle w:val="12"/>
            <w:keepNext w:val="0"/>
            <w:keepLines w:val="0"/>
            <w:pageBreakBefore w:val="0"/>
            <w:widowControl w:val="0"/>
            <w:tabs>
              <w:tab w:val="right" w:leader="dot" w:pos="9184"/>
            </w:tabs>
            <w:kinsoku/>
            <w:wordWrap/>
            <w:overflowPunct/>
            <w:topLinePunct w:val="0"/>
            <w:autoSpaceDE/>
            <w:autoSpaceDN/>
            <w:bidi w:val="0"/>
            <w:spacing w:line="480" w:lineRule="exact"/>
            <w:textAlignment w:val="auto"/>
            <w:rPr>
              <w:rFonts w:hint="eastAsia" w:ascii="黑体" w:hAnsi="黑体" w:eastAsia="黑体" w:cs="黑体"/>
              <w:sz w:val="28"/>
              <w:szCs w:val="28"/>
              <w:highlight w:val="none"/>
            </w:rPr>
          </w:pP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HYPERLINK \l _Toc22652 </w:instrText>
          </w:r>
          <w:r>
            <w:rPr>
              <w:rFonts w:hint="eastAsia" w:ascii="黑体" w:hAnsi="黑体" w:eastAsia="黑体" w:cs="黑体"/>
              <w:sz w:val="28"/>
              <w:szCs w:val="28"/>
              <w:highlight w:val="none"/>
            </w:rPr>
            <w:fldChar w:fldCharType="separate"/>
          </w:r>
          <w:r>
            <w:rPr>
              <w:rFonts w:hint="eastAsia" w:ascii="黑体" w:hAnsi="黑体" w:eastAsia="黑体" w:cs="黑体"/>
              <w:kern w:val="44"/>
              <w:sz w:val="28"/>
              <w:szCs w:val="28"/>
              <w:highlight w:val="none"/>
              <w14:ligatures w14:val="none"/>
            </w:rPr>
            <w:t>1概述</w:t>
          </w:r>
          <w:r>
            <w:rPr>
              <w:rFonts w:hint="eastAsia" w:ascii="黑体" w:hAnsi="黑体" w:eastAsia="黑体" w:cs="黑体"/>
              <w:sz w:val="28"/>
              <w:szCs w:val="28"/>
              <w:highlight w:val="none"/>
            </w:rPr>
            <w:tab/>
          </w: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PAGEREF _Toc22652 \h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rPr>
            <w:t>1</w:t>
          </w:r>
          <w:r>
            <w:rPr>
              <w:rFonts w:hint="eastAsia" w:ascii="黑体" w:hAnsi="黑体" w:eastAsia="黑体" w:cs="黑体"/>
              <w:sz w:val="28"/>
              <w:szCs w:val="28"/>
              <w:highlight w:val="none"/>
            </w:rPr>
            <w:fldChar w:fldCharType="end"/>
          </w:r>
          <w:r>
            <w:rPr>
              <w:rFonts w:hint="eastAsia" w:ascii="黑体" w:hAnsi="黑体" w:eastAsia="黑体" w:cs="黑体"/>
              <w:sz w:val="28"/>
              <w:szCs w:val="28"/>
              <w:highlight w:val="none"/>
            </w:rPr>
            <w:fldChar w:fldCharType="end"/>
          </w:r>
        </w:p>
        <w:p w14:paraId="60CDDBE1">
          <w:pPr>
            <w:pStyle w:val="13"/>
            <w:keepNext w:val="0"/>
            <w:keepLines w:val="0"/>
            <w:pageBreakBefore w:val="0"/>
            <w:widowControl w:val="0"/>
            <w:tabs>
              <w:tab w:val="right" w:leader="dot" w:pos="9184"/>
              <w:tab w:val="clear" w:pos="9174"/>
            </w:tabs>
            <w:kinsoku/>
            <w:wordWrap/>
            <w:overflowPunct/>
            <w:topLinePunct w:val="0"/>
            <w:autoSpaceDE/>
            <w:autoSpaceDN/>
            <w:bidi w:val="0"/>
            <w:spacing w:line="480" w:lineRule="exact"/>
            <w:textAlignment w:val="auto"/>
            <w:rPr>
              <w:rFonts w:hint="eastAsia" w:ascii="黑体" w:hAnsi="黑体" w:eastAsia="黑体" w:cs="黑体"/>
              <w:sz w:val="28"/>
              <w:szCs w:val="28"/>
              <w:highlight w:val="none"/>
            </w:rPr>
          </w:pP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HYPERLINK \l _Toc9689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14:ligatures w14:val="none"/>
            </w:rPr>
            <w:t>1.1评价目的</w:t>
          </w:r>
          <w:r>
            <w:rPr>
              <w:rFonts w:hint="eastAsia" w:ascii="黑体" w:hAnsi="黑体" w:eastAsia="黑体" w:cs="黑体"/>
              <w:sz w:val="28"/>
              <w:szCs w:val="28"/>
              <w:highlight w:val="none"/>
            </w:rPr>
            <w:tab/>
          </w: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PAGEREF _Toc9689 \h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rPr>
            <w:t>1</w:t>
          </w:r>
          <w:r>
            <w:rPr>
              <w:rFonts w:hint="eastAsia" w:ascii="黑体" w:hAnsi="黑体" w:eastAsia="黑体" w:cs="黑体"/>
              <w:sz w:val="28"/>
              <w:szCs w:val="28"/>
              <w:highlight w:val="none"/>
            </w:rPr>
            <w:fldChar w:fldCharType="end"/>
          </w:r>
          <w:r>
            <w:rPr>
              <w:rFonts w:hint="eastAsia" w:ascii="黑体" w:hAnsi="黑体" w:eastAsia="黑体" w:cs="黑体"/>
              <w:sz w:val="28"/>
              <w:szCs w:val="28"/>
              <w:highlight w:val="none"/>
            </w:rPr>
            <w:fldChar w:fldCharType="end"/>
          </w:r>
        </w:p>
        <w:p w14:paraId="637D718D">
          <w:pPr>
            <w:pStyle w:val="13"/>
            <w:keepNext w:val="0"/>
            <w:keepLines w:val="0"/>
            <w:pageBreakBefore w:val="0"/>
            <w:widowControl w:val="0"/>
            <w:tabs>
              <w:tab w:val="right" w:leader="dot" w:pos="9184"/>
              <w:tab w:val="clear" w:pos="9174"/>
            </w:tabs>
            <w:kinsoku/>
            <w:wordWrap/>
            <w:overflowPunct/>
            <w:topLinePunct w:val="0"/>
            <w:autoSpaceDE/>
            <w:autoSpaceDN/>
            <w:bidi w:val="0"/>
            <w:spacing w:line="480" w:lineRule="exact"/>
            <w:textAlignment w:val="auto"/>
            <w:rPr>
              <w:rFonts w:hint="eastAsia" w:ascii="黑体" w:hAnsi="黑体" w:eastAsia="黑体" w:cs="黑体"/>
              <w:sz w:val="28"/>
              <w:szCs w:val="28"/>
              <w:highlight w:val="none"/>
            </w:rPr>
          </w:pP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HYPERLINK \l _Toc16937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14:ligatures w14:val="none"/>
            </w:rPr>
            <w:t>1.2评价依据</w:t>
          </w:r>
          <w:r>
            <w:rPr>
              <w:rFonts w:hint="eastAsia" w:ascii="黑体" w:hAnsi="黑体" w:eastAsia="黑体" w:cs="黑体"/>
              <w:sz w:val="28"/>
              <w:szCs w:val="28"/>
              <w:highlight w:val="none"/>
            </w:rPr>
            <w:tab/>
          </w: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PAGEREF _Toc16937 \h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rPr>
            <w:t>1</w:t>
          </w:r>
          <w:r>
            <w:rPr>
              <w:rFonts w:hint="eastAsia" w:ascii="黑体" w:hAnsi="黑体" w:eastAsia="黑体" w:cs="黑体"/>
              <w:sz w:val="28"/>
              <w:szCs w:val="28"/>
              <w:highlight w:val="none"/>
            </w:rPr>
            <w:fldChar w:fldCharType="end"/>
          </w:r>
          <w:r>
            <w:rPr>
              <w:rFonts w:hint="eastAsia" w:ascii="黑体" w:hAnsi="黑体" w:eastAsia="黑体" w:cs="黑体"/>
              <w:sz w:val="28"/>
              <w:szCs w:val="28"/>
              <w:highlight w:val="none"/>
            </w:rPr>
            <w:fldChar w:fldCharType="end"/>
          </w:r>
        </w:p>
        <w:p w14:paraId="2072BDF0">
          <w:pPr>
            <w:pStyle w:val="13"/>
            <w:keepNext w:val="0"/>
            <w:keepLines w:val="0"/>
            <w:pageBreakBefore w:val="0"/>
            <w:widowControl w:val="0"/>
            <w:tabs>
              <w:tab w:val="right" w:leader="dot" w:pos="9184"/>
              <w:tab w:val="clear" w:pos="9174"/>
            </w:tabs>
            <w:kinsoku/>
            <w:wordWrap/>
            <w:overflowPunct/>
            <w:topLinePunct w:val="0"/>
            <w:autoSpaceDE/>
            <w:autoSpaceDN/>
            <w:bidi w:val="0"/>
            <w:spacing w:line="480" w:lineRule="exact"/>
            <w:textAlignment w:val="auto"/>
            <w:rPr>
              <w:rFonts w:hint="eastAsia" w:ascii="黑体" w:hAnsi="黑体" w:eastAsia="黑体" w:cs="黑体"/>
              <w:sz w:val="28"/>
              <w:szCs w:val="28"/>
              <w:highlight w:val="none"/>
            </w:rPr>
          </w:pP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HYPERLINK \l _Toc32755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14:ligatures w14:val="none"/>
            </w:rPr>
            <w:t>1.3评价范围</w:t>
          </w:r>
          <w:r>
            <w:rPr>
              <w:rFonts w:hint="eastAsia" w:ascii="黑体" w:hAnsi="黑体" w:eastAsia="黑体" w:cs="黑体"/>
              <w:sz w:val="28"/>
              <w:szCs w:val="28"/>
              <w:highlight w:val="none"/>
            </w:rPr>
            <w:tab/>
          </w: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PAGEREF _Toc32755 \h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rPr>
            <w:t>9</w:t>
          </w:r>
          <w:r>
            <w:rPr>
              <w:rFonts w:hint="eastAsia" w:ascii="黑体" w:hAnsi="黑体" w:eastAsia="黑体" w:cs="黑体"/>
              <w:sz w:val="28"/>
              <w:szCs w:val="28"/>
              <w:highlight w:val="none"/>
            </w:rPr>
            <w:fldChar w:fldCharType="end"/>
          </w:r>
          <w:r>
            <w:rPr>
              <w:rFonts w:hint="eastAsia" w:ascii="黑体" w:hAnsi="黑体" w:eastAsia="黑体" w:cs="黑体"/>
              <w:sz w:val="28"/>
              <w:szCs w:val="28"/>
              <w:highlight w:val="none"/>
            </w:rPr>
            <w:fldChar w:fldCharType="end"/>
          </w:r>
        </w:p>
        <w:p w14:paraId="095A2844">
          <w:pPr>
            <w:pStyle w:val="13"/>
            <w:keepNext w:val="0"/>
            <w:keepLines w:val="0"/>
            <w:pageBreakBefore w:val="0"/>
            <w:widowControl w:val="0"/>
            <w:tabs>
              <w:tab w:val="right" w:leader="dot" w:pos="9184"/>
              <w:tab w:val="clear" w:pos="9174"/>
            </w:tabs>
            <w:kinsoku/>
            <w:wordWrap/>
            <w:overflowPunct/>
            <w:topLinePunct w:val="0"/>
            <w:autoSpaceDE/>
            <w:autoSpaceDN/>
            <w:bidi w:val="0"/>
            <w:spacing w:line="480" w:lineRule="exact"/>
            <w:textAlignment w:val="auto"/>
            <w:rPr>
              <w:rFonts w:hint="eastAsia" w:ascii="黑体" w:hAnsi="黑体" w:eastAsia="黑体" w:cs="黑体"/>
              <w:sz w:val="28"/>
              <w:szCs w:val="28"/>
              <w:highlight w:val="none"/>
            </w:rPr>
          </w:pP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HYPERLINK \l _Toc28309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14:ligatures w14:val="none"/>
            </w:rPr>
            <w:t>1.4评价程序</w:t>
          </w:r>
          <w:r>
            <w:rPr>
              <w:rFonts w:hint="eastAsia" w:ascii="黑体" w:hAnsi="黑体" w:eastAsia="黑体" w:cs="黑体"/>
              <w:sz w:val="28"/>
              <w:szCs w:val="28"/>
              <w:highlight w:val="none"/>
            </w:rPr>
            <w:tab/>
          </w: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PAGEREF _Toc28309 \h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rPr>
            <w:t>9</w:t>
          </w:r>
          <w:r>
            <w:rPr>
              <w:rFonts w:hint="eastAsia" w:ascii="黑体" w:hAnsi="黑体" w:eastAsia="黑体" w:cs="黑体"/>
              <w:sz w:val="28"/>
              <w:szCs w:val="28"/>
              <w:highlight w:val="none"/>
            </w:rPr>
            <w:fldChar w:fldCharType="end"/>
          </w:r>
          <w:r>
            <w:rPr>
              <w:rFonts w:hint="eastAsia" w:ascii="黑体" w:hAnsi="黑体" w:eastAsia="黑体" w:cs="黑体"/>
              <w:sz w:val="28"/>
              <w:szCs w:val="28"/>
              <w:highlight w:val="none"/>
            </w:rPr>
            <w:fldChar w:fldCharType="end"/>
          </w:r>
        </w:p>
        <w:p w14:paraId="4C51DAE5">
          <w:pPr>
            <w:pStyle w:val="12"/>
            <w:keepNext w:val="0"/>
            <w:keepLines w:val="0"/>
            <w:pageBreakBefore w:val="0"/>
            <w:widowControl w:val="0"/>
            <w:tabs>
              <w:tab w:val="right" w:leader="dot" w:pos="9184"/>
            </w:tabs>
            <w:kinsoku/>
            <w:wordWrap/>
            <w:overflowPunct/>
            <w:topLinePunct w:val="0"/>
            <w:autoSpaceDE/>
            <w:autoSpaceDN/>
            <w:bidi w:val="0"/>
            <w:spacing w:line="480" w:lineRule="exact"/>
            <w:textAlignment w:val="auto"/>
            <w:rPr>
              <w:rFonts w:hint="eastAsia" w:ascii="黑体" w:hAnsi="黑体" w:eastAsia="黑体" w:cs="黑体"/>
              <w:sz w:val="28"/>
              <w:szCs w:val="28"/>
              <w:highlight w:val="none"/>
            </w:rPr>
          </w:pP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HYPERLINK \l _Toc18972 </w:instrText>
          </w:r>
          <w:r>
            <w:rPr>
              <w:rFonts w:hint="eastAsia" w:ascii="黑体" w:hAnsi="黑体" w:eastAsia="黑体" w:cs="黑体"/>
              <w:sz w:val="28"/>
              <w:szCs w:val="28"/>
              <w:highlight w:val="none"/>
            </w:rPr>
            <w:fldChar w:fldCharType="separate"/>
          </w:r>
          <w:r>
            <w:rPr>
              <w:rFonts w:hint="eastAsia" w:ascii="黑体" w:hAnsi="黑体" w:eastAsia="黑体" w:cs="黑体"/>
              <w:kern w:val="44"/>
              <w:sz w:val="28"/>
              <w:szCs w:val="28"/>
              <w:highlight w:val="none"/>
              <w14:ligatures w14:val="none"/>
            </w:rPr>
            <w:t>2企业概况</w:t>
          </w:r>
          <w:r>
            <w:rPr>
              <w:rFonts w:hint="eastAsia" w:ascii="黑体" w:hAnsi="黑体" w:eastAsia="黑体" w:cs="黑体"/>
              <w:sz w:val="28"/>
              <w:szCs w:val="28"/>
              <w:highlight w:val="none"/>
            </w:rPr>
            <w:tab/>
          </w: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PAGEREF _Toc18972 \h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rPr>
            <w:t>11</w:t>
          </w:r>
          <w:r>
            <w:rPr>
              <w:rFonts w:hint="eastAsia" w:ascii="黑体" w:hAnsi="黑体" w:eastAsia="黑体" w:cs="黑体"/>
              <w:sz w:val="28"/>
              <w:szCs w:val="28"/>
              <w:highlight w:val="none"/>
            </w:rPr>
            <w:fldChar w:fldCharType="end"/>
          </w:r>
          <w:r>
            <w:rPr>
              <w:rFonts w:hint="eastAsia" w:ascii="黑体" w:hAnsi="黑体" w:eastAsia="黑体" w:cs="黑体"/>
              <w:sz w:val="28"/>
              <w:szCs w:val="28"/>
              <w:highlight w:val="none"/>
            </w:rPr>
            <w:fldChar w:fldCharType="end"/>
          </w:r>
        </w:p>
        <w:p w14:paraId="5510D359">
          <w:pPr>
            <w:pStyle w:val="13"/>
            <w:keepNext w:val="0"/>
            <w:keepLines w:val="0"/>
            <w:pageBreakBefore w:val="0"/>
            <w:widowControl w:val="0"/>
            <w:tabs>
              <w:tab w:val="right" w:leader="dot" w:pos="9184"/>
              <w:tab w:val="clear" w:pos="9174"/>
            </w:tabs>
            <w:kinsoku/>
            <w:wordWrap/>
            <w:overflowPunct/>
            <w:topLinePunct w:val="0"/>
            <w:autoSpaceDE/>
            <w:autoSpaceDN/>
            <w:bidi w:val="0"/>
            <w:spacing w:line="480" w:lineRule="exact"/>
            <w:textAlignment w:val="auto"/>
            <w:rPr>
              <w:rFonts w:hint="eastAsia" w:ascii="黑体" w:hAnsi="黑体" w:eastAsia="黑体" w:cs="黑体"/>
              <w:sz w:val="28"/>
              <w:szCs w:val="28"/>
              <w:highlight w:val="none"/>
            </w:rPr>
          </w:pP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HYPERLINK \l _Toc8944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14:ligatures w14:val="none"/>
            </w:rPr>
            <w:t>2.1企业基本情况</w:t>
          </w:r>
          <w:r>
            <w:rPr>
              <w:rFonts w:hint="eastAsia" w:ascii="黑体" w:hAnsi="黑体" w:eastAsia="黑体" w:cs="黑体"/>
              <w:sz w:val="28"/>
              <w:szCs w:val="28"/>
              <w:highlight w:val="none"/>
            </w:rPr>
            <w:tab/>
          </w: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PAGEREF _Toc8944 \h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rPr>
            <w:t>11</w:t>
          </w:r>
          <w:r>
            <w:rPr>
              <w:rFonts w:hint="eastAsia" w:ascii="黑体" w:hAnsi="黑体" w:eastAsia="黑体" w:cs="黑体"/>
              <w:sz w:val="28"/>
              <w:szCs w:val="28"/>
              <w:highlight w:val="none"/>
            </w:rPr>
            <w:fldChar w:fldCharType="end"/>
          </w:r>
          <w:r>
            <w:rPr>
              <w:rFonts w:hint="eastAsia" w:ascii="黑体" w:hAnsi="黑体" w:eastAsia="黑体" w:cs="黑体"/>
              <w:sz w:val="28"/>
              <w:szCs w:val="28"/>
              <w:highlight w:val="none"/>
            </w:rPr>
            <w:fldChar w:fldCharType="end"/>
          </w:r>
        </w:p>
        <w:p w14:paraId="49746F6E">
          <w:pPr>
            <w:pStyle w:val="13"/>
            <w:keepNext w:val="0"/>
            <w:keepLines w:val="0"/>
            <w:pageBreakBefore w:val="0"/>
            <w:widowControl w:val="0"/>
            <w:tabs>
              <w:tab w:val="right" w:leader="dot" w:pos="9184"/>
              <w:tab w:val="clear" w:pos="9174"/>
            </w:tabs>
            <w:kinsoku/>
            <w:wordWrap/>
            <w:overflowPunct/>
            <w:topLinePunct w:val="0"/>
            <w:autoSpaceDE/>
            <w:autoSpaceDN/>
            <w:bidi w:val="0"/>
            <w:spacing w:line="480" w:lineRule="exact"/>
            <w:textAlignment w:val="auto"/>
            <w:rPr>
              <w:rFonts w:hint="eastAsia" w:ascii="黑体" w:hAnsi="黑体" w:eastAsia="黑体" w:cs="黑体"/>
              <w:sz w:val="28"/>
              <w:szCs w:val="28"/>
              <w:highlight w:val="none"/>
            </w:rPr>
          </w:pP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HYPERLINK \l _Toc28967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14:ligatures w14:val="none"/>
            </w:rPr>
            <w:t>2.2工艺装置、设备、设施等基本情况</w:t>
          </w:r>
          <w:r>
            <w:rPr>
              <w:rFonts w:hint="eastAsia" w:ascii="黑体" w:hAnsi="黑体" w:eastAsia="黑体" w:cs="黑体"/>
              <w:sz w:val="28"/>
              <w:szCs w:val="28"/>
              <w:highlight w:val="none"/>
            </w:rPr>
            <w:tab/>
          </w: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PAGEREF _Toc28967 \h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rPr>
            <w:t>16</w:t>
          </w:r>
          <w:r>
            <w:rPr>
              <w:rFonts w:hint="eastAsia" w:ascii="黑体" w:hAnsi="黑体" w:eastAsia="黑体" w:cs="黑体"/>
              <w:sz w:val="28"/>
              <w:szCs w:val="28"/>
              <w:highlight w:val="none"/>
            </w:rPr>
            <w:fldChar w:fldCharType="end"/>
          </w:r>
          <w:r>
            <w:rPr>
              <w:rFonts w:hint="eastAsia" w:ascii="黑体" w:hAnsi="黑体" w:eastAsia="黑体" w:cs="黑体"/>
              <w:sz w:val="28"/>
              <w:szCs w:val="28"/>
              <w:highlight w:val="none"/>
            </w:rPr>
            <w:fldChar w:fldCharType="end"/>
          </w:r>
        </w:p>
        <w:p w14:paraId="33F28AA5">
          <w:pPr>
            <w:pStyle w:val="12"/>
            <w:keepNext w:val="0"/>
            <w:keepLines w:val="0"/>
            <w:pageBreakBefore w:val="0"/>
            <w:widowControl w:val="0"/>
            <w:tabs>
              <w:tab w:val="right" w:leader="dot" w:pos="9184"/>
            </w:tabs>
            <w:kinsoku/>
            <w:wordWrap/>
            <w:overflowPunct/>
            <w:topLinePunct w:val="0"/>
            <w:autoSpaceDE/>
            <w:autoSpaceDN/>
            <w:bidi w:val="0"/>
            <w:spacing w:line="480" w:lineRule="exact"/>
            <w:textAlignment w:val="auto"/>
            <w:rPr>
              <w:rFonts w:hint="eastAsia" w:ascii="黑体" w:hAnsi="黑体" w:eastAsia="黑体" w:cs="黑体"/>
              <w:sz w:val="28"/>
              <w:szCs w:val="28"/>
              <w:highlight w:val="none"/>
            </w:rPr>
          </w:pP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HYPERLINK \l _Toc27547 </w:instrText>
          </w:r>
          <w:r>
            <w:rPr>
              <w:rFonts w:hint="eastAsia" w:ascii="黑体" w:hAnsi="黑体" w:eastAsia="黑体" w:cs="黑体"/>
              <w:sz w:val="28"/>
              <w:szCs w:val="28"/>
              <w:highlight w:val="none"/>
            </w:rPr>
            <w:fldChar w:fldCharType="separate"/>
          </w:r>
          <w:r>
            <w:rPr>
              <w:rFonts w:hint="eastAsia" w:ascii="黑体" w:hAnsi="黑体" w:eastAsia="黑体" w:cs="黑体"/>
              <w:kern w:val="44"/>
              <w:sz w:val="28"/>
              <w:szCs w:val="28"/>
              <w:highlight w:val="none"/>
              <w14:ligatures w14:val="none"/>
            </w:rPr>
            <w:t>3危险、有害因素辨识分析</w:t>
          </w:r>
          <w:r>
            <w:rPr>
              <w:rFonts w:hint="eastAsia" w:ascii="黑体" w:hAnsi="黑体" w:eastAsia="黑体" w:cs="黑体"/>
              <w:sz w:val="28"/>
              <w:szCs w:val="28"/>
              <w:highlight w:val="none"/>
            </w:rPr>
            <w:tab/>
          </w: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PAGEREF _Toc27547 \h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rPr>
            <w:t>17</w:t>
          </w:r>
          <w:r>
            <w:rPr>
              <w:rFonts w:hint="eastAsia" w:ascii="黑体" w:hAnsi="黑体" w:eastAsia="黑体" w:cs="黑体"/>
              <w:sz w:val="28"/>
              <w:szCs w:val="28"/>
              <w:highlight w:val="none"/>
            </w:rPr>
            <w:fldChar w:fldCharType="end"/>
          </w:r>
          <w:r>
            <w:rPr>
              <w:rFonts w:hint="eastAsia" w:ascii="黑体" w:hAnsi="黑体" w:eastAsia="黑体" w:cs="黑体"/>
              <w:sz w:val="28"/>
              <w:szCs w:val="28"/>
              <w:highlight w:val="none"/>
            </w:rPr>
            <w:fldChar w:fldCharType="end"/>
          </w:r>
        </w:p>
        <w:p w14:paraId="25514766">
          <w:pPr>
            <w:pStyle w:val="13"/>
            <w:keepNext w:val="0"/>
            <w:keepLines w:val="0"/>
            <w:pageBreakBefore w:val="0"/>
            <w:widowControl w:val="0"/>
            <w:tabs>
              <w:tab w:val="right" w:leader="dot" w:pos="9184"/>
              <w:tab w:val="clear" w:pos="9174"/>
            </w:tabs>
            <w:kinsoku/>
            <w:wordWrap/>
            <w:overflowPunct/>
            <w:topLinePunct w:val="0"/>
            <w:autoSpaceDE/>
            <w:autoSpaceDN/>
            <w:bidi w:val="0"/>
            <w:spacing w:line="480" w:lineRule="exact"/>
            <w:textAlignment w:val="auto"/>
            <w:rPr>
              <w:rFonts w:hint="eastAsia" w:ascii="黑体" w:hAnsi="黑体" w:eastAsia="黑体" w:cs="黑体"/>
              <w:sz w:val="28"/>
              <w:szCs w:val="28"/>
              <w:highlight w:val="none"/>
            </w:rPr>
          </w:pP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HYPERLINK \l _Toc16226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14:ligatures w14:val="none"/>
            </w:rPr>
            <w:t>3.1物质的危险、有害因素分析</w:t>
          </w:r>
          <w:r>
            <w:rPr>
              <w:rFonts w:hint="eastAsia" w:ascii="黑体" w:hAnsi="黑体" w:eastAsia="黑体" w:cs="黑体"/>
              <w:sz w:val="28"/>
              <w:szCs w:val="28"/>
              <w:highlight w:val="none"/>
            </w:rPr>
            <w:tab/>
          </w: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PAGEREF _Toc16226 \h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rPr>
            <w:t>18</w:t>
          </w:r>
          <w:r>
            <w:rPr>
              <w:rFonts w:hint="eastAsia" w:ascii="黑体" w:hAnsi="黑体" w:eastAsia="黑体" w:cs="黑体"/>
              <w:sz w:val="28"/>
              <w:szCs w:val="28"/>
              <w:highlight w:val="none"/>
            </w:rPr>
            <w:fldChar w:fldCharType="end"/>
          </w:r>
          <w:r>
            <w:rPr>
              <w:rFonts w:hint="eastAsia" w:ascii="黑体" w:hAnsi="黑体" w:eastAsia="黑体" w:cs="黑体"/>
              <w:sz w:val="28"/>
              <w:szCs w:val="28"/>
              <w:highlight w:val="none"/>
            </w:rPr>
            <w:fldChar w:fldCharType="end"/>
          </w:r>
        </w:p>
        <w:p w14:paraId="183D08C2">
          <w:pPr>
            <w:pStyle w:val="13"/>
            <w:keepNext w:val="0"/>
            <w:keepLines w:val="0"/>
            <w:pageBreakBefore w:val="0"/>
            <w:widowControl w:val="0"/>
            <w:tabs>
              <w:tab w:val="right" w:leader="dot" w:pos="9184"/>
              <w:tab w:val="clear" w:pos="9174"/>
            </w:tabs>
            <w:kinsoku/>
            <w:wordWrap/>
            <w:overflowPunct/>
            <w:topLinePunct w:val="0"/>
            <w:autoSpaceDE/>
            <w:autoSpaceDN/>
            <w:bidi w:val="0"/>
            <w:spacing w:line="480" w:lineRule="exact"/>
            <w:textAlignment w:val="auto"/>
            <w:rPr>
              <w:rFonts w:hint="eastAsia" w:ascii="黑体" w:hAnsi="黑体" w:eastAsia="黑体" w:cs="黑体"/>
              <w:sz w:val="28"/>
              <w:szCs w:val="28"/>
              <w:highlight w:val="none"/>
            </w:rPr>
          </w:pP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HYPERLINK \l _Toc25429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14:ligatures w14:val="none"/>
            </w:rPr>
            <w:t>3.2储存经营过程中的危险、有害因素分析</w:t>
          </w:r>
          <w:r>
            <w:rPr>
              <w:rFonts w:hint="eastAsia" w:ascii="黑体" w:hAnsi="黑体" w:eastAsia="黑体" w:cs="黑体"/>
              <w:sz w:val="28"/>
              <w:szCs w:val="28"/>
              <w:highlight w:val="none"/>
            </w:rPr>
            <w:tab/>
          </w: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PAGEREF _Toc25429 \h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rPr>
            <w:t>20</w:t>
          </w:r>
          <w:r>
            <w:rPr>
              <w:rFonts w:hint="eastAsia" w:ascii="黑体" w:hAnsi="黑体" w:eastAsia="黑体" w:cs="黑体"/>
              <w:sz w:val="28"/>
              <w:szCs w:val="28"/>
              <w:highlight w:val="none"/>
            </w:rPr>
            <w:fldChar w:fldCharType="end"/>
          </w:r>
          <w:r>
            <w:rPr>
              <w:rFonts w:hint="eastAsia" w:ascii="黑体" w:hAnsi="黑体" w:eastAsia="黑体" w:cs="黑体"/>
              <w:sz w:val="28"/>
              <w:szCs w:val="28"/>
              <w:highlight w:val="none"/>
            </w:rPr>
            <w:fldChar w:fldCharType="end"/>
          </w:r>
        </w:p>
        <w:p w14:paraId="51917060">
          <w:pPr>
            <w:pStyle w:val="13"/>
            <w:keepNext w:val="0"/>
            <w:keepLines w:val="0"/>
            <w:pageBreakBefore w:val="0"/>
            <w:widowControl w:val="0"/>
            <w:tabs>
              <w:tab w:val="right" w:leader="dot" w:pos="9184"/>
              <w:tab w:val="clear" w:pos="9174"/>
            </w:tabs>
            <w:kinsoku/>
            <w:wordWrap/>
            <w:overflowPunct/>
            <w:topLinePunct w:val="0"/>
            <w:autoSpaceDE/>
            <w:autoSpaceDN/>
            <w:bidi w:val="0"/>
            <w:spacing w:line="480" w:lineRule="exact"/>
            <w:textAlignment w:val="auto"/>
            <w:rPr>
              <w:rFonts w:hint="eastAsia" w:ascii="黑体" w:hAnsi="黑体" w:eastAsia="黑体" w:cs="黑体"/>
              <w:sz w:val="28"/>
              <w:szCs w:val="28"/>
              <w:highlight w:val="none"/>
            </w:rPr>
          </w:pP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HYPERLINK \l _Toc8083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14:ligatures w14:val="none"/>
            </w:rPr>
            <w:t>3.3主要危险有害部位辨识结果</w:t>
          </w:r>
          <w:r>
            <w:rPr>
              <w:rFonts w:hint="eastAsia" w:ascii="黑体" w:hAnsi="黑体" w:eastAsia="黑体" w:cs="黑体"/>
              <w:sz w:val="28"/>
              <w:szCs w:val="28"/>
              <w:highlight w:val="none"/>
            </w:rPr>
            <w:tab/>
          </w: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PAGEREF _Toc8083 \h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rPr>
            <w:t>20</w:t>
          </w:r>
          <w:r>
            <w:rPr>
              <w:rFonts w:hint="eastAsia" w:ascii="黑体" w:hAnsi="黑体" w:eastAsia="黑体" w:cs="黑体"/>
              <w:sz w:val="28"/>
              <w:szCs w:val="28"/>
              <w:highlight w:val="none"/>
            </w:rPr>
            <w:fldChar w:fldCharType="end"/>
          </w:r>
          <w:r>
            <w:rPr>
              <w:rFonts w:hint="eastAsia" w:ascii="黑体" w:hAnsi="黑体" w:eastAsia="黑体" w:cs="黑体"/>
              <w:sz w:val="28"/>
              <w:szCs w:val="28"/>
              <w:highlight w:val="none"/>
            </w:rPr>
            <w:fldChar w:fldCharType="end"/>
          </w:r>
        </w:p>
        <w:p w14:paraId="421BE503">
          <w:pPr>
            <w:pStyle w:val="13"/>
            <w:keepNext w:val="0"/>
            <w:keepLines w:val="0"/>
            <w:pageBreakBefore w:val="0"/>
            <w:widowControl w:val="0"/>
            <w:tabs>
              <w:tab w:val="right" w:leader="dot" w:pos="9184"/>
              <w:tab w:val="clear" w:pos="9174"/>
            </w:tabs>
            <w:kinsoku/>
            <w:wordWrap/>
            <w:overflowPunct/>
            <w:topLinePunct w:val="0"/>
            <w:autoSpaceDE/>
            <w:autoSpaceDN/>
            <w:bidi w:val="0"/>
            <w:spacing w:line="480" w:lineRule="exact"/>
            <w:textAlignment w:val="auto"/>
            <w:rPr>
              <w:rFonts w:hint="eastAsia" w:ascii="黑体" w:hAnsi="黑体" w:eastAsia="黑体" w:cs="黑体"/>
              <w:sz w:val="28"/>
              <w:szCs w:val="28"/>
              <w:highlight w:val="none"/>
            </w:rPr>
          </w:pP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HYPERLINK \l _Toc8391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14:ligatures w14:val="none"/>
            </w:rPr>
            <w:t>3.4周边环境及自然条件分析</w:t>
          </w:r>
          <w:r>
            <w:rPr>
              <w:rFonts w:hint="eastAsia" w:ascii="黑体" w:hAnsi="黑体" w:eastAsia="黑体" w:cs="黑体"/>
              <w:sz w:val="28"/>
              <w:szCs w:val="28"/>
              <w:highlight w:val="none"/>
            </w:rPr>
            <w:tab/>
          </w: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PAGEREF _Toc8391 \h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rPr>
            <w:t>20</w:t>
          </w:r>
          <w:r>
            <w:rPr>
              <w:rFonts w:hint="eastAsia" w:ascii="黑体" w:hAnsi="黑体" w:eastAsia="黑体" w:cs="黑体"/>
              <w:sz w:val="28"/>
              <w:szCs w:val="28"/>
              <w:highlight w:val="none"/>
            </w:rPr>
            <w:fldChar w:fldCharType="end"/>
          </w:r>
          <w:r>
            <w:rPr>
              <w:rFonts w:hint="eastAsia" w:ascii="黑体" w:hAnsi="黑体" w:eastAsia="黑体" w:cs="黑体"/>
              <w:sz w:val="28"/>
              <w:szCs w:val="28"/>
              <w:highlight w:val="none"/>
            </w:rPr>
            <w:fldChar w:fldCharType="end"/>
          </w:r>
        </w:p>
        <w:p w14:paraId="62481A3E">
          <w:pPr>
            <w:pStyle w:val="13"/>
            <w:keepNext w:val="0"/>
            <w:keepLines w:val="0"/>
            <w:pageBreakBefore w:val="0"/>
            <w:widowControl w:val="0"/>
            <w:tabs>
              <w:tab w:val="right" w:leader="dot" w:pos="9184"/>
              <w:tab w:val="clear" w:pos="9174"/>
            </w:tabs>
            <w:kinsoku/>
            <w:wordWrap/>
            <w:overflowPunct/>
            <w:topLinePunct w:val="0"/>
            <w:autoSpaceDE/>
            <w:autoSpaceDN/>
            <w:bidi w:val="0"/>
            <w:spacing w:line="480" w:lineRule="exact"/>
            <w:textAlignment w:val="auto"/>
            <w:rPr>
              <w:rFonts w:hint="eastAsia" w:ascii="黑体" w:hAnsi="黑体" w:eastAsia="黑体" w:cs="黑体"/>
              <w:sz w:val="28"/>
              <w:szCs w:val="28"/>
              <w:highlight w:val="none"/>
            </w:rPr>
          </w:pP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HYPERLINK \l _Toc12494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14:ligatures w14:val="none"/>
            </w:rPr>
            <w:t>3.5“两重点、一重大”辨识</w:t>
          </w:r>
          <w:r>
            <w:rPr>
              <w:rFonts w:hint="eastAsia" w:ascii="黑体" w:hAnsi="黑体" w:eastAsia="黑体" w:cs="黑体"/>
              <w:sz w:val="28"/>
              <w:szCs w:val="28"/>
              <w:highlight w:val="none"/>
            </w:rPr>
            <w:tab/>
          </w: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PAGEREF _Toc12494 \h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rPr>
            <w:t>20</w:t>
          </w:r>
          <w:r>
            <w:rPr>
              <w:rFonts w:hint="eastAsia" w:ascii="黑体" w:hAnsi="黑体" w:eastAsia="黑体" w:cs="黑体"/>
              <w:sz w:val="28"/>
              <w:szCs w:val="28"/>
              <w:highlight w:val="none"/>
            </w:rPr>
            <w:fldChar w:fldCharType="end"/>
          </w:r>
          <w:r>
            <w:rPr>
              <w:rFonts w:hint="eastAsia" w:ascii="黑体" w:hAnsi="黑体" w:eastAsia="黑体" w:cs="黑体"/>
              <w:sz w:val="28"/>
              <w:szCs w:val="28"/>
              <w:highlight w:val="none"/>
            </w:rPr>
            <w:fldChar w:fldCharType="end"/>
          </w:r>
        </w:p>
        <w:p w14:paraId="1DB2FC02">
          <w:pPr>
            <w:pStyle w:val="13"/>
            <w:keepNext w:val="0"/>
            <w:keepLines w:val="0"/>
            <w:pageBreakBefore w:val="0"/>
            <w:widowControl w:val="0"/>
            <w:tabs>
              <w:tab w:val="right" w:leader="dot" w:pos="9184"/>
              <w:tab w:val="clear" w:pos="9174"/>
            </w:tabs>
            <w:kinsoku/>
            <w:wordWrap/>
            <w:overflowPunct/>
            <w:topLinePunct w:val="0"/>
            <w:autoSpaceDE/>
            <w:autoSpaceDN/>
            <w:bidi w:val="0"/>
            <w:spacing w:line="480" w:lineRule="exact"/>
            <w:textAlignment w:val="auto"/>
            <w:rPr>
              <w:rFonts w:hint="eastAsia" w:ascii="黑体" w:hAnsi="黑体" w:eastAsia="黑体" w:cs="黑体"/>
              <w:sz w:val="28"/>
              <w:szCs w:val="28"/>
              <w:highlight w:val="none"/>
            </w:rPr>
          </w:pP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HYPERLINK \l _Toc25981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14:ligatures w14:val="none"/>
            </w:rPr>
            <w:t>3.6事故案例</w:t>
          </w:r>
          <w:r>
            <w:rPr>
              <w:rFonts w:hint="eastAsia" w:ascii="黑体" w:hAnsi="黑体" w:eastAsia="黑体" w:cs="黑体"/>
              <w:sz w:val="28"/>
              <w:szCs w:val="28"/>
              <w:highlight w:val="none"/>
            </w:rPr>
            <w:tab/>
          </w: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PAGEREF _Toc25981 \h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rPr>
            <w:t>22</w:t>
          </w:r>
          <w:r>
            <w:rPr>
              <w:rFonts w:hint="eastAsia" w:ascii="黑体" w:hAnsi="黑体" w:eastAsia="黑体" w:cs="黑体"/>
              <w:sz w:val="28"/>
              <w:szCs w:val="28"/>
              <w:highlight w:val="none"/>
            </w:rPr>
            <w:fldChar w:fldCharType="end"/>
          </w:r>
          <w:r>
            <w:rPr>
              <w:rFonts w:hint="eastAsia" w:ascii="黑体" w:hAnsi="黑体" w:eastAsia="黑体" w:cs="黑体"/>
              <w:sz w:val="28"/>
              <w:szCs w:val="28"/>
              <w:highlight w:val="none"/>
            </w:rPr>
            <w:fldChar w:fldCharType="end"/>
          </w:r>
        </w:p>
        <w:p w14:paraId="110F4FFC">
          <w:pPr>
            <w:pStyle w:val="12"/>
            <w:keepNext w:val="0"/>
            <w:keepLines w:val="0"/>
            <w:pageBreakBefore w:val="0"/>
            <w:widowControl w:val="0"/>
            <w:tabs>
              <w:tab w:val="right" w:leader="dot" w:pos="9184"/>
            </w:tabs>
            <w:kinsoku/>
            <w:wordWrap/>
            <w:overflowPunct/>
            <w:topLinePunct w:val="0"/>
            <w:autoSpaceDE/>
            <w:autoSpaceDN/>
            <w:bidi w:val="0"/>
            <w:spacing w:line="480" w:lineRule="exact"/>
            <w:textAlignment w:val="auto"/>
            <w:rPr>
              <w:rFonts w:hint="eastAsia" w:ascii="黑体" w:hAnsi="黑体" w:eastAsia="黑体" w:cs="黑体"/>
              <w:sz w:val="28"/>
              <w:szCs w:val="28"/>
              <w:highlight w:val="none"/>
            </w:rPr>
          </w:pP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HYPERLINK \l _Toc31255 </w:instrText>
          </w:r>
          <w:r>
            <w:rPr>
              <w:rFonts w:hint="eastAsia" w:ascii="黑体" w:hAnsi="黑体" w:eastAsia="黑体" w:cs="黑体"/>
              <w:sz w:val="28"/>
              <w:szCs w:val="28"/>
              <w:highlight w:val="none"/>
            </w:rPr>
            <w:fldChar w:fldCharType="separate"/>
          </w:r>
          <w:r>
            <w:rPr>
              <w:rFonts w:hint="eastAsia" w:ascii="黑体" w:hAnsi="黑体" w:eastAsia="黑体" w:cs="黑体"/>
              <w:kern w:val="44"/>
              <w:sz w:val="28"/>
              <w:szCs w:val="28"/>
              <w:highlight w:val="none"/>
              <w14:ligatures w14:val="none"/>
            </w:rPr>
            <w:t>4评价单元划分及评价方法选择</w:t>
          </w:r>
          <w:r>
            <w:rPr>
              <w:rFonts w:hint="eastAsia" w:ascii="黑体" w:hAnsi="黑体" w:eastAsia="黑体" w:cs="黑体"/>
              <w:sz w:val="28"/>
              <w:szCs w:val="28"/>
              <w:highlight w:val="none"/>
            </w:rPr>
            <w:tab/>
          </w: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PAGEREF _Toc31255 \h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rPr>
            <w:t>23</w:t>
          </w:r>
          <w:r>
            <w:rPr>
              <w:rFonts w:hint="eastAsia" w:ascii="黑体" w:hAnsi="黑体" w:eastAsia="黑体" w:cs="黑体"/>
              <w:sz w:val="28"/>
              <w:szCs w:val="28"/>
              <w:highlight w:val="none"/>
            </w:rPr>
            <w:fldChar w:fldCharType="end"/>
          </w:r>
          <w:r>
            <w:rPr>
              <w:rFonts w:hint="eastAsia" w:ascii="黑体" w:hAnsi="黑体" w:eastAsia="黑体" w:cs="黑体"/>
              <w:sz w:val="28"/>
              <w:szCs w:val="28"/>
              <w:highlight w:val="none"/>
            </w:rPr>
            <w:fldChar w:fldCharType="end"/>
          </w:r>
        </w:p>
        <w:p w14:paraId="015E6A7B">
          <w:pPr>
            <w:pStyle w:val="13"/>
            <w:keepNext w:val="0"/>
            <w:keepLines w:val="0"/>
            <w:pageBreakBefore w:val="0"/>
            <w:widowControl w:val="0"/>
            <w:tabs>
              <w:tab w:val="right" w:leader="dot" w:pos="9184"/>
              <w:tab w:val="clear" w:pos="9174"/>
            </w:tabs>
            <w:kinsoku/>
            <w:wordWrap/>
            <w:overflowPunct/>
            <w:topLinePunct w:val="0"/>
            <w:autoSpaceDE/>
            <w:autoSpaceDN/>
            <w:bidi w:val="0"/>
            <w:spacing w:line="480" w:lineRule="exact"/>
            <w:textAlignment w:val="auto"/>
            <w:rPr>
              <w:rFonts w:hint="eastAsia" w:ascii="黑体" w:hAnsi="黑体" w:eastAsia="黑体" w:cs="黑体"/>
              <w:sz w:val="28"/>
              <w:szCs w:val="28"/>
              <w:highlight w:val="none"/>
            </w:rPr>
          </w:pP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HYPERLINK \l _Toc16776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14:ligatures w14:val="none"/>
            </w:rPr>
            <w:t>4.1评价单元划分和评价方法选择</w:t>
          </w:r>
          <w:r>
            <w:rPr>
              <w:rFonts w:hint="eastAsia" w:ascii="黑体" w:hAnsi="黑体" w:eastAsia="黑体" w:cs="黑体"/>
              <w:sz w:val="28"/>
              <w:szCs w:val="28"/>
              <w:highlight w:val="none"/>
            </w:rPr>
            <w:tab/>
          </w: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PAGEREF _Toc16776 \h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rPr>
            <w:t>23</w:t>
          </w:r>
          <w:r>
            <w:rPr>
              <w:rFonts w:hint="eastAsia" w:ascii="黑体" w:hAnsi="黑体" w:eastAsia="黑体" w:cs="黑体"/>
              <w:sz w:val="28"/>
              <w:szCs w:val="28"/>
              <w:highlight w:val="none"/>
            </w:rPr>
            <w:fldChar w:fldCharType="end"/>
          </w:r>
          <w:r>
            <w:rPr>
              <w:rFonts w:hint="eastAsia" w:ascii="黑体" w:hAnsi="黑体" w:eastAsia="黑体" w:cs="黑体"/>
              <w:sz w:val="28"/>
              <w:szCs w:val="28"/>
              <w:highlight w:val="none"/>
            </w:rPr>
            <w:fldChar w:fldCharType="end"/>
          </w:r>
        </w:p>
        <w:p w14:paraId="1A3D998C">
          <w:pPr>
            <w:pStyle w:val="13"/>
            <w:keepNext w:val="0"/>
            <w:keepLines w:val="0"/>
            <w:pageBreakBefore w:val="0"/>
            <w:widowControl w:val="0"/>
            <w:tabs>
              <w:tab w:val="right" w:leader="dot" w:pos="9184"/>
              <w:tab w:val="clear" w:pos="9174"/>
            </w:tabs>
            <w:kinsoku/>
            <w:wordWrap/>
            <w:overflowPunct/>
            <w:topLinePunct w:val="0"/>
            <w:autoSpaceDE/>
            <w:autoSpaceDN/>
            <w:bidi w:val="0"/>
            <w:spacing w:line="480" w:lineRule="exact"/>
            <w:textAlignment w:val="auto"/>
            <w:rPr>
              <w:rFonts w:hint="eastAsia" w:ascii="黑体" w:hAnsi="黑体" w:eastAsia="黑体" w:cs="黑体"/>
              <w:sz w:val="28"/>
              <w:szCs w:val="28"/>
              <w:highlight w:val="none"/>
            </w:rPr>
          </w:pP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HYPERLINK \l _Toc17383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14:ligatures w14:val="none"/>
            </w:rPr>
            <w:t>4.2评价方法简介</w:t>
          </w:r>
          <w:r>
            <w:rPr>
              <w:rFonts w:hint="eastAsia" w:ascii="黑体" w:hAnsi="黑体" w:eastAsia="黑体" w:cs="黑体"/>
              <w:sz w:val="28"/>
              <w:szCs w:val="28"/>
              <w:highlight w:val="none"/>
            </w:rPr>
            <w:tab/>
          </w: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PAGEREF _Toc17383 \h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rPr>
            <w:t>23</w:t>
          </w:r>
          <w:r>
            <w:rPr>
              <w:rFonts w:hint="eastAsia" w:ascii="黑体" w:hAnsi="黑体" w:eastAsia="黑体" w:cs="黑体"/>
              <w:sz w:val="28"/>
              <w:szCs w:val="28"/>
              <w:highlight w:val="none"/>
            </w:rPr>
            <w:fldChar w:fldCharType="end"/>
          </w:r>
          <w:r>
            <w:rPr>
              <w:rFonts w:hint="eastAsia" w:ascii="黑体" w:hAnsi="黑体" w:eastAsia="黑体" w:cs="黑体"/>
              <w:sz w:val="28"/>
              <w:szCs w:val="28"/>
              <w:highlight w:val="none"/>
            </w:rPr>
            <w:fldChar w:fldCharType="end"/>
          </w:r>
        </w:p>
        <w:p w14:paraId="5B6395B1">
          <w:pPr>
            <w:pStyle w:val="12"/>
            <w:keepNext w:val="0"/>
            <w:keepLines w:val="0"/>
            <w:pageBreakBefore w:val="0"/>
            <w:widowControl w:val="0"/>
            <w:tabs>
              <w:tab w:val="right" w:leader="dot" w:pos="9184"/>
            </w:tabs>
            <w:kinsoku/>
            <w:wordWrap/>
            <w:overflowPunct/>
            <w:topLinePunct w:val="0"/>
            <w:autoSpaceDE/>
            <w:autoSpaceDN/>
            <w:bidi w:val="0"/>
            <w:spacing w:line="480" w:lineRule="exact"/>
            <w:textAlignment w:val="auto"/>
            <w:rPr>
              <w:rFonts w:hint="eastAsia" w:ascii="黑体" w:hAnsi="黑体" w:eastAsia="黑体" w:cs="黑体"/>
              <w:sz w:val="28"/>
              <w:szCs w:val="28"/>
              <w:highlight w:val="none"/>
            </w:rPr>
          </w:pP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HYPERLINK \l _Toc14691 </w:instrText>
          </w:r>
          <w:r>
            <w:rPr>
              <w:rFonts w:hint="eastAsia" w:ascii="黑体" w:hAnsi="黑体" w:eastAsia="黑体" w:cs="黑体"/>
              <w:sz w:val="28"/>
              <w:szCs w:val="28"/>
              <w:highlight w:val="none"/>
            </w:rPr>
            <w:fldChar w:fldCharType="separate"/>
          </w:r>
          <w:r>
            <w:rPr>
              <w:rFonts w:hint="eastAsia" w:ascii="黑体" w:hAnsi="黑体" w:eastAsia="黑体" w:cs="黑体"/>
              <w:kern w:val="44"/>
              <w:sz w:val="28"/>
              <w:szCs w:val="28"/>
              <w:highlight w:val="none"/>
              <w14:ligatures w14:val="none"/>
            </w:rPr>
            <w:t>5定性、定量评价</w:t>
          </w:r>
          <w:r>
            <w:rPr>
              <w:rFonts w:hint="eastAsia" w:ascii="黑体" w:hAnsi="黑体" w:eastAsia="黑体" w:cs="黑体"/>
              <w:sz w:val="28"/>
              <w:szCs w:val="28"/>
              <w:highlight w:val="none"/>
            </w:rPr>
            <w:tab/>
          </w: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PAGEREF _Toc14691 \h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rPr>
            <w:t>25</w:t>
          </w:r>
          <w:r>
            <w:rPr>
              <w:rFonts w:hint="eastAsia" w:ascii="黑体" w:hAnsi="黑体" w:eastAsia="黑体" w:cs="黑体"/>
              <w:sz w:val="28"/>
              <w:szCs w:val="28"/>
              <w:highlight w:val="none"/>
            </w:rPr>
            <w:fldChar w:fldCharType="end"/>
          </w:r>
          <w:r>
            <w:rPr>
              <w:rFonts w:hint="eastAsia" w:ascii="黑体" w:hAnsi="黑体" w:eastAsia="黑体" w:cs="黑体"/>
              <w:sz w:val="28"/>
              <w:szCs w:val="28"/>
              <w:highlight w:val="none"/>
            </w:rPr>
            <w:fldChar w:fldCharType="end"/>
          </w:r>
        </w:p>
        <w:p w14:paraId="4288B414">
          <w:pPr>
            <w:pStyle w:val="13"/>
            <w:keepNext w:val="0"/>
            <w:keepLines w:val="0"/>
            <w:pageBreakBefore w:val="0"/>
            <w:widowControl w:val="0"/>
            <w:tabs>
              <w:tab w:val="right" w:leader="dot" w:pos="9184"/>
              <w:tab w:val="clear" w:pos="9174"/>
            </w:tabs>
            <w:kinsoku/>
            <w:wordWrap/>
            <w:overflowPunct/>
            <w:topLinePunct w:val="0"/>
            <w:autoSpaceDE/>
            <w:autoSpaceDN/>
            <w:bidi w:val="0"/>
            <w:spacing w:line="480" w:lineRule="exact"/>
            <w:textAlignment w:val="auto"/>
            <w:rPr>
              <w:rFonts w:hint="eastAsia" w:ascii="黑体" w:hAnsi="黑体" w:eastAsia="黑体" w:cs="黑体"/>
              <w:sz w:val="28"/>
              <w:szCs w:val="28"/>
              <w:highlight w:val="none"/>
            </w:rPr>
          </w:pP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HYPERLINK \l _Toc3858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14:ligatures w14:val="none"/>
            </w:rPr>
            <w:t>5.1经营条件及安全管理单元</w:t>
          </w:r>
          <w:r>
            <w:rPr>
              <w:rFonts w:hint="eastAsia" w:ascii="黑体" w:hAnsi="黑体" w:eastAsia="黑体" w:cs="黑体"/>
              <w:sz w:val="28"/>
              <w:szCs w:val="28"/>
              <w:highlight w:val="none"/>
            </w:rPr>
            <w:tab/>
          </w: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PAGEREF _Toc3858 \h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rPr>
            <w:t>25</w:t>
          </w:r>
          <w:r>
            <w:rPr>
              <w:rFonts w:hint="eastAsia" w:ascii="黑体" w:hAnsi="黑体" w:eastAsia="黑体" w:cs="黑体"/>
              <w:sz w:val="28"/>
              <w:szCs w:val="28"/>
              <w:highlight w:val="none"/>
            </w:rPr>
            <w:fldChar w:fldCharType="end"/>
          </w:r>
          <w:r>
            <w:rPr>
              <w:rFonts w:hint="eastAsia" w:ascii="黑体" w:hAnsi="黑体" w:eastAsia="黑体" w:cs="黑体"/>
              <w:sz w:val="28"/>
              <w:szCs w:val="28"/>
              <w:highlight w:val="none"/>
            </w:rPr>
            <w:fldChar w:fldCharType="end"/>
          </w:r>
        </w:p>
        <w:p w14:paraId="3A7AC027">
          <w:pPr>
            <w:pStyle w:val="13"/>
            <w:keepNext w:val="0"/>
            <w:keepLines w:val="0"/>
            <w:pageBreakBefore w:val="0"/>
            <w:widowControl w:val="0"/>
            <w:tabs>
              <w:tab w:val="right" w:leader="dot" w:pos="9184"/>
              <w:tab w:val="clear" w:pos="9174"/>
            </w:tabs>
            <w:kinsoku/>
            <w:wordWrap/>
            <w:overflowPunct/>
            <w:topLinePunct w:val="0"/>
            <w:autoSpaceDE/>
            <w:autoSpaceDN/>
            <w:bidi w:val="0"/>
            <w:spacing w:line="480" w:lineRule="exact"/>
            <w:textAlignment w:val="auto"/>
            <w:rPr>
              <w:rFonts w:hint="eastAsia" w:ascii="黑体" w:hAnsi="黑体" w:eastAsia="黑体" w:cs="黑体"/>
              <w:sz w:val="28"/>
              <w:szCs w:val="28"/>
              <w:highlight w:val="none"/>
            </w:rPr>
          </w:pP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HYPERLINK \l _Toc10194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14:ligatures w14:val="none"/>
            </w:rPr>
            <w:t>5.2周边环境及平面布置单元</w:t>
          </w:r>
          <w:r>
            <w:rPr>
              <w:rFonts w:hint="eastAsia" w:ascii="黑体" w:hAnsi="黑体" w:eastAsia="黑体" w:cs="黑体"/>
              <w:sz w:val="28"/>
              <w:szCs w:val="28"/>
              <w:highlight w:val="none"/>
            </w:rPr>
            <w:tab/>
          </w: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PAGEREF _Toc10194 \h </w:instrText>
          </w:r>
          <w:r>
            <w:rPr>
              <w:rFonts w:hint="eastAsia" w:ascii="黑体" w:hAnsi="黑体" w:eastAsia="黑体" w:cs="黑体"/>
              <w:sz w:val="28"/>
              <w:szCs w:val="28"/>
              <w:highlight w:val="none"/>
            </w:rPr>
            <w:fldChar w:fldCharType="separate"/>
          </w:r>
          <w:r>
            <w:rPr>
              <w:b/>
            </w:rPr>
            <w:t>错误！未定义书签。</w:t>
          </w:r>
          <w:r>
            <w:rPr>
              <w:rFonts w:hint="eastAsia" w:ascii="黑体" w:hAnsi="黑体" w:eastAsia="黑体" w:cs="黑体"/>
              <w:sz w:val="28"/>
              <w:szCs w:val="28"/>
              <w:highlight w:val="none"/>
            </w:rPr>
            <w:fldChar w:fldCharType="end"/>
          </w:r>
          <w:r>
            <w:rPr>
              <w:rFonts w:hint="eastAsia" w:ascii="黑体" w:hAnsi="黑体" w:eastAsia="黑体" w:cs="黑体"/>
              <w:sz w:val="28"/>
              <w:szCs w:val="28"/>
              <w:highlight w:val="none"/>
            </w:rPr>
            <w:fldChar w:fldCharType="end"/>
          </w:r>
        </w:p>
        <w:p w14:paraId="499FEF9B">
          <w:pPr>
            <w:pStyle w:val="13"/>
            <w:keepNext w:val="0"/>
            <w:keepLines w:val="0"/>
            <w:pageBreakBefore w:val="0"/>
            <w:widowControl w:val="0"/>
            <w:tabs>
              <w:tab w:val="right" w:leader="dot" w:pos="9184"/>
              <w:tab w:val="clear" w:pos="9174"/>
            </w:tabs>
            <w:kinsoku/>
            <w:wordWrap/>
            <w:overflowPunct/>
            <w:topLinePunct w:val="0"/>
            <w:autoSpaceDE/>
            <w:autoSpaceDN/>
            <w:bidi w:val="0"/>
            <w:spacing w:line="480" w:lineRule="exact"/>
            <w:textAlignment w:val="auto"/>
            <w:rPr>
              <w:rFonts w:hint="eastAsia" w:ascii="黑体" w:hAnsi="黑体" w:eastAsia="黑体" w:cs="黑体"/>
              <w:sz w:val="28"/>
              <w:szCs w:val="28"/>
              <w:highlight w:val="none"/>
            </w:rPr>
          </w:pP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HYPERLINK \l _Toc7068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14:ligatures w14:val="none"/>
            </w:rPr>
            <w:t>5.3充装及储存单元</w:t>
          </w:r>
          <w:r>
            <w:rPr>
              <w:rFonts w:hint="eastAsia" w:ascii="黑体" w:hAnsi="黑体" w:eastAsia="黑体" w:cs="黑体"/>
              <w:sz w:val="28"/>
              <w:szCs w:val="28"/>
              <w:highlight w:val="none"/>
            </w:rPr>
            <w:tab/>
          </w: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PAGEREF _Toc7068 \h </w:instrText>
          </w:r>
          <w:r>
            <w:rPr>
              <w:rFonts w:hint="eastAsia" w:ascii="黑体" w:hAnsi="黑体" w:eastAsia="黑体" w:cs="黑体"/>
              <w:sz w:val="28"/>
              <w:szCs w:val="28"/>
              <w:highlight w:val="none"/>
            </w:rPr>
            <w:fldChar w:fldCharType="separate"/>
          </w:r>
          <w:r>
            <w:rPr>
              <w:b/>
            </w:rPr>
            <w:t>错误！未定义书签。</w:t>
          </w:r>
          <w:r>
            <w:rPr>
              <w:rFonts w:hint="eastAsia" w:ascii="黑体" w:hAnsi="黑体" w:eastAsia="黑体" w:cs="黑体"/>
              <w:sz w:val="28"/>
              <w:szCs w:val="28"/>
              <w:highlight w:val="none"/>
            </w:rPr>
            <w:fldChar w:fldCharType="end"/>
          </w:r>
          <w:r>
            <w:rPr>
              <w:rFonts w:hint="eastAsia" w:ascii="黑体" w:hAnsi="黑体" w:eastAsia="黑体" w:cs="黑体"/>
              <w:sz w:val="28"/>
              <w:szCs w:val="28"/>
              <w:highlight w:val="none"/>
            </w:rPr>
            <w:fldChar w:fldCharType="end"/>
          </w:r>
        </w:p>
        <w:p w14:paraId="63544C1D">
          <w:pPr>
            <w:pStyle w:val="13"/>
            <w:keepNext w:val="0"/>
            <w:keepLines w:val="0"/>
            <w:pageBreakBefore w:val="0"/>
            <w:widowControl w:val="0"/>
            <w:tabs>
              <w:tab w:val="right" w:leader="dot" w:pos="9184"/>
              <w:tab w:val="clear" w:pos="9174"/>
            </w:tabs>
            <w:kinsoku/>
            <w:wordWrap/>
            <w:overflowPunct/>
            <w:topLinePunct w:val="0"/>
            <w:autoSpaceDE/>
            <w:autoSpaceDN/>
            <w:bidi w:val="0"/>
            <w:spacing w:line="480" w:lineRule="exact"/>
            <w:textAlignment w:val="auto"/>
            <w:rPr>
              <w:rFonts w:hint="eastAsia" w:ascii="黑体" w:hAnsi="黑体" w:eastAsia="黑体" w:cs="黑体"/>
              <w:sz w:val="28"/>
              <w:szCs w:val="28"/>
              <w:highlight w:val="none"/>
            </w:rPr>
          </w:pP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HYPERLINK \l _Toc9165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14:ligatures w14:val="none"/>
            </w:rPr>
            <w:t>5.4公辅工程及辅助设施单元</w:t>
          </w:r>
          <w:r>
            <w:rPr>
              <w:rFonts w:hint="eastAsia" w:ascii="黑体" w:hAnsi="黑体" w:eastAsia="黑体" w:cs="黑体"/>
              <w:sz w:val="28"/>
              <w:szCs w:val="28"/>
              <w:highlight w:val="none"/>
            </w:rPr>
            <w:tab/>
          </w: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PAGEREF _Toc9165 \h </w:instrText>
          </w:r>
          <w:r>
            <w:rPr>
              <w:rFonts w:hint="eastAsia" w:ascii="黑体" w:hAnsi="黑体" w:eastAsia="黑体" w:cs="黑体"/>
              <w:sz w:val="28"/>
              <w:szCs w:val="28"/>
              <w:highlight w:val="none"/>
            </w:rPr>
            <w:fldChar w:fldCharType="separate"/>
          </w:r>
          <w:r>
            <w:rPr>
              <w:b/>
            </w:rPr>
            <w:t>错误！未定义书签。</w:t>
          </w:r>
          <w:r>
            <w:rPr>
              <w:rFonts w:hint="eastAsia" w:ascii="黑体" w:hAnsi="黑体" w:eastAsia="黑体" w:cs="黑体"/>
              <w:sz w:val="28"/>
              <w:szCs w:val="28"/>
              <w:highlight w:val="none"/>
            </w:rPr>
            <w:fldChar w:fldCharType="end"/>
          </w:r>
          <w:r>
            <w:rPr>
              <w:rFonts w:hint="eastAsia" w:ascii="黑体" w:hAnsi="黑体" w:eastAsia="黑体" w:cs="黑体"/>
              <w:sz w:val="28"/>
              <w:szCs w:val="28"/>
              <w:highlight w:val="none"/>
            </w:rPr>
            <w:fldChar w:fldCharType="end"/>
          </w:r>
        </w:p>
        <w:p w14:paraId="2201C3C3">
          <w:pPr>
            <w:pStyle w:val="13"/>
            <w:keepNext w:val="0"/>
            <w:keepLines w:val="0"/>
            <w:pageBreakBefore w:val="0"/>
            <w:widowControl w:val="0"/>
            <w:tabs>
              <w:tab w:val="right" w:leader="dot" w:pos="9184"/>
              <w:tab w:val="clear" w:pos="9174"/>
            </w:tabs>
            <w:kinsoku/>
            <w:wordWrap/>
            <w:overflowPunct/>
            <w:topLinePunct w:val="0"/>
            <w:autoSpaceDE/>
            <w:autoSpaceDN/>
            <w:bidi w:val="0"/>
            <w:spacing w:line="480" w:lineRule="exact"/>
            <w:textAlignment w:val="auto"/>
            <w:rPr>
              <w:rFonts w:hint="eastAsia" w:ascii="黑体" w:hAnsi="黑体" w:eastAsia="黑体" w:cs="黑体"/>
              <w:sz w:val="28"/>
              <w:szCs w:val="28"/>
              <w:highlight w:val="none"/>
            </w:rPr>
          </w:pP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HYPERLINK \l _Toc18306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14:ligatures w14:val="none"/>
            </w:rPr>
            <w:t>5.5重大生产安全事故隐患单元</w:t>
          </w:r>
          <w:r>
            <w:rPr>
              <w:rFonts w:hint="eastAsia" w:ascii="黑体" w:hAnsi="黑体" w:eastAsia="黑体" w:cs="黑体"/>
              <w:sz w:val="28"/>
              <w:szCs w:val="28"/>
              <w:highlight w:val="none"/>
            </w:rPr>
            <w:tab/>
          </w: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PAGEREF _Toc18306 \h </w:instrText>
          </w:r>
          <w:r>
            <w:rPr>
              <w:rFonts w:hint="eastAsia" w:ascii="黑体" w:hAnsi="黑体" w:eastAsia="黑体" w:cs="黑体"/>
              <w:sz w:val="28"/>
              <w:szCs w:val="28"/>
              <w:highlight w:val="none"/>
            </w:rPr>
            <w:fldChar w:fldCharType="separate"/>
          </w:r>
          <w:r>
            <w:rPr>
              <w:b/>
            </w:rPr>
            <w:t>错误！未定义书签。</w:t>
          </w:r>
          <w:r>
            <w:rPr>
              <w:rFonts w:hint="eastAsia" w:ascii="黑体" w:hAnsi="黑体" w:eastAsia="黑体" w:cs="黑体"/>
              <w:sz w:val="28"/>
              <w:szCs w:val="28"/>
              <w:highlight w:val="none"/>
            </w:rPr>
            <w:fldChar w:fldCharType="end"/>
          </w:r>
          <w:r>
            <w:rPr>
              <w:rFonts w:hint="eastAsia" w:ascii="黑体" w:hAnsi="黑体" w:eastAsia="黑体" w:cs="黑体"/>
              <w:sz w:val="28"/>
              <w:szCs w:val="28"/>
              <w:highlight w:val="none"/>
            </w:rPr>
            <w:fldChar w:fldCharType="end"/>
          </w:r>
        </w:p>
        <w:p w14:paraId="57554105">
          <w:pPr>
            <w:pStyle w:val="12"/>
            <w:keepNext w:val="0"/>
            <w:keepLines w:val="0"/>
            <w:pageBreakBefore w:val="0"/>
            <w:widowControl w:val="0"/>
            <w:tabs>
              <w:tab w:val="right" w:leader="dot" w:pos="9184"/>
            </w:tabs>
            <w:kinsoku/>
            <w:wordWrap/>
            <w:overflowPunct/>
            <w:topLinePunct w:val="0"/>
            <w:autoSpaceDE/>
            <w:autoSpaceDN/>
            <w:bidi w:val="0"/>
            <w:spacing w:line="480" w:lineRule="exact"/>
            <w:textAlignment w:val="auto"/>
            <w:rPr>
              <w:rFonts w:hint="eastAsia" w:ascii="黑体" w:hAnsi="黑体" w:eastAsia="黑体" w:cs="黑体"/>
              <w:sz w:val="28"/>
              <w:szCs w:val="28"/>
              <w:highlight w:val="none"/>
            </w:rPr>
          </w:pP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HYPERLINK \l _Toc12985 </w:instrText>
          </w:r>
          <w:r>
            <w:rPr>
              <w:rFonts w:hint="eastAsia" w:ascii="黑体" w:hAnsi="黑体" w:eastAsia="黑体" w:cs="黑体"/>
              <w:sz w:val="28"/>
              <w:szCs w:val="28"/>
              <w:highlight w:val="none"/>
            </w:rPr>
            <w:fldChar w:fldCharType="separate"/>
          </w:r>
          <w:r>
            <w:rPr>
              <w:rFonts w:hint="eastAsia" w:ascii="黑体" w:hAnsi="黑体" w:eastAsia="黑体" w:cs="黑体"/>
              <w:kern w:val="44"/>
              <w:sz w:val="28"/>
              <w:szCs w:val="28"/>
              <w:highlight w:val="none"/>
              <w14:ligatures w14:val="none"/>
            </w:rPr>
            <w:t>6安全对策措施与建议</w:t>
          </w:r>
          <w:r>
            <w:rPr>
              <w:rFonts w:hint="eastAsia" w:ascii="黑体" w:hAnsi="黑体" w:eastAsia="黑体" w:cs="黑体"/>
              <w:sz w:val="28"/>
              <w:szCs w:val="28"/>
              <w:highlight w:val="none"/>
            </w:rPr>
            <w:tab/>
          </w: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PAGEREF _Toc12985 \h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rPr>
            <w:t>26</w:t>
          </w:r>
          <w:r>
            <w:rPr>
              <w:rFonts w:hint="eastAsia" w:ascii="黑体" w:hAnsi="黑体" w:eastAsia="黑体" w:cs="黑体"/>
              <w:sz w:val="28"/>
              <w:szCs w:val="28"/>
              <w:highlight w:val="none"/>
            </w:rPr>
            <w:fldChar w:fldCharType="end"/>
          </w:r>
          <w:r>
            <w:rPr>
              <w:rFonts w:hint="eastAsia" w:ascii="黑体" w:hAnsi="黑体" w:eastAsia="黑体" w:cs="黑体"/>
              <w:sz w:val="28"/>
              <w:szCs w:val="28"/>
              <w:highlight w:val="none"/>
            </w:rPr>
            <w:fldChar w:fldCharType="end"/>
          </w:r>
        </w:p>
        <w:p w14:paraId="6CC2050A">
          <w:pPr>
            <w:pStyle w:val="12"/>
            <w:keepNext w:val="0"/>
            <w:keepLines w:val="0"/>
            <w:pageBreakBefore w:val="0"/>
            <w:widowControl w:val="0"/>
            <w:tabs>
              <w:tab w:val="right" w:leader="dot" w:pos="9184"/>
            </w:tabs>
            <w:kinsoku/>
            <w:wordWrap/>
            <w:overflowPunct/>
            <w:topLinePunct w:val="0"/>
            <w:autoSpaceDE/>
            <w:autoSpaceDN/>
            <w:bidi w:val="0"/>
            <w:spacing w:line="480" w:lineRule="exact"/>
            <w:textAlignment w:val="auto"/>
            <w:rPr>
              <w:rFonts w:hint="eastAsia" w:ascii="黑体" w:hAnsi="黑体" w:eastAsia="黑体" w:cs="黑体"/>
              <w:sz w:val="28"/>
              <w:szCs w:val="28"/>
              <w:highlight w:val="none"/>
            </w:rPr>
          </w:pP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HYPERLINK \l _Toc3204 </w:instrText>
          </w:r>
          <w:r>
            <w:rPr>
              <w:rFonts w:hint="eastAsia" w:ascii="黑体" w:hAnsi="黑体" w:eastAsia="黑体" w:cs="黑体"/>
              <w:sz w:val="28"/>
              <w:szCs w:val="28"/>
              <w:highlight w:val="none"/>
            </w:rPr>
            <w:fldChar w:fldCharType="separate"/>
          </w:r>
          <w:r>
            <w:rPr>
              <w:rFonts w:hint="eastAsia" w:ascii="黑体" w:hAnsi="黑体" w:eastAsia="黑体" w:cs="黑体"/>
              <w:kern w:val="44"/>
              <w:sz w:val="28"/>
              <w:szCs w:val="28"/>
              <w:highlight w:val="none"/>
              <w14:ligatures w14:val="none"/>
            </w:rPr>
            <w:t>7评价结论</w:t>
          </w:r>
          <w:r>
            <w:rPr>
              <w:rFonts w:hint="eastAsia" w:ascii="黑体" w:hAnsi="黑体" w:eastAsia="黑体" w:cs="黑体"/>
              <w:sz w:val="28"/>
              <w:szCs w:val="28"/>
              <w:highlight w:val="none"/>
            </w:rPr>
            <w:tab/>
          </w: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PAGEREF _Toc3204 \h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rPr>
            <w:t>29</w:t>
          </w:r>
          <w:r>
            <w:rPr>
              <w:rFonts w:hint="eastAsia" w:ascii="黑体" w:hAnsi="黑体" w:eastAsia="黑体" w:cs="黑体"/>
              <w:sz w:val="28"/>
              <w:szCs w:val="28"/>
              <w:highlight w:val="none"/>
            </w:rPr>
            <w:fldChar w:fldCharType="end"/>
          </w:r>
          <w:r>
            <w:rPr>
              <w:rFonts w:hint="eastAsia" w:ascii="黑体" w:hAnsi="黑体" w:eastAsia="黑体" w:cs="黑体"/>
              <w:sz w:val="28"/>
              <w:szCs w:val="28"/>
              <w:highlight w:val="none"/>
            </w:rPr>
            <w:fldChar w:fldCharType="end"/>
          </w:r>
        </w:p>
        <w:p w14:paraId="12CD496C">
          <w:pPr>
            <w:pStyle w:val="13"/>
            <w:keepNext w:val="0"/>
            <w:keepLines w:val="0"/>
            <w:pageBreakBefore w:val="0"/>
            <w:widowControl w:val="0"/>
            <w:tabs>
              <w:tab w:val="right" w:leader="dot" w:pos="9184"/>
              <w:tab w:val="clear" w:pos="9174"/>
            </w:tabs>
            <w:kinsoku/>
            <w:wordWrap/>
            <w:overflowPunct/>
            <w:topLinePunct w:val="0"/>
            <w:autoSpaceDE/>
            <w:autoSpaceDN/>
            <w:bidi w:val="0"/>
            <w:spacing w:line="480" w:lineRule="exact"/>
            <w:textAlignment w:val="auto"/>
            <w:rPr>
              <w:rFonts w:hint="eastAsia" w:ascii="黑体" w:hAnsi="黑体" w:eastAsia="黑体" w:cs="黑体"/>
              <w:sz w:val="28"/>
              <w:szCs w:val="28"/>
              <w:highlight w:val="none"/>
            </w:rPr>
          </w:pP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HYPERLINK \l _Toc4479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14:ligatures w14:val="none"/>
            </w:rPr>
            <w:t>7.1主要危险有害因素评价结果</w:t>
          </w:r>
          <w:r>
            <w:rPr>
              <w:rFonts w:hint="eastAsia" w:ascii="黑体" w:hAnsi="黑体" w:eastAsia="黑体" w:cs="黑体"/>
              <w:sz w:val="28"/>
              <w:szCs w:val="28"/>
              <w:highlight w:val="none"/>
            </w:rPr>
            <w:tab/>
          </w: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PAGEREF _Toc4479 \h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rPr>
            <w:t>29</w:t>
          </w:r>
          <w:r>
            <w:rPr>
              <w:rFonts w:hint="eastAsia" w:ascii="黑体" w:hAnsi="黑体" w:eastAsia="黑体" w:cs="黑体"/>
              <w:sz w:val="28"/>
              <w:szCs w:val="28"/>
              <w:highlight w:val="none"/>
            </w:rPr>
            <w:fldChar w:fldCharType="end"/>
          </w:r>
          <w:r>
            <w:rPr>
              <w:rFonts w:hint="eastAsia" w:ascii="黑体" w:hAnsi="黑体" w:eastAsia="黑体" w:cs="黑体"/>
              <w:sz w:val="28"/>
              <w:szCs w:val="28"/>
              <w:highlight w:val="none"/>
            </w:rPr>
            <w:fldChar w:fldCharType="end"/>
          </w:r>
        </w:p>
        <w:p w14:paraId="469B48ED">
          <w:pPr>
            <w:pStyle w:val="13"/>
            <w:keepNext w:val="0"/>
            <w:keepLines w:val="0"/>
            <w:pageBreakBefore w:val="0"/>
            <w:widowControl w:val="0"/>
            <w:tabs>
              <w:tab w:val="right" w:leader="dot" w:pos="9184"/>
              <w:tab w:val="clear" w:pos="9174"/>
            </w:tabs>
            <w:kinsoku/>
            <w:wordWrap/>
            <w:overflowPunct/>
            <w:topLinePunct w:val="0"/>
            <w:autoSpaceDE/>
            <w:autoSpaceDN/>
            <w:bidi w:val="0"/>
            <w:spacing w:line="480" w:lineRule="exact"/>
            <w:textAlignment w:val="auto"/>
            <w:rPr>
              <w:rFonts w:hint="eastAsia" w:ascii="黑体" w:hAnsi="黑体" w:eastAsia="黑体" w:cs="黑体"/>
              <w:sz w:val="28"/>
              <w:szCs w:val="28"/>
              <w:highlight w:val="none"/>
            </w:rPr>
          </w:pP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HYPERLINK \l _Toc23916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14:ligatures w14:val="none"/>
            </w:rPr>
            <w:t>7.2定性定量分析结果</w:t>
          </w:r>
          <w:r>
            <w:rPr>
              <w:rFonts w:hint="eastAsia" w:ascii="黑体" w:hAnsi="黑体" w:eastAsia="黑体" w:cs="黑体"/>
              <w:sz w:val="28"/>
              <w:szCs w:val="28"/>
              <w:highlight w:val="none"/>
            </w:rPr>
            <w:tab/>
          </w: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PAGEREF _Toc23916 \h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rPr>
            <w:t>29</w:t>
          </w:r>
          <w:r>
            <w:rPr>
              <w:rFonts w:hint="eastAsia" w:ascii="黑体" w:hAnsi="黑体" w:eastAsia="黑体" w:cs="黑体"/>
              <w:sz w:val="28"/>
              <w:szCs w:val="28"/>
              <w:highlight w:val="none"/>
            </w:rPr>
            <w:fldChar w:fldCharType="end"/>
          </w:r>
          <w:r>
            <w:rPr>
              <w:rFonts w:hint="eastAsia" w:ascii="黑体" w:hAnsi="黑体" w:eastAsia="黑体" w:cs="黑体"/>
              <w:sz w:val="28"/>
              <w:szCs w:val="28"/>
              <w:highlight w:val="none"/>
            </w:rPr>
            <w:fldChar w:fldCharType="end"/>
          </w:r>
        </w:p>
        <w:p w14:paraId="7EA8BCA2">
          <w:pPr>
            <w:pStyle w:val="13"/>
            <w:keepNext w:val="0"/>
            <w:keepLines w:val="0"/>
            <w:pageBreakBefore w:val="0"/>
            <w:widowControl w:val="0"/>
            <w:tabs>
              <w:tab w:val="right" w:leader="dot" w:pos="9184"/>
              <w:tab w:val="clear" w:pos="9174"/>
            </w:tabs>
            <w:kinsoku/>
            <w:wordWrap/>
            <w:overflowPunct/>
            <w:topLinePunct w:val="0"/>
            <w:autoSpaceDE/>
            <w:autoSpaceDN/>
            <w:bidi w:val="0"/>
            <w:spacing w:line="480" w:lineRule="exact"/>
            <w:textAlignment w:val="auto"/>
            <w:rPr>
              <w:rFonts w:hint="eastAsia" w:ascii="黑体" w:hAnsi="黑体" w:eastAsia="黑体" w:cs="黑体"/>
              <w:sz w:val="28"/>
              <w:szCs w:val="28"/>
              <w:highlight w:val="none"/>
            </w:rPr>
          </w:pP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HYPERLINK \l _Toc29502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14:ligatures w14:val="none"/>
            </w:rPr>
            <w:t>7.3评价结论</w:t>
          </w:r>
          <w:r>
            <w:rPr>
              <w:rFonts w:hint="eastAsia" w:ascii="黑体" w:hAnsi="黑体" w:eastAsia="黑体" w:cs="黑体"/>
              <w:sz w:val="28"/>
              <w:szCs w:val="28"/>
              <w:highlight w:val="none"/>
            </w:rPr>
            <w:tab/>
          </w: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PAGEREF _Toc29502 \h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rPr>
            <w:t>30</w:t>
          </w:r>
          <w:r>
            <w:rPr>
              <w:rFonts w:hint="eastAsia" w:ascii="黑体" w:hAnsi="黑体" w:eastAsia="黑体" w:cs="黑体"/>
              <w:sz w:val="28"/>
              <w:szCs w:val="28"/>
              <w:highlight w:val="none"/>
            </w:rPr>
            <w:fldChar w:fldCharType="end"/>
          </w:r>
          <w:r>
            <w:rPr>
              <w:rFonts w:hint="eastAsia" w:ascii="黑体" w:hAnsi="黑体" w:eastAsia="黑体" w:cs="黑体"/>
              <w:sz w:val="28"/>
              <w:szCs w:val="28"/>
              <w:highlight w:val="none"/>
            </w:rPr>
            <w:fldChar w:fldCharType="end"/>
          </w:r>
        </w:p>
        <w:p w14:paraId="1AC9FABB">
          <w:pPr>
            <w:pStyle w:val="12"/>
            <w:keepNext w:val="0"/>
            <w:keepLines w:val="0"/>
            <w:pageBreakBefore w:val="0"/>
            <w:widowControl w:val="0"/>
            <w:tabs>
              <w:tab w:val="right" w:leader="dot" w:pos="9184"/>
            </w:tabs>
            <w:kinsoku/>
            <w:wordWrap/>
            <w:overflowPunct/>
            <w:topLinePunct w:val="0"/>
            <w:autoSpaceDE/>
            <w:autoSpaceDN/>
            <w:bidi w:val="0"/>
            <w:spacing w:line="480" w:lineRule="exact"/>
            <w:textAlignment w:val="auto"/>
            <w:rPr>
              <w:highlight w:val="none"/>
            </w:rPr>
          </w:pP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HYPERLINK \l _Toc26218 </w:instrText>
          </w:r>
          <w:r>
            <w:rPr>
              <w:rFonts w:hint="eastAsia" w:ascii="黑体" w:hAnsi="黑体" w:eastAsia="黑体" w:cs="黑体"/>
              <w:sz w:val="28"/>
              <w:szCs w:val="28"/>
              <w:highlight w:val="none"/>
            </w:rPr>
            <w:fldChar w:fldCharType="separate"/>
          </w:r>
          <w:r>
            <w:rPr>
              <w:rFonts w:hint="eastAsia" w:ascii="黑体" w:hAnsi="黑体" w:eastAsia="黑体" w:cs="黑体"/>
              <w:kern w:val="44"/>
              <w:sz w:val="28"/>
              <w:szCs w:val="28"/>
              <w:highlight w:val="none"/>
              <w14:ligatures w14:val="none"/>
            </w:rPr>
            <w:t>附件</w:t>
          </w:r>
          <w:r>
            <w:rPr>
              <w:rFonts w:hint="eastAsia" w:ascii="黑体" w:hAnsi="黑体" w:eastAsia="黑体" w:cs="黑体"/>
              <w:sz w:val="28"/>
              <w:szCs w:val="28"/>
              <w:highlight w:val="none"/>
            </w:rPr>
            <w:tab/>
          </w: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PAGEREF _Toc26218 \h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rPr>
            <w:t>31</w:t>
          </w:r>
          <w:r>
            <w:rPr>
              <w:rFonts w:hint="eastAsia" w:ascii="黑体" w:hAnsi="黑体" w:eastAsia="黑体" w:cs="黑体"/>
              <w:sz w:val="28"/>
              <w:szCs w:val="28"/>
              <w:highlight w:val="none"/>
            </w:rPr>
            <w:fldChar w:fldCharType="end"/>
          </w:r>
          <w:r>
            <w:rPr>
              <w:rFonts w:hint="eastAsia" w:ascii="黑体" w:hAnsi="黑体" w:eastAsia="黑体" w:cs="黑体"/>
              <w:sz w:val="28"/>
              <w:szCs w:val="28"/>
              <w:highlight w:val="none"/>
            </w:rPr>
            <w:fldChar w:fldCharType="end"/>
          </w:r>
        </w:p>
        <w:p w14:paraId="1CE8CC4E">
          <w:pPr>
            <w:adjustRightInd w:val="0"/>
            <w:snapToGrid w:val="0"/>
            <w:spacing w:after="0" w:line="360" w:lineRule="auto"/>
            <w:jc w:val="both"/>
            <w:rPr>
              <w:rFonts w:ascii="Times New Roman" w:hAnsi="Times New Roman" w:eastAsia="黑体"/>
              <w:sz w:val="28"/>
              <w:szCs w:val="28"/>
              <w:highlight w:val="none"/>
            </w:rPr>
          </w:pPr>
          <w:r>
            <w:rPr>
              <w:rFonts w:hint="eastAsia" w:ascii="Times New Roman" w:hAnsi="Times New Roman" w:eastAsia="黑体"/>
              <w:szCs w:val="28"/>
              <w:highlight w:val="none"/>
            </w:rPr>
            <w:fldChar w:fldCharType="end"/>
          </w:r>
        </w:p>
      </w:sdtContent>
    </w:sdt>
    <w:p w14:paraId="0975073F">
      <w:pPr>
        <w:adjustRightInd w:val="0"/>
        <w:snapToGrid w:val="0"/>
        <w:spacing w:before="156" w:beforeLines="50" w:after="156" w:afterLines="50" w:line="360" w:lineRule="auto"/>
        <w:jc w:val="center"/>
        <w:rPr>
          <w:rFonts w:ascii="Times New Roman" w:hAnsi="Times New Roman" w:eastAsia="黑体" w:cs="Times New Roman"/>
          <w:b/>
          <w:kern w:val="44"/>
          <w:sz w:val="32"/>
          <w:szCs w:val="44"/>
          <w:highlight w:val="none"/>
          <w14:ligatures w14:val="none"/>
        </w:rPr>
      </w:pPr>
    </w:p>
    <w:p w14:paraId="46BAB2C0">
      <w:pPr>
        <w:adjustRightInd w:val="0"/>
        <w:snapToGrid w:val="0"/>
        <w:spacing w:before="156" w:beforeLines="50" w:after="156" w:afterLines="50" w:line="360" w:lineRule="auto"/>
        <w:jc w:val="center"/>
        <w:rPr>
          <w:rFonts w:ascii="Times New Roman" w:hAnsi="Times New Roman" w:eastAsia="黑体" w:cs="Times New Roman"/>
          <w:b/>
          <w:kern w:val="44"/>
          <w:sz w:val="32"/>
          <w:szCs w:val="44"/>
          <w:highlight w:val="none"/>
          <w14:ligatures w14:val="none"/>
        </w:rPr>
        <w:sectPr>
          <w:pgSz w:w="11906" w:h="16838"/>
          <w:pgMar w:top="1418" w:right="1134" w:bottom="1134" w:left="1588" w:header="851" w:footer="992" w:gutter="0"/>
          <w:cols w:space="425" w:num="1"/>
          <w:docGrid w:type="lines" w:linePitch="312" w:charSpace="0"/>
        </w:sectPr>
      </w:pPr>
    </w:p>
    <w:p w14:paraId="7252529D">
      <w:pPr>
        <w:adjustRightInd w:val="0"/>
        <w:snapToGrid w:val="0"/>
        <w:spacing w:before="468" w:beforeLines="150" w:after="468" w:afterLines="150" w:line="360" w:lineRule="auto"/>
        <w:jc w:val="center"/>
        <w:outlineLvl w:val="0"/>
        <w:rPr>
          <w:rFonts w:ascii="Times New Roman" w:hAnsi="Times New Roman" w:eastAsia="黑体" w:cs="黑体"/>
          <w:b/>
          <w:kern w:val="44"/>
          <w:sz w:val="32"/>
          <w:szCs w:val="44"/>
          <w:highlight w:val="none"/>
          <w14:ligatures w14:val="none"/>
        </w:rPr>
      </w:pPr>
      <w:bookmarkStart w:id="23" w:name="_Toc22652"/>
      <w:bookmarkStart w:id="24" w:name="_Toc527536689"/>
      <w:bookmarkStart w:id="25" w:name="_Toc163051340"/>
      <w:bookmarkStart w:id="26" w:name="_Toc492367633"/>
      <w:bookmarkStart w:id="27" w:name="_Toc454542367"/>
      <w:bookmarkStart w:id="28" w:name="_Toc454542164"/>
      <w:bookmarkStart w:id="29" w:name="_Toc457295089"/>
      <w:bookmarkStart w:id="30" w:name="_Toc457294993"/>
      <w:r>
        <w:rPr>
          <w:rFonts w:hint="eastAsia" w:ascii="Times New Roman" w:hAnsi="Times New Roman" w:eastAsia="黑体" w:cs="黑体"/>
          <w:b/>
          <w:kern w:val="44"/>
          <w:sz w:val="32"/>
          <w:szCs w:val="44"/>
          <w:highlight w:val="none"/>
          <w14:ligatures w14:val="none"/>
        </w:rPr>
        <w:t>1概述</w:t>
      </w:r>
      <w:bookmarkEnd w:id="23"/>
      <w:bookmarkEnd w:id="24"/>
      <w:bookmarkEnd w:id="25"/>
      <w:bookmarkEnd w:id="26"/>
    </w:p>
    <w:p w14:paraId="5B3841BA">
      <w:pPr>
        <w:adjustRightInd w:val="0"/>
        <w:snapToGrid w:val="0"/>
        <w:spacing w:before="312" w:beforeLines="100" w:after="312" w:afterLines="100" w:line="360" w:lineRule="auto"/>
        <w:jc w:val="center"/>
        <w:outlineLvl w:val="1"/>
        <w:rPr>
          <w:rFonts w:ascii="Times New Roman" w:hAnsi="Times New Roman" w:eastAsia="楷体" w:cs="黑体"/>
          <w:b/>
          <w:sz w:val="32"/>
          <w:szCs w:val="32"/>
          <w:highlight w:val="none"/>
          <w14:ligatures w14:val="none"/>
        </w:rPr>
      </w:pPr>
      <w:bookmarkStart w:id="31" w:name="_Toc163051341"/>
      <w:bookmarkStart w:id="32" w:name="_Toc527536690"/>
      <w:bookmarkStart w:id="33" w:name="_Toc492367634"/>
      <w:bookmarkStart w:id="34" w:name="_Toc9689"/>
      <w:r>
        <w:rPr>
          <w:rFonts w:hint="eastAsia" w:ascii="Times New Roman" w:hAnsi="Times New Roman" w:eastAsia="楷体" w:cs="黑体"/>
          <w:b/>
          <w:sz w:val="32"/>
          <w:szCs w:val="32"/>
          <w:highlight w:val="none"/>
          <w14:ligatures w14:val="none"/>
        </w:rPr>
        <w:t>1.1评价目的</w:t>
      </w:r>
      <w:bookmarkEnd w:id="31"/>
      <w:bookmarkEnd w:id="32"/>
      <w:bookmarkEnd w:id="33"/>
      <w:bookmarkEnd w:id="34"/>
    </w:p>
    <w:p w14:paraId="183E5D9B">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t>安全评价是以实现工程、系统安全为目的，应用安全系统工程原理和方法，对工程、系统中存在的危险、有害因素进行辨识与分析，判断工程、系统发生事故和职业危害的可能性及其严重程度，从而为制定安全防范措施和管理决策提供科学依据。</w:t>
      </w:r>
    </w:p>
    <w:p w14:paraId="2B99BF67">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t>本次安全评价的目的是：通过对</w:t>
      </w:r>
      <w:r>
        <w:rPr>
          <w:rFonts w:hint="eastAsia" w:ascii="Times New Roman" w:hAnsi="Times New Roman" w:eastAsia="宋体" w:cs="Times New Roman"/>
          <w:sz w:val="28"/>
          <w:szCs w:val="28"/>
          <w:highlight w:val="none"/>
          <w:lang w:eastAsia="zh-CN"/>
          <w14:ligatures w14:val="none"/>
        </w:rPr>
        <w:t>沈阳新春城气体有限公司</w:t>
      </w:r>
      <w:r>
        <w:rPr>
          <w:rFonts w:ascii="Times New Roman" w:hAnsi="Times New Roman" w:eastAsia="宋体" w:cs="Times New Roman"/>
          <w:sz w:val="28"/>
          <w:szCs w:val="28"/>
          <w:highlight w:val="none"/>
          <w14:ligatures w14:val="none"/>
        </w:rPr>
        <w:t>储存、经营危险化学品的过程中存在的危险和有害因素的分析，按照国家对危险化学品经营企业的有关规定和技术标准的具体要求，评价其经营所必需的法律文书、安全管理规章制度及危险化学品事故应急预案等是否具备经营条件。对安全评价过程中发现的问题，依据有关规定和技术标准的要求，提出合理可行的安全对策措施和整改建议，以不断提高其危险化学品经营安全管理水平，同时，也为当地应急管理部门日常监管提供技术支撑。</w:t>
      </w:r>
    </w:p>
    <w:p w14:paraId="44509FD2">
      <w:pPr>
        <w:adjustRightInd w:val="0"/>
        <w:snapToGrid w:val="0"/>
        <w:spacing w:before="312" w:beforeLines="100" w:after="312" w:afterLines="100" w:line="360" w:lineRule="auto"/>
        <w:jc w:val="center"/>
        <w:outlineLvl w:val="1"/>
        <w:rPr>
          <w:rFonts w:ascii="Times New Roman" w:hAnsi="Times New Roman" w:eastAsia="楷体" w:cs="黑体"/>
          <w:b/>
          <w:sz w:val="32"/>
          <w:szCs w:val="32"/>
          <w:highlight w:val="none"/>
          <w14:ligatures w14:val="none"/>
        </w:rPr>
      </w:pPr>
      <w:bookmarkStart w:id="35" w:name="_Toc163051342"/>
      <w:bookmarkStart w:id="36" w:name="_Toc492367635"/>
      <w:bookmarkStart w:id="37" w:name="_Toc527536691"/>
      <w:bookmarkStart w:id="38" w:name="_Toc16937"/>
      <w:r>
        <w:rPr>
          <w:rFonts w:ascii="Times New Roman" w:hAnsi="Times New Roman" w:eastAsia="楷体" w:cs="黑体"/>
          <w:b/>
          <w:sz w:val="32"/>
          <w:szCs w:val="32"/>
          <w:highlight w:val="none"/>
          <w14:ligatures w14:val="none"/>
        </w:rPr>
        <w:t>1.2评价依据</w:t>
      </w:r>
      <w:bookmarkEnd w:id="35"/>
      <w:bookmarkEnd w:id="36"/>
      <w:bookmarkEnd w:id="37"/>
      <w:bookmarkEnd w:id="38"/>
    </w:p>
    <w:p w14:paraId="6410071D">
      <w:pPr>
        <w:tabs>
          <w:tab w:val="left" w:pos="840"/>
          <w:tab w:val="left" w:pos="1260"/>
        </w:tabs>
        <w:adjustRightInd w:val="0"/>
        <w:snapToGrid w:val="0"/>
        <w:spacing w:before="156" w:beforeLines="50" w:after="156" w:afterLines="50" w:line="360" w:lineRule="auto"/>
        <w:ind w:firstLine="562" w:firstLineChars="200"/>
        <w:jc w:val="both"/>
        <w:outlineLvl w:val="2"/>
        <w:rPr>
          <w:rFonts w:ascii="Times New Roman" w:hAnsi="Times New Roman" w:eastAsia="黑体" w:cs="Times New Roman"/>
          <w:b/>
          <w:sz w:val="28"/>
          <w:szCs w:val="32"/>
          <w:highlight w:val="none"/>
          <w14:ligatures w14:val="none"/>
        </w:rPr>
      </w:pPr>
      <w:bookmarkStart w:id="39" w:name="_Toc457295092"/>
      <w:r>
        <w:rPr>
          <w:rFonts w:ascii="Times New Roman" w:hAnsi="Times New Roman" w:eastAsia="黑体" w:cs="Times New Roman"/>
          <w:b/>
          <w:sz w:val="28"/>
          <w:szCs w:val="32"/>
          <w:highlight w:val="none"/>
          <w14:ligatures w14:val="none"/>
        </w:rPr>
        <w:t>1.2.1</w:t>
      </w:r>
      <w:r>
        <w:rPr>
          <w:rFonts w:hint="eastAsia" w:ascii="宋体" w:hAnsi="宋体" w:eastAsia="宋体" w:cs="宋体"/>
          <w:b/>
          <w:sz w:val="28"/>
          <w:szCs w:val="32"/>
          <w:highlight w:val="none"/>
          <w14:ligatures w14:val="none"/>
        </w:rPr>
        <w:t>法律</w:t>
      </w:r>
      <w:bookmarkEnd w:id="39"/>
      <w:bookmarkStart w:id="40" w:name="_Toc153443521"/>
      <w:bookmarkStart w:id="41" w:name="_Toc153443056"/>
      <w:bookmarkStart w:id="42" w:name="_Toc154566294"/>
      <w:bookmarkStart w:id="43" w:name="_Toc153525454"/>
      <w:bookmarkStart w:id="44" w:name="_Toc151221629"/>
      <w:bookmarkStart w:id="45" w:name="_Toc152859488"/>
    </w:p>
    <w:bookmarkEnd w:id="40"/>
    <w:bookmarkEnd w:id="41"/>
    <w:bookmarkEnd w:id="42"/>
    <w:bookmarkEnd w:id="43"/>
    <w:bookmarkEnd w:id="44"/>
    <w:bookmarkEnd w:id="45"/>
    <w:p w14:paraId="55EDDCD8">
      <w:pPr>
        <w:pStyle w:val="23"/>
        <w:numPr>
          <w:ilvl w:val="0"/>
          <w:numId w:val="1"/>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bookmarkStart w:id="46" w:name="_Toc457295093"/>
      <w:r>
        <w:rPr>
          <w:rFonts w:hint="eastAsia" w:ascii="Times New Roman" w:hAnsi="Times New Roman" w:eastAsia="宋体" w:cs="Times New Roman"/>
          <w:sz w:val="28"/>
          <w:szCs w:val="28"/>
          <w:highlight w:val="none"/>
          <w14:ligatures w14:val="none"/>
        </w:rPr>
        <w:t>《中华人民共和国安全生产法》（中华人民共和国主席令[2021]第八十八号，2021年09月01日实施）</w:t>
      </w:r>
    </w:p>
    <w:p w14:paraId="5622D888">
      <w:pPr>
        <w:pStyle w:val="23"/>
        <w:numPr>
          <w:ilvl w:val="0"/>
          <w:numId w:val="1"/>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《中华人民共和国危险化学品安全法》（中华人民共和国主席令第六十四号，2026年05月01日实施）</w:t>
      </w:r>
    </w:p>
    <w:p w14:paraId="213E273B">
      <w:pPr>
        <w:pStyle w:val="23"/>
        <w:numPr>
          <w:ilvl w:val="0"/>
          <w:numId w:val="1"/>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《中华人民共和国劳动法》（中华人民共和国主席令[2018]第二十四号，2018年12月29日实施）</w:t>
      </w:r>
    </w:p>
    <w:p w14:paraId="6873D753">
      <w:pPr>
        <w:pStyle w:val="23"/>
        <w:numPr>
          <w:ilvl w:val="0"/>
          <w:numId w:val="1"/>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《中华人民共和国职业病防治法》（中华人民共和国主席令[2018]第二十四号，2018年12月29日实施）</w:t>
      </w:r>
    </w:p>
    <w:p w14:paraId="3F1883A3">
      <w:pPr>
        <w:pStyle w:val="23"/>
        <w:numPr>
          <w:ilvl w:val="0"/>
          <w:numId w:val="1"/>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《中华人民共和国消防法》（中华人民共和国主席令[2021]第八十一号，2021年04月29日实施）</w:t>
      </w:r>
    </w:p>
    <w:p w14:paraId="2A7EE10D">
      <w:pPr>
        <w:pStyle w:val="23"/>
        <w:numPr>
          <w:ilvl w:val="0"/>
          <w:numId w:val="1"/>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《中华人民共和国突发事件应对法》（中华人民共和国主席令[2024]第二十五号，2024年11月01日实施）</w:t>
      </w:r>
    </w:p>
    <w:p w14:paraId="608C8B95">
      <w:pPr>
        <w:pStyle w:val="23"/>
        <w:numPr>
          <w:ilvl w:val="0"/>
          <w:numId w:val="1"/>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《中华人民共和国防震减灾法》（中华人民共和国主席令[2008]第七号，2009年05月01日实施）</w:t>
      </w:r>
    </w:p>
    <w:p w14:paraId="0AD3C77F">
      <w:pPr>
        <w:pStyle w:val="23"/>
        <w:numPr>
          <w:ilvl w:val="0"/>
          <w:numId w:val="1"/>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《中华人民共和国气象法》（中华人民共和国主席令[2016]第五十七号，2016年11月07日实施）</w:t>
      </w:r>
    </w:p>
    <w:p w14:paraId="799909FB">
      <w:pPr>
        <w:pStyle w:val="23"/>
        <w:numPr>
          <w:ilvl w:val="0"/>
          <w:numId w:val="1"/>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《中华人民共和国环境保护法》（中华人民共和国主席令[2014]第九号，2015年01月01日实施）</w:t>
      </w:r>
    </w:p>
    <w:p w14:paraId="7F20E0E2">
      <w:pPr>
        <w:pStyle w:val="23"/>
        <w:numPr>
          <w:ilvl w:val="0"/>
          <w:numId w:val="1"/>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《中华人民共和国特种设备安全法》（中华人民共和国主席令[2013]第四号，2014年01月01日实施）</w:t>
      </w:r>
    </w:p>
    <w:p w14:paraId="2B60444D">
      <w:pPr>
        <w:pStyle w:val="23"/>
        <w:numPr>
          <w:ilvl w:val="0"/>
          <w:numId w:val="1"/>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《中华人民共和国大气污染防治法》（中华人民共和国主席令[2018]第十六号，2018年10月26日实施）</w:t>
      </w:r>
    </w:p>
    <w:p w14:paraId="31DB58ED">
      <w:pPr>
        <w:pStyle w:val="23"/>
        <w:numPr>
          <w:ilvl w:val="0"/>
          <w:numId w:val="1"/>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《中华人民共和国社会保险法》（中华人民共和国主席令[2018]第二十五号，2018年12月29日实施）</w:t>
      </w:r>
    </w:p>
    <w:p w14:paraId="2728FDBD">
      <w:pPr>
        <w:tabs>
          <w:tab w:val="left" w:pos="840"/>
          <w:tab w:val="left" w:pos="1260"/>
        </w:tabs>
        <w:adjustRightInd w:val="0"/>
        <w:snapToGrid w:val="0"/>
        <w:spacing w:before="156" w:beforeLines="50" w:after="156" w:afterLines="50" w:line="360" w:lineRule="auto"/>
        <w:ind w:firstLine="562" w:firstLineChars="200"/>
        <w:jc w:val="both"/>
        <w:outlineLvl w:val="2"/>
        <w:rPr>
          <w:rFonts w:ascii="Times New Roman" w:hAnsi="Times New Roman" w:eastAsia="黑体" w:cs="Times New Roman"/>
          <w:b/>
          <w:sz w:val="28"/>
          <w:szCs w:val="32"/>
          <w:highlight w:val="none"/>
          <w14:ligatures w14:val="none"/>
        </w:rPr>
      </w:pPr>
      <w:r>
        <w:rPr>
          <w:rFonts w:ascii="Times New Roman" w:hAnsi="Times New Roman" w:eastAsia="黑体" w:cs="Times New Roman"/>
          <w:b/>
          <w:sz w:val="28"/>
          <w:szCs w:val="32"/>
          <w:highlight w:val="none"/>
          <w14:ligatures w14:val="none"/>
        </w:rPr>
        <w:t>1.2.2</w:t>
      </w:r>
      <w:r>
        <w:rPr>
          <w:rFonts w:hint="eastAsia" w:ascii="Times New Roman" w:hAnsi="Times New Roman" w:eastAsia="黑体" w:cs="Times New Roman"/>
          <w:b/>
          <w:sz w:val="28"/>
          <w:szCs w:val="32"/>
          <w:highlight w:val="none"/>
          <w14:ligatures w14:val="none"/>
        </w:rPr>
        <w:t>法规</w:t>
      </w:r>
      <w:bookmarkEnd w:id="46"/>
    </w:p>
    <w:p w14:paraId="6A9B053D">
      <w:pPr>
        <w:pStyle w:val="23"/>
        <w:numPr>
          <w:ilvl w:val="0"/>
          <w:numId w:val="2"/>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bookmarkStart w:id="47" w:name="OLE_LINK3"/>
      <w:bookmarkStart w:id="48" w:name="OLE_LINK4"/>
      <w:bookmarkStart w:id="49" w:name="_Toc457295094"/>
      <w:r>
        <w:rPr>
          <w:rFonts w:ascii="Times New Roman" w:hAnsi="Times New Roman" w:eastAsia="宋体" w:cs="Times New Roman"/>
          <w:sz w:val="28"/>
          <w:szCs w:val="28"/>
          <w:highlight w:val="none"/>
          <w14:ligatures w14:val="none"/>
        </w:rPr>
        <w:t>《危险化学品安全管理条例》</w:t>
      </w:r>
      <w:r>
        <w:rPr>
          <w:rFonts w:hint="eastAsia" w:ascii="Times New Roman" w:hAnsi="Times New Roman" w:eastAsia="宋体" w:cs="Times New Roman"/>
          <w:sz w:val="28"/>
          <w:szCs w:val="28"/>
          <w:highlight w:val="none"/>
          <w14:ligatures w14:val="none"/>
        </w:rPr>
        <w:t>（国务院令[2013]第645号，2013年12月7日施行）</w:t>
      </w:r>
    </w:p>
    <w:p w14:paraId="5824DD3C">
      <w:pPr>
        <w:pStyle w:val="23"/>
        <w:numPr>
          <w:ilvl w:val="0"/>
          <w:numId w:val="2"/>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t>《特种设备安全监察条例》</w:t>
      </w:r>
      <w:r>
        <w:rPr>
          <w:rFonts w:hint="eastAsia" w:ascii="Times New Roman" w:hAnsi="Times New Roman" w:eastAsia="宋体" w:cs="Times New Roman"/>
          <w:sz w:val="28"/>
          <w:szCs w:val="28"/>
          <w:highlight w:val="none"/>
          <w14:ligatures w14:val="none"/>
        </w:rPr>
        <w:t>（国务院令[2009]549号，2009年5月1日施行）</w:t>
      </w:r>
    </w:p>
    <w:p w14:paraId="19482C1A">
      <w:pPr>
        <w:pStyle w:val="23"/>
        <w:numPr>
          <w:ilvl w:val="0"/>
          <w:numId w:val="2"/>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t>《工伤保险条例》</w:t>
      </w:r>
      <w:r>
        <w:rPr>
          <w:rFonts w:hint="eastAsia" w:ascii="Times New Roman" w:hAnsi="Times New Roman" w:eastAsia="宋体" w:cs="Times New Roman"/>
          <w:sz w:val="28"/>
          <w:szCs w:val="28"/>
          <w:highlight w:val="none"/>
          <w14:ligatures w14:val="none"/>
        </w:rPr>
        <w:t>（</w:t>
      </w:r>
      <w:r>
        <w:rPr>
          <w:rFonts w:ascii="Times New Roman" w:hAnsi="Times New Roman" w:eastAsia="宋体" w:cs="Times New Roman"/>
          <w:sz w:val="28"/>
          <w:szCs w:val="28"/>
          <w:highlight w:val="none"/>
          <w14:ligatures w14:val="none"/>
        </w:rPr>
        <w:t>国务院令第586号，2011年01月01日施行</w:t>
      </w:r>
      <w:r>
        <w:rPr>
          <w:rFonts w:hint="eastAsia" w:ascii="Times New Roman" w:hAnsi="Times New Roman" w:eastAsia="宋体" w:cs="Times New Roman"/>
          <w:sz w:val="28"/>
          <w:szCs w:val="28"/>
          <w:highlight w:val="none"/>
          <w14:ligatures w14:val="none"/>
        </w:rPr>
        <w:t>）</w:t>
      </w:r>
    </w:p>
    <w:p w14:paraId="00D0AB1B">
      <w:pPr>
        <w:pStyle w:val="23"/>
        <w:numPr>
          <w:ilvl w:val="0"/>
          <w:numId w:val="2"/>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t>《气象灾害防御条例》（国务院令[2010]第570号，中华人民共和国国务院令[2017]第687号修订，2010年4月1日施行）</w:t>
      </w:r>
    </w:p>
    <w:p w14:paraId="6040CD20">
      <w:pPr>
        <w:pStyle w:val="23"/>
        <w:numPr>
          <w:ilvl w:val="0"/>
          <w:numId w:val="2"/>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t>《生产安全事故应急条例》（国务院令第708号，2019年04月01日施行）</w:t>
      </w:r>
    </w:p>
    <w:p w14:paraId="310A25CF">
      <w:pPr>
        <w:pStyle w:val="23"/>
        <w:numPr>
          <w:ilvl w:val="0"/>
          <w:numId w:val="2"/>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《生产安全事故报告和调查处理条例》（国务院令[2007]493号，2007年6月1日施行）</w:t>
      </w:r>
    </w:p>
    <w:p w14:paraId="039786F4">
      <w:pPr>
        <w:pStyle w:val="23"/>
        <w:numPr>
          <w:ilvl w:val="0"/>
          <w:numId w:val="2"/>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《突发事件应急预案管理办法》（国办发〔2024〕5号，2024年01月31日实施）</w:t>
      </w:r>
    </w:p>
    <w:p w14:paraId="6D594BB1">
      <w:pPr>
        <w:pStyle w:val="23"/>
        <w:numPr>
          <w:ilvl w:val="0"/>
          <w:numId w:val="2"/>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《辽宁省安全生产条例》（辽宁省人民代表大会常务委员会公告〔14届〕第34号，2025年05月29日起施行）</w:t>
      </w:r>
    </w:p>
    <w:p w14:paraId="15B9A8CF">
      <w:pPr>
        <w:pStyle w:val="23"/>
        <w:numPr>
          <w:ilvl w:val="0"/>
          <w:numId w:val="2"/>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《辽宁省消防条例》（</w:t>
      </w:r>
      <w:r>
        <w:rPr>
          <w:rFonts w:ascii="Times New Roman" w:hAnsi="Times New Roman" w:eastAsia="宋体" w:cs="Times New Roman"/>
          <w:sz w:val="28"/>
          <w:szCs w:val="28"/>
          <w:highlight w:val="none"/>
          <w14:ligatures w14:val="none"/>
        </w:rPr>
        <w:t>辽宁省第十三届人民代表大会常务委员会第二十五次会议修订，2022年11月9日起施行</w:t>
      </w:r>
      <w:r>
        <w:rPr>
          <w:rFonts w:hint="eastAsia" w:ascii="Times New Roman" w:hAnsi="Times New Roman" w:eastAsia="宋体" w:cs="Times New Roman"/>
          <w:sz w:val="28"/>
          <w:szCs w:val="28"/>
          <w:highlight w:val="none"/>
          <w14:ligatures w14:val="none"/>
        </w:rPr>
        <w:t>）</w:t>
      </w:r>
    </w:p>
    <w:p w14:paraId="0E8DC912">
      <w:pPr>
        <w:pStyle w:val="23"/>
        <w:numPr>
          <w:ilvl w:val="0"/>
          <w:numId w:val="2"/>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《辽宁省突发事件应对条例》（</w:t>
      </w:r>
      <w:r>
        <w:rPr>
          <w:rFonts w:ascii="Times New Roman" w:hAnsi="Times New Roman" w:eastAsia="宋体" w:cs="Times New Roman"/>
          <w:sz w:val="28"/>
          <w:szCs w:val="28"/>
          <w:highlight w:val="none"/>
          <w14:ligatures w14:val="none"/>
        </w:rPr>
        <w:t>辽宁省十三届大会常委会第十七次会议修订，自2020年3月30日起实施</w:t>
      </w:r>
      <w:r>
        <w:rPr>
          <w:rFonts w:hint="eastAsia" w:ascii="Times New Roman" w:hAnsi="Times New Roman" w:eastAsia="宋体" w:cs="Times New Roman"/>
          <w:sz w:val="28"/>
          <w:szCs w:val="28"/>
          <w:highlight w:val="none"/>
          <w14:ligatures w14:val="none"/>
        </w:rPr>
        <w:t>）</w:t>
      </w:r>
    </w:p>
    <w:p w14:paraId="70677008">
      <w:pPr>
        <w:pStyle w:val="23"/>
        <w:numPr>
          <w:ilvl w:val="0"/>
          <w:numId w:val="2"/>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《辽宁省防震减灾条例》（辽宁省第十一届人大常委会第二十二次会议审议通过，2011年06月01日施行）</w:t>
      </w:r>
    </w:p>
    <w:p w14:paraId="08F10CFF">
      <w:pPr>
        <w:pStyle w:val="23"/>
        <w:numPr>
          <w:ilvl w:val="0"/>
          <w:numId w:val="2"/>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《辽宁省环境保护条例》</w:t>
      </w:r>
      <w:r>
        <w:rPr>
          <w:rFonts w:hint="eastAsia" w:ascii="Times New Roman" w:hAnsi="Times New Roman" w:eastAsia="宋体" w:cs="Times New Roman"/>
          <w:sz w:val="28"/>
          <w:szCs w:val="28"/>
          <w:highlight w:val="none"/>
          <w:lang w:eastAsia="zh-CN"/>
          <w14:ligatures w14:val="none"/>
        </w:rPr>
        <w:t>（辽宁省第十二届人民代表大会常务委员会第三十八次会议通过，2018年2月1日起施行）</w:t>
      </w:r>
    </w:p>
    <w:p w14:paraId="4B41E176">
      <w:pPr>
        <w:tabs>
          <w:tab w:val="left" w:pos="840"/>
          <w:tab w:val="left" w:pos="1260"/>
        </w:tabs>
        <w:adjustRightInd w:val="0"/>
        <w:snapToGrid w:val="0"/>
        <w:spacing w:before="156" w:beforeLines="50" w:after="156" w:afterLines="50" w:line="360" w:lineRule="auto"/>
        <w:ind w:firstLine="562" w:firstLineChars="200"/>
        <w:jc w:val="both"/>
        <w:outlineLvl w:val="2"/>
        <w:rPr>
          <w:rFonts w:ascii="Times New Roman" w:hAnsi="Times New Roman" w:eastAsia="黑体" w:cs="Times New Roman"/>
          <w:b/>
          <w:sz w:val="28"/>
          <w:szCs w:val="32"/>
          <w:highlight w:val="none"/>
          <w14:ligatures w14:val="none"/>
        </w:rPr>
      </w:pPr>
      <w:r>
        <w:rPr>
          <w:rFonts w:ascii="Times New Roman" w:hAnsi="Times New Roman" w:eastAsia="黑体" w:cs="Times New Roman"/>
          <w:b/>
          <w:sz w:val="28"/>
          <w:szCs w:val="32"/>
          <w:highlight w:val="none"/>
          <w14:ligatures w14:val="none"/>
        </w:rPr>
        <w:t>1.2.3</w:t>
      </w:r>
      <w:bookmarkEnd w:id="47"/>
      <w:bookmarkEnd w:id="48"/>
      <w:r>
        <w:rPr>
          <w:rFonts w:hint="eastAsia" w:ascii="Times New Roman" w:hAnsi="Times New Roman" w:eastAsia="黑体" w:cs="Times New Roman"/>
          <w:b/>
          <w:sz w:val="28"/>
          <w:szCs w:val="32"/>
          <w:highlight w:val="none"/>
          <w14:ligatures w14:val="none"/>
        </w:rPr>
        <w:t>规章</w:t>
      </w:r>
      <w:bookmarkEnd w:id="49"/>
    </w:p>
    <w:p w14:paraId="39733DC4">
      <w:pPr>
        <w:pStyle w:val="23"/>
        <w:numPr>
          <w:ilvl w:val="0"/>
          <w:numId w:val="3"/>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bookmarkStart w:id="50" w:name="OLE_LINK10"/>
      <w:bookmarkStart w:id="51" w:name="OLE_LINK9"/>
      <w:bookmarkStart w:id="52" w:name="_Toc457295095"/>
      <w:bookmarkStart w:id="53" w:name="_Toc312652980"/>
      <w:bookmarkStart w:id="54" w:name="_Toc312653306"/>
      <w:bookmarkStart w:id="55" w:name="_Toc268242646"/>
      <w:bookmarkStart w:id="56" w:name="_Toc312653223"/>
      <w:bookmarkStart w:id="57" w:name="_Toc312653019"/>
      <w:bookmarkStart w:id="58" w:name="_Toc312653346"/>
      <w:bookmarkStart w:id="59" w:name="_Toc312653267"/>
      <w:bookmarkStart w:id="60" w:name="_Toc268244142"/>
      <w:bookmarkStart w:id="61" w:name="_Toc312653184"/>
      <w:bookmarkStart w:id="62" w:name="_Toc312653084"/>
      <w:bookmarkStart w:id="63" w:name="_Toc312652893"/>
      <w:bookmarkStart w:id="64" w:name="_Toc312652854"/>
      <w:bookmarkStart w:id="65" w:name="_Toc312652933"/>
      <w:bookmarkStart w:id="66" w:name="_Toc312653145"/>
      <w:r>
        <w:rPr>
          <w:rFonts w:ascii="Times New Roman" w:hAnsi="Times New Roman" w:eastAsia="宋体" w:cs="Times New Roman"/>
          <w:sz w:val="28"/>
          <w:szCs w:val="28"/>
          <w:highlight w:val="none"/>
          <w14:ligatures w14:val="none"/>
        </w:rPr>
        <w:t>《生产经营单位安全培训规定》</w:t>
      </w:r>
      <w:r>
        <w:rPr>
          <w:rFonts w:hint="eastAsia" w:ascii="Times New Roman" w:hAnsi="Times New Roman" w:eastAsia="宋体" w:cs="Times New Roman"/>
          <w:sz w:val="28"/>
          <w:szCs w:val="28"/>
          <w:highlight w:val="none"/>
          <w14:ligatures w14:val="none"/>
        </w:rPr>
        <w:t>（</w:t>
      </w:r>
      <w:r>
        <w:rPr>
          <w:rFonts w:ascii="Times New Roman" w:hAnsi="Times New Roman" w:eastAsia="宋体" w:cs="Times New Roman"/>
          <w:sz w:val="28"/>
          <w:szCs w:val="28"/>
          <w:highlight w:val="none"/>
          <w14:ligatures w14:val="none"/>
        </w:rPr>
        <w:t>原国家安全生产监督管理总局令第3号，原国家安全生产监督管理总局第80号令修订，2015年07月01日实</w:t>
      </w:r>
      <w:r>
        <w:rPr>
          <w:rFonts w:hint="eastAsia" w:ascii="Times New Roman" w:hAnsi="Times New Roman" w:eastAsia="宋体" w:cs="Times New Roman"/>
          <w:sz w:val="28"/>
          <w:szCs w:val="28"/>
          <w:highlight w:val="none"/>
          <w14:ligatures w14:val="none"/>
        </w:rPr>
        <w:t>施行）</w:t>
      </w:r>
    </w:p>
    <w:p w14:paraId="15155023">
      <w:pPr>
        <w:pStyle w:val="23"/>
        <w:numPr>
          <w:ilvl w:val="0"/>
          <w:numId w:val="3"/>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t>《安全生产培训管理办法》</w:t>
      </w:r>
      <w:r>
        <w:rPr>
          <w:rFonts w:hint="eastAsia" w:ascii="Times New Roman" w:hAnsi="Times New Roman" w:eastAsia="宋体" w:cs="Times New Roman"/>
          <w:sz w:val="28"/>
          <w:szCs w:val="28"/>
          <w:highlight w:val="none"/>
          <w14:ligatures w14:val="none"/>
        </w:rPr>
        <w:t>（原</w:t>
      </w:r>
      <w:r>
        <w:rPr>
          <w:rFonts w:ascii="Times New Roman" w:hAnsi="Times New Roman" w:eastAsia="宋体" w:cs="Times New Roman"/>
          <w:sz w:val="28"/>
          <w:szCs w:val="28"/>
          <w:highlight w:val="none"/>
          <w14:ligatures w14:val="none"/>
        </w:rPr>
        <w:t>国家安全生产监督管理总局令</w:t>
      </w:r>
      <w:r>
        <w:rPr>
          <w:rFonts w:hint="eastAsia" w:ascii="Times New Roman" w:hAnsi="Times New Roman" w:eastAsia="宋体" w:cs="Times New Roman"/>
          <w:sz w:val="28"/>
          <w:szCs w:val="28"/>
          <w:highlight w:val="none"/>
          <w14:ligatures w14:val="none"/>
        </w:rPr>
        <w:t>[2012]</w:t>
      </w:r>
      <w:r>
        <w:rPr>
          <w:rFonts w:ascii="Times New Roman" w:hAnsi="Times New Roman" w:eastAsia="宋体" w:cs="Times New Roman"/>
          <w:sz w:val="28"/>
          <w:szCs w:val="28"/>
          <w:highlight w:val="none"/>
          <w14:ligatures w14:val="none"/>
        </w:rPr>
        <w:t>第44号</w:t>
      </w:r>
      <w:r>
        <w:rPr>
          <w:rFonts w:hint="eastAsia" w:ascii="Times New Roman" w:hAnsi="Times New Roman" w:eastAsia="宋体" w:cs="Times New Roman"/>
          <w:sz w:val="28"/>
          <w:szCs w:val="28"/>
          <w:highlight w:val="none"/>
          <w14:ligatures w14:val="none"/>
        </w:rPr>
        <w:t>，原国家安全生产监督管理总局令[2015]80号修正，2015年7月1日施行）</w:t>
      </w:r>
    </w:p>
    <w:p w14:paraId="6DB01093">
      <w:pPr>
        <w:pStyle w:val="23"/>
        <w:numPr>
          <w:ilvl w:val="0"/>
          <w:numId w:val="3"/>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t>《</w:t>
      </w:r>
      <w:r>
        <w:rPr>
          <w:rFonts w:hint="eastAsia" w:ascii="Times New Roman" w:hAnsi="Times New Roman" w:eastAsia="宋体" w:cs="Times New Roman"/>
          <w:sz w:val="28"/>
          <w:szCs w:val="28"/>
          <w:highlight w:val="none"/>
          <w14:ligatures w14:val="none"/>
        </w:rPr>
        <w:t>特种作业人员安全技术培训考核管理规定》（中华人民共和国应急管理部令第19号，2026年06月01日实施）</w:t>
      </w:r>
    </w:p>
    <w:p w14:paraId="1678CAA5">
      <w:pPr>
        <w:pStyle w:val="23"/>
        <w:numPr>
          <w:ilvl w:val="0"/>
          <w:numId w:val="3"/>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t>《</w:t>
      </w:r>
      <w:r>
        <w:rPr>
          <w:rFonts w:hint="eastAsia" w:ascii="Times New Roman" w:hAnsi="Times New Roman" w:eastAsia="宋体" w:cs="Times New Roman"/>
          <w:sz w:val="28"/>
          <w:szCs w:val="28"/>
          <w:highlight w:val="none"/>
          <w14:ligatures w14:val="none"/>
        </w:rPr>
        <w:t>危险化学品经营许可证管理办法</w:t>
      </w:r>
      <w:r>
        <w:rPr>
          <w:rFonts w:ascii="Times New Roman" w:hAnsi="Times New Roman" w:eastAsia="宋体" w:cs="Times New Roman"/>
          <w:sz w:val="28"/>
          <w:szCs w:val="28"/>
          <w:highlight w:val="none"/>
          <w14:ligatures w14:val="none"/>
        </w:rPr>
        <w:t>》</w:t>
      </w:r>
      <w:r>
        <w:rPr>
          <w:rFonts w:hint="eastAsia" w:ascii="Times New Roman" w:hAnsi="Times New Roman" w:eastAsia="宋体" w:cs="Times New Roman"/>
          <w:sz w:val="28"/>
          <w:szCs w:val="28"/>
          <w:highlight w:val="none"/>
          <w14:ligatures w14:val="none"/>
        </w:rPr>
        <w:t>（</w:t>
      </w:r>
      <w:r>
        <w:rPr>
          <w:rFonts w:ascii="Times New Roman" w:hAnsi="Times New Roman" w:eastAsia="宋体" w:cs="Times New Roman"/>
          <w:sz w:val="28"/>
          <w:szCs w:val="28"/>
          <w:highlight w:val="none"/>
          <w14:ligatures w14:val="none"/>
        </w:rPr>
        <w:t>原国家安全生产监督管理总局令第55号，原国家安全生产监督管理总局令79号修订，2015年07月01日实施</w:t>
      </w:r>
      <w:r>
        <w:rPr>
          <w:rFonts w:hint="eastAsia" w:ascii="Times New Roman" w:hAnsi="Times New Roman" w:eastAsia="宋体" w:cs="Times New Roman"/>
          <w:sz w:val="28"/>
          <w:szCs w:val="28"/>
          <w:highlight w:val="none"/>
          <w14:ligatures w14:val="none"/>
        </w:rPr>
        <w:t>）</w:t>
      </w:r>
    </w:p>
    <w:p w14:paraId="3302DD81">
      <w:pPr>
        <w:pStyle w:val="23"/>
        <w:numPr>
          <w:ilvl w:val="0"/>
          <w:numId w:val="3"/>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t>《生产安全事故应急预案管理办法》（应急管理部令第2号修改，2019年09月01日实施）</w:t>
      </w:r>
    </w:p>
    <w:p w14:paraId="0FF8753C">
      <w:pPr>
        <w:pStyle w:val="23"/>
        <w:numPr>
          <w:ilvl w:val="0"/>
          <w:numId w:val="3"/>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《产业结构调整指导目录（2024年本）》（国家发展和改革委员会令第7号，2024年02月01日施行）</w:t>
      </w:r>
    </w:p>
    <w:p w14:paraId="49B62A54">
      <w:pPr>
        <w:pStyle w:val="23"/>
        <w:numPr>
          <w:ilvl w:val="0"/>
          <w:numId w:val="3"/>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t>《防雷减灾管理办法》（中国气象局令第24号，2013年6月1日施行）</w:t>
      </w:r>
    </w:p>
    <w:p w14:paraId="1D46F731">
      <w:pPr>
        <w:pStyle w:val="23"/>
        <w:numPr>
          <w:ilvl w:val="0"/>
          <w:numId w:val="3"/>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《特种设备安全监督检查办法》</w:t>
      </w:r>
      <w:r>
        <w:rPr>
          <w:rFonts w:hint="eastAsia" w:ascii="Times New Roman" w:hAnsi="Times New Roman" w:eastAsia="宋体" w:cs="Times New Roman"/>
          <w:sz w:val="28"/>
          <w:szCs w:val="28"/>
          <w:highlight w:val="none"/>
          <w:lang w:eastAsia="zh-CN"/>
          <w14:ligatures w14:val="none"/>
        </w:rPr>
        <w:t>（国家市场监督管理总局令</w:t>
      </w:r>
      <w:r>
        <w:rPr>
          <w:rFonts w:hint="eastAsia" w:ascii="Times New Roman" w:hAnsi="Times New Roman" w:eastAsia="宋体" w:cs="Times New Roman"/>
          <w:sz w:val="28"/>
          <w:szCs w:val="28"/>
          <w:highlight w:val="none"/>
          <w:lang w:val="en-US" w:eastAsia="zh-CN"/>
          <w14:ligatures w14:val="none"/>
        </w:rPr>
        <w:t>第57号，2022年5月26日实施</w:t>
      </w:r>
      <w:r>
        <w:rPr>
          <w:rFonts w:hint="eastAsia" w:ascii="Times New Roman" w:hAnsi="Times New Roman" w:eastAsia="宋体" w:cs="Times New Roman"/>
          <w:sz w:val="28"/>
          <w:szCs w:val="28"/>
          <w:highlight w:val="none"/>
          <w:lang w:eastAsia="zh-CN"/>
          <w14:ligatures w14:val="none"/>
        </w:rPr>
        <w:t>）</w:t>
      </w:r>
    </w:p>
    <w:p w14:paraId="659AA460">
      <w:pPr>
        <w:pStyle w:val="23"/>
        <w:numPr>
          <w:ilvl w:val="0"/>
          <w:numId w:val="3"/>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《特种设备使用单位落实使用安全主体责任监督管理规定》</w:t>
      </w:r>
      <w:r>
        <w:rPr>
          <w:rFonts w:hint="eastAsia" w:ascii="Times New Roman" w:hAnsi="Times New Roman" w:eastAsia="宋体" w:cs="Times New Roman"/>
          <w:sz w:val="28"/>
          <w:szCs w:val="28"/>
          <w:highlight w:val="none"/>
          <w:lang w:eastAsia="zh-CN"/>
          <w14:ligatures w14:val="none"/>
        </w:rPr>
        <w:t>（国家市场监督管理总局令第74号，自2023年5月5日起施行）</w:t>
      </w:r>
    </w:p>
    <w:p w14:paraId="328E84F9">
      <w:pPr>
        <w:pStyle w:val="23"/>
        <w:numPr>
          <w:ilvl w:val="0"/>
          <w:numId w:val="3"/>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《生产经营单位安全培训规定》</w:t>
      </w:r>
      <w:r>
        <w:rPr>
          <w:rFonts w:hint="eastAsia" w:ascii="Times New Roman" w:hAnsi="Times New Roman" w:eastAsia="宋体" w:cs="Times New Roman"/>
          <w:sz w:val="28"/>
          <w:szCs w:val="28"/>
          <w:highlight w:val="none"/>
          <w:lang w:eastAsia="zh-CN"/>
          <w14:ligatures w14:val="none"/>
        </w:rPr>
        <w:t>（国家安全生产监督管理总局令第3号公布，根据2015年5月29日国家安全生产监督管理总局令第80号第二次修正，自2006年3月1日起施行）</w:t>
      </w:r>
    </w:p>
    <w:p w14:paraId="5571F891">
      <w:pPr>
        <w:pStyle w:val="23"/>
        <w:numPr>
          <w:ilvl w:val="0"/>
          <w:numId w:val="3"/>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《安全生产事故隐患排查治理暂行规定》</w:t>
      </w:r>
      <w:r>
        <w:rPr>
          <w:rFonts w:hint="eastAsia" w:ascii="Times New Roman" w:hAnsi="Times New Roman" w:eastAsia="宋体" w:cs="Times New Roman"/>
          <w:sz w:val="28"/>
          <w:szCs w:val="28"/>
          <w:highlight w:val="none"/>
          <w:lang w:eastAsia="zh-CN"/>
          <w14:ligatures w14:val="none"/>
        </w:rPr>
        <w:t>（国家安全生产监督管理总局令第16号，自2008年2月1日起施行）</w:t>
      </w:r>
    </w:p>
    <w:p w14:paraId="6C82C6CF">
      <w:pPr>
        <w:pStyle w:val="23"/>
        <w:numPr>
          <w:ilvl w:val="0"/>
          <w:numId w:val="3"/>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《辽宁省企业安全生产主体责任规定》（辽宁省人民政府令[2021]341号，2021年5月18日施行）</w:t>
      </w:r>
    </w:p>
    <w:p w14:paraId="7011DB6C">
      <w:pPr>
        <w:pStyle w:val="23"/>
        <w:numPr>
          <w:ilvl w:val="0"/>
          <w:numId w:val="3"/>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《辽宁省雷电灾害防御管理规定》（辽宁省人民政府令[2018]324号，2018年12月4日施行）</w:t>
      </w:r>
    </w:p>
    <w:p w14:paraId="781BB18C">
      <w:pPr>
        <w:pStyle w:val="23"/>
        <w:numPr>
          <w:ilvl w:val="0"/>
          <w:numId w:val="3"/>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《辽宁省工伤保险实施办法》（辽宁省人民政府令第316号，2018年2月1日施行）</w:t>
      </w:r>
    </w:p>
    <w:p w14:paraId="597736AD">
      <w:pPr>
        <w:tabs>
          <w:tab w:val="left" w:pos="840"/>
          <w:tab w:val="left" w:pos="1260"/>
        </w:tabs>
        <w:adjustRightInd w:val="0"/>
        <w:snapToGrid w:val="0"/>
        <w:spacing w:before="156" w:beforeLines="50" w:after="156" w:afterLines="50" w:line="360" w:lineRule="auto"/>
        <w:ind w:firstLine="562" w:firstLineChars="200"/>
        <w:jc w:val="both"/>
        <w:outlineLvl w:val="2"/>
        <w:rPr>
          <w:rFonts w:ascii="Times New Roman" w:hAnsi="Times New Roman" w:eastAsia="黑体" w:cs="Times New Roman"/>
          <w:b/>
          <w:sz w:val="28"/>
          <w:szCs w:val="32"/>
          <w:highlight w:val="none"/>
          <w14:ligatures w14:val="none"/>
        </w:rPr>
      </w:pPr>
      <w:r>
        <w:rPr>
          <w:rFonts w:ascii="Times New Roman" w:hAnsi="Times New Roman" w:eastAsia="黑体" w:cs="Times New Roman"/>
          <w:b/>
          <w:sz w:val="28"/>
          <w:szCs w:val="32"/>
          <w:highlight w:val="none"/>
          <w14:ligatures w14:val="none"/>
        </w:rPr>
        <w:t>1.2.4</w:t>
      </w:r>
      <w:bookmarkEnd w:id="50"/>
      <w:bookmarkEnd w:id="51"/>
      <w:r>
        <w:rPr>
          <w:rFonts w:hint="eastAsia" w:ascii="Times New Roman" w:hAnsi="Times New Roman" w:eastAsia="黑体" w:cs="Times New Roman"/>
          <w:b/>
          <w:sz w:val="28"/>
          <w:szCs w:val="32"/>
          <w:highlight w:val="none"/>
          <w14:ligatures w14:val="none"/>
        </w:rPr>
        <w:t>规范性文件</w:t>
      </w:r>
      <w:bookmarkEnd w:id="52"/>
    </w:p>
    <w:p w14:paraId="4D797D90">
      <w:pPr>
        <w:pStyle w:val="23"/>
        <w:numPr>
          <w:ilvl w:val="0"/>
          <w:numId w:val="4"/>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bookmarkStart w:id="67" w:name="_Toc457295096"/>
      <w:r>
        <w:rPr>
          <w:rFonts w:hint="eastAsia" w:ascii="Times New Roman" w:hAnsi="Times New Roman" w:eastAsia="宋体" w:cs="Times New Roman"/>
          <w:sz w:val="28"/>
          <w:szCs w:val="28"/>
          <w:highlight w:val="none"/>
          <w14:ligatures w14:val="none"/>
        </w:rPr>
        <w:t>《国务院关于进一步加强安全生产工作的决定》（国发[2004]2号，2004年1月9日施行）</w:t>
      </w:r>
    </w:p>
    <w:p w14:paraId="48D2DAAC">
      <w:pPr>
        <w:pStyle w:val="23"/>
        <w:numPr>
          <w:ilvl w:val="0"/>
          <w:numId w:val="4"/>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t>《国务院关于全面加强应急管理工作的意见》</w:t>
      </w:r>
      <w:r>
        <w:rPr>
          <w:rFonts w:hint="eastAsia" w:ascii="Times New Roman" w:hAnsi="Times New Roman" w:eastAsia="宋体" w:cs="Times New Roman"/>
          <w:sz w:val="28"/>
          <w:szCs w:val="28"/>
          <w:highlight w:val="none"/>
          <w14:ligatures w14:val="none"/>
        </w:rPr>
        <w:t>（</w:t>
      </w:r>
      <w:r>
        <w:rPr>
          <w:rFonts w:ascii="Times New Roman" w:hAnsi="Times New Roman" w:eastAsia="宋体" w:cs="Times New Roman"/>
          <w:sz w:val="28"/>
          <w:szCs w:val="28"/>
          <w:highlight w:val="none"/>
          <w14:ligatures w14:val="none"/>
        </w:rPr>
        <w:t>国发[2006]24号</w:t>
      </w:r>
      <w:r>
        <w:rPr>
          <w:rFonts w:hint="eastAsia" w:ascii="Times New Roman" w:hAnsi="Times New Roman" w:eastAsia="宋体" w:cs="Times New Roman"/>
          <w:sz w:val="28"/>
          <w:szCs w:val="28"/>
          <w:highlight w:val="none"/>
          <w14:ligatures w14:val="none"/>
        </w:rPr>
        <w:t>，2006年6月15日施行）</w:t>
      </w:r>
    </w:p>
    <w:p w14:paraId="5C1BDEC3">
      <w:pPr>
        <w:pStyle w:val="23"/>
        <w:numPr>
          <w:ilvl w:val="0"/>
          <w:numId w:val="4"/>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t>《国务院关于进一步加强企业安全生产工作的通知》</w:t>
      </w:r>
      <w:r>
        <w:rPr>
          <w:rFonts w:hint="eastAsia" w:ascii="Times New Roman" w:hAnsi="Times New Roman" w:eastAsia="宋体" w:cs="Times New Roman"/>
          <w:sz w:val="28"/>
          <w:szCs w:val="28"/>
          <w:highlight w:val="none"/>
          <w14:ligatures w14:val="none"/>
        </w:rPr>
        <w:t>（</w:t>
      </w:r>
      <w:r>
        <w:rPr>
          <w:rFonts w:ascii="Times New Roman" w:hAnsi="Times New Roman" w:eastAsia="宋体" w:cs="Times New Roman"/>
          <w:sz w:val="28"/>
          <w:szCs w:val="28"/>
          <w:highlight w:val="none"/>
          <w14:ligatures w14:val="none"/>
        </w:rPr>
        <w:t>国发[2010]23号</w:t>
      </w:r>
      <w:r>
        <w:rPr>
          <w:rFonts w:hint="eastAsia" w:ascii="Times New Roman" w:hAnsi="Times New Roman" w:eastAsia="宋体" w:cs="Times New Roman"/>
          <w:sz w:val="28"/>
          <w:szCs w:val="28"/>
          <w:highlight w:val="none"/>
          <w14:ligatures w14:val="none"/>
        </w:rPr>
        <w:t>，2010年7月19日施行）</w:t>
      </w:r>
    </w:p>
    <w:p w14:paraId="343DB65B">
      <w:pPr>
        <w:pStyle w:val="23"/>
        <w:numPr>
          <w:ilvl w:val="0"/>
          <w:numId w:val="4"/>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《危险化学品目录（2026调整）》（应急管理部等十部门公告[2026]年第3号</w:t>
      </w:r>
      <w:r>
        <w:rPr>
          <w:rFonts w:ascii="Times New Roman" w:hAnsi="Times New Roman" w:eastAsia="宋体" w:cs="Times New Roman"/>
          <w:sz w:val="28"/>
          <w:szCs w:val="28"/>
          <w:highlight w:val="none"/>
          <w14:ligatures w14:val="none"/>
        </w:rPr>
        <w:t>，</w:t>
      </w:r>
      <w:r>
        <w:rPr>
          <w:rFonts w:hint="eastAsia" w:ascii="Times New Roman" w:hAnsi="Times New Roman" w:eastAsia="宋体" w:cs="Times New Roman"/>
          <w:sz w:val="28"/>
          <w:szCs w:val="28"/>
          <w:highlight w:val="none"/>
          <w14:ligatures w14:val="none"/>
        </w:rPr>
        <w:t>2026年4月16日施行</w:t>
      </w:r>
      <w:r>
        <w:rPr>
          <w:rFonts w:ascii="Times New Roman" w:hAnsi="Times New Roman" w:eastAsia="宋体" w:cs="Times New Roman"/>
          <w:sz w:val="28"/>
          <w:szCs w:val="28"/>
          <w:highlight w:val="none"/>
          <w14:ligatures w14:val="none"/>
        </w:rPr>
        <w:t>）</w:t>
      </w:r>
    </w:p>
    <w:p w14:paraId="3E89A0E4">
      <w:pPr>
        <w:pStyle w:val="23"/>
        <w:numPr>
          <w:ilvl w:val="0"/>
          <w:numId w:val="4"/>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t>《国家安全监管总局办公厅关于印发危险化学品目录（2015版）实施指南（试行）的通知》（安监总厅管三[2015]80号，2015年8月19日发布）</w:t>
      </w:r>
    </w:p>
    <w:p w14:paraId="0A1A2ED0">
      <w:pPr>
        <w:pStyle w:val="23"/>
        <w:numPr>
          <w:ilvl w:val="0"/>
          <w:numId w:val="4"/>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《关于调整危险化学品目录（2015版）的公告》（应急管理部等十部门公告2022年第8号，2023年01月01日实施）</w:t>
      </w:r>
    </w:p>
    <w:p w14:paraId="0B4C0251">
      <w:pPr>
        <w:pStyle w:val="23"/>
        <w:numPr>
          <w:ilvl w:val="0"/>
          <w:numId w:val="4"/>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《国家安全监管总局关于公布首批重点监管的危险化学品目录的通知》（安监总管三[</w:t>
      </w:r>
      <w:r>
        <w:rPr>
          <w:rFonts w:ascii="Times New Roman" w:hAnsi="Times New Roman" w:eastAsia="宋体" w:cs="Times New Roman"/>
          <w:sz w:val="28"/>
          <w:szCs w:val="28"/>
          <w:highlight w:val="none"/>
          <w14:ligatures w14:val="none"/>
        </w:rPr>
        <w:t>2011</w:t>
      </w:r>
      <w:r>
        <w:rPr>
          <w:rFonts w:hint="eastAsia" w:ascii="Times New Roman" w:hAnsi="Times New Roman" w:eastAsia="宋体" w:cs="Times New Roman"/>
          <w:sz w:val="28"/>
          <w:szCs w:val="28"/>
          <w:highlight w:val="none"/>
          <w14:ligatures w14:val="none"/>
        </w:rPr>
        <w:t>]</w:t>
      </w:r>
      <w:r>
        <w:rPr>
          <w:rFonts w:ascii="Times New Roman" w:hAnsi="Times New Roman" w:eastAsia="宋体" w:cs="Times New Roman"/>
          <w:sz w:val="28"/>
          <w:szCs w:val="28"/>
          <w:highlight w:val="none"/>
          <w14:ligatures w14:val="none"/>
        </w:rPr>
        <w:t>95</w:t>
      </w:r>
      <w:r>
        <w:rPr>
          <w:rFonts w:hint="eastAsia" w:ascii="Times New Roman" w:hAnsi="Times New Roman" w:eastAsia="宋体" w:cs="Times New Roman"/>
          <w:sz w:val="28"/>
          <w:szCs w:val="28"/>
          <w:highlight w:val="none"/>
          <w14:ligatures w14:val="none"/>
        </w:rPr>
        <w:t>号</w:t>
      </w:r>
      <w:r>
        <w:rPr>
          <w:rFonts w:ascii="Times New Roman" w:hAnsi="Times New Roman" w:eastAsia="宋体" w:cs="Times New Roman"/>
          <w:sz w:val="28"/>
          <w:szCs w:val="28"/>
          <w:highlight w:val="none"/>
          <w14:ligatures w14:val="none"/>
        </w:rPr>
        <w:t>）</w:t>
      </w:r>
    </w:p>
    <w:p w14:paraId="7E019BFD">
      <w:pPr>
        <w:pStyle w:val="23"/>
        <w:numPr>
          <w:ilvl w:val="0"/>
          <w:numId w:val="4"/>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《国家安全监管总局关于公布第二批重点监管危险化学品目录的通知》（安监总管三[2013]12号）</w:t>
      </w:r>
    </w:p>
    <w:p w14:paraId="1ECA2C74">
      <w:pPr>
        <w:pStyle w:val="23"/>
        <w:numPr>
          <w:ilvl w:val="0"/>
          <w:numId w:val="4"/>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t>《应急管理部办公厅关于印发〈危险化学品企业生产安全事故应急准备指南〉的通知》（应急〔2019〕62号，2019年12月26日发布）</w:t>
      </w:r>
    </w:p>
    <w:p w14:paraId="4D181536">
      <w:pPr>
        <w:pStyle w:val="23"/>
        <w:numPr>
          <w:ilvl w:val="0"/>
          <w:numId w:val="4"/>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t>《特别管控危险化学品目录（第一版）》（应急管理部等四部门公告[2020]1号，2020年5月30日施行）</w:t>
      </w:r>
    </w:p>
    <w:p w14:paraId="2FF2A5DD">
      <w:pPr>
        <w:pStyle w:val="23"/>
        <w:numPr>
          <w:ilvl w:val="0"/>
          <w:numId w:val="4"/>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t>《国家安全监管总局办公厅关于印发首批重点监管的危险化学品安全措施和应急处置原则的通知》（安监总厅管三[2011]142号，2011年7月1日实施）</w:t>
      </w:r>
    </w:p>
    <w:p w14:paraId="0AD1E2AF">
      <w:pPr>
        <w:pStyle w:val="23"/>
        <w:numPr>
          <w:ilvl w:val="0"/>
          <w:numId w:val="4"/>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《国家安全监管总局关于加强化工企业泄漏管理的指导意见》（安监总管三[2014]94号）</w:t>
      </w:r>
    </w:p>
    <w:p w14:paraId="30F20D6C">
      <w:pPr>
        <w:pStyle w:val="23"/>
        <w:numPr>
          <w:ilvl w:val="0"/>
          <w:numId w:val="4"/>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t>《关于印发&lt;企业安全生产费用提取和使用管理办法&gt;的通知》（财政部 应急部 财资[2022]136号，2022年11月21日起实施）</w:t>
      </w:r>
    </w:p>
    <w:p w14:paraId="50F9A467">
      <w:pPr>
        <w:pStyle w:val="23"/>
        <w:numPr>
          <w:ilvl w:val="0"/>
          <w:numId w:val="4"/>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w:t>
      </w:r>
      <w:r>
        <w:rPr>
          <w:rFonts w:ascii="Times New Roman" w:hAnsi="Times New Roman" w:eastAsia="宋体" w:cs="Times New Roman"/>
          <w:sz w:val="28"/>
          <w:szCs w:val="28"/>
          <w:highlight w:val="none"/>
          <w14:ligatures w14:val="none"/>
        </w:rPr>
        <w:t>国务院安全生产委员会关于印发</w:t>
      </w:r>
      <w:r>
        <w:rPr>
          <w:rFonts w:hint="eastAsia" w:ascii="Times New Roman" w:hAnsi="Times New Roman" w:eastAsia="宋体" w:cs="Times New Roman"/>
          <w:sz w:val="28"/>
          <w:szCs w:val="28"/>
          <w:highlight w:val="none"/>
          <w14:ligatures w14:val="none"/>
        </w:rPr>
        <w:t>&lt;</w:t>
      </w:r>
      <w:r>
        <w:rPr>
          <w:rFonts w:ascii="Times New Roman" w:hAnsi="Times New Roman" w:eastAsia="宋体" w:cs="Times New Roman"/>
          <w:sz w:val="28"/>
          <w:szCs w:val="28"/>
          <w:highlight w:val="none"/>
          <w14:ligatures w14:val="none"/>
        </w:rPr>
        <w:t>全国危险化学品安全风险集中治理方案</w:t>
      </w:r>
      <w:r>
        <w:rPr>
          <w:rFonts w:hint="eastAsia" w:ascii="Times New Roman" w:hAnsi="Times New Roman" w:eastAsia="宋体" w:cs="Times New Roman"/>
          <w:sz w:val="28"/>
          <w:szCs w:val="28"/>
          <w:highlight w:val="none"/>
          <w14:ligatures w14:val="none"/>
        </w:rPr>
        <w:t>&gt;</w:t>
      </w:r>
      <w:r>
        <w:rPr>
          <w:rFonts w:ascii="Times New Roman" w:hAnsi="Times New Roman" w:eastAsia="宋体" w:cs="Times New Roman"/>
          <w:sz w:val="28"/>
          <w:szCs w:val="28"/>
          <w:highlight w:val="none"/>
          <w14:ligatures w14:val="none"/>
        </w:rPr>
        <w:t>的通知</w:t>
      </w:r>
      <w:r>
        <w:rPr>
          <w:rFonts w:hint="eastAsia" w:ascii="Times New Roman" w:hAnsi="Times New Roman" w:eastAsia="宋体" w:cs="Times New Roman"/>
          <w:sz w:val="28"/>
          <w:szCs w:val="28"/>
          <w:highlight w:val="none"/>
          <w14:ligatures w14:val="none"/>
        </w:rPr>
        <w:t>》</w:t>
      </w:r>
      <w:r>
        <w:rPr>
          <w:rFonts w:ascii="Times New Roman" w:hAnsi="Times New Roman" w:eastAsia="宋体" w:cs="Times New Roman"/>
          <w:sz w:val="28"/>
          <w:szCs w:val="28"/>
          <w:highlight w:val="none"/>
          <w14:ligatures w14:val="none"/>
        </w:rPr>
        <w:t>（安委[2021]12号）</w:t>
      </w:r>
    </w:p>
    <w:p w14:paraId="1424D7CA">
      <w:pPr>
        <w:pStyle w:val="23"/>
        <w:numPr>
          <w:ilvl w:val="0"/>
          <w:numId w:val="4"/>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w:t>
      </w:r>
      <w:r>
        <w:rPr>
          <w:rFonts w:ascii="Times New Roman" w:hAnsi="Times New Roman" w:eastAsia="宋体" w:cs="Times New Roman"/>
          <w:sz w:val="28"/>
          <w:szCs w:val="28"/>
          <w:highlight w:val="none"/>
          <w14:ligatures w14:val="none"/>
        </w:rPr>
        <w:t>国务院安全生产委员会印发</w:t>
      </w:r>
      <w:r>
        <w:rPr>
          <w:rFonts w:hint="eastAsia" w:ascii="Times New Roman" w:hAnsi="Times New Roman" w:eastAsia="宋体" w:cs="Times New Roman"/>
          <w:sz w:val="28"/>
          <w:szCs w:val="28"/>
          <w:highlight w:val="none"/>
          <w14:ligatures w14:val="none"/>
        </w:rPr>
        <w:t>&lt;</w:t>
      </w:r>
      <w:r>
        <w:rPr>
          <w:rFonts w:ascii="Times New Roman" w:hAnsi="Times New Roman" w:eastAsia="宋体" w:cs="Times New Roman"/>
          <w:sz w:val="28"/>
          <w:szCs w:val="28"/>
          <w:highlight w:val="none"/>
          <w14:ligatures w14:val="none"/>
        </w:rPr>
        <w:t>关于进一步强化安全生产责任落实坚决防范遏制重特大事故的若干措施</w:t>
      </w:r>
      <w:r>
        <w:rPr>
          <w:rFonts w:hint="eastAsia" w:ascii="Times New Roman" w:hAnsi="Times New Roman" w:eastAsia="宋体" w:cs="Times New Roman"/>
          <w:sz w:val="28"/>
          <w:szCs w:val="28"/>
          <w:highlight w:val="none"/>
          <w14:ligatures w14:val="none"/>
        </w:rPr>
        <w:t>&gt;</w:t>
      </w:r>
      <w:r>
        <w:rPr>
          <w:rFonts w:ascii="Times New Roman" w:hAnsi="Times New Roman" w:eastAsia="宋体" w:cs="Times New Roman"/>
          <w:sz w:val="28"/>
          <w:szCs w:val="28"/>
          <w:highlight w:val="none"/>
          <w14:ligatures w14:val="none"/>
        </w:rPr>
        <w:t>的通知</w:t>
      </w:r>
      <w:r>
        <w:rPr>
          <w:rFonts w:hint="eastAsia" w:ascii="Times New Roman" w:hAnsi="Times New Roman" w:eastAsia="宋体" w:cs="Times New Roman"/>
          <w:sz w:val="28"/>
          <w:szCs w:val="28"/>
          <w:highlight w:val="none"/>
          <w14:ligatures w14:val="none"/>
        </w:rPr>
        <w:t>》</w:t>
      </w:r>
      <w:r>
        <w:rPr>
          <w:rFonts w:ascii="Times New Roman" w:hAnsi="Times New Roman" w:eastAsia="宋体" w:cs="Times New Roman"/>
          <w:sz w:val="28"/>
          <w:szCs w:val="28"/>
          <w:highlight w:val="none"/>
          <w14:ligatures w14:val="none"/>
        </w:rPr>
        <w:t>（安委[2022]6号）</w:t>
      </w:r>
    </w:p>
    <w:p w14:paraId="64772816">
      <w:pPr>
        <w:pStyle w:val="23"/>
        <w:numPr>
          <w:ilvl w:val="0"/>
          <w:numId w:val="4"/>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t>《</w:t>
      </w:r>
      <w:r>
        <w:rPr>
          <w:rFonts w:hint="eastAsia" w:ascii="Times New Roman" w:hAnsi="Times New Roman" w:eastAsia="宋体" w:cs="Times New Roman"/>
          <w:sz w:val="28"/>
          <w:szCs w:val="28"/>
          <w:highlight w:val="none"/>
          <w14:ligatures w14:val="none"/>
        </w:rPr>
        <w:t>关于开展提升危险化学品领域本质安全水平专项行动的通知》（原安监总管三〔2012〕87号，2012年06月29日施行）</w:t>
      </w:r>
    </w:p>
    <w:p w14:paraId="0C643F17">
      <w:pPr>
        <w:pStyle w:val="23"/>
        <w:numPr>
          <w:ilvl w:val="0"/>
          <w:numId w:val="4"/>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《特种设备作业人员监督管理办法（2011修正）》（国质检令[2011]140号，2011年7月1日施行）</w:t>
      </w:r>
    </w:p>
    <w:p w14:paraId="7CD515A4">
      <w:pPr>
        <w:pStyle w:val="23"/>
        <w:numPr>
          <w:ilvl w:val="0"/>
          <w:numId w:val="4"/>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《安全生产治本攻坚三年行动方案（2024-2026年）》（安委[2024]1号）</w:t>
      </w:r>
    </w:p>
    <w:p w14:paraId="15AC2EF0">
      <w:pPr>
        <w:pStyle w:val="23"/>
        <w:numPr>
          <w:ilvl w:val="0"/>
          <w:numId w:val="4"/>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t>《关于做好危险化学品经营许可证办法管理有关工作的通知》（辽安监管三[2012]144号，2012年8月30日实施）</w:t>
      </w:r>
    </w:p>
    <w:p w14:paraId="0991787E">
      <w:pPr>
        <w:pStyle w:val="23"/>
        <w:numPr>
          <w:ilvl w:val="0"/>
          <w:numId w:val="4"/>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t>《关于印发辽宁省安全生产监督管理局贯彻落实〈生产安全事故应急预案管理办法〉实施细则的通知》（辽安监应急[2017]5号，2017年9月13日实施）</w:t>
      </w:r>
    </w:p>
    <w:p w14:paraId="2CC8424E">
      <w:pPr>
        <w:pStyle w:val="23"/>
        <w:numPr>
          <w:ilvl w:val="0"/>
          <w:numId w:val="4"/>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t>《辽宁省安全生产委员会关于深刻吸取事故教训切实加强当前安全生产工作的通知》（辽安委[2020]1号）</w:t>
      </w:r>
    </w:p>
    <w:p w14:paraId="19A47D95">
      <w:pPr>
        <w:tabs>
          <w:tab w:val="left" w:pos="840"/>
          <w:tab w:val="left" w:pos="1260"/>
        </w:tabs>
        <w:adjustRightInd w:val="0"/>
        <w:snapToGrid w:val="0"/>
        <w:spacing w:before="156" w:beforeLines="50" w:after="156" w:afterLines="50" w:line="360" w:lineRule="auto"/>
        <w:ind w:firstLine="562" w:firstLineChars="200"/>
        <w:jc w:val="both"/>
        <w:outlineLvl w:val="2"/>
        <w:rPr>
          <w:rFonts w:ascii="Times New Roman" w:hAnsi="Times New Roman" w:eastAsia="黑体" w:cs="Times New Roman"/>
          <w:b/>
          <w:sz w:val="28"/>
          <w:szCs w:val="32"/>
          <w:highlight w:val="none"/>
          <w14:ligatures w14:val="none"/>
        </w:rPr>
      </w:pPr>
      <w:r>
        <w:rPr>
          <w:rFonts w:ascii="Times New Roman" w:hAnsi="Times New Roman" w:eastAsia="黑体" w:cs="Times New Roman"/>
          <w:b/>
          <w:sz w:val="28"/>
          <w:szCs w:val="32"/>
          <w:highlight w:val="none"/>
          <w14:ligatures w14:val="none"/>
        </w:rPr>
        <w:t>1.2.5</w:t>
      </w:r>
      <w:r>
        <w:rPr>
          <w:rFonts w:hint="eastAsia" w:ascii="Times New Roman" w:hAnsi="Times New Roman" w:eastAsia="黑体" w:cs="Times New Roman"/>
          <w:b/>
          <w:sz w:val="28"/>
          <w:szCs w:val="32"/>
          <w:highlight w:val="none"/>
          <w14:ligatures w14:val="none"/>
        </w:rPr>
        <w:t>标准、规范</w:t>
      </w:r>
      <w:bookmarkEnd w:id="67"/>
    </w:p>
    <w:bookmarkEnd w:id="53"/>
    <w:bookmarkEnd w:id="54"/>
    <w:bookmarkEnd w:id="55"/>
    <w:bookmarkEnd w:id="56"/>
    <w:bookmarkEnd w:id="57"/>
    <w:bookmarkEnd w:id="58"/>
    <w:bookmarkEnd w:id="59"/>
    <w:bookmarkEnd w:id="60"/>
    <w:bookmarkEnd w:id="61"/>
    <w:bookmarkEnd w:id="62"/>
    <w:bookmarkEnd w:id="63"/>
    <w:bookmarkEnd w:id="64"/>
    <w:bookmarkEnd w:id="65"/>
    <w:bookmarkEnd w:id="66"/>
    <w:p w14:paraId="56728F66">
      <w:pPr>
        <w:pStyle w:val="23"/>
        <w:numPr>
          <w:ilvl w:val="0"/>
          <w:numId w:val="5"/>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t>《安全评价通则》（AQ 8001-2007）</w:t>
      </w:r>
    </w:p>
    <w:p w14:paraId="03F426D5">
      <w:pPr>
        <w:pStyle w:val="23"/>
        <w:numPr>
          <w:ilvl w:val="0"/>
          <w:numId w:val="5"/>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《工业企业总平面设计规范》（GB 50187-2012）</w:t>
      </w:r>
    </w:p>
    <w:p w14:paraId="488266A3">
      <w:pPr>
        <w:pStyle w:val="23"/>
        <w:numPr>
          <w:ilvl w:val="0"/>
          <w:numId w:val="5"/>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《工业企业设计卫生标准》（GBZ 1-2010）</w:t>
      </w:r>
    </w:p>
    <w:p w14:paraId="4DA849F7">
      <w:pPr>
        <w:pStyle w:val="23"/>
        <w:numPr>
          <w:ilvl w:val="0"/>
          <w:numId w:val="5"/>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t>《生产设备安全卫生设计总则》（</w:t>
      </w:r>
      <w:r>
        <w:rPr>
          <w:rFonts w:hint="eastAsia" w:ascii="Times New Roman" w:hAnsi="Times New Roman" w:eastAsia="宋体" w:cs="Times New Roman"/>
          <w:sz w:val="28"/>
          <w:szCs w:val="28"/>
          <w:highlight w:val="none"/>
          <w14:ligatures w14:val="none"/>
        </w:rPr>
        <w:t>GB 5083-2023</w:t>
      </w:r>
      <w:r>
        <w:rPr>
          <w:rFonts w:ascii="Times New Roman" w:hAnsi="Times New Roman" w:eastAsia="宋体" w:cs="Times New Roman"/>
          <w:sz w:val="28"/>
          <w:szCs w:val="28"/>
          <w:highlight w:val="none"/>
          <w14:ligatures w14:val="none"/>
        </w:rPr>
        <w:t>）</w:t>
      </w:r>
    </w:p>
    <w:p w14:paraId="4C2A5EE6">
      <w:pPr>
        <w:pStyle w:val="23"/>
        <w:numPr>
          <w:ilvl w:val="0"/>
          <w:numId w:val="5"/>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t>《</w:t>
      </w:r>
      <w:r>
        <w:rPr>
          <w:rFonts w:hint="eastAsia" w:ascii="Times New Roman" w:hAnsi="Times New Roman" w:eastAsia="宋体" w:cs="Times New Roman"/>
          <w:sz w:val="28"/>
          <w:szCs w:val="28"/>
          <w:highlight w:val="none"/>
          <w14:ligatures w14:val="none"/>
        </w:rPr>
        <w:t>生产过程安全基本要求</w:t>
      </w:r>
      <w:r>
        <w:rPr>
          <w:rFonts w:ascii="Times New Roman" w:hAnsi="Times New Roman" w:eastAsia="宋体" w:cs="Times New Roman"/>
          <w:sz w:val="28"/>
          <w:szCs w:val="28"/>
          <w:highlight w:val="none"/>
          <w14:ligatures w14:val="none"/>
        </w:rPr>
        <w:t>》（</w:t>
      </w:r>
      <w:r>
        <w:rPr>
          <w:rFonts w:hint="eastAsia" w:ascii="Times New Roman" w:hAnsi="Times New Roman" w:eastAsia="宋体" w:cs="Times New Roman"/>
          <w:sz w:val="28"/>
          <w:szCs w:val="28"/>
          <w:highlight w:val="none"/>
          <w14:ligatures w14:val="none"/>
        </w:rPr>
        <w:t>GB 12801-2025</w:t>
      </w:r>
      <w:r>
        <w:rPr>
          <w:rFonts w:ascii="Times New Roman" w:hAnsi="Times New Roman" w:eastAsia="宋体" w:cs="Times New Roman"/>
          <w:sz w:val="28"/>
          <w:szCs w:val="28"/>
          <w:highlight w:val="none"/>
          <w14:ligatures w14:val="none"/>
        </w:rPr>
        <w:t>）</w:t>
      </w:r>
    </w:p>
    <w:p w14:paraId="3321CF6F">
      <w:pPr>
        <w:pStyle w:val="23"/>
        <w:numPr>
          <w:ilvl w:val="0"/>
          <w:numId w:val="5"/>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《化工企业安全卫生设计规范》（HG 20571-2014）</w:t>
      </w:r>
    </w:p>
    <w:p w14:paraId="1087730D">
      <w:pPr>
        <w:pStyle w:val="23"/>
        <w:numPr>
          <w:ilvl w:val="0"/>
          <w:numId w:val="5"/>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t>《氧气站设计规范》（GB 50030-2013）</w:t>
      </w:r>
    </w:p>
    <w:p w14:paraId="375576DD">
      <w:pPr>
        <w:pStyle w:val="23"/>
        <w:numPr>
          <w:ilvl w:val="0"/>
          <w:numId w:val="5"/>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w:t>
      </w:r>
      <w:r>
        <w:rPr>
          <w:rFonts w:ascii="Times New Roman" w:hAnsi="Times New Roman" w:eastAsia="宋体" w:cs="Times New Roman"/>
          <w:sz w:val="28"/>
          <w:szCs w:val="28"/>
          <w:highlight w:val="none"/>
          <w14:ligatures w14:val="none"/>
        </w:rPr>
        <w:t>深度冷冻法生产氧气及相关气体安全技术规程</w:t>
      </w:r>
      <w:r>
        <w:rPr>
          <w:rFonts w:hint="eastAsia" w:ascii="Times New Roman" w:hAnsi="Times New Roman" w:eastAsia="宋体" w:cs="Times New Roman"/>
          <w:sz w:val="28"/>
          <w:szCs w:val="28"/>
          <w:highlight w:val="none"/>
          <w14:ligatures w14:val="none"/>
        </w:rPr>
        <w:t>》（GB 16912-2008）</w:t>
      </w:r>
    </w:p>
    <w:p w14:paraId="64BDDE84">
      <w:pPr>
        <w:pStyle w:val="23"/>
        <w:numPr>
          <w:ilvl w:val="0"/>
          <w:numId w:val="5"/>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《低温液体贮运设备 使用安全规则》（JB/T 6898-2015）</w:t>
      </w:r>
    </w:p>
    <w:p w14:paraId="630E4CCF">
      <w:pPr>
        <w:pStyle w:val="23"/>
        <w:numPr>
          <w:ilvl w:val="0"/>
          <w:numId w:val="5"/>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t>《建筑设计防火规范（2018版）》（GB 50016-2014）</w:t>
      </w:r>
    </w:p>
    <w:p w14:paraId="5AB9F4FD">
      <w:pPr>
        <w:pStyle w:val="23"/>
        <w:numPr>
          <w:ilvl w:val="0"/>
          <w:numId w:val="5"/>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t>《</w:t>
      </w:r>
      <w:r>
        <w:rPr>
          <w:rFonts w:hint="eastAsia" w:ascii="Times New Roman" w:hAnsi="Times New Roman" w:eastAsia="宋体" w:cs="Times New Roman"/>
          <w:sz w:val="28"/>
          <w:szCs w:val="28"/>
          <w:highlight w:val="none"/>
          <w14:ligatures w14:val="none"/>
        </w:rPr>
        <w:t>建筑防火通用规范</w:t>
      </w:r>
      <w:r>
        <w:rPr>
          <w:rFonts w:ascii="Times New Roman" w:hAnsi="Times New Roman" w:eastAsia="宋体" w:cs="Times New Roman"/>
          <w:sz w:val="28"/>
          <w:szCs w:val="28"/>
          <w:highlight w:val="none"/>
          <w14:ligatures w14:val="none"/>
        </w:rPr>
        <w:t>》</w:t>
      </w:r>
      <w:r>
        <w:rPr>
          <w:rFonts w:hint="eastAsia" w:ascii="Times New Roman" w:hAnsi="Times New Roman" w:eastAsia="宋体" w:cs="Times New Roman"/>
          <w:sz w:val="28"/>
          <w:szCs w:val="28"/>
          <w:highlight w:val="none"/>
          <w:lang w:eastAsia="zh-CN"/>
          <w14:ligatures w14:val="none"/>
        </w:rPr>
        <w:t>（GB 55037-2022）</w:t>
      </w:r>
    </w:p>
    <w:p w14:paraId="36A59FC1">
      <w:pPr>
        <w:pStyle w:val="23"/>
        <w:numPr>
          <w:ilvl w:val="0"/>
          <w:numId w:val="5"/>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t>《建筑工程抗震设防分类标准》（GB 50223-2008）</w:t>
      </w:r>
    </w:p>
    <w:p w14:paraId="0AEE80F0">
      <w:pPr>
        <w:pStyle w:val="23"/>
        <w:numPr>
          <w:ilvl w:val="0"/>
          <w:numId w:val="5"/>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t>《</w:t>
      </w:r>
      <w:r>
        <w:rPr>
          <w:rFonts w:hint="eastAsia" w:ascii="Times New Roman" w:hAnsi="Times New Roman" w:eastAsia="宋体" w:cs="Times New Roman"/>
          <w:sz w:val="28"/>
          <w:szCs w:val="28"/>
          <w:highlight w:val="none"/>
          <w14:ligatures w14:val="none"/>
        </w:rPr>
        <w:t>建筑抗震设计标准（2024年版）</w:t>
      </w:r>
      <w:r>
        <w:rPr>
          <w:rFonts w:ascii="Times New Roman" w:hAnsi="Times New Roman" w:eastAsia="宋体" w:cs="Times New Roman"/>
          <w:sz w:val="28"/>
          <w:szCs w:val="28"/>
          <w:highlight w:val="none"/>
          <w14:ligatures w14:val="none"/>
        </w:rPr>
        <w:t>》（</w:t>
      </w:r>
      <w:r>
        <w:rPr>
          <w:rFonts w:hint="eastAsia" w:ascii="Times New Roman" w:hAnsi="Times New Roman" w:eastAsia="宋体" w:cs="Times New Roman"/>
          <w:sz w:val="28"/>
          <w:szCs w:val="28"/>
          <w:highlight w:val="none"/>
          <w14:ligatures w14:val="none"/>
        </w:rPr>
        <w:t>GB/T 50011-2010</w:t>
      </w:r>
      <w:r>
        <w:rPr>
          <w:rFonts w:ascii="Times New Roman" w:hAnsi="Times New Roman" w:eastAsia="宋体" w:cs="Times New Roman"/>
          <w:sz w:val="28"/>
          <w:szCs w:val="28"/>
          <w:highlight w:val="none"/>
          <w14:ligatures w14:val="none"/>
        </w:rPr>
        <w:t>）</w:t>
      </w:r>
    </w:p>
    <w:p w14:paraId="7AD53826">
      <w:pPr>
        <w:pStyle w:val="23"/>
        <w:numPr>
          <w:ilvl w:val="0"/>
          <w:numId w:val="5"/>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t>《建筑照明设计标准》（</w:t>
      </w:r>
      <w:r>
        <w:rPr>
          <w:rFonts w:hint="eastAsia" w:ascii="Times New Roman" w:hAnsi="Times New Roman" w:eastAsia="宋体" w:cs="Times New Roman"/>
          <w:sz w:val="28"/>
          <w:szCs w:val="28"/>
          <w:highlight w:val="none"/>
          <w14:ligatures w14:val="none"/>
        </w:rPr>
        <w:t>GB/T 50034-2024</w:t>
      </w:r>
      <w:r>
        <w:rPr>
          <w:rFonts w:ascii="Times New Roman" w:hAnsi="Times New Roman" w:eastAsia="宋体" w:cs="Times New Roman"/>
          <w:sz w:val="28"/>
          <w:szCs w:val="28"/>
          <w:highlight w:val="none"/>
          <w14:ligatures w14:val="none"/>
        </w:rPr>
        <w:t>）</w:t>
      </w:r>
    </w:p>
    <w:p w14:paraId="60D7F626">
      <w:pPr>
        <w:pStyle w:val="23"/>
        <w:numPr>
          <w:ilvl w:val="0"/>
          <w:numId w:val="5"/>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《建筑防火通用规范》（GB 55037-2022）</w:t>
      </w:r>
    </w:p>
    <w:p w14:paraId="580B02D2">
      <w:pPr>
        <w:pStyle w:val="23"/>
        <w:numPr>
          <w:ilvl w:val="0"/>
          <w:numId w:val="5"/>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《自动化仪表工程施工及质量验收规范》（GB 50093-2013）</w:t>
      </w:r>
    </w:p>
    <w:p w14:paraId="39780529">
      <w:pPr>
        <w:pStyle w:val="23"/>
        <w:numPr>
          <w:ilvl w:val="0"/>
          <w:numId w:val="5"/>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t>《气瓶充装站安全技术条件》（GB</w:t>
      </w:r>
      <w:r>
        <w:rPr>
          <w:rFonts w:hint="eastAsia" w:ascii="Times New Roman" w:hAnsi="Times New Roman" w:eastAsia="宋体" w:cs="Times New Roman"/>
          <w:sz w:val="28"/>
          <w:szCs w:val="28"/>
          <w:highlight w:val="none"/>
          <w14:ligatures w14:val="none"/>
        </w:rPr>
        <w:t>/T</w:t>
      </w:r>
      <w:r>
        <w:rPr>
          <w:rFonts w:ascii="Times New Roman" w:hAnsi="Times New Roman" w:eastAsia="宋体" w:cs="Times New Roman"/>
          <w:sz w:val="28"/>
          <w:szCs w:val="28"/>
          <w:highlight w:val="none"/>
          <w14:ligatures w14:val="none"/>
        </w:rPr>
        <w:t xml:space="preserve"> 27550-2011）</w:t>
      </w:r>
    </w:p>
    <w:p w14:paraId="4C6ACBB0">
      <w:pPr>
        <w:pStyle w:val="23"/>
        <w:numPr>
          <w:ilvl w:val="0"/>
          <w:numId w:val="5"/>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《气瓶安全技术规程》（TSG 23-2021/XG1-2024）</w:t>
      </w:r>
    </w:p>
    <w:p w14:paraId="3814F7F4">
      <w:pPr>
        <w:pStyle w:val="23"/>
        <w:numPr>
          <w:ilvl w:val="0"/>
          <w:numId w:val="5"/>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《气瓶防震圈》（LD 52-1994）</w:t>
      </w:r>
    </w:p>
    <w:p w14:paraId="17791D64">
      <w:pPr>
        <w:pStyle w:val="23"/>
        <w:numPr>
          <w:ilvl w:val="0"/>
          <w:numId w:val="5"/>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《气瓶阀通用技术要求》（GB/T 15382-2021）</w:t>
      </w:r>
    </w:p>
    <w:p w14:paraId="1C693F53">
      <w:pPr>
        <w:pStyle w:val="23"/>
        <w:numPr>
          <w:ilvl w:val="0"/>
          <w:numId w:val="5"/>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《气瓶用无缝钢管》（GB/T 18248-2021）</w:t>
      </w:r>
    </w:p>
    <w:p w14:paraId="0CAF1D43">
      <w:pPr>
        <w:pStyle w:val="23"/>
        <w:numPr>
          <w:ilvl w:val="0"/>
          <w:numId w:val="5"/>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t>《危险化学品重大危险源辨识》（GB</w:t>
      </w:r>
      <w:r>
        <w:rPr>
          <w:rFonts w:hint="eastAsia" w:ascii="Times New Roman" w:hAnsi="Times New Roman" w:eastAsia="宋体" w:cs="Times New Roman"/>
          <w:sz w:val="28"/>
          <w:szCs w:val="28"/>
          <w:highlight w:val="none"/>
          <w14:ligatures w14:val="none"/>
        </w:rPr>
        <w:t xml:space="preserve"> </w:t>
      </w:r>
      <w:r>
        <w:rPr>
          <w:rFonts w:ascii="Times New Roman" w:hAnsi="Times New Roman" w:eastAsia="宋体" w:cs="Times New Roman"/>
          <w:sz w:val="28"/>
          <w:szCs w:val="28"/>
          <w:highlight w:val="none"/>
          <w14:ligatures w14:val="none"/>
        </w:rPr>
        <w:t>18218-2018）</w:t>
      </w:r>
    </w:p>
    <w:p w14:paraId="3502391B">
      <w:pPr>
        <w:pStyle w:val="23"/>
        <w:numPr>
          <w:ilvl w:val="0"/>
          <w:numId w:val="5"/>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t>《生产经营单位生产安全事故应急预案编制导则》（</w:t>
      </w:r>
      <w:r>
        <w:rPr>
          <w:rFonts w:hint="eastAsia" w:ascii="Times New Roman" w:hAnsi="Times New Roman" w:eastAsia="宋体" w:cs="Times New Roman"/>
          <w:sz w:val="28"/>
          <w:szCs w:val="28"/>
          <w:highlight w:val="none"/>
          <w14:ligatures w14:val="none"/>
        </w:rPr>
        <w:t>GB/T 29639-2020</w:t>
      </w:r>
      <w:r>
        <w:rPr>
          <w:rFonts w:ascii="Times New Roman" w:hAnsi="Times New Roman" w:eastAsia="宋体" w:cs="Times New Roman"/>
          <w:sz w:val="28"/>
          <w:szCs w:val="28"/>
          <w:highlight w:val="none"/>
          <w14:ligatures w14:val="none"/>
        </w:rPr>
        <w:t>）</w:t>
      </w:r>
    </w:p>
    <w:p w14:paraId="31558944">
      <w:pPr>
        <w:pStyle w:val="23"/>
        <w:numPr>
          <w:ilvl w:val="0"/>
          <w:numId w:val="5"/>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t>《</w:t>
      </w:r>
      <w:r>
        <w:rPr>
          <w:rFonts w:hint="eastAsia" w:ascii="Times New Roman" w:hAnsi="Times New Roman" w:eastAsia="宋体" w:cs="Times New Roman"/>
          <w:sz w:val="28"/>
          <w:szCs w:val="28"/>
          <w:highlight w:val="none"/>
          <w14:ligatures w14:val="none"/>
        </w:rPr>
        <w:t>生产安全事故分类与编码》（GB 6441-2025</w:t>
      </w:r>
      <w:r>
        <w:rPr>
          <w:rFonts w:ascii="Times New Roman" w:hAnsi="Times New Roman" w:eastAsia="宋体" w:cs="Times New Roman"/>
          <w:sz w:val="28"/>
          <w:szCs w:val="28"/>
          <w:highlight w:val="none"/>
          <w14:ligatures w14:val="none"/>
        </w:rPr>
        <w:t>）</w:t>
      </w:r>
    </w:p>
    <w:p w14:paraId="397FC1FB">
      <w:pPr>
        <w:pStyle w:val="23"/>
        <w:numPr>
          <w:ilvl w:val="0"/>
          <w:numId w:val="5"/>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t>《生产过程危险和危害因素分类与代码》</w:t>
      </w:r>
      <w:r>
        <w:rPr>
          <w:rFonts w:hint="eastAsia" w:ascii="Times New Roman" w:hAnsi="Times New Roman" w:eastAsia="宋体" w:cs="Times New Roman"/>
          <w:sz w:val="28"/>
          <w:szCs w:val="28"/>
          <w:highlight w:val="none"/>
          <w14:ligatures w14:val="none"/>
        </w:rPr>
        <w:t>（</w:t>
      </w:r>
      <w:r>
        <w:rPr>
          <w:rFonts w:ascii="Times New Roman" w:hAnsi="Times New Roman" w:eastAsia="宋体" w:cs="Times New Roman"/>
          <w:sz w:val="28"/>
          <w:szCs w:val="28"/>
          <w:highlight w:val="none"/>
          <w14:ligatures w14:val="none"/>
        </w:rPr>
        <w:t>GB/T 13861-20</w:t>
      </w:r>
      <w:r>
        <w:rPr>
          <w:rFonts w:hint="eastAsia" w:ascii="Times New Roman" w:hAnsi="Times New Roman" w:eastAsia="宋体" w:cs="Times New Roman"/>
          <w:sz w:val="28"/>
          <w:szCs w:val="28"/>
          <w:highlight w:val="none"/>
          <w14:ligatures w14:val="none"/>
        </w:rPr>
        <w:t>22）</w:t>
      </w:r>
    </w:p>
    <w:p w14:paraId="75419093">
      <w:pPr>
        <w:pStyle w:val="23"/>
        <w:numPr>
          <w:ilvl w:val="0"/>
          <w:numId w:val="5"/>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t>《消防应急照明和疏散指示系统》（GB 17945-20</w:t>
      </w:r>
      <w:r>
        <w:rPr>
          <w:rFonts w:hint="eastAsia" w:ascii="Times New Roman" w:hAnsi="Times New Roman" w:eastAsia="宋体" w:cs="Times New Roman"/>
          <w:sz w:val="28"/>
          <w:szCs w:val="28"/>
          <w:highlight w:val="none"/>
          <w14:ligatures w14:val="none"/>
        </w:rPr>
        <w:t>24</w:t>
      </w:r>
      <w:r>
        <w:rPr>
          <w:rFonts w:ascii="Times New Roman" w:hAnsi="Times New Roman" w:eastAsia="宋体" w:cs="Times New Roman"/>
          <w:sz w:val="28"/>
          <w:szCs w:val="28"/>
          <w:highlight w:val="none"/>
          <w14:ligatures w14:val="none"/>
        </w:rPr>
        <w:t>）</w:t>
      </w:r>
    </w:p>
    <w:p w14:paraId="6F5441CC">
      <w:pPr>
        <w:pStyle w:val="23"/>
        <w:numPr>
          <w:ilvl w:val="0"/>
          <w:numId w:val="5"/>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《消防设施通用规范》（GB 55036-2022）</w:t>
      </w:r>
    </w:p>
    <w:p w14:paraId="0E6D2C9E">
      <w:pPr>
        <w:pStyle w:val="23"/>
        <w:numPr>
          <w:ilvl w:val="0"/>
          <w:numId w:val="5"/>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t>《建筑物防雷设计规范》（GB 50057-2010）</w:t>
      </w:r>
    </w:p>
    <w:p w14:paraId="0D556678">
      <w:pPr>
        <w:pStyle w:val="23"/>
        <w:numPr>
          <w:ilvl w:val="0"/>
          <w:numId w:val="5"/>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w:t>
      </w:r>
      <w:r>
        <w:rPr>
          <w:rFonts w:ascii="Times New Roman" w:hAnsi="Times New Roman" w:eastAsia="宋体" w:cs="Times New Roman"/>
          <w:sz w:val="28"/>
          <w:szCs w:val="28"/>
          <w:highlight w:val="none"/>
          <w14:ligatures w14:val="none"/>
        </w:rPr>
        <w:t>20kV及以下变电所设计规范</w:t>
      </w:r>
      <w:r>
        <w:rPr>
          <w:rFonts w:hint="eastAsia" w:ascii="Times New Roman" w:hAnsi="Times New Roman" w:eastAsia="宋体" w:cs="Times New Roman"/>
          <w:sz w:val="28"/>
          <w:szCs w:val="28"/>
          <w:highlight w:val="none"/>
          <w14:ligatures w14:val="none"/>
        </w:rPr>
        <w:t>》（GB 50053-2013）</w:t>
      </w:r>
    </w:p>
    <w:p w14:paraId="2048BE7F">
      <w:pPr>
        <w:pStyle w:val="23"/>
        <w:numPr>
          <w:ilvl w:val="0"/>
          <w:numId w:val="5"/>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t>《低压配电设计规范》</w:t>
      </w:r>
      <w:r>
        <w:rPr>
          <w:rFonts w:hint="eastAsia" w:ascii="Times New Roman" w:hAnsi="Times New Roman" w:eastAsia="宋体" w:cs="Times New Roman"/>
          <w:sz w:val="28"/>
          <w:szCs w:val="28"/>
          <w:highlight w:val="none"/>
          <w14:ligatures w14:val="none"/>
        </w:rPr>
        <w:t>（</w:t>
      </w:r>
      <w:r>
        <w:rPr>
          <w:rFonts w:ascii="Times New Roman" w:hAnsi="Times New Roman" w:eastAsia="宋体" w:cs="Times New Roman"/>
          <w:sz w:val="28"/>
          <w:szCs w:val="28"/>
          <w:highlight w:val="none"/>
          <w14:ligatures w14:val="none"/>
        </w:rPr>
        <w:t>GB</w:t>
      </w:r>
      <w:r>
        <w:rPr>
          <w:rFonts w:hint="eastAsia" w:ascii="Times New Roman" w:hAnsi="Times New Roman" w:eastAsia="宋体" w:cs="Times New Roman"/>
          <w:sz w:val="28"/>
          <w:szCs w:val="28"/>
          <w:highlight w:val="none"/>
          <w14:ligatures w14:val="none"/>
        </w:rPr>
        <w:t xml:space="preserve"> </w:t>
      </w:r>
      <w:r>
        <w:rPr>
          <w:rFonts w:ascii="Times New Roman" w:hAnsi="Times New Roman" w:eastAsia="宋体" w:cs="Times New Roman"/>
          <w:sz w:val="28"/>
          <w:szCs w:val="28"/>
          <w:highlight w:val="none"/>
          <w14:ligatures w14:val="none"/>
        </w:rPr>
        <w:t>50054-2011</w:t>
      </w:r>
      <w:r>
        <w:rPr>
          <w:rFonts w:hint="eastAsia" w:ascii="Times New Roman" w:hAnsi="Times New Roman" w:eastAsia="宋体" w:cs="Times New Roman"/>
          <w:sz w:val="28"/>
          <w:szCs w:val="28"/>
          <w:highlight w:val="none"/>
          <w14:ligatures w14:val="none"/>
        </w:rPr>
        <w:t>）</w:t>
      </w:r>
    </w:p>
    <w:p w14:paraId="21C0CAC2">
      <w:pPr>
        <w:pStyle w:val="23"/>
        <w:numPr>
          <w:ilvl w:val="0"/>
          <w:numId w:val="5"/>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t>《供配电系统设计规范》（GB 50052-2009）</w:t>
      </w:r>
    </w:p>
    <w:p w14:paraId="7C2F25ED">
      <w:pPr>
        <w:pStyle w:val="23"/>
        <w:numPr>
          <w:ilvl w:val="0"/>
          <w:numId w:val="5"/>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t>《</w:t>
      </w:r>
      <w:r>
        <w:rPr>
          <w:rFonts w:hint="eastAsia" w:ascii="Times New Roman" w:hAnsi="Times New Roman" w:eastAsia="宋体" w:cs="Times New Roman"/>
          <w:sz w:val="28"/>
          <w:szCs w:val="28"/>
          <w:highlight w:val="none"/>
          <w14:ligatures w14:val="none"/>
        </w:rPr>
        <w:t>通用用电设备配电设计规范</w:t>
      </w:r>
      <w:r>
        <w:rPr>
          <w:rFonts w:ascii="Times New Roman" w:hAnsi="Times New Roman" w:eastAsia="宋体" w:cs="Times New Roman"/>
          <w:sz w:val="28"/>
          <w:szCs w:val="28"/>
          <w:highlight w:val="none"/>
          <w14:ligatures w14:val="none"/>
        </w:rPr>
        <w:t>》（GB 50055-2011）</w:t>
      </w:r>
    </w:p>
    <w:p w14:paraId="37CEF0CE">
      <w:pPr>
        <w:pStyle w:val="23"/>
        <w:numPr>
          <w:ilvl w:val="0"/>
          <w:numId w:val="5"/>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t xml:space="preserve">《剩余电流动作保护装置安装和运行》（GB </w:t>
      </w:r>
      <w:r>
        <w:rPr>
          <w:rFonts w:hint="eastAsia" w:ascii="Times New Roman" w:hAnsi="Times New Roman" w:eastAsia="宋体" w:cs="Times New Roman"/>
          <w:sz w:val="28"/>
          <w:szCs w:val="28"/>
          <w:highlight w:val="none"/>
          <w14:ligatures w14:val="none"/>
        </w:rPr>
        <w:t xml:space="preserve">/T </w:t>
      </w:r>
      <w:r>
        <w:rPr>
          <w:rFonts w:ascii="Times New Roman" w:hAnsi="Times New Roman" w:eastAsia="宋体" w:cs="Times New Roman"/>
          <w:sz w:val="28"/>
          <w:szCs w:val="28"/>
          <w:highlight w:val="none"/>
          <w14:ligatures w14:val="none"/>
        </w:rPr>
        <w:t>13955-20</w:t>
      </w:r>
      <w:r>
        <w:rPr>
          <w:rFonts w:hint="eastAsia" w:ascii="Times New Roman" w:hAnsi="Times New Roman" w:eastAsia="宋体" w:cs="Times New Roman"/>
          <w:sz w:val="28"/>
          <w:szCs w:val="28"/>
          <w:highlight w:val="none"/>
          <w14:ligatures w14:val="none"/>
        </w:rPr>
        <w:t>17</w:t>
      </w:r>
      <w:r>
        <w:rPr>
          <w:rFonts w:ascii="Times New Roman" w:hAnsi="Times New Roman" w:eastAsia="宋体" w:cs="Times New Roman"/>
          <w:sz w:val="28"/>
          <w:szCs w:val="28"/>
          <w:highlight w:val="none"/>
          <w14:ligatures w14:val="none"/>
        </w:rPr>
        <w:t>）</w:t>
      </w:r>
    </w:p>
    <w:p w14:paraId="18F8E47B">
      <w:pPr>
        <w:pStyle w:val="23"/>
        <w:numPr>
          <w:ilvl w:val="0"/>
          <w:numId w:val="5"/>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t>《用电安全导则》（GB/T 13869-20</w:t>
      </w:r>
      <w:r>
        <w:rPr>
          <w:rFonts w:hint="eastAsia" w:ascii="Times New Roman" w:hAnsi="Times New Roman" w:eastAsia="宋体" w:cs="Times New Roman"/>
          <w:sz w:val="28"/>
          <w:szCs w:val="28"/>
          <w:highlight w:val="none"/>
          <w:lang w:val="en-US" w:eastAsia="zh-CN"/>
          <w14:ligatures w14:val="none"/>
        </w:rPr>
        <w:t>26</w:t>
      </w:r>
      <w:r>
        <w:rPr>
          <w:rFonts w:ascii="Times New Roman" w:hAnsi="Times New Roman" w:eastAsia="宋体" w:cs="Times New Roman"/>
          <w:sz w:val="28"/>
          <w:szCs w:val="28"/>
          <w:highlight w:val="none"/>
          <w14:ligatures w14:val="none"/>
        </w:rPr>
        <w:t>）</w:t>
      </w:r>
    </w:p>
    <w:p w14:paraId="1F620DC4">
      <w:pPr>
        <w:pStyle w:val="23"/>
        <w:numPr>
          <w:ilvl w:val="0"/>
          <w:numId w:val="5"/>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t>《</w:t>
      </w:r>
      <w:r>
        <w:rPr>
          <w:rFonts w:hint="eastAsia" w:ascii="Times New Roman" w:hAnsi="Times New Roman" w:eastAsia="宋体" w:cs="Times New Roman"/>
          <w:sz w:val="28"/>
          <w:szCs w:val="28"/>
          <w:highlight w:val="none"/>
          <w14:ligatures w14:val="none"/>
        </w:rPr>
        <w:t>防止静电事故通用要求</w:t>
      </w:r>
      <w:r>
        <w:rPr>
          <w:rFonts w:ascii="Times New Roman" w:hAnsi="Times New Roman" w:eastAsia="宋体" w:cs="Times New Roman"/>
          <w:sz w:val="28"/>
          <w:szCs w:val="28"/>
          <w:highlight w:val="none"/>
          <w14:ligatures w14:val="none"/>
        </w:rPr>
        <w:t>》（GB 12158-20</w:t>
      </w:r>
      <w:r>
        <w:rPr>
          <w:rFonts w:hint="eastAsia" w:ascii="Times New Roman" w:hAnsi="Times New Roman" w:eastAsia="宋体" w:cs="Times New Roman"/>
          <w:sz w:val="28"/>
          <w:szCs w:val="28"/>
          <w:highlight w:val="none"/>
          <w14:ligatures w14:val="none"/>
        </w:rPr>
        <w:t>24</w:t>
      </w:r>
      <w:r>
        <w:rPr>
          <w:rFonts w:ascii="Times New Roman" w:hAnsi="Times New Roman" w:eastAsia="宋体" w:cs="Times New Roman"/>
          <w:sz w:val="28"/>
          <w:szCs w:val="28"/>
          <w:highlight w:val="none"/>
          <w14:ligatures w14:val="none"/>
        </w:rPr>
        <w:t>）</w:t>
      </w:r>
    </w:p>
    <w:p w14:paraId="0FB6CBD5">
      <w:pPr>
        <w:pStyle w:val="23"/>
        <w:numPr>
          <w:ilvl w:val="0"/>
          <w:numId w:val="5"/>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t>《危险场所电气防爆安全规范》（AQ 300</w:t>
      </w:r>
      <w:r>
        <w:rPr>
          <w:rFonts w:hint="eastAsia" w:ascii="Times New Roman" w:hAnsi="Times New Roman" w:eastAsia="宋体" w:cs="Times New Roman"/>
          <w:sz w:val="28"/>
          <w:szCs w:val="28"/>
          <w:highlight w:val="none"/>
          <w14:ligatures w14:val="none"/>
        </w:rPr>
        <w:t>9</w:t>
      </w:r>
      <w:r>
        <w:rPr>
          <w:rFonts w:ascii="Times New Roman" w:hAnsi="Times New Roman" w:eastAsia="宋体" w:cs="Times New Roman"/>
          <w:sz w:val="28"/>
          <w:szCs w:val="28"/>
          <w:highlight w:val="none"/>
          <w14:ligatures w14:val="none"/>
        </w:rPr>
        <w:t>-2007）</w:t>
      </w:r>
    </w:p>
    <w:p w14:paraId="72B6639F">
      <w:pPr>
        <w:pStyle w:val="23"/>
        <w:numPr>
          <w:ilvl w:val="0"/>
          <w:numId w:val="5"/>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t>《系统接地的</w:t>
      </w:r>
      <w:r>
        <w:rPr>
          <w:rFonts w:hint="eastAsia" w:ascii="Times New Roman" w:hAnsi="Times New Roman" w:eastAsia="宋体" w:cs="Times New Roman"/>
          <w:sz w:val="28"/>
          <w:szCs w:val="28"/>
          <w:highlight w:val="none"/>
          <w14:ligatures w14:val="none"/>
        </w:rPr>
        <w:t>型式及</w:t>
      </w:r>
      <w:r>
        <w:rPr>
          <w:rFonts w:ascii="Times New Roman" w:hAnsi="Times New Roman" w:eastAsia="宋体" w:cs="Times New Roman"/>
          <w:sz w:val="28"/>
          <w:szCs w:val="28"/>
          <w:highlight w:val="none"/>
          <w14:ligatures w14:val="none"/>
        </w:rPr>
        <w:t>安全技术要求》（GB 14050-2008）</w:t>
      </w:r>
    </w:p>
    <w:p w14:paraId="5A18C245">
      <w:pPr>
        <w:pStyle w:val="23"/>
        <w:numPr>
          <w:ilvl w:val="0"/>
          <w:numId w:val="5"/>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t>《消防给水及消火栓系统》（GB 50974-2014）</w:t>
      </w:r>
    </w:p>
    <w:p w14:paraId="02E1C67C">
      <w:pPr>
        <w:pStyle w:val="23"/>
        <w:numPr>
          <w:ilvl w:val="0"/>
          <w:numId w:val="5"/>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t>《建筑灭火器配置设计规范》（GB 50140-2005）</w:t>
      </w:r>
    </w:p>
    <w:p w14:paraId="2A88285D">
      <w:pPr>
        <w:pStyle w:val="23"/>
        <w:numPr>
          <w:ilvl w:val="0"/>
          <w:numId w:val="5"/>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t>《化工采暖通风与空气调节设计规范》（</w:t>
      </w:r>
      <w:r>
        <w:rPr>
          <w:rFonts w:hint="eastAsia" w:ascii="Times New Roman" w:hAnsi="Times New Roman" w:eastAsia="宋体" w:cs="Times New Roman"/>
          <w:sz w:val="28"/>
          <w:szCs w:val="28"/>
          <w:highlight w:val="none"/>
          <w14:ligatures w14:val="none"/>
        </w:rPr>
        <w:t>HG/T 20698-2009</w:t>
      </w:r>
      <w:r>
        <w:rPr>
          <w:rFonts w:ascii="Times New Roman" w:hAnsi="Times New Roman" w:eastAsia="宋体" w:cs="Times New Roman"/>
          <w:sz w:val="28"/>
          <w:szCs w:val="28"/>
          <w:highlight w:val="none"/>
          <w14:ligatures w14:val="none"/>
        </w:rPr>
        <w:t>）</w:t>
      </w:r>
    </w:p>
    <w:p w14:paraId="44813CCC">
      <w:pPr>
        <w:pStyle w:val="23"/>
        <w:numPr>
          <w:ilvl w:val="0"/>
          <w:numId w:val="5"/>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t>《工业企业噪声控制设计规范》（GB/T 5</w:t>
      </w:r>
      <w:r>
        <w:rPr>
          <w:rFonts w:hint="eastAsia" w:ascii="Times New Roman" w:hAnsi="Times New Roman" w:eastAsia="宋体" w:cs="Times New Roman"/>
          <w:sz w:val="28"/>
          <w:szCs w:val="28"/>
          <w:highlight w:val="none"/>
          <w14:ligatures w14:val="none"/>
        </w:rPr>
        <w:t>0</w:t>
      </w:r>
      <w:r>
        <w:rPr>
          <w:rFonts w:ascii="Times New Roman" w:hAnsi="Times New Roman" w:eastAsia="宋体" w:cs="Times New Roman"/>
          <w:sz w:val="28"/>
          <w:szCs w:val="28"/>
          <w:highlight w:val="none"/>
          <w14:ligatures w14:val="none"/>
        </w:rPr>
        <w:t>087-2013）</w:t>
      </w:r>
    </w:p>
    <w:p w14:paraId="2D0633C1">
      <w:pPr>
        <w:pStyle w:val="23"/>
        <w:numPr>
          <w:ilvl w:val="0"/>
          <w:numId w:val="5"/>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t>《工作场所有害因素职业接触限</w:t>
      </w:r>
      <w:r>
        <w:rPr>
          <w:rFonts w:hint="eastAsia" w:ascii="Times New Roman" w:hAnsi="Times New Roman" w:eastAsia="宋体" w:cs="Times New Roman"/>
          <w:sz w:val="28"/>
          <w:szCs w:val="28"/>
          <w:highlight w:val="none"/>
          <w14:ligatures w14:val="none"/>
        </w:rPr>
        <w:t>值</w:t>
      </w:r>
      <w:r>
        <w:rPr>
          <w:rFonts w:ascii="Times New Roman" w:hAnsi="Times New Roman" w:eastAsia="宋体" w:cs="Times New Roman"/>
          <w:sz w:val="28"/>
          <w:szCs w:val="28"/>
          <w:highlight w:val="none"/>
          <w14:ligatures w14:val="none"/>
        </w:rPr>
        <w:t>第</w:t>
      </w:r>
      <w:r>
        <w:rPr>
          <w:rFonts w:hint="eastAsia" w:ascii="Times New Roman" w:hAnsi="Times New Roman" w:eastAsia="宋体" w:cs="Times New Roman"/>
          <w:sz w:val="28"/>
          <w:szCs w:val="28"/>
          <w:highlight w:val="none"/>
          <w14:ligatures w14:val="none"/>
        </w:rPr>
        <w:t>1</w:t>
      </w:r>
      <w:r>
        <w:rPr>
          <w:rFonts w:ascii="Times New Roman" w:hAnsi="Times New Roman" w:eastAsia="宋体" w:cs="Times New Roman"/>
          <w:sz w:val="28"/>
          <w:szCs w:val="28"/>
          <w:highlight w:val="none"/>
          <w14:ligatures w14:val="none"/>
        </w:rPr>
        <w:t>部分：化学有害因素》（</w:t>
      </w:r>
      <w:r>
        <w:rPr>
          <w:rFonts w:hint="eastAsia" w:ascii="Times New Roman" w:hAnsi="Times New Roman" w:eastAsia="宋体" w:cs="Times New Roman"/>
          <w:sz w:val="28"/>
          <w:szCs w:val="28"/>
          <w:highlight w:val="none"/>
          <w14:ligatures w14:val="none"/>
        </w:rPr>
        <w:t>GBZ 2.1-2019/XG2-2024</w:t>
      </w:r>
      <w:r>
        <w:rPr>
          <w:rFonts w:ascii="Times New Roman" w:hAnsi="Times New Roman" w:eastAsia="宋体" w:cs="Times New Roman"/>
          <w:sz w:val="28"/>
          <w:szCs w:val="28"/>
          <w:highlight w:val="none"/>
          <w14:ligatures w14:val="none"/>
        </w:rPr>
        <w:t>）</w:t>
      </w:r>
    </w:p>
    <w:p w14:paraId="61FC3E31">
      <w:pPr>
        <w:pStyle w:val="23"/>
        <w:numPr>
          <w:ilvl w:val="0"/>
          <w:numId w:val="5"/>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《工作场所有害因素职业接触限值 第2部分：物理因素》（</w:t>
      </w:r>
      <w:r>
        <w:rPr>
          <w:rFonts w:ascii="Times New Roman" w:hAnsi="Times New Roman" w:eastAsia="宋体" w:cs="Times New Roman"/>
          <w:sz w:val="28"/>
          <w:szCs w:val="28"/>
          <w:highlight w:val="none"/>
          <w14:ligatures w14:val="none"/>
        </w:rPr>
        <w:t>GBZ2</w:t>
      </w:r>
      <w:r>
        <w:rPr>
          <w:rFonts w:hint="eastAsia" w:ascii="Times New Roman" w:hAnsi="Times New Roman" w:eastAsia="宋体" w:cs="Times New Roman"/>
          <w:sz w:val="28"/>
          <w:szCs w:val="28"/>
          <w:highlight w:val="none"/>
          <w14:ligatures w14:val="none"/>
        </w:rPr>
        <w:t>.2</w:t>
      </w:r>
      <w:r>
        <w:rPr>
          <w:rFonts w:ascii="Times New Roman" w:hAnsi="Times New Roman" w:eastAsia="宋体" w:cs="Times New Roman"/>
          <w:sz w:val="28"/>
          <w:szCs w:val="28"/>
          <w:highlight w:val="none"/>
          <w14:ligatures w14:val="none"/>
        </w:rPr>
        <w:t>-20</w:t>
      </w:r>
      <w:r>
        <w:rPr>
          <w:rFonts w:hint="eastAsia" w:ascii="Times New Roman" w:hAnsi="Times New Roman" w:eastAsia="宋体" w:cs="Times New Roman"/>
          <w:sz w:val="28"/>
          <w:szCs w:val="28"/>
          <w:highlight w:val="none"/>
          <w14:ligatures w14:val="none"/>
        </w:rPr>
        <w:t>07）</w:t>
      </w:r>
    </w:p>
    <w:p w14:paraId="24EAB7CB">
      <w:pPr>
        <w:pStyle w:val="23"/>
        <w:numPr>
          <w:ilvl w:val="0"/>
          <w:numId w:val="5"/>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t>《低压流体输送用焊接钢管》（GB/T</w:t>
      </w:r>
      <w:r>
        <w:rPr>
          <w:rFonts w:hint="eastAsia" w:ascii="Times New Roman" w:hAnsi="Times New Roman" w:eastAsia="宋体" w:cs="Times New Roman"/>
          <w:sz w:val="28"/>
          <w:szCs w:val="28"/>
          <w:highlight w:val="none"/>
          <w14:ligatures w14:val="none"/>
        </w:rPr>
        <w:t xml:space="preserve"> </w:t>
      </w:r>
      <w:r>
        <w:rPr>
          <w:rFonts w:ascii="Times New Roman" w:hAnsi="Times New Roman" w:eastAsia="宋体" w:cs="Times New Roman"/>
          <w:sz w:val="28"/>
          <w:szCs w:val="28"/>
          <w:highlight w:val="none"/>
          <w14:ligatures w14:val="none"/>
        </w:rPr>
        <w:t>3091-20</w:t>
      </w:r>
      <w:r>
        <w:rPr>
          <w:rFonts w:hint="eastAsia" w:ascii="Times New Roman" w:hAnsi="Times New Roman" w:eastAsia="宋体" w:cs="Times New Roman"/>
          <w:sz w:val="28"/>
          <w:szCs w:val="28"/>
          <w:highlight w:val="none"/>
          <w14:ligatures w14:val="none"/>
        </w:rPr>
        <w:t>15</w:t>
      </w:r>
      <w:r>
        <w:rPr>
          <w:rFonts w:ascii="Times New Roman" w:hAnsi="Times New Roman" w:eastAsia="宋体" w:cs="Times New Roman"/>
          <w:sz w:val="28"/>
          <w:szCs w:val="28"/>
          <w:highlight w:val="none"/>
          <w14:ligatures w14:val="none"/>
        </w:rPr>
        <w:t>）</w:t>
      </w:r>
    </w:p>
    <w:p w14:paraId="5B999FFD">
      <w:pPr>
        <w:pStyle w:val="23"/>
        <w:numPr>
          <w:ilvl w:val="0"/>
          <w:numId w:val="5"/>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t>《输送流体用无缝钢管》（GB/T</w:t>
      </w:r>
      <w:r>
        <w:rPr>
          <w:rFonts w:hint="eastAsia" w:ascii="Times New Roman" w:hAnsi="Times New Roman" w:eastAsia="宋体" w:cs="Times New Roman"/>
          <w:sz w:val="28"/>
          <w:szCs w:val="28"/>
          <w:highlight w:val="none"/>
          <w14:ligatures w14:val="none"/>
        </w:rPr>
        <w:t xml:space="preserve"> </w:t>
      </w:r>
      <w:r>
        <w:rPr>
          <w:rFonts w:ascii="Times New Roman" w:hAnsi="Times New Roman" w:eastAsia="宋体" w:cs="Times New Roman"/>
          <w:sz w:val="28"/>
          <w:szCs w:val="28"/>
          <w:highlight w:val="none"/>
          <w14:ligatures w14:val="none"/>
        </w:rPr>
        <w:t>8163-20</w:t>
      </w:r>
      <w:r>
        <w:rPr>
          <w:rFonts w:hint="eastAsia" w:ascii="Times New Roman" w:hAnsi="Times New Roman" w:eastAsia="宋体" w:cs="Times New Roman"/>
          <w:sz w:val="28"/>
          <w:szCs w:val="28"/>
          <w:highlight w:val="none"/>
          <w14:ligatures w14:val="none"/>
        </w:rPr>
        <w:t>1</w:t>
      </w:r>
      <w:r>
        <w:rPr>
          <w:rFonts w:ascii="Times New Roman" w:hAnsi="Times New Roman" w:eastAsia="宋体" w:cs="Times New Roman"/>
          <w:sz w:val="28"/>
          <w:szCs w:val="28"/>
          <w:highlight w:val="none"/>
          <w14:ligatures w14:val="none"/>
        </w:rPr>
        <w:t>8）</w:t>
      </w:r>
    </w:p>
    <w:p w14:paraId="2F9BA46C">
      <w:pPr>
        <w:pStyle w:val="23"/>
        <w:numPr>
          <w:ilvl w:val="0"/>
          <w:numId w:val="5"/>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t>《固定式压力容器安全技术监察规程》（</w:t>
      </w:r>
      <w:r>
        <w:rPr>
          <w:highlight w:val="none"/>
        </w:rPr>
        <w:fldChar w:fldCharType="begin"/>
      </w:r>
      <w:r>
        <w:rPr>
          <w:highlight w:val="none"/>
        </w:rPr>
        <w:instrText xml:space="preserve"> HYPERLINK "http://www.csres.com/detail/281887.html" \t "_blank" </w:instrText>
      </w:r>
      <w:r>
        <w:rPr>
          <w:highlight w:val="none"/>
        </w:rPr>
        <w:fldChar w:fldCharType="separate"/>
      </w:r>
      <w:r>
        <w:rPr>
          <w:rFonts w:ascii="Times New Roman" w:hAnsi="Times New Roman" w:eastAsia="宋体" w:cs="Times New Roman"/>
          <w:sz w:val="28"/>
          <w:szCs w:val="28"/>
          <w:highlight w:val="none"/>
          <w14:ligatures w14:val="none"/>
        </w:rPr>
        <w:t>TSG 21-2016</w:t>
      </w:r>
      <w:r>
        <w:rPr>
          <w:rFonts w:ascii="Times New Roman" w:hAnsi="Times New Roman" w:eastAsia="宋体" w:cs="Times New Roman"/>
          <w:sz w:val="28"/>
          <w:szCs w:val="28"/>
          <w:highlight w:val="none"/>
          <w14:ligatures w14:val="none"/>
        </w:rPr>
        <w:fldChar w:fldCharType="end"/>
      </w:r>
      <w:r>
        <w:rPr>
          <w:rFonts w:hint="eastAsia" w:ascii="Times New Roman" w:hAnsi="Times New Roman" w:eastAsia="宋体" w:cs="Times New Roman"/>
          <w:sz w:val="28"/>
          <w:szCs w:val="28"/>
          <w:highlight w:val="none"/>
          <w14:ligatures w14:val="none"/>
        </w:rPr>
        <w:t>/XG1-2020</w:t>
      </w:r>
      <w:r>
        <w:rPr>
          <w:rFonts w:ascii="Times New Roman" w:hAnsi="Times New Roman" w:eastAsia="宋体" w:cs="Times New Roman"/>
          <w:sz w:val="28"/>
          <w:szCs w:val="28"/>
          <w:highlight w:val="none"/>
          <w14:ligatures w14:val="none"/>
        </w:rPr>
        <w:t>）</w:t>
      </w:r>
    </w:p>
    <w:p w14:paraId="00FF9237">
      <w:pPr>
        <w:pStyle w:val="23"/>
        <w:numPr>
          <w:ilvl w:val="0"/>
          <w:numId w:val="5"/>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《气瓶、装卸、储存和使用安全规定》（GB/T 34525-2017）</w:t>
      </w:r>
    </w:p>
    <w:p w14:paraId="6798E653">
      <w:pPr>
        <w:pStyle w:val="23"/>
        <w:numPr>
          <w:ilvl w:val="0"/>
          <w:numId w:val="5"/>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t>《</w:t>
      </w:r>
      <w:r>
        <w:rPr>
          <w:rFonts w:hint="eastAsia" w:ascii="Times New Roman" w:hAnsi="Times New Roman" w:eastAsia="宋体" w:cs="Times New Roman"/>
          <w:sz w:val="28"/>
          <w:szCs w:val="28"/>
          <w:highlight w:val="none"/>
          <w14:ligatures w14:val="none"/>
        </w:rPr>
        <w:t>压缩气体气瓶充装规定</w:t>
      </w:r>
      <w:r>
        <w:rPr>
          <w:rFonts w:ascii="Times New Roman" w:hAnsi="Times New Roman" w:eastAsia="宋体" w:cs="Times New Roman"/>
          <w:sz w:val="28"/>
          <w:szCs w:val="28"/>
          <w:highlight w:val="none"/>
          <w14:ligatures w14:val="none"/>
        </w:rPr>
        <w:t>》（GB</w:t>
      </w:r>
      <w:r>
        <w:rPr>
          <w:rFonts w:hint="eastAsia" w:ascii="Times New Roman" w:hAnsi="Times New Roman" w:eastAsia="宋体" w:cs="Times New Roman"/>
          <w:sz w:val="28"/>
          <w:szCs w:val="28"/>
          <w:highlight w:val="none"/>
          <w14:ligatures w14:val="none"/>
        </w:rPr>
        <w:t xml:space="preserve">/T </w:t>
      </w:r>
      <w:r>
        <w:rPr>
          <w:rFonts w:ascii="Times New Roman" w:hAnsi="Times New Roman" w:eastAsia="宋体" w:cs="Times New Roman"/>
          <w:sz w:val="28"/>
          <w:szCs w:val="28"/>
          <w:highlight w:val="none"/>
          <w14:ligatures w14:val="none"/>
        </w:rPr>
        <w:t>14194-20</w:t>
      </w:r>
      <w:r>
        <w:rPr>
          <w:rFonts w:hint="eastAsia" w:ascii="Times New Roman" w:hAnsi="Times New Roman" w:eastAsia="宋体" w:cs="Times New Roman"/>
          <w:sz w:val="28"/>
          <w:szCs w:val="28"/>
          <w:highlight w:val="none"/>
          <w14:ligatures w14:val="none"/>
        </w:rPr>
        <w:t>17</w:t>
      </w:r>
      <w:r>
        <w:rPr>
          <w:rFonts w:ascii="Times New Roman" w:hAnsi="Times New Roman" w:eastAsia="宋体" w:cs="Times New Roman"/>
          <w:sz w:val="28"/>
          <w:szCs w:val="28"/>
          <w:highlight w:val="none"/>
          <w14:ligatures w14:val="none"/>
        </w:rPr>
        <w:t>）</w:t>
      </w:r>
    </w:p>
    <w:p w14:paraId="6FC8EDA5">
      <w:pPr>
        <w:pStyle w:val="23"/>
        <w:numPr>
          <w:ilvl w:val="0"/>
          <w:numId w:val="5"/>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t>《气瓶颜色标志》（GB</w:t>
      </w:r>
      <w:r>
        <w:rPr>
          <w:rFonts w:hint="eastAsia" w:ascii="Times New Roman" w:hAnsi="Times New Roman" w:eastAsia="宋体" w:cs="Times New Roman"/>
          <w:sz w:val="28"/>
          <w:szCs w:val="28"/>
          <w:highlight w:val="none"/>
          <w14:ligatures w14:val="none"/>
        </w:rPr>
        <w:t xml:space="preserve">/T </w:t>
      </w:r>
      <w:r>
        <w:rPr>
          <w:rFonts w:ascii="Times New Roman" w:hAnsi="Times New Roman" w:eastAsia="宋体" w:cs="Times New Roman"/>
          <w:sz w:val="28"/>
          <w:szCs w:val="28"/>
          <w:highlight w:val="none"/>
          <w14:ligatures w14:val="none"/>
        </w:rPr>
        <w:t>7144-</w:t>
      </w:r>
      <w:r>
        <w:rPr>
          <w:rFonts w:hint="eastAsia" w:ascii="Times New Roman" w:hAnsi="Times New Roman" w:eastAsia="宋体" w:cs="Times New Roman"/>
          <w:sz w:val="28"/>
          <w:szCs w:val="28"/>
          <w:highlight w:val="none"/>
          <w14:ligatures w14:val="none"/>
        </w:rPr>
        <w:t>2016</w:t>
      </w:r>
      <w:r>
        <w:rPr>
          <w:rFonts w:ascii="Times New Roman" w:hAnsi="Times New Roman" w:eastAsia="宋体" w:cs="Times New Roman"/>
          <w:sz w:val="28"/>
          <w:szCs w:val="28"/>
          <w:highlight w:val="none"/>
          <w14:ligatures w14:val="none"/>
        </w:rPr>
        <w:t>）</w:t>
      </w:r>
    </w:p>
    <w:p w14:paraId="0A51C30A">
      <w:pPr>
        <w:pStyle w:val="23"/>
        <w:numPr>
          <w:ilvl w:val="0"/>
          <w:numId w:val="5"/>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t>《气瓶警示标签》（GB</w:t>
      </w:r>
      <w:r>
        <w:rPr>
          <w:rFonts w:hint="eastAsia" w:ascii="Times New Roman" w:hAnsi="Times New Roman" w:eastAsia="宋体" w:cs="Times New Roman"/>
          <w:sz w:val="28"/>
          <w:szCs w:val="28"/>
          <w:highlight w:val="none"/>
          <w14:ligatures w14:val="none"/>
        </w:rPr>
        <w:t xml:space="preserve">/T </w:t>
      </w:r>
      <w:r>
        <w:rPr>
          <w:rFonts w:ascii="Times New Roman" w:hAnsi="Times New Roman" w:eastAsia="宋体" w:cs="Times New Roman"/>
          <w:sz w:val="28"/>
          <w:szCs w:val="28"/>
          <w:highlight w:val="none"/>
          <w14:ligatures w14:val="none"/>
        </w:rPr>
        <w:t>16804-2011）</w:t>
      </w:r>
    </w:p>
    <w:p w14:paraId="7DB3FFEA">
      <w:pPr>
        <w:pStyle w:val="23"/>
        <w:numPr>
          <w:ilvl w:val="0"/>
          <w:numId w:val="5"/>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《氧气和富氧场所的火灾危险》（T/CCGA 90001-2021）</w:t>
      </w:r>
    </w:p>
    <w:p w14:paraId="7D6DB76E">
      <w:pPr>
        <w:pStyle w:val="23"/>
        <w:numPr>
          <w:ilvl w:val="0"/>
          <w:numId w:val="5"/>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《惰性气体或缺氧场所的危险》（T/CCGA 90002-2020）</w:t>
      </w:r>
    </w:p>
    <w:p w14:paraId="7522E7E0">
      <w:pPr>
        <w:pStyle w:val="23"/>
        <w:numPr>
          <w:ilvl w:val="0"/>
          <w:numId w:val="5"/>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t>《</w:t>
      </w:r>
      <w:r>
        <w:rPr>
          <w:rFonts w:hint="eastAsia" w:ascii="Times New Roman" w:hAnsi="Times New Roman" w:eastAsia="宋体" w:cs="Times New Roman"/>
          <w:sz w:val="28"/>
          <w:szCs w:val="28"/>
          <w:highlight w:val="none"/>
          <w14:ligatures w14:val="none"/>
        </w:rPr>
        <w:t>高处作业分级》（GB 3608-2025</w:t>
      </w:r>
      <w:r>
        <w:rPr>
          <w:rFonts w:ascii="Times New Roman" w:hAnsi="Times New Roman" w:eastAsia="宋体" w:cs="Times New Roman"/>
          <w:sz w:val="28"/>
          <w:szCs w:val="28"/>
          <w:highlight w:val="none"/>
          <w14:ligatures w14:val="none"/>
        </w:rPr>
        <w:t>）</w:t>
      </w:r>
    </w:p>
    <w:p w14:paraId="57267263">
      <w:pPr>
        <w:pStyle w:val="23"/>
        <w:numPr>
          <w:ilvl w:val="0"/>
          <w:numId w:val="5"/>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t>《</w:t>
      </w:r>
      <w:r>
        <w:rPr>
          <w:rFonts w:hint="eastAsia" w:ascii="Times New Roman" w:hAnsi="Times New Roman" w:eastAsia="宋体" w:cs="Times New Roman"/>
          <w:sz w:val="28"/>
          <w:szCs w:val="28"/>
          <w:highlight w:val="none"/>
          <w14:ligatures w14:val="none"/>
        </w:rPr>
        <w:t>中华人民共和国劳动部噪声作业分级</w:t>
      </w:r>
      <w:r>
        <w:rPr>
          <w:rFonts w:ascii="Times New Roman" w:hAnsi="Times New Roman" w:eastAsia="宋体" w:cs="Times New Roman"/>
          <w:sz w:val="28"/>
          <w:szCs w:val="28"/>
          <w:highlight w:val="none"/>
          <w14:ligatures w14:val="none"/>
        </w:rPr>
        <w:t>》（LD 80-1995）</w:t>
      </w:r>
    </w:p>
    <w:p w14:paraId="6E0C3FD1">
      <w:pPr>
        <w:pStyle w:val="23"/>
        <w:numPr>
          <w:ilvl w:val="0"/>
          <w:numId w:val="5"/>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t>《</w:t>
      </w:r>
      <w:r>
        <w:rPr>
          <w:rFonts w:hint="eastAsia" w:ascii="Times New Roman" w:hAnsi="Times New Roman" w:eastAsia="宋体" w:cs="Times New Roman"/>
          <w:sz w:val="28"/>
          <w:szCs w:val="28"/>
          <w:highlight w:val="none"/>
          <w14:ligatures w14:val="none"/>
        </w:rPr>
        <w:t>安全色和安全标志》（GB 2894-2025</w:t>
      </w:r>
      <w:r>
        <w:rPr>
          <w:rFonts w:ascii="Times New Roman" w:hAnsi="Times New Roman" w:eastAsia="宋体" w:cs="Times New Roman"/>
          <w:sz w:val="28"/>
          <w:szCs w:val="28"/>
          <w:highlight w:val="none"/>
          <w14:ligatures w14:val="none"/>
        </w:rPr>
        <w:t>）</w:t>
      </w:r>
    </w:p>
    <w:p w14:paraId="7D3F355C">
      <w:pPr>
        <w:pStyle w:val="23"/>
        <w:numPr>
          <w:ilvl w:val="0"/>
          <w:numId w:val="5"/>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t>《</w:t>
      </w:r>
      <w:r>
        <w:rPr>
          <w:rFonts w:hint="eastAsia" w:ascii="Times New Roman" w:hAnsi="Times New Roman" w:eastAsia="宋体" w:cs="Times New Roman"/>
          <w:sz w:val="28"/>
          <w:szCs w:val="28"/>
          <w:highlight w:val="none"/>
          <w14:ligatures w14:val="none"/>
        </w:rPr>
        <w:t>危险化学品企业特殊作业安全规范</w:t>
      </w:r>
      <w:r>
        <w:rPr>
          <w:rFonts w:ascii="Times New Roman" w:hAnsi="Times New Roman" w:eastAsia="宋体" w:cs="Times New Roman"/>
          <w:sz w:val="28"/>
          <w:szCs w:val="28"/>
          <w:highlight w:val="none"/>
          <w14:ligatures w14:val="none"/>
        </w:rPr>
        <w:t>》（</w:t>
      </w:r>
      <w:r>
        <w:rPr>
          <w:highlight w:val="none"/>
        </w:rPr>
        <w:fldChar w:fldCharType="begin"/>
      </w:r>
      <w:r>
        <w:rPr>
          <w:highlight w:val="none"/>
        </w:rPr>
        <w:instrText xml:space="preserve"> HYPERLINK "http://www.csres.com/detail/245854.html" \t "_blank" </w:instrText>
      </w:r>
      <w:r>
        <w:rPr>
          <w:highlight w:val="none"/>
        </w:rPr>
        <w:fldChar w:fldCharType="separate"/>
      </w:r>
      <w:r>
        <w:rPr>
          <w:rFonts w:ascii="Times New Roman" w:hAnsi="Times New Roman" w:eastAsia="宋体" w:cs="Times New Roman"/>
          <w:sz w:val="28"/>
          <w:szCs w:val="28"/>
          <w:highlight w:val="none"/>
          <w14:ligatures w14:val="none"/>
        </w:rPr>
        <w:t>GB 30871-20</w:t>
      </w:r>
      <w:r>
        <w:rPr>
          <w:rFonts w:hint="eastAsia" w:ascii="Times New Roman" w:hAnsi="Times New Roman" w:eastAsia="宋体" w:cs="Times New Roman"/>
          <w:sz w:val="28"/>
          <w:szCs w:val="28"/>
          <w:highlight w:val="none"/>
          <w14:ligatures w14:val="none"/>
        </w:rPr>
        <w:t>2</w:t>
      </w:r>
      <w:r>
        <w:rPr>
          <w:rFonts w:hint="eastAsia" w:ascii="Times New Roman" w:hAnsi="Times New Roman" w:eastAsia="宋体" w:cs="Times New Roman"/>
          <w:sz w:val="28"/>
          <w:szCs w:val="28"/>
          <w:highlight w:val="none"/>
          <w14:ligatures w14:val="none"/>
        </w:rPr>
        <w:fldChar w:fldCharType="end"/>
      </w:r>
      <w:r>
        <w:rPr>
          <w:rFonts w:hint="eastAsia" w:ascii="Times New Roman" w:hAnsi="Times New Roman" w:eastAsia="宋体" w:cs="Times New Roman"/>
          <w:sz w:val="28"/>
          <w:szCs w:val="28"/>
          <w:highlight w:val="none"/>
          <w14:ligatures w14:val="none"/>
        </w:rPr>
        <w:t>2</w:t>
      </w:r>
      <w:r>
        <w:rPr>
          <w:rFonts w:ascii="Times New Roman" w:hAnsi="Times New Roman" w:eastAsia="宋体" w:cs="Times New Roman"/>
          <w:sz w:val="28"/>
          <w:szCs w:val="28"/>
          <w:highlight w:val="none"/>
          <w14:ligatures w14:val="none"/>
        </w:rPr>
        <w:t>）</w:t>
      </w:r>
    </w:p>
    <w:p w14:paraId="7CEEF9C3">
      <w:pPr>
        <w:pStyle w:val="23"/>
        <w:numPr>
          <w:ilvl w:val="0"/>
          <w:numId w:val="5"/>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《危险化学品单位应急救援物资配备要求》（GB 30077-2023）</w:t>
      </w:r>
    </w:p>
    <w:p w14:paraId="76F0AB0B">
      <w:pPr>
        <w:tabs>
          <w:tab w:val="left" w:pos="840"/>
          <w:tab w:val="left" w:pos="1260"/>
        </w:tabs>
        <w:adjustRightInd w:val="0"/>
        <w:snapToGrid w:val="0"/>
        <w:spacing w:before="156" w:beforeLines="50" w:after="156" w:afterLines="50" w:line="360" w:lineRule="auto"/>
        <w:ind w:firstLine="562" w:firstLineChars="200"/>
        <w:jc w:val="both"/>
        <w:outlineLvl w:val="2"/>
        <w:rPr>
          <w:rFonts w:ascii="Times New Roman" w:hAnsi="Times New Roman" w:eastAsia="黑体" w:cs="Times New Roman"/>
          <w:b/>
          <w:sz w:val="28"/>
          <w:szCs w:val="32"/>
          <w:highlight w:val="none"/>
          <w14:ligatures w14:val="none"/>
        </w:rPr>
      </w:pPr>
      <w:r>
        <w:rPr>
          <w:rFonts w:ascii="Times New Roman" w:hAnsi="Times New Roman" w:eastAsia="黑体" w:cs="Times New Roman"/>
          <w:b/>
          <w:sz w:val="28"/>
          <w:szCs w:val="32"/>
          <w:highlight w:val="none"/>
          <w14:ligatures w14:val="none"/>
        </w:rPr>
        <w:t>1.2.6</w:t>
      </w:r>
      <w:r>
        <w:rPr>
          <w:rFonts w:hint="eastAsia" w:ascii="Times New Roman" w:hAnsi="Times New Roman" w:eastAsia="黑体" w:cs="Times New Roman"/>
          <w:b/>
          <w:sz w:val="28"/>
          <w:szCs w:val="32"/>
          <w:highlight w:val="none"/>
          <w14:ligatures w14:val="none"/>
        </w:rPr>
        <w:t>技术文件和有关资料</w:t>
      </w:r>
    </w:p>
    <w:p w14:paraId="09DEB2EB">
      <w:pPr>
        <w:pStyle w:val="23"/>
        <w:numPr>
          <w:ilvl w:val="0"/>
          <w:numId w:val="6"/>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lang w:eastAsia="zh-CN"/>
          <w14:ligatures w14:val="none"/>
        </w:rPr>
        <w:t>沈阳新春城气体有限公司</w:t>
      </w:r>
      <w:r>
        <w:rPr>
          <w:rFonts w:ascii="Times New Roman" w:hAnsi="Times New Roman" w:eastAsia="宋体" w:cs="Times New Roman"/>
          <w:sz w:val="28"/>
          <w:szCs w:val="28"/>
          <w:highlight w:val="none"/>
          <w14:ligatures w14:val="none"/>
        </w:rPr>
        <w:t>和</w:t>
      </w:r>
      <w:r>
        <w:rPr>
          <w:rFonts w:hint="eastAsia" w:ascii="Times New Roman" w:hAnsi="Times New Roman" w:eastAsia="宋体" w:cs="Times New Roman"/>
          <w:sz w:val="28"/>
          <w:szCs w:val="28"/>
          <w:highlight w:val="none"/>
          <w14:ligatures w14:val="none"/>
        </w:rPr>
        <w:t>辽宁诺诚安全科技有限公司</w:t>
      </w:r>
      <w:r>
        <w:rPr>
          <w:rFonts w:ascii="Times New Roman" w:hAnsi="Times New Roman" w:eastAsia="宋体" w:cs="Times New Roman"/>
          <w:sz w:val="28"/>
          <w:szCs w:val="28"/>
          <w:highlight w:val="none"/>
          <w14:ligatures w14:val="none"/>
        </w:rPr>
        <w:t>双方签订的《安全评价技术服务合同》；</w:t>
      </w:r>
    </w:p>
    <w:p w14:paraId="3F82A6D4">
      <w:pPr>
        <w:pStyle w:val="23"/>
        <w:numPr>
          <w:ilvl w:val="0"/>
          <w:numId w:val="6"/>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lang w:eastAsia="zh-CN"/>
          <w14:ligatures w14:val="none"/>
        </w:rPr>
        <w:t>沈阳新春城气体有限公司</w:t>
      </w:r>
      <w:r>
        <w:rPr>
          <w:rFonts w:ascii="Times New Roman" w:hAnsi="Times New Roman" w:eastAsia="宋体" w:cs="Times New Roman"/>
          <w:sz w:val="28"/>
          <w:szCs w:val="28"/>
          <w:highlight w:val="none"/>
          <w14:ligatures w14:val="none"/>
        </w:rPr>
        <w:t>提供的有关书面资料、文件和数据</w:t>
      </w:r>
      <w:r>
        <w:rPr>
          <w:rFonts w:hint="eastAsia" w:ascii="Times New Roman" w:hAnsi="Times New Roman" w:eastAsia="宋体" w:cs="Times New Roman"/>
          <w:sz w:val="28"/>
          <w:szCs w:val="28"/>
          <w:highlight w:val="none"/>
          <w14:ligatures w14:val="none"/>
        </w:rPr>
        <w:t>；</w:t>
      </w:r>
    </w:p>
    <w:p w14:paraId="1246FB78">
      <w:pPr>
        <w:pStyle w:val="23"/>
        <w:numPr>
          <w:ilvl w:val="0"/>
          <w:numId w:val="6"/>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t>《危险化学品安全技术全书》（周国泰 化学工业出版社）</w:t>
      </w:r>
      <w:r>
        <w:rPr>
          <w:rFonts w:hint="eastAsia" w:ascii="Times New Roman" w:hAnsi="Times New Roman" w:eastAsia="宋体" w:cs="Times New Roman"/>
          <w:sz w:val="28"/>
          <w:szCs w:val="28"/>
          <w:highlight w:val="none"/>
          <w14:ligatures w14:val="none"/>
        </w:rPr>
        <w:t>；</w:t>
      </w:r>
    </w:p>
    <w:p w14:paraId="4829E603">
      <w:pPr>
        <w:pStyle w:val="23"/>
        <w:numPr>
          <w:ilvl w:val="0"/>
          <w:numId w:val="6"/>
        </w:numPr>
        <w:tabs>
          <w:tab w:val="left" w:pos="840"/>
        </w:tabs>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t>《新编危险物品安全手册》（余志明 化学工业出版社）。</w:t>
      </w:r>
    </w:p>
    <w:bookmarkEnd w:id="27"/>
    <w:bookmarkEnd w:id="28"/>
    <w:bookmarkEnd w:id="29"/>
    <w:bookmarkEnd w:id="30"/>
    <w:p w14:paraId="0A69DC82">
      <w:pPr>
        <w:adjustRightInd w:val="0"/>
        <w:snapToGrid w:val="0"/>
        <w:spacing w:before="312" w:beforeLines="100" w:after="312" w:afterLines="100" w:line="360" w:lineRule="auto"/>
        <w:jc w:val="center"/>
        <w:outlineLvl w:val="1"/>
        <w:rPr>
          <w:rFonts w:ascii="Times New Roman" w:hAnsi="Times New Roman" w:eastAsia="楷体" w:cs="黑体"/>
          <w:b/>
          <w:sz w:val="32"/>
          <w:szCs w:val="32"/>
          <w:highlight w:val="none"/>
          <w14:ligatures w14:val="none"/>
        </w:rPr>
      </w:pPr>
      <w:bookmarkStart w:id="68" w:name="_Toc527536692"/>
      <w:bookmarkStart w:id="69" w:name="_Toc268880205"/>
      <w:bookmarkStart w:id="70" w:name="_Toc163051343"/>
      <w:bookmarkStart w:id="71" w:name="_Toc286933816"/>
      <w:bookmarkStart w:id="72" w:name="_Toc492367636"/>
      <w:bookmarkStart w:id="73" w:name="_Toc32755"/>
      <w:r>
        <w:rPr>
          <w:rFonts w:ascii="Times New Roman" w:hAnsi="Times New Roman" w:eastAsia="楷体" w:cs="黑体"/>
          <w:b/>
          <w:sz w:val="32"/>
          <w:szCs w:val="32"/>
          <w:highlight w:val="none"/>
          <w14:ligatures w14:val="none"/>
        </w:rPr>
        <w:t>1.3评价范围</w:t>
      </w:r>
      <w:bookmarkEnd w:id="68"/>
      <w:bookmarkEnd w:id="69"/>
      <w:bookmarkEnd w:id="70"/>
      <w:bookmarkEnd w:id="71"/>
      <w:bookmarkEnd w:id="72"/>
      <w:bookmarkEnd w:id="73"/>
    </w:p>
    <w:p w14:paraId="1A3D0B6B">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bookmarkStart w:id="74" w:name="_Toc169854317"/>
      <w:bookmarkStart w:id="75" w:name="_Toc167603103"/>
      <w:bookmarkStart w:id="76" w:name="_Toc178849886"/>
      <w:r>
        <w:rPr>
          <w:rFonts w:ascii="Times New Roman" w:hAnsi="Times New Roman" w:eastAsia="宋体" w:cs="Times New Roman"/>
          <w:sz w:val="28"/>
          <w:szCs w:val="28"/>
          <w:highlight w:val="none"/>
          <w14:ligatures w14:val="none"/>
        </w:rPr>
        <w:t>受</w:t>
      </w:r>
      <w:r>
        <w:rPr>
          <w:rFonts w:hint="eastAsia" w:ascii="Times New Roman" w:hAnsi="Times New Roman" w:eastAsia="宋体" w:cs="Times New Roman"/>
          <w:sz w:val="28"/>
          <w:szCs w:val="28"/>
          <w:highlight w:val="none"/>
          <w:lang w:eastAsia="zh-CN"/>
          <w14:ligatures w14:val="none"/>
        </w:rPr>
        <w:t>沈阳新春城气体有限公司</w:t>
      </w:r>
      <w:r>
        <w:rPr>
          <w:rFonts w:ascii="Times New Roman" w:hAnsi="Times New Roman" w:eastAsia="宋体" w:cs="Times New Roman"/>
          <w:sz w:val="28"/>
          <w:szCs w:val="28"/>
          <w:highlight w:val="none"/>
          <w14:ligatures w14:val="none"/>
        </w:rPr>
        <w:t>的委托，</w:t>
      </w:r>
      <w:r>
        <w:rPr>
          <w:rFonts w:hint="eastAsia" w:ascii="Times New Roman" w:hAnsi="Times New Roman" w:eastAsia="宋体" w:cs="Times New Roman"/>
          <w:sz w:val="28"/>
          <w:szCs w:val="28"/>
          <w:highlight w:val="none"/>
          <w14:ligatures w14:val="none"/>
        </w:rPr>
        <w:t>辽宁诺诚安全科技有限公司</w:t>
      </w:r>
      <w:r>
        <w:rPr>
          <w:rFonts w:ascii="Times New Roman" w:hAnsi="Times New Roman" w:eastAsia="宋体" w:cs="Times New Roman"/>
          <w:sz w:val="28"/>
          <w:szCs w:val="28"/>
          <w:highlight w:val="none"/>
          <w14:ligatures w14:val="none"/>
        </w:rPr>
        <w:t>对该企业</w:t>
      </w:r>
      <w:bookmarkEnd w:id="74"/>
      <w:bookmarkEnd w:id="75"/>
      <w:bookmarkEnd w:id="76"/>
      <w:r>
        <w:rPr>
          <w:rFonts w:ascii="Times New Roman" w:hAnsi="Times New Roman" w:eastAsia="宋体" w:cs="Times New Roman"/>
          <w:sz w:val="28"/>
          <w:szCs w:val="28"/>
          <w:highlight w:val="none"/>
          <w14:ligatures w14:val="none"/>
        </w:rPr>
        <w:t>进行安全现状评价，</w:t>
      </w:r>
      <w:r>
        <w:rPr>
          <w:rFonts w:hint="eastAsia" w:ascii="Times New Roman" w:hAnsi="Times New Roman" w:eastAsia="宋体" w:cs="Times New Roman"/>
          <w:sz w:val="28"/>
          <w:szCs w:val="28"/>
          <w:highlight w:val="none"/>
          <w:lang w:eastAsia="zh-CN"/>
          <w14:ligatures w14:val="none"/>
        </w:rPr>
        <w:t>沈阳新春城气体有限公司</w:t>
      </w:r>
      <w:r>
        <w:rPr>
          <w:rFonts w:ascii="Times New Roman" w:hAnsi="Times New Roman" w:eastAsia="宋体" w:cs="Times New Roman"/>
          <w:sz w:val="28"/>
          <w:szCs w:val="28"/>
          <w:highlight w:val="none"/>
          <w14:ligatures w14:val="none"/>
        </w:rPr>
        <w:t>储存经营部分</w:t>
      </w:r>
      <w:r>
        <w:rPr>
          <w:rFonts w:hint="eastAsia" w:ascii="Times New Roman" w:hAnsi="Times New Roman" w:eastAsia="宋体" w:cs="Times New Roman"/>
          <w:sz w:val="28"/>
          <w:szCs w:val="28"/>
          <w:highlight w:val="none"/>
          <w14:ligatures w14:val="none"/>
        </w:rPr>
        <w:t>及票据经营部分</w:t>
      </w:r>
      <w:r>
        <w:rPr>
          <w:rFonts w:ascii="Times New Roman" w:hAnsi="Times New Roman" w:eastAsia="宋体" w:cs="Times New Roman"/>
          <w:sz w:val="28"/>
          <w:szCs w:val="28"/>
          <w:highlight w:val="none"/>
          <w14:ligatures w14:val="none"/>
        </w:rPr>
        <w:t>进行评价；评价范围包括该评价部分涉及的工艺过程、工艺装置、建（构）筑物、公辅工程、安全管理、平面布置以及周边环境。</w:t>
      </w:r>
    </w:p>
    <w:p w14:paraId="1CB50682">
      <w:pPr>
        <w:adjustRightInd w:val="0"/>
        <w:snapToGrid w:val="0"/>
        <w:spacing w:before="312" w:beforeLines="100" w:after="312" w:afterLines="100" w:line="360" w:lineRule="auto"/>
        <w:jc w:val="center"/>
        <w:outlineLvl w:val="1"/>
        <w:rPr>
          <w:rFonts w:ascii="Times New Roman" w:hAnsi="Times New Roman" w:eastAsia="楷体" w:cs="黑体"/>
          <w:b/>
          <w:sz w:val="32"/>
          <w:szCs w:val="32"/>
          <w:highlight w:val="none"/>
          <w14:ligatures w14:val="none"/>
        </w:rPr>
      </w:pPr>
      <w:bookmarkStart w:id="77" w:name="_Toc28309"/>
      <w:bookmarkStart w:id="78" w:name="_Toc163051344"/>
      <w:bookmarkStart w:id="79" w:name="_Toc527536693"/>
      <w:bookmarkStart w:id="80" w:name="_Toc504394760"/>
      <w:r>
        <w:rPr>
          <w:rFonts w:ascii="Times New Roman" w:hAnsi="Times New Roman" w:eastAsia="楷体" w:cs="黑体"/>
          <w:b/>
          <w:sz w:val="32"/>
          <w:szCs w:val="32"/>
          <w:highlight w:val="none"/>
          <w14:ligatures w14:val="none"/>
        </w:rPr>
        <w:t>1.4评价程序</w:t>
      </w:r>
      <w:bookmarkEnd w:id="77"/>
      <w:bookmarkEnd w:id="78"/>
      <w:bookmarkEnd w:id="79"/>
      <w:bookmarkEnd w:id="80"/>
    </w:p>
    <w:p w14:paraId="67C777C0">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lang w:val="zh-CN"/>
          <w14:ligatures w14:val="none"/>
        </w:rPr>
        <w:t>安全现状评价程序为：前期准备；辨识与分析危险、有害因素；划分评价单元；</w:t>
      </w:r>
      <w:r>
        <w:rPr>
          <w:rFonts w:hint="eastAsia" w:ascii="Times New Roman" w:hAnsi="Times New Roman" w:eastAsia="宋体" w:cs="Times New Roman"/>
          <w:sz w:val="28"/>
          <w:szCs w:val="28"/>
          <w:highlight w:val="none"/>
          <w:lang w:val="zh-CN"/>
          <w14:ligatures w14:val="none"/>
        </w:rPr>
        <w:t>评价方法选择；</w:t>
      </w:r>
      <w:r>
        <w:rPr>
          <w:rFonts w:ascii="Times New Roman" w:hAnsi="Times New Roman" w:eastAsia="宋体" w:cs="Times New Roman"/>
          <w:sz w:val="28"/>
          <w:szCs w:val="28"/>
          <w:highlight w:val="none"/>
          <w:lang w:val="zh-CN"/>
          <w14:ligatures w14:val="none"/>
        </w:rPr>
        <w:t>定性、定量评价；提出安全对策措施建议；做出评价结论；编制安全现状评价报告等。本次安全现状评价工作程序</w:t>
      </w:r>
      <w:r>
        <w:rPr>
          <w:rFonts w:ascii="Times New Roman" w:hAnsi="Times New Roman" w:eastAsia="宋体" w:cs="Times New Roman"/>
          <w:sz w:val="28"/>
          <w:szCs w:val="28"/>
          <w:highlight w:val="none"/>
          <w14:ligatures w14:val="none"/>
        </w:rPr>
        <w:t>如图1.4-1所示。</w:t>
      </w:r>
    </w:p>
    <w:p w14:paraId="30648CBC">
      <w:pPr>
        <w:spacing w:after="0" w:line="360" w:lineRule="auto"/>
        <w:ind w:firstLine="560" w:firstLineChars="200"/>
        <w:rPr>
          <w:rFonts w:ascii="Times New Roman" w:hAnsi="Times New Roman" w:eastAsia="宋体" w:cs="Times New Roman"/>
          <w:sz w:val="28"/>
          <w:szCs w:val="28"/>
          <w:highlight w:val="none"/>
          <w14:ligatures w14:val="none"/>
        </w:rPr>
      </w:pPr>
      <w:r>
        <w:rPr>
          <w:rFonts w:hint="eastAsia" w:ascii="Times New Roman" w:hAnsi="Times New Roman" w:eastAsia="宋体"/>
          <w:sz w:val="28"/>
          <w:szCs w:val="28"/>
          <w:highlight w:val="none"/>
        </w:rPr>
        <mc:AlternateContent>
          <mc:Choice Requires="wpc">
            <w:drawing>
              <wp:inline distT="0" distB="0" distL="0" distR="0">
                <wp:extent cx="4987925" cy="4983480"/>
                <wp:effectExtent l="0" t="0" r="3175" b="7620"/>
                <wp:docPr id="653771894" name="画布 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226796863" name="文本框 226796863"/>
                        <wps:cNvSpPr txBox="1"/>
                        <wps:spPr>
                          <a:xfrm>
                            <a:off x="1463708" y="105483"/>
                            <a:ext cx="2050242" cy="316523"/>
                          </a:xfrm>
                          <a:prstGeom prst="rect">
                            <a:avLst/>
                          </a:prstGeom>
                          <a:solidFill>
                            <a:sysClr val="window" lastClr="FFFFFF"/>
                          </a:solidFill>
                          <a:ln w="6350">
                            <a:solidFill>
                              <a:prstClr val="black"/>
                            </a:solidFill>
                          </a:ln>
                        </wps:spPr>
                        <wps:txbx>
                          <w:txbxContent>
                            <w:p w14:paraId="662B1EDA">
                              <w:pPr>
                                <w:jc w:val="center"/>
                                <w:rPr>
                                  <w:rFonts w:hint="eastAsia" w:ascii="宋体" w:hAnsi="宋体" w:eastAsia="宋体"/>
                                  <w:sz w:val="21"/>
                                  <w:szCs w:val="21"/>
                                </w:rPr>
                              </w:pPr>
                              <w:r>
                                <w:rPr>
                                  <w:rFonts w:hint="eastAsia" w:ascii="宋体" w:hAnsi="宋体" w:eastAsia="宋体"/>
                                  <w:sz w:val="21"/>
                                  <w:szCs w:val="21"/>
                                </w:rPr>
                                <w:t>前期准备</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56228629" name="直接箭头连接符 856228629"/>
                        <wps:cNvCnPr>
                          <a:stCxn id="226796863" idx="2"/>
                        </wps:cNvCnPr>
                        <wps:spPr>
                          <a:xfrm flipH="1">
                            <a:off x="2481212" y="421970"/>
                            <a:ext cx="7617" cy="307625"/>
                          </a:xfrm>
                          <a:prstGeom prst="straightConnector1">
                            <a:avLst/>
                          </a:prstGeom>
                          <a:noFill/>
                          <a:ln w="6350" cap="flat" cmpd="sng" algn="ctr">
                            <a:solidFill>
                              <a:sysClr val="windowText" lastClr="000000"/>
                            </a:solidFill>
                            <a:prstDash val="solid"/>
                            <a:miter lim="800000"/>
                            <a:tailEnd type="triangle"/>
                          </a:ln>
                          <a:effectLst/>
                        </wps:spPr>
                        <wps:bodyPr/>
                      </wps:wsp>
                      <wps:wsp>
                        <wps:cNvPr id="556257240" name="文本框 1"/>
                        <wps:cNvSpPr txBox="1"/>
                        <wps:spPr>
                          <a:xfrm>
                            <a:off x="1463709" y="4470298"/>
                            <a:ext cx="2050241" cy="316230"/>
                          </a:xfrm>
                          <a:prstGeom prst="rect">
                            <a:avLst/>
                          </a:prstGeom>
                          <a:solidFill>
                            <a:sysClr val="window" lastClr="FFFFFF"/>
                          </a:solidFill>
                          <a:ln w="6350">
                            <a:solidFill>
                              <a:prstClr val="black"/>
                            </a:solidFill>
                          </a:ln>
                        </wps:spPr>
                        <wps:txbx>
                          <w:txbxContent>
                            <w:p w14:paraId="2DBA4E65">
                              <w:pPr>
                                <w:spacing w:line="276" w:lineRule="auto"/>
                                <w:jc w:val="center"/>
                                <w:rPr>
                                  <w:rFonts w:hint="eastAsia" w:ascii="宋体" w:hAnsi="宋体" w:eastAsia="宋体" w:cs="Times New Roman"/>
                                  <w:sz w:val="21"/>
                                  <w:szCs w:val="21"/>
                                  <w14:ligatures w14:val="none"/>
                                </w:rPr>
                              </w:pPr>
                              <w:r>
                                <w:rPr>
                                  <w:rFonts w:hint="eastAsia" w:ascii="宋体" w:hAnsi="宋体" w:eastAsia="宋体" w:cs="Times New Roman"/>
                                  <w:sz w:val="21"/>
                                  <w:szCs w:val="21"/>
                                </w:rPr>
                                <w:t>编制安全评价报告</w:t>
                              </w:r>
                            </w:p>
                          </w:txbxContent>
                        </wps:txbx>
                        <wps:bodyPr rot="0" spcFirstLastPara="0" vert="horz" wrap="square" lIns="91440" tIns="45720" rIns="91440" bIns="45720" numCol="1" spcCol="0" rtlCol="0" fromWordArt="0" anchor="t" anchorCtr="0" forceAA="0" compatLnSpc="1">
                          <a:noAutofit/>
                        </wps:bodyPr>
                      </wps:wsp>
                      <wps:wsp>
                        <wps:cNvPr id="148562581" name="文本框 1"/>
                        <wps:cNvSpPr txBox="1"/>
                        <wps:spPr>
                          <a:xfrm>
                            <a:off x="1463709" y="3847168"/>
                            <a:ext cx="2050240" cy="316230"/>
                          </a:xfrm>
                          <a:prstGeom prst="rect">
                            <a:avLst/>
                          </a:prstGeom>
                          <a:solidFill>
                            <a:sysClr val="window" lastClr="FFFFFF"/>
                          </a:solidFill>
                          <a:ln w="6350">
                            <a:solidFill>
                              <a:prstClr val="black"/>
                            </a:solidFill>
                          </a:ln>
                        </wps:spPr>
                        <wps:txbx>
                          <w:txbxContent>
                            <w:p w14:paraId="412F15F7">
                              <w:pPr>
                                <w:spacing w:line="276" w:lineRule="auto"/>
                                <w:jc w:val="center"/>
                                <w:rPr>
                                  <w:rFonts w:hint="eastAsia" w:ascii="宋体" w:hAnsi="宋体" w:eastAsia="宋体" w:cs="Times New Roman"/>
                                  <w:sz w:val="21"/>
                                  <w:szCs w:val="21"/>
                                  <w14:ligatures w14:val="none"/>
                                </w:rPr>
                              </w:pPr>
                              <w:r>
                                <w:rPr>
                                  <w:rFonts w:hint="eastAsia" w:ascii="宋体" w:hAnsi="宋体" w:eastAsia="宋体" w:cs="Times New Roman"/>
                                  <w:sz w:val="21"/>
                                  <w:szCs w:val="21"/>
                                </w:rPr>
                                <w:t>做出评价结论</w:t>
                              </w:r>
                            </w:p>
                          </w:txbxContent>
                        </wps:txbx>
                        <wps:bodyPr rot="0" spcFirstLastPara="0" vert="horz" wrap="square" lIns="91440" tIns="45720" rIns="91440" bIns="45720" numCol="1" spcCol="0" rtlCol="0" fromWordArt="0" anchor="t" anchorCtr="0" forceAA="0" compatLnSpc="1">
                          <a:noAutofit/>
                        </wps:bodyPr>
                      </wps:wsp>
                      <wps:wsp>
                        <wps:cNvPr id="826252931" name="文本框 1"/>
                        <wps:cNvSpPr txBox="1"/>
                        <wps:spPr>
                          <a:xfrm>
                            <a:off x="1463708" y="2600819"/>
                            <a:ext cx="2050241" cy="316230"/>
                          </a:xfrm>
                          <a:prstGeom prst="rect">
                            <a:avLst/>
                          </a:prstGeom>
                          <a:solidFill>
                            <a:sysClr val="window" lastClr="FFFFFF"/>
                          </a:solidFill>
                          <a:ln w="6350">
                            <a:solidFill>
                              <a:prstClr val="black"/>
                            </a:solidFill>
                          </a:ln>
                        </wps:spPr>
                        <wps:txbx>
                          <w:txbxContent>
                            <w:p w14:paraId="7EFC5368">
                              <w:pPr>
                                <w:spacing w:line="276" w:lineRule="auto"/>
                                <w:jc w:val="center"/>
                                <w:rPr>
                                  <w:rFonts w:hint="eastAsia" w:ascii="宋体" w:hAnsi="宋体" w:eastAsia="宋体" w:cs="Times New Roman"/>
                                  <w:sz w:val="21"/>
                                  <w:szCs w:val="21"/>
                                  <w14:ligatures w14:val="none"/>
                                </w:rPr>
                              </w:pPr>
                              <w:r>
                                <w:rPr>
                                  <w:rFonts w:hint="eastAsia" w:ascii="宋体" w:hAnsi="宋体" w:eastAsia="宋体" w:cs="Times New Roman"/>
                                  <w:sz w:val="21"/>
                                  <w:szCs w:val="21"/>
                                </w:rPr>
                                <w:t>定性、定量评价</w:t>
                              </w:r>
                            </w:p>
                          </w:txbxContent>
                        </wps:txbx>
                        <wps:bodyPr rot="0" spcFirstLastPara="0" vert="horz" wrap="square" lIns="91440" tIns="45720" rIns="91440" bIns="45720" numCol="1" spcCol="0" rtlCol="0" fromWordArt="0" anchor="t" anchorCtr="0" forceAA="0" compatLnSpc="1">
                          <a:noAutofit/>
                        </wps:bodyPr>
                      </wps:wsp>
                      <wps:wsp>
                        <wps:cNvPr id="207625779" name="文本框 1"/>
                        <wps:cNvSpPr txBox="1"/>
                        <wps:spPr>
                          <a:xfrm>
                            <a:off x="1463708" y="3223998"/>
                            <a:ext cx="2050242" cy="316230"/>
                          </a:xfrm>
                          <a:prstGeom prst="rect">
                            <a:avLst/>
                          </a:prstGeom>
                          <a:solidFill>
                            <a:sysClr val="window" lastClr="FFFFFF"/>
                          </a:solidFill>
                          <a:ln w="6350">
                            <a:solidFill>
                              <a:prstClr val="black"/>
                            </a:solidFill>
                          </a:ln>
                        </wps:spPr>
                        <wps:txbx>
                          <w:txbxContent>
                            <w:p w14:paraId="1AB29CEB">
                              <w:pPr>
                                <w:spacing w:line="276" w:lineRule="auto"/>
                                <w:jc w:val="center"/>
                                <w:rPr>
                                  <w:rFonts w:hint="eastAsia" w:ascii="宋体" w:hAnsi="宋体" w:eastAsia="宋体" w:cs="Times New Roman"/>
                                  <w:sz w:val="21"/>
                                  <w:szCs w:val="21"/>
                                  <w14:ligatures w14:val="none"/>
                                </w:rPr>
                              </w:pPr>
                              <w:r>
                                <w:rPr>
                                  <w:rFonts w:hint="eastAsia" w:ascii="宋体" w:hAnsi="宋体" w:eastAsia="宋体" w:cs="Times New Roman"/>
                                  <w:sz w:val="21"/>
                                  <w:szCs w:val="21"/>
                                </w:rPr>
                                <w:t>提出安全对策措施建议</w:t>
                              </w:r>
                            </w:p>
                          </w:txbxContent>
                        </wps:txbx>
                        <wps:bodyPr rot="0" spcFirstLastPara="0" vert="horz" wrap="square" lIns="91440" tIns="45720" rIns="91440" bIns="45720" numCol="1" spcCol="0" rtlCol="0" fromWordArt="0" anchor="t" anchorCtr="0" forceAA="0" compatLnSpc="1">
                          <a:noAutofit/>
                        </wps:bodyPr>
                      </wps:wsp>
                      <wps:wsp>
                        <wps:cNvPr id="568066690" name="文本框 1"/>
                        <wps:cNvSpPr txBox="1"/>
                        <wps:spPr>
                          <a:xfrm>
                            <a:off x="1463708" y="1977670"/>
                            <a:ext cx="2050242" cy="316230"/>
                          </a:xfrm>
                          <a:prstGeom prst="rect">
                            <a:avLst/>
                          </a:prstGeom>
                          <a:solidFill>
                            <a:sysClr val="window" lastClr="FFFFFF"/>
                          </a:solidFill>
                          <a:ln w="6350">
                            <a:solidFill>
                              <a:prstClr val="black"/>
                            </a:solidFill>
                          </a:ln>
                        </wps:spPr>
                        <wps:txbx>
                          <w:txbxContent>
                            <w:p w14:paraId="510FE51D">
                              <w:pPr>
                                <w:spacing w:line="276" w:lineRule="auto"/>
                                <w:jc w:val="center"/>
                                <w:rPr>
                                  <w:rFonts w:hint="eastAsia" w:ascii="宋体" w:hAnsi="宋体" w:eastAsia="宋体" w:cs="Times New Roman"/>
                                  <w:sz w:val="21"/>
                                  <w:szCs w:val="21"/>
                                  <w14:ligatures w14:val="none"/>
                                </w:rPr>
                              </w:pPr>
                              <w:r>
                                <w:rPr>
                                  <w:rFonts w:hint="eastAsia" w:ascii="宋体" w:hAnsi="宋体" w:eastAsia="宋体" w:cs="Times New Roman"/>
                                  <w:sz w:val="21"/>
                                  <w:szCs w:val="21"/>
                                </w:rPr>
                                <w:t>评价方法选择</w:t>
                              </w:r>
                            </w:p>
                          </w:txbxContent>
                        </wps:txbx>
                        <wps:bodyPr rot="0" spcFirstLastPara="0" vert="horz" wrap="square" lIns="91440" tIns="45720" rIns="91440" bIns="45720" numCol="1" spcCol="0" rtlCol="0" fromWordArt="0" anchor="t" anchorCtr="0" forceAA="0" compatLnSpc="1">
                          <a:noAutofit/>
                        </wps:bodyPr>
                      </wps:wsp>
                      <wps:wsp>
                        <wps:cNvPr id="2012460066" name="文本框 1"/>
                        <wps:cNvSpPr txBox="1"/>
                        <wps:spPr>
                          <a:xfrm>
                            <a:off x="1463708" y="1354409"/>
                            <a:ext cx="2050242" cy="316230"/>
                          </a:xfrm>
                          <a:prstGeom prst="rect">
                            <a:avLst/>
                          </a:prstGeom>
                          <a:solidFill>
                            <a:sysClr val="window" lastClr="FFFFFF"/>
                          </a:solidFill>
                          <a:ln w="6350">
                            <a:solidFill>
                              <a:prstClr val="black"/>
                            </a:solidFill>
                          </a:ln>
                        </wps:spPr>
                        <wps:txbx>
                          <w:txbxContent>
                            <w:p w14:paraId="3B7FFDF8">
                              <w:pPr>
                                <w:spacing w:line="276" w:lineRule="auto"/>
                                <w:jc w:val="center"/>
                                <w:rPr>
                                  <w:rFonts w:hint="eastAsia" w:ascii="宋体" w:hAnsi="宋体" w:eastAsia="宋体" w:cs="Times New Roman"/>
                                  <w:sz w:val="21"/>
                                  <w:szCs w:val="21"/>
                                  <w14:ligatures w14:val="none"/>
                                </w:rPr>
                              </w:pPr>
                              <w:r>
                                <w:rPr>
                                  <w:rFonts w:hint="eastAsia" w:ascii="宋体" w:hAnsi="宋体" w:eastAsia="宋体" w:cs="Times New Roman"/>
                                  <w:sz w:val="21"/>
                                  <w:szCs w:val="21"/>
                                </w:rPr>
                                <w:t>划分评价单元</w:t>
                              </w:r>
                            </w:p>
                          </w:txbxContent>
                        </wps:txbx>
                        <wps:bodyPr rot="0" spcFirstLastPara="0" vert="horz" wrap="square" lIns="91440" tIns="45720" rIns="91440" bIns="45720" numCol="1" spcCol="0" rtlCol="0" fromWordArt="0" anchor="t" anchorCtr="0" forceAA="0" compatLnSpc="1">
                          <a:noAutofit/>
                        </wps:bodyPr>
                      </wps:wsp>
                      <wps:wsp>
                        <wps:cNvPr id="1805597292" name="文本框 1"/>
                        <wps:cNvSpPr txBox="1"/>
                        <wps:spPr>
                          <a:xfrm>
                            <a:off x="1463708" y="729671"/>
                            <a:ext cx="2050242" cy="316230"/>
                          </a:xfrm>
                          <a:prstGeom prst="rect">
                            <a:avLst/>
                          </a:prstGeom>
                          <a:solidFill>
                            <a:sysClr val="window" lastClr="FFFFFF"/>
                          </a:solidFill>
                          <a:ln w="6350">
                            <a:solidFill>
                              <a:prstClr val="black"/>
                            </a:solidFill>
                          </a:ln>
                        </wps:spPr>
                        <wps:txbx>
                          <w:txbxContent>
                            <w:p w14:paraId="5F6811C4">
                              <w:pPr>
                                <w:spacing w:line="276" w:lineRule="auto"/>
                                <w:jc w:val="center"/>
                                <w:rPr>
                                  <w:rFonts w:hint="eastAsia" w:ascii="宋体" w:hAnsi="宋体" w:eastAsia="宋体" w:cs="Times New Roman"/>
                                  <w:sz w:val="21"/>
                                  <w:szCs w:val="21"/>
                                  <w14:ligatures w14:val="none"/>
                                </w:rPr>
                              </w:pPr>
                              <w:r>
                                <w:rPr>
                                  <w:rFonts w:hint="eastAsia" w:ascii="宋体" w:hAnsi="宋体" w:eastAsia="宋体" w:cs="Times New Roman"/>
                                  <w:sz w:val="21"/>
                                  <w:szCs w:val="21"/>
                                </w:rPr>
                                <w:t>辨识与分析危险、有害因素</w:t>
                              </w:r>
                            </w:p>
                          </w:txbxContent>
                        </wps:txbx>
                        <wps:bodyPr rot="0" spcFirstLastPara="0" vert="horz" wrap="square" lIns="91440" tIns="45720" rIns="91440" bIns="45720" numCol="1" spcCol="0" rtlCol="0" fromWordArt="0" anchor="t" anchorCtr="0" forceAA="0" compatLnSpc="1">
                          <a:noAutofit/>
                        </wps:bodyPr>
                      </wps:wsp>
                      <wps:wsp>
                        <wps:cNvPr id="1362741333" name="直接箭头连接符 1362741333"/>
                        <wps:cNvCnPr/>
                        <wps:spPr>
                          <a:xfrm flipH="1">
                            <a:off x="2481261" y="1045984"/>
                            <a:ext cx="0" cy="307340"/>
                          </a:xfrm>
                          <a:prstGeom prst="straightConnector1">
                            <a:avLst/>
                          </a:prstGeom>
                          <a:noFill/>
                          <a:ln w="6350" cap="flat" cmpd="sng" algn="ctr">
                            <a:solidFill>
                              <a:sysClr val="windowText" lastClr="000000"/>
                            </a:solidFill>
                            <a:prstDash val="solid"/>
                            <a:miter lim="800000"/>
                            <a:tailEnd type="triangle"/>
                          </a:ln>
                          <a:effectLst/>
                        </wps:spPr>
                        <wps:bodyPr/>
                      </wps:wsp>
                      <wps:wsp>
                        <wps:cNvPr id="1617925216" name="直接箭头连接符 1617925216"/>
                        <wps:cNvCnPr/>
                        <wps:spPr>
                          <a:xfrm flipH="1">
                            <a:off x="2503940" y="1670874"/>
                            <a:ext cx="0" cy="307340"/>
                          </a:xfrm>
                          <a:prstGeom prst="straightConnector1">
                            <a:avLst/>
                          </a:prstGeom>
                          <a:noFill/>
                          <a:ln w="6350" cap="flat" cmpd="sng" algn="ctr">
                            <a:solidFill>
                              <a:sysClr val="windowText" lastClr="000000"/>
                            </a:solidFill>
                            <a:prstDash val="solid"/>
                            <a:miter lim="800000"/>
                            <a:tailEnd type="triangle"/>
                          </a:ln>
                          <a:effectLst/>
                        </wps:spPr>
                        <wps:bodyPr/>
                      </wps:wsp>
                      <wps:wsp>
                        <wps:cNvPr id="87483814" name="直接箭头连接符 87483814"/>
                        <wps:cNvCnPr/>
                        <wps:spPr>
                          <a:xfrm flipH="1">
                            <a:off x="2503940" y="2294239"/>
                            <a:ext cx="0" cy="307340"/>
                          </a:xfrm>
                          <a:prstGeom prst="straightConnector1">
                            <a:avLst/>
                          </a:prstGeom>
                          <a:noFill/>
                          <a:ln w="6350" cap="flat" cmpd="sng" algn="ctr">
                            <a:solidFill>
                              <a:sysClr val="windowText" lastClr="000000"/>
                            </a:solidFill>
                            <a:prstDash val="solid"/>
                            <a:miter lim="800000"/>
                            <a:tailEnd type="triangle"/>
                          </a:ln>
                          <a:effectLst/>
                        </wps:spPr>
                        <wps:bodyPr/>
                      </wps:wsp>
                      <wps:wsp>
                        <wps:cNvPr id="84351874" name="直接箭头连接符 84351874"/>
                        <wps:cNvCnPr/>
                        <wps:spPr>
                          <a:xfrm flipH="1">
                            <a:off x="2503940" y="2917493"/>
                            <a:ext cx="0" cy="307340"/>
                          </a:xfrm>
                          <a:prstGeom prst="straightConnector1">
                            <a:avLst/>
                          </a:prstGeom>
                          <a:noFill/>
                          <a:ln w="6350" cap="flat" cmpd="sng" algn="ctr">
                            <a:solidFill>
                              <a:sysClr val="windowText" lastClr="000000"/>
                            </a:solidFill>
                            <a:prstDash val="solid"/>
                            <a:miter lim="800000"/>
                            <a:tailEnd type="triangle"/>
                          </a:ln>
                          <a:effectLst/>
                        </wps:spPr>
                        <wps:bodyPr/>
                      </wps:wsp>
                      <wps:wsp>
                        <wps:cNvPr id="1479934885" name="直接箭头连接符 1479934885"/>
                        <wps:cNvCnPr/>
                        <wps:spPr>
                          <a:xfrm flipH="1">
                            <a:off x="2503940" y="4164153"/>
                            <a:ext cx="0" cy="307340"/>
                          </a:xfrm>
                          <a:prstGeom prst="straightConnector1">
                            <a:avLst/>
                          </a:prstGeom>
                          <a:noFill/>
                          <a:ln w="6350" cap="flat" cmpd="sng" algn="ctr">
                            <a:solidFill>
                              <a:sysClr val="windowText" lastClr="000000"/>
                            </a:solidFill>
                            <a:prstDash val="solid"/>
                            <a:miter lim="800000"/>
                            <a:tailEnd type="triangle"/>
                          </a:ln>
                          <a:effectLst/>
                        </wps:spPr>
                        <wps:bodyPr/>
                      </wps:wsp>
                      <wps:wsp>
                        <wps:cNvPr id="1578423374" name="直接箭头连接符 1578423374"/>
                        <wps:cNvCnPr/>
                        <wps:spPr>
                          <a:xfrm flipH="1">
                            <a:off x="2503940" y="3540789"/>
                            <a:ext cx="0" cy="307340"/>
                          </a:xfrm>
                          <a:prstGeom prst="straightConnector1">
                            <a:avLst/>
                          </a:prstGeom>
                          <a:noFill/>
                          <a:ln w="6350" cap="flat" cmpd="sng" algn="ctr">
                            <a:solidFill>
                              <a:sysClr val="windowText" lastClr="000000"/>
                            </a:solidFill>
                            <a:prstDash val="solid"/>
                            <a:miter lim="800000"/>
                            <a:tailEnd type="triangle"/>
                          </a:ln>
                          <a:effectLst/>
                        </wps:spPr>
                        <wps:bodyPr/>
                      </wps:wsp>
                    </wpc:wpc>
                  </a:graphicData>
                </a:graphic>
              </wp:inline>
            </w:drawing>
          </mc:Choice>
          <mc:Fallback>
            <w:pict>
              <v:group id="画布 1" o:spid="_x0000_s1026" o:spt="203" style="height:392.4pt;width:392.75pt;" coordsize="4987925,4983480" editas="canvas" o:gfxdata="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">
                <o:lock v:ext="edit" aspectratio="f"/>
                <v:shape id="画布 1" o:spid="_x0000_s1026" style="position:absolute;left:0;top:0;height:4983480;width:4987925;" fillcolor="#FFFFFF" filled="t" stroked="f" coordsize="21600,21600" o:gfxdata="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">
                  <v:fill on="t" focussize="0,0"/>
                  <v:stroke on="f"/>
                  <v:imagedata o:title=""/>
                  <o:lock v:ext="edit" aspectratio="t"/>
                </v:shape>
                <v:shape id="_x0000_s1026" o:spid="_x0000_s1026" o:spt="202" type="#_x0000_t202" style="position:absolute;left:1463708;top:105483;height:316523;width:2050242;" fillcolor="#FFFFFF" filled="t" stroked="t" coordsize="21600,21600" o:gfxdata="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qZVSpdMAAAAFAQAADwAAAAAAAAABACAAAAAiAAAAZHJzL2Rv&#10;d25yZXYueG1sUEsBAhQAFAAAAAgAh07iQHFhtDB4AgAA4gQAAA4AAAAAAAAAAQAgAAAAIgEAAGRy&#10;cy9lMm9Eb2MueG1sUEsFBgAAAAAGAAYAWQEAAAwGAAAAAA==&#10;">
                  <v:fill on="t" focussize="0,0"/>
                  <v:stroke weight="0.5pt" color="#000000" joinstyle="round"/>
                  <v:imagedata o:title=""/>
                  <o:lock v:ext="edit" aspectratio="f"/>
                  <v:textbox>
                    <w:txbxContent>
                      <w:p w14:paraId="662B1EDA">
                        <w:pPr>
                          <w:jc w:val="center"/>
                          <w:rPr>
                            <w:rFonts w:hint="eastAsia" w:ascii="宋体" w:hAnsi="宋体" w:eastAsia="宋体"/>
                            <w:sz w:val="21"/>
                            <w:szCs w:val="21"/>
                          </w:rPr>
                        </w:pPr>
                        <w:r>
                          <w:rPr>
                            <w:rFonts w:hint="eastAsia" w:ascii="宋体" w:hAnsi="宋体" w:eastAsia="宋体"/>
                            <w:sz w:val="21"/>
                            <w:szCs w:val="21"/>
                          </w:rPr>
                          <w:t>前期准备</w:t>
                        </w:r>
                      </w:p>
                    </w:txbxContent>
                  </v:textbox>
                </v:shape>
                <v:shape id="_x0000_s1026" o:spid="_x0000_s1026" o:spt="32" type="#_x0000_t32" style="position:absolute;left:2481212;top:421970;flip:x;height:307625;width:7617;" filled="f" stroked="t" coordsize="21600,21600" o:gfxdata="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oPCE1NUAAAAFAQAADwAAAAAAAAAB&#10;ACAAAAAiAAAAZHJzL2Rvd25yZXYueG1sUEsBAhQAFAAAAAgAh07iQAMhN8tMAgAAWAQAAA4AAAAA&#10;AAAAAQAgAAAAJAEAAGRycy9lMm9Eb2MueG1sUEsFBgAAAAAGAAYAWQEAAOIFAAAAAA==&#10;">
                  <v:fill on="f" focussize="0,0"/>
                  <v:stroke weight="0.5pt" color="#000000" miterlimit="8" joinstyle="miter" endarrow="block"/>
                  <v:imagedata o:title=""/>
                  <o:lock v:ext="edit" aspectratio="f"/>
                </v:shape>
                <v:shape id="文本框 1" o:spid="_x0000_s1026" o:spt="202" type="#_x0000_t202" style="position:absolute;left:1463709;top:4470298;height:316230;width:2050241;" fillcolor="#FFFFFF" filled="t" stroked="t" coordsize="21600,21600" o:gfxdata="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CplVKl0wAAAAUBAAAPAAAAAAAAAAEAIAAAACIAAABkcnMvZG93bnJldi54bWxQSwECFAAUAAAA&#10;CACHTuJAKjo1WWUCAACrBAAADgAAAAAAAAABACAAAAAiAQAAZHJzL2Uyb0RvYy54bWxQSwUGAAAA&#10;AAYABgBZAQAA+QUAAAAA&#10;">
                  <v:fill on="t" focussize="0,0"/>
                  <v:stroke weight="0.5pt" color="#000000" joinstyle="round"/>
                  <v:imagedata o:title=""/>
                  <o:lock v:ext="edit" aspectratio="f"/>
                  <v:textbox>
                    <w:txbxContent>
                      <w:p w14:paraId="2DBA4E65">
                        <w:pPr>
                          <w:spacing w:line="276" w:lineRule="auto"/>
                          <w:jc w:val="center"/>
                          <w:rPr>
                            <w:rFonts w:hint="eastAsia" w:ascii="宋体" w:hAnsi="宋体" w:eastAsia="宋体" w:cs="Times New Roman"/>
                            <w:sz w:val="21"/>
                            <w:szCs w:val="21"/>
                            <w14:ligatures w14:val="none"/>
                          </w:rPr>
                        </w:pPr>
                        <w:r>
                          <w:rPr>
                            <w:rFonts w:hint="eastAsia" w:ascii="宋体" w:hAnsi="宋体" w:eastAsia="宋体" w:cs="Times New Roman"/>
                            <w:sz w:val="21"/>
                            <w:szCs w:val="21"/>
                          </w:rPr>
                          <w:t>编制安全评价报告</w:t>
                        </w:r>
                      </w:p>
                    </w:txbxContent>
                  </v:textbox>
                </v:shape>
                <v:shape id="文本框 1" o:spid="_x0000_s1026" o:spt="202" type="#_x0000_t202" style="position:absolute;left:1463709;top:3847168;height:316230;width:2050240;" fillcolor="#FFFFFF" filled="t" stroked="t" coordsize="21600,21600" o:gfxdata="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CplVKl0wAAAAUBAAAPAAAAAAAAAAEAIAAAACIAAABkcnMvZG93bnJldi54bWxQSwECFAAUAAAA&#10;CACHTuJAm7jOV2UCAACrBAAADgAAAAAAAAABACAAAAAiAQAAZHJzL2Uyb0RvYy54bWxQSwUGAAAA&#10;AAYABgBZAQAA+QUAAAAA&#10;">
                  <v:fill on="t" focussize="0,0"/>
                  <v:stroke weight="0.5pt" color="#000000" joinstyle="round"/>
                  <v:imagedata o:title=""/>
                  <o:lock v:ext="edit" aspectratio="f"/>
                  <v:textbox>
                    <w:txbxContent>
                      <w:p w14:paraId="412F15F7">
                        <w:pPr>
                          <w:spacing w:line="276" w:lineRule="auto"/>
                          <w:jc w:val="center"/>
                          <w:rPr>
                            <w:rFonts w:hint="eastAsia" w:ascii="宋体" w:hAnsi="宋体" w:eastAsia="宋体" w:cs="Times New Roman"/>
                            <w:sz w:val="21"/>
                            <w:szCs w:val="21"/>
                            <w14:ligatures w14:val="none"/>
                          </w:rPr>
                        </w:pPr>
                        <w:r>
                          <w:rPr>
                            <w:rFonts w:hint="eastAsia" w:ascii="宋体" w:hAnsi="宋体" w:eastAsia="宋体" w:cs="Times New Roman"/>
                            <w:sz w:val="21"/>
                            <w:szCs w:val="21"/>
                          </w:rPr>
                          <w:t>做出评价结论</w:t>
                        </w:r>
                      </w:p>
                    </w:txbxContent>
                  </v:textbox>
                </v:shape>
                <v:shape id="文本框 1" o:spid="_x0000_s1026" o:spt="202" type="#_x0000_t202" style="position:absolute;left:1463708;top:2600819;height:316230;width:2050241;" fillcolor="#FFFFFF" filled="t" stroked="t" coordsize="21600,21600" o:gfxdata="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CplVKl0wAAAAUBAAAPAAAAAAAAAAEAIAAAACIAAABkcnMvZG93bnJldi54bWxQSwECFAAUAAAA&#10;CACHTuJAnacZSWUCAACrBAAADgAAAAAAAAABACAAAAAiAQAAZHJzL2Uyb0RvYy54bWxQSwUGAAAA&#10;AAYABgBZAQAA+QUAAAAA&#10;">
                  <v:fill on="t" focussize="0,0"/>
                  <v:stroke weight="0.5pt" color="#000000" joinstyle="round"/>
                  <v:imagedata o:title=""/>
                  <o:lock v:ext="edit" aspectratio="f"/>
                  <v:textbox>
                    <w:txbxContent>
                      <w:p w14:paraId="7EFC5368">
                        <w:pPr>
                          <w:spacing w:line="276" w:lineRule="auto"/>
                          <w:jc w:val="center"/>
                          <w:rPr>
                            <w:rFonts w:hint="eastAsia" w:ascii="宋体" w:hAnsi="宋体" w:eastAsia="宋体" w:cs="Times New Roman"/>
                            <w:sz w:val="21"/>
                            <w:szCs w:val="21"/>
                            <w14:ligatures w14:val="none"/>
                          </w:rPr>
                        </w:pPr>
                        <w:r>
                          <w:rPr>
                            <w:rFonts w:hint="eastAsia" w:ascii="宋体" w:hAnsi="宋体" w:eastAsia="宋体" w:cs="Times New Roman"/>
                            <w:sz w:val="21"/>
                            <w:szCs w:val="21"/>
                          </w:rPr>
                          <w:t>定性、定量评价</w:t>
                        </w:r>
                      </w:p>
                    </w:txbxContent>
                  </v:textbox>
                </v:shape>
                <v:shape id="文本框 1" o:spid="_x0000_s1026" o:spt="202" type="#_x0000_t202" style="position:absolute;left:1463708;top:3223998;height:316230;width:2050242;" fillcolor="#FFFFFF" filled="t" stroked="t" coordsize="21600,21600" o:gfxdata="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qZVSpdMAAAAFAQAADwAAAAAAAAABACAAAAAiAAAAZHJzL2Rvd25yZXYueG1sUEsBAhQAFAAA&#10;AAgAh07iQEYgxIFmAgAAqwQAAA4AAAAAAAAAAQAgAAAAIgEAAGRycy9lMm9Eb2MueG1sUEsFBgAA&#10;AAAGAAYAWQEAAPoFAAAAAA==&#10;">
                  <v:fill on="t" focussize="0,0"/>
                  <v:stroke weight="0.5pt" color="#000000" joinstyle="round"/>
                  <v:imagedata o:title=""/>
                  <o:lock v:ext="edit" aspectratio="f"/>
                  <v:textbox>
                    <w:txbxContent>
                      <w:p w14:paraId="1AB29CEB">
                        <w:pPr>
                          <w:spacing w:line="276" w:lineRule="auto"/>
                          <w:jc w:val="center"/>
                          <w:rPr>
                            <w:rFonts w:hint="eastAsia" w:ascii="宋体" w:hAnsi="宋体" w:eastAsia="宋体" w:cs="Times New Roman"/>
                            <w:sz w:val="21"/>
                            <w:szCs w:val="21"/>
                            <w14:ligatures w14:val="none"/>
                          </w:rPr>
                        </w:pPr>
                        <w:r>
                          <w:rPr>
                            <w:rFonts w:hint="eastAsia" w:ascii="宋体" w:hAnsi="宋体" w:eastAsia="宋体" w:cs="Times New Roman"/>
                            <w:sz w:val="21"/>
                            <w:szCs w:val="21"/>
                          </w:rPr>
                          <w:t>提出安全对策措施建议</w:t>
                        </w:r>
                      </w:p>
                    </w:txbxContent>
                  </v:textbox>
                </v:shape>
                <v:shape id="文本框 1" o:spid="_x0000_s1026" o:spt="202" type="#_x0000_t202" style="position:absolute;left:1463708;top:1977670;height:316230;width:2050242;" fillcolor="#FFFFFF" filled="t" stroked="t" coordsize="21600,21600" o:gfxdata="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CplVKl0wAAAAUBAAAPAAAAAAAAAAEAIAAAACIAAABkcnMvZG93bnJldi54bWxQSwECFAAUAAAA&#10;CACHTuJA3LBtJGUCAACrBAAADgAAAAAAAAABACAAAAAiAQAAZHJzL2Uyb0RvYy54bWxQSwUGAAAA&#10;AAYABgBZAQAA+QUAAAAA&#10;">
                  <v:fill on="t" focussize="0,0"/>
                  <v:stroke weight="0.5pt" color="#000000" joinstyle="round"/>
                  <v:imagedata o:title=""/>
                  <o:lock v:ext="edit" aspectratio="f"/>
                  <v:textbox>
                    <w:txbxContent>
                      <w:p w14:paraId="510FE51D">
                        <w:pPr>
                          <w:spacing w:line="276" w:lineRule="auto"/>
                          <w:jc w:val="center"/>
                          <w:rPr>
                            <w:rFonts w:hint="eastAsia" w:ascii="宋体" w:hAnsi="宋体" w:eastAsia="宋体" w:cs="Times New Roman"/>
                            <w:sz w:val="21"/>
                            <w:szCs w:val="21"/>
                            <w14:ligatures w14:val="none"/>
                          </w:rPr>
                        </w:pPr>
                        <w:r>
                          <w:rPr>
                            <w:rFonts w:hint="eastAsia" w:ascii="宋体" w:hAnsi="宋体" w:eastAsia="宋体" w:cs="Times New Roman"/>
                            <w:sz w:val="21"/>
                            <w:szCs w:val="21"/>
                          </w:rPr>
                          <w:t>评价方法选择</w:t>
                        </w:r>
                      </w:p>
                    </w:txbxContent>
                  </v:textbox>
                </v:shape>
                <v:shape id="文本框 1" o:spid="_x0000_s1026" o:spt="202" type="#_x0000_t202" style="position:absolute;left:1463708;top:1354409;height:316230;width:2050242;" fillcolor="#FFFFFF" filled="t" stroked="t" coordsize="21600,21600" o:gfxdata="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KmVUqXTAAAABQEAAA8AAAAAAAAAAQAgAAAAIgAAAGRycy9kb3ducmV2LnhtbFBLAQIUABQAAAAI&#10;AIdO4kBalAIbZAIAAKwEAAAOAAAAAAAAAAEAIAAAACIBAABkcnMvZTJvRG9jLnhtbFBLBQYAAAAA&#10;BgAGAFkBAAD4BQAAAAA=&#10;">
                  <v:fill on="t" focussize="0,0"/>
                  <v:stroke weight="0.5pt" color="#000000" joinstyle="round"/>
                  <v:imagedata o:title=""/>
                  <o:lock v:ext="edit" aspectratio="f"/>
                  <v:textbox>
                    <w:txbxContent>
                      <w:p w14:paraId="3B7FFDF8">
                        <w:pPr>
                          <w:spacing w:line="276" w:lineRule="auto"/>
                          <w:jc w:val="center"/>
                          <w:rPr>
                            <w:rFonts w:hint="eastAsia" w:ascii="宋体" w:hAnsi="宋体" w:eastAsia="宋体" w:cs="Times New Roman"/>
                            <w:sz w:val="21"/>
                            <w:szCs w:val="21"/>
                            <w14:ligatures w14:val="none"/>
                          </w:rPr>
                        </w:pPr>
                        <w:r>
                          <w:rPr>
                            <w:rFonts w:hint="eastAsia" w:ascii="宋体" w:hAnsi="宋体" w:eastAsia="宋体" w:cs="Times New Roman"/>
                            <w:sz w:val="21"/>
                            <w:szCs w:val="21"/>
                          </w:rPr>
                          <w:t>划分评价单元</w:t>
                        </w:r>
                      </w:p>
                    </w:txbxContent>
                  </v:textbox>
                </v:shape>
                <v:shape id="文本框 1" o:spid="_x0000_s1026" o:spt="202" type="#_x0000_t202" style="position:absolute;left:1463708;top:729671;height:316230;width:2050242;" fillcolor="#FFFFFF" filled="t" stroked="t" coordsize="21600,21600" o:gfxdata="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qZVSpdMAAAAFAQAADwAAAAAAAAABACAAAAAiAAAAZHJzL2Rvd25yZXYueG1sUEsBAhQAFAAA&#10;AAgAh07iQGy7s9VmAgAAqwQAAA4AAAAAAAAAAQAgAAAAIgEAAGRycy9lMm9Eb2MueG1sUEsFBgAA&#10;AAAGAAYAWQEAAPoFAAAAAA==&#10;">
                  <v:fill on="t" focussize="0,0"/>
                  <v:stroke weight="0.5pt" color="#000000" joinstyle="round"/>
                  <v:imagedata o:title=""/>
                  <o:lock v:ext="edit" aspectratio="f"/>
                  <v:textbox>
                    <w:txbxContent>
                      <w:p w14:paraId="5F6811C4">
                        <w:pPr>
                          <w:spacing w:line="276" w:lineRule="auto"/>
                          <w:jc w:val="center"/>
                          <w:rPr>
                            <w:rFonts w:hint="eastAsia" w:ascii="宋体" w:hAnsi="宋体" w:eastAsia="宋体" w:cs="Times New Roman"/>
                            <w:sz w:val="21"/>
                            <w:szCs w:val="21"/>
                            <w14:ligatures w14:val="none"/>
                          </w:rPr>
                        </w:pPr>
                        <w:r>
                          <w:rPr>
                            <w:rFonts w:hint="eastAsia" w:ascii="宋体" w:hAnsi="宋体" w:eastAsia="宋体" w:cs="Times New Roman"/>
                            <w:sz w:val="21"/>
                            <w:szCs w:val="21"/>
                          </w:rPr>
                          <w:t>辨识与分析危险、有害因素</w:t>
                        </w:r>
                      </w:p>
                    </w:txbxContent>
                  </v:textbox>
                </v:shape>
                <v:shape id="_x0000_s1026" o:spid="_x0000_s1026" o:spt="32" type="#_x0000_t32" style="position:absolute;left:2481261;top:1045984;flip:x;height:307340;width:0;" filled="f" stroked="t" coordsize="21600,21600" o:gfxdata="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KDwhNTVAAAABQEAAA8AAAAAAAAAAQAgAAAAIgAAAGRycy9kb3ducmV2Lnht&#10;bFBLAQIUABQAAAAIAIdO4kCE5EonNQIAACoEAAAOAAAAAAAAAAEAIAAAACQBAABkcnMvZTJvRG9j&#10;LnhtbFBLBQYAAAAABgAGAFkBAADLBQAAAAA=&#10;">
                  <v:fill on="f" focussize="0,0"/>
                  <v:stroke weight="0.5pt" color="#000000" miterlimit="8" joinstyle="miter" endarrow="block"/>
                  <v:imagedata o:title=""/>
                  <o:lock v:ext="edit" aspectratio="f"/>
                </v:shape>
                <v:shape id="_x0000_s1026" o:spid="_x0000_s1026" o:spt="32" type="#_x0000_t32" style="position:absolute;left:2503940;top:1670874;flip:x;height:307340;width:0;" filled="f" stroked="t" coordsize="21600,21600" o:gfxdata="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g8ITU1QAAAAUBAAAPAAAAAAAAAAEAIAAAACIAAABkcnMvZG93bnJldi54bWxQ&#10;SwECFAAUAAAACACHTuJAjuCAPDMCAAAqBAAADgAAAAAAAAABACAAAAAkAQAAZHJzL2Uyb0RvYy54&#10;bWxQSwUGAAAAAAYABgBZAQAAyQUAAAAA&#10;">
                  <v:fill on="f" focussize="0,0"/>
                  <v:stroke weight="0.5pt" color="#000000" miterlimit="8" joinstyle="miter" endarrow="block"/>
                  <v:imagedata o:title=""/>
                  <o:lock v:ext="edit" aspectratio="f"/>
                </v:shape>
                <v:shape id="_x0000_s1026" o:spid="_x0000_s1026" o:spt="32" type="#_x0000_t32" style="position:absolute;left:2503940;top:2294239;flip:x;height:307340;width:0;" filled="f" stroked="t" coordsize="21600,21600" o:gfxdata="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KDwhNTVAAAABQEAAA8AAAAAAAAAAQAgAAAAIgAAAGRycy9kb3ducmV2LnhtbFBL&#10;AQIUABQAAAAIAIdO4kD07pftMgIAACYEAAAOAAAAAAAAAAEAIAAAACQBAABkcnMvZTJvRG9jLnht&#10;bFBLBQYAAAAABgAGAFkBAADIBQAAAAA=&#10;">
                  <v:fill on="f" focussize="0,0"/>
                  <v:stroke weight="0.5pt" color="#000000" miterlimit="8" joinstyle="miter" endarrow="block"/>
                  <v:imagedata o:title=""/>
                  <o:lock v:ext="edit" aspectratio="f"/>
                </v:shape>
                <v:shape id="_x0000_s1026" o:spid="_x0000_s1026" o:spt="32" type="#_x0000_t32" style="position:absolute;left:2503940;top:2917493;flip:x;height:307340;width:0;" filled="f" stroked="t" coordsize="21600,21600" o:gfxdata="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oPCE1NUAAAAFAQAADwAAAAAAAAABACAAAAAiAAAAZHJzL2Rvd25yZXYueG1sUEsB&#10;AhQAFAAAAAgAh07iQGy7UbYxAgAAJgQAAA4AAAAAAAAAAQAgAAAAJAEAAGRycy9lMm9Eb2MueG1s&#10;UEsFBgAAAAAGAAYAWQEAAMcFAAAAAA==&#10;">
                  <v:fill on="f" focussize="0,0"/>
                  <v:stroke weight="0.5pt" color="#000000" miterlimit="8" joinstyle="miter" endarrow="block"/>
                  <v:imagedata o:title=""/>
                  <o:lock v:ext="edit" aspectratio="f"/>
                </v:shape>
                <v:shape id="_x0000_s1026" o:spid="_x0000_s1026" o:spt="32" type="#_x0000_t32" style="position:absolute;left:2503940;top:4164153;flip:x;height:307340;width:0;" filled="f" stroked="t" coordsize="21600,21600" o:gfxdata="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KDwhNTVAAAABQEAAA8AAAAAAAAAAQAgAAAAIgAAAGRycy9kb3ducmV2Lnht&#10;bFBLAQIUABQAAAAIAIdO4kCv6tuzNQIAACoEAAAOAAAAAAAAAAEAIAAAACQBAABkcnMvZTJvRG9j&#10;LnhtbFBLBQYAAAAABgAGAFkBAADLBQAAAAA=&#10;">
                  <v:fill on="f" focussize="0,0"/>
                  <v:stroke weight="0.5pt" color="#000000" miterlimit="8" joinstyle="miter" endarrow="block"/>
                  <v:imagedata o:title=""/>
                  <o:lock v:ext="edit" aspectratio="f"/>
                </v:shape>
                <v:shape id="_x0000_s1026" o:spid="_x0000_s1026" o:spt="32" type="#_x0000_t32" style="position:absolute;left:2503940;top:3540789;flip:x;height:307340;width:0;" filled="f" stroked="t" coordsize="21600,21600" o:gfxdata="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g8ITU1QAAAAUBAAAPAAAAAAAAAAEAIAAAACIAAABkcnMvZG93bnJldi54bWxQ&#10;SwECFAAUAAAACACHTuJAcxcCUjMCAAAqBAAADgAAAAAAAAABACAAAAAkAQAAZHJzL2Uyb0RvYy54&#10;bWxQSwUGAAAAAAYABgBZAQAAyQUAAAAA&#10;">
                  <v:fill on="f" focussize="0,0"/>
                  <v:stroke weight="0.5pt" color="#000000" miterlimit="8" joinstyle="miter" endarrow="block"/>
                  <v:imagedata o:title=""/>
                  <o:lock v:ext="edit" aspectratio="f"/>
                </v:shape>
                <w10:wrap type="none"/>
                <w10:anchorlock/>
              </v:group>
            </w:pict>
          </mc:Fallback>
        </mc:AlternateContent>
      </w:r>
    </w:p>
    <w:p w14:paraId="0C067111">
      <w:pPr>
        <w:adjustRightInd w:val="0"/>
        <w:snapToGrid w:val="0"/>
        <w:spacing w:before="156" w:beforeLines="50" w:after="156" w:afterLines="50" w:line="240" w:lineRule="auto"/>
        <w:jc w:val="center"/>
        <w:rPr>
          <w:rFonts w:ascii="Times New Roman" w:hAnsi="Times New Roman" w:eastAsia="黑体" w:cs="Times New Roman"/>
          <w:sz w:val="24"/>
          <w:highlight w:val="none"/>
          <w14:ligatures w14:val="none"/>
        </w:rPr>
      </w:pPr>
      <w:r>
        <w:rPr>
          <w:rFonts w:ascii="Times New Roman" w:hAnsi="Times New Roman" w:eastAsia="黑体" w:cs="Times New Roman"/>
          <w:sz w:val="24"/>
          <w:highlight w:val="none"/>
          <w14:ligatures w14:val="none"/>
        </w:rPr>
        <mc:AlternateContent>
          <mc:Choice Requires="wps">
            <w:drawing>
              <wp:anchor distT="0" distB="0" distL="114300" distR="114300" simplePos="0" relativeHeight="251660288" behindDoc="0" locked="0" layoutInCell="1" allowOverlap="1">
                <wp:simplePos x="0" y="0"/>
                <wp:positionH relativeFrom="character">
                  <wp:posOffset>1303020</wp:posOffset>
                </wp:positionH>
                <wp:positionV relativeFrom="line">
                  <wp:posOffset>5720715</wp:posOffset>
                </wp:positionV>
                <wp:extent cx="2832100" cy="360680"/>
                <wp:effectExtent l="3175" t="0" r="3175" b="0"/>
                <wp:wrapNone/>
                <wp:docPr id="1245363951"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832100" cy="360680"/>
                        </a:xfrm>
                        <a:prstGeom prst="rect">
                          <a:avLst/>
                        </a:prstGeom>
                        <a:noFill/>
                        <a:ln>
                          <a:noFill/>
                        </a:ln>
                      </wps:spPr>
                      <wps:txbx>
                        <w:txbxContent>
                          <w:p w14:paraId="3CD0E2CA">
                            <w:pPr>
                              <w:pStyle w:val="5"/>
                              <w:keepNext w:val="0"/>
                              <w:keepLines w:val="0"/>
                              <w:spacing w:before="0" w:after="0" w:line="240" w:lineRule="auto"/>
                              <w:jc w:val="center"/>
                              <w:rPr>
                                <w:rFonts w:hint="eastAsia" w:ascii="宋体" w:hAnsi="宋体" w:cs="宋体"/>
                                <w:sz w:val="24"/>
                                <w:szCs w:val="24"/>
                              </w:rPr>
                            </w:pPr>
                            <w:r>
                              <w:rPr>
                                <w:b w:val="0"/>
                                <w:bCs w:val="0"/>
                                <w:sz w:val="24"/>
                                <w:szCs w:val="24"/>
                              </w:rPr>
                              <w:t>图1.4-1</w:t>
                            </w:r>
                            <w:r>
                              <w:rPr>
                                <w:rFonts w:hint="eastAsia"/>
                                <w:b w:val="0"/>
                                <w:bCs w:val="0"/>
                                <w:sz w:val="24"/>
                                <w:szCs w:val="24"/>
                              </w:rPr>
                              <w:t xml:space="preserve">  </w:t>
                            </w:r>
                            <w:r>
                              <w:rPr>
                                <w:b w:val="0"/>
                                <w:bCs w:val="0"/>
                                <w:sz w:val="24"/>
                                <w:szCs w:val="24"/>
                              </w:rPr>
                              <w:t>评价工作的主要内容及程序</w:t>
                            </w:r>
                          </w:p>
                        </w:txbxContent>
                      </wps:txbx>
                      <wps:bodyPr rot="0" vert="horz" wrap="square" lIns="91440" tIns="45720" rIns="91440" bIns="45720" anchor="t" anchorCtr="0" upright="1">
                        <a:noAutofit/>
                      </wps:bodyPr>
                    </wps:wsp>
                  </a:graphicData>
                </a:graphic>
              </wp:anchor>
            </w:drawing>
          </mc:Choice>
          <mc:Fallback>
            <w:pict>
              <v:shape id="文本框 2" o:spid="_x0000_s1026" o:spt="202" type="#_x0000_t202" style="position:absolute;left:0pt;margin-left:102.6pt;margin-top:450.45pt;height:28.4pt;width:223pt;mso-position-horizontal-relative:char;mso-position-vertical-relative:line;z-index:251660288;mso-width-relative:page;mso-height-relative:page;" filled="f" stroked="f" coordsize="21600,21600" o:gfxdata="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LPslZDXAAAA&#10;CwEAAA8AAAAAAAAAAQAgAAAAIgAAAGRycy9kb3ducmV2LnhtbFBLAQIUABQAAAAIAIdO4kAMSgZW&#10;HgIAAB4EAAAOAAAAAAAAAAEAIAAAACYBAABkcnMvZTJvRG9jLnhtbFBLBQYAAAAABgAGAFkBAAC2&#10;BQAAAAA=&#10;">
                <v:fill on="f" focussize="0,0"/>
                <v:stroke on="f"/>
                <v:imagedata o:title=""/>
                <o:lock v:ext="edit" aspectratio="f"/>
                <v:textbox>
                  <w:txbxContent>
                    <w:p w14:paraId="3CD0E2CA">
                      <w:pPr>
                        <w:pStyle w:val="5"/>
                        <w:keepNext w:val="0"/>
                        <w:keepLines w:val="0"/>
                        <w:spacing w:before="0" w:after="0" w:line="240" w:lineRule="auto"/>
                        <w:jc w:val="center"/>
                        <w:rPr>
                          <w:rFonts w:hint="eastAsia" w:ascii="宋体" w:hAnsi="宋体" w:cs="宋体"/>
                          <w:sz w:val="24"/>
                          <w:szCs w:val="24"/>
                        </w:rPr>
                      </w:pPr>
                      <w:r>
                        <w:rPr>
                          <w:b w:val="0"/>
                          <w:bCs w:val="0"/>
                          <w:sz w:val="24"/>
                          <w:szCs w:val="24"/>
                        </w:rPr>
                        <w:t>图1.4-1</w:t>
                      </w:r>
                      <w:r>
                        <w:rPr>
                          <w:rFonts w:hint="eastAsia"/>
                          <w:b w:val="0"/>
                          <w:bCs w:val="0"/>
                          <w:sz w:val="24"/>
                          <w:szCs w:val="24"/>
                        </w:rPr>
                        <w:t xml:space="preserve">  </w:t>
                      </w:r>
                      <w:r>
                        <w:rPr>
                          <w:b w:val="0"/>
                          <w:bCs w:val="0"/>
                          <w:sz w:val="24"/>
                          <w:szCs w:val="24"/>
                        </w:rPr>
                        <w:t>评价工作的主要内容及程序</w:t>
                      </w:r>
                    </w:p>
                  </w:txbxContent>
                </v:textbox>
              </v:shape>
            </w:pict>
          </mc:Fallback>
        </mc:AlternateContent>
      </w:r>
      <w:r>
        <w:rPr>
          <w:rFonts w:hint="eastAsia" w:ascii="Times New Roman" w:hAnsi="Times New Roman" w:eastAsia="黑体" w:cs="Times New Roman"/>
          <w:sz w:val="24"/>
          <w:highlight w:val="none"/>
          <w14:ligatures w14:val="none"/>
        </w:rPr>
        <w:t>图1.4-1  安全评价工作程序框图</w:t>
      </w:r>
      <w:r>
        <w:rPr>
          <w:rFonts w:ascii="Times New Roman" w:hAnsi="Times New Roman" w:eastAsia="黑体" w:cs="Times New Roman"/>
          <w:sz w:val="24"/>
          <w:highlight w:val="none"/>
          <w14:ligatures w14:val="none"/>
        </w:rPr>
        <w:br w:type="page"/>
      </w:r>
    </w:p>
    <w:p w14:paraId="13767DB4">
      <w:pPr>
        <w:adjustRightInd w:val="0"/>
        <w:snapToGrid w:val="0"/>
        <w:spacing w:before="468" w:beforeLines="150" w:after="468" w:afterLines="150" w:line="360" w:lineRule="auto"/>
        <w:jc w:val="center"/>
        <w:outlineLvl w:val="0"/>
        <w:rPr>
          <w:rFonts w:ascii="Times New Roman" w:hAnsi="Times New Roman" w:eastAsia="黑体" w:cs="黑体"/>
          <w:b/>
          <w:kern w:val="44"/>
          <w:sz w:val="32"/>
          <w:szCs w:val="44"/>
          <w:highlight w:val="none"/>
          <w14:ligatures w14:val="none"/>
        </w:rPr>
      </w:pPr>
      <w:bookmarkStart w:id="81" w:name="_Toc194374139"/>
      <w:bookmarkStart w:id="82" w:name="_Toc187563581"/>
      <w:bookmarkStart w:id="83" w:name="_Toc18972"/>
      <w:bookmarkStart w:id="84" w:name="_Toc186441837"/>
      <w:bookmarkStart w:id="85" w:name="_Toc181983934"/>
      <w:bookmarkStart w:id="86" w:name="_Toc492367638"/>
      <w:bookmarkStart w:id="87" w:name="_Toc163051345"/>
      <w:bookmarkStart w:id="88" w:name="_Toc187466151"/>
      <w:bookmarkStart w:id="89" w:name="_Toc187810785"/>
      <w:bookmarkStart w:id="90" w:name="_Toc527536694"/>
      <w:r>
        <w:rPr>
          <w:rFonts w:ascii="Times New Roman" w:hAnsi="Times New Roman" w:eastAsia="黑体" w:cs="黑体"/>
          <w:b/>
          <w:kern w:val="44"/>
          <w:sz w:val="32"/>
          <w:szCs w:val="44"/>
          <w:highlight w:val="none"/>
          <w14:ligatures w14:val="none"/>
        </w:rPr>
        <w:t>2</w:t>
      </w:r>
      <w:r>
        <w:rPr>
          <w:rFonts w:hint="eastAsia" w:ascii="Times New Roman" w:hAnsi="Times New Roman" w:eastAsia="黑体" w:cs="黑体"/>
          <w:b/>
          <w:kern w:val="44"/>
          <w:sz w:val="32"/>
          <w:szCs w:val="44"/>
          <w:highlight w:val="none"/>
          <w14:ligatures w14:val="none"/>
        </w:rPr>
        <w:t>企业</w:t>
      </w:r>
      <w:r>
        <w:rPr>
          <w:rFonts w:ascii="Times New Roman" w:hAnsi="Times New Roman" w:eastAsia="黑体" w:cs="黑体"/>
          <w:b/>
          <w:kern w:val="44"/>
          <w:sz w:val="32"/>
          <w:szCs w:val="44"/>
          <w:highlight w:val="none"/>
          <w14:ligatures w14:val="none"/>
        </w:rPr>
        <w:t>概况</w:t>
      </w:r>
      <w:bookmarkEnd w:id="81"/>
      <w:bookmarkEnd w:id="82"/>
      <w:bookmarkEnd w:id="83"/>
      <w:bookmarkEnd w:id="84"/>
      <w:bookmarkEnd w:id="85"/>
      <w:bookmarkEnd w:id="86"/>
      <w:bookmarkEnd w:id="87"/>
      <w:bookmarkEnd w:id="88"/>
      <w:bookmarkEnd w:id="89"/>
      <w:bookmarkEnd w:id="90"/>
    </w:p>
    <w:p w14:paraId="43C117D1">
      <w:pPr>
        <w:adjustRightInd w:val="0"/>
        <w:snapToGrid w:val="0"/>
        <w:spacing w:before="312" w:beforeLines="100" w:after="312" w:afterLines="100" w:line="360" w:lineRule="auto"/>
        <w:jc w:val="center"/>
        <w:outlineLvl w:val="1"/>
        <w:rPr>
          <w:rFonts w:ascii="Times New Roman" w:hAnsi="Times New Roman" w:eastAsia="楷体" w:cs="黑体"/>
          <w:b/>
          <w:sz w:val="32"/>
          <w:szCs w:val="32"/>
          <w:highlight w:val="none"/>
          <w14:ligatures w14:val="none"/>
        </w:rPr>
      </w:pPr>
      <w:bookmarkStart w:id="91" w:name="_Toc492367639"/>
      <w:bookmarkStart w:id="92" w:name="_Toc527536695"/>
      <w:bookmarkStart w:id="93" w:name="_Toc8944"/>
      <w:bookmarkStart w:id="94" w:name="_Toc163051346"/>
      <w:r>
        <w:rPr>
          <w:rFonts w:ascii="Times New Roman" w:hAnsi="Times New Roman" w:eastAsia="楷体" w:cs="黑体"/>
          <w:b/>
          <w:sz w:val="32"/>
          <w:szCs w:val="32"/>
          <w:highlight w:val="none"/>
          <w14:ligatures w14:val="none"/>
        </w:rPr>
        <w:t>2.1</w:t>
      </w:r>
      <w:bookmarkEnd w:id="91"/>
      <w:bookmarkEnd w:id="92"/>
      <w:r>
        <w:rPr>
          <w:rFonts w:ascii="Times New Roman" w:hAnsi="Times New Roman" w:eastAsia="楷体" w:cs="黑体"/>
          <w:b/>
          <w:sz w:val="32"/>
          <w:szCs w:val="32"/>
          <w:highlight w:val="none"/>
          <w14:ligatures w14:val="none"/>
        </w:rPr>
        <w:t>企业基本情况</w:t>
      </w:r>
      <w:bookmarkEnd w:id="93"/>
      <w:bookmarkEnd w:id="94"/>
    </w:p>
    <w:p w14:paraId="61BB73F5">
      <w:pPr>
        <w:tabs>
          <w:tab w:val="left" w:pos="840"/>
          <w:tab w:val="left" w:pos="1260"/>
        </w:tabs>
        <w:adjustRightInd w:val="0"/>
        <w:snapToGrid w:val="0"/>
        <w:spacing w:before="156" w:beforeLines="50" w:after="156" w:afterLines="50" w:line="360" w:lineRule="auto"/>
        <w:ind w:firstLine="562" w:firstLineChars="200"/>
        <w:jc w:val="both"/>
        <w:outlineLvl w:val="2"/>
        <w:rPr>
          <w:rFonts w:ascii="Times New Roman" w:hAnsi="Times New Roman" w:eastAsia="黑体" w:cs="Times New Roman"/>
          <w:b/>
          <w:sz w:val="28"/>
          <w:szCs w:val="32"/>
          <w:highlight w:val="none"/>
          <w14:ligatures w14:val="none"/>
        </w:rPr>
      </w:pPr>
      <w:bookmarkStart w:id="95" w:name="_Toc479257147"/>
      <w:r>
        <w:rPr>
          <w:rFonts w:ascii="Times New Roman" w:hAnsi="Times New Roman" w:eastAsia="黑体" w:cs="Times New Roman"/>
          <w:b/>
          <w:sz w:val="28"/>
          <w:szCs w:val="32"/>
          <w:highlight w:val="none"/>
          <w14:ligatures w14:val="none"/>
        </w:rPr>
        <w:t>2.1.1</w:t>
      </w:r>
      <w:r>
        <w:rPr>
          <w:rFonts w:hint="eastAsia" w:ascii="Times New Roman" w:hAnsi="Times New Roman" w:eastAsia="黑体" w:cs="Times New Roman"/>
          <w:b/>
          <w:sz w:val="28"/>
          <w:szCs w:val="32"/>
          <w:highlight w:val="none"/>
          <w14:ligatures w14:val="none"/>
        </w:rPr>
        <w:t>企业简介</w:t>
      </w:r>
      <w:bookmarkEnd w:id="95"/>
    </w:p>
    <w:p w14:paraId="45C23E35">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lang w:eastAsia="zh-CN"/>
          <w14:ligatures w14:val="none"/>
        </w:rPr>
        <w:t>沈阳新春城气体有限公司</w:t>
      </w:r>
      <w:r>
        <w:rPr>
          <w:rFonts w:hint="eastAsia" w:ascii="Times New Roman" w:hAnsi="Times New Roman" w:eastAsia="宋体" w:cs="Times New Roman"/>
          <w:sz w:val="28"/>
          <w:szCs w:val="28"/>
          <w:highlight w:val="none"/>
          <w14:ligatures w14:val="none"/>
        </w:rPr>
        <w:t>位于辽宁省沈阳市沈北新区财落街道财落二社区，成立于200</w:t>
      </w:r>
      <w:r>
        <w:rPr>
          <w:rFonts w:hint="eastAsia" w:ascii="Times New Roman" w:hAnsi="Times New Roman" w:eastAsia="宋体" w:cs="Times New Roman"/>
          <w:sz w:val="28"/>
          <w:szCs w:val="28"/>
          <w:highlight w:val="none"/>
          <w:lang w:val="en-US" w:eastAsia="zh-CN"/>
          <w14:ligatures w14:val="none"/>
        </w:rPr>
        <w:t>4</w:t>
      </w:r>
      <w:r>
        <w:rPr>
          <w:rFonts w:hint="eastAsia" w:ascii="Times New Roman" w:hAnsi="Times New Roman" w:eastAsia="宋体" w:cs="Times New Roman"/>
          <w:sz w:val="28"/>
          <w:szCs w:val="28"/>
          <w:highlight w:val="none"/>
          <w14:ligatures w14:val="none"/>
        </w:rPr>
        <w:t>年</w:t>
      </w:r>
      <w:r>
        <w:rPr>
          <w:rFonts w:hint="eastAsia" w:ascii="Times New Roman" w:hAnsi="Times New Roman" w:eastAsia="宋体" w:cs="Times New Roman"/>
          <w:sz w:val="28"/>
          <w:szCs w:val="28"/>
          <w:highlight w:val="none"/>
          <w:lang w:val="en-US" w:eastAsia="zh-CN"/>
          <w14:ligatures w14:val="none"/>
        </w:rPr>
        <w:t>10</w:t>
      </w:r>
      <w:r>
        <w:rPr>
          <w:rFonts w:hint="eastAsia" w:ascii="Times New Roman" w:hAnsi="Times New Roman" w:eastAsia="宋体" w:cs="Times New Roman"/>
          <w:sz w:val="28"/>
          <w:szCs w:val="28"/>
          <w:highlight w:val="none"/>
          <w14:ligatures w14:val="none"/>
        </w:rPr>
        <w:t>月</w:t>
      </w:r>
      <w:r>
        <w:rPr>
          <w:rFonts w:hint="eastAsia" w:ascii="Times New Roman" w:hAnsi="Times New Roman" w:eastAsia="宋体" w:cs="Times New Roman"/>
          <w:sz w:val="28"/>
          <w:szCs w:val="28"/>
          <w:highlight w:val="none"/>
          <w:lang w:val="en-US" w:eastAsia="zh-CN"/>
          <w14:ligatures w14:val="none"/>
        </w:rPr>
        <w:t>09</w:t>
      </w:r>
      <w:r>
        <w:rPr>
          <w:rFonts w:hint="eastAsia" w:ascii="Times New Roman" w:hAnsi="Times New Roman" w:eastAsia="宋体" w:cs="Times New Roman"/>
          <w:sz w:val="28"/>
          <w:szCs w:val="28"/>
          <w:highlight w:val="none"/>
          <w14:ligatures w14:val="none"/>
        </w:rPr>
        <w:t>日，类型为</w:t>
      </w:r>
      <w:r>
        <w:rPr>
          <w:rFonts w:hint="eastAsia" w:ascii="Times New Roman" w:hAnsi="Times New Roman" w:eastAsia="宋体" w:cs="Times New Roman"/>
          <w:sz w:val="28"/>
          <w:szCs w:val="28"/>
          <w:highlight w:val="none"/>
          <w:lang w:val="en-US" w:eastAsia="zh-CN"/>
          <w14:ligatures w14:val="none"/>
        </w:rPr>
        <w:t>有限责任公司</w:t>
      </w:r>
      <w:r>
        <w:rPr>
          <w:rFonts w:hint="eastAsia" w:ascii="Times New Roman" w:hAnsi="Times New Roman" w:eastAsia="宋体" w:cs="Times New Roman"/>
          <w:sz w:val="28"/>
          <w:szCs w:val="28"/>
          <w:highlight w:val="none"/>
          <w14:ligatures w14:val="none"/>
        </w:rPr>
        <w:t>，</w:t>
      </w:r>
      <w:r>
        <w:rPr>
          <w:rFonts w:hint="eastAsia" w:ascii="Times New Roman" w:hAnsi="Times New Roman" w:eastAsia="宋体" w:cs="Times New Roman"/>
          <w:sz w:val="28"/>
          <w:szCs w:val="28"/>
          <w:highlight w:val="none"/>
          <w:lang w:val="en-US" w:eastAsia="zh-CN"/>
          <w14:ligatures w14:val="none"/>
        </w:rPr>
        <w:t>法定代表人为闻杰</w:t>
      </w:r>
      <w:r>
        <w:rPr>
          <w:rFonts w:hint="eastAsia" w:ascii="Times New Roman" w:hAnsi="Times New Roman" w:eastAsia="宋体" w:cs="Times New Roman"/>
          <w:sz w:val="28"/>
          <w:szCs w:val="28"/>
          <w:highlight w:val="none"/>
          <w14:ligatures w14:val="none"/>
        </w:rPr>
        <w:t>，经营范围：</w:t>
      </w:r>
      <w:r>
        <w:rPr>
          <w:rFonts w:hint="eastAsia" w:ascii="Times New Roman" w:hAnsi="Times New Roman" w:eastAsia="宋体" w:cs="Times New Roman"/>
          <w:sz w:val="28"/>
          <w:szCs w:val="28"/>
          <w:highlight w:val="none"/>
          <w:lang w:val="en-US" w:eastAsia="zh-CN"/>
          <w14:ligatures w14:val="none"/>
        </w:rPr>
        <w:t>充装（有储存）：</w:t>
      </w:r>
      <w:r>
        <w:rPr>
          <w:rFonts w:hint="eastAsia" w:ascii="Times New Roman" w:hAnsi="Times New Roman" w:eastAsia="宋体" w:cs="Times New Roman"/>
          <w:sz w:val="28"/>
          <w:szCs w:val="28"/>
          <w:highlight w:val="none"/>
          <w14:ligatures w14:val="none"/>
        </w:rPr>
        <w:t>氧[压缩的或液化的]、氮[压缩的或液化的]、氩[压缩的或液化的]、二氧化碳[压缩的或液化的]；</w:t>
      </w:r>
      <w:r>
        <w:rPr>
          <w:rFonts w:hint="eastAsia" w:ascii="Times New Roman" w:hAnsi="Times New Roman" w:eastAsia="宋体" w:cs="Times New Roman"/>
          <w:sz w:val="28"/>
          <w:szCs w:val="28"/>
          <w:highlight w:val="none"/>
          <w:lang w:val="en-US" w:eastAsia="zh-CN"/>
          <w14:ligatures w14:val="none"/>
        </w:rPr>
        <w:t>批发（</w:t>
      </w:r>
      <w:r>
        <w:rPr>
          <w:rFonts w:hint="eastAsia" w:ascii="Times New Roman" w:hAnsi="Times New Roman" w:eastAsia="宋体" w:cs="Times New Roman"/>
          <w:sz w:val="28"/>
          <w:szCs w:val="28"/>
          <w:highlight w:val="none"/>
          <w14:ligatures w14:val="none"/>
        </w:rPr>
        <w:t>无储存</w:t>
      </w:r>
      <w:r>
        <w:rPr>
          <w:rFonts w:hint="eastAsia" w:ascii="Times New Roman" w:hAnsi="Times New Roman" w:eastAsia="宋体" w:cs="Times New Roman"/>
          <w:sz w:val="28"/>
          <w:szCs w:val="28"/>
          <w:highlight w:val="none"/>
          <w:lang w:val="en-US" w:eastAsia="zh-CN"/>
          <w14:ligatures w14:val="none"/>
        </w:rPr>
        <w:t>）</w:t>
      </w:r>
      <w:r>
        <w:rPr>
          <w:rFonts w:hint="eastAsia" w:ascii="Times New Roman" w:hAnsi="Times New Roman" w:eastAsia="宋体" w:cs="Times New Roman"/>
          <w:sz w:val="28"/>
          <w:szCs w:val="28"/>
          <w:highlight w:val="none"/>
          <w14:ligatures w14:val="none"/>
        </w:rPr>
        <w:t>：氢、</w:t>
      </w:r>
      <w:r>
        <w:rPr>
          <w:rFonts w:hint="eastAsia" w:ascii="Times New Roman" w:hAnsi="Times New Roman" w:eastAsia="宋体" w:cs="Times New Roman"/>
          <w:sz w:val="28"/>
          <w:szCs w:val="28"/>
          <w:highlight w:val="none"/>
          <w:lang w:val="en-US" w:eastAsia="zh-CN"/>
          <w14:ligatures w14:val="none"/>
        </w:rPr>
        <w:t>氦</w:t>
      </w:r>
      <w:r>
        <w:rPr>
          <w:rFonts w:hint="eastAsia" w:ascii="Times New Roman" w:hAnsi="Times New Roman" w:eastAsia="宋体" w:cs="Times New Roman"/>
          <w:sz w:val="28"/>
          <w:szCs w:val="28"/>
          <w:highlight w:val="none"/>
          <w14:ligatures w14:val="none"/>
        </w:rPr>
        <w:t>[压缩的或液化的]、丙烷</w:t>
      </w:r>
      <w:r>
        <w:rPr>
          <w:rFonts w:ascii="Times New Roman" w:hAnsi="Times New Roman" w:eastAsia="宋体" w:cs="Times New Roman"/>
          <w:sz w:val="28"/>
          <w:szCs w:val="28"/>
          <w:highlight w:val="none"/>
          <w14:ligatures w14:val="none"/>
        </w:rPr>
        <w:t>。</w:t>
      </w:r>
    </w:p>
    <w:p w14:paraId="47D95AAF">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lang w:eastAsia="zh-CN"/>
          <w14:ligatures w14:val="none"/>
        </w:rPr>
        <w:t>沈阳新春城气体有限公司</w:t>
      </w:r>
      <w:r>
        <w:rPr>
          <w:rFonts w:ascii="Times New Roman" w:hAnsi="Times New Roman" w:eastAsia="宋体" w:cs="Times New Roman"/>
          <w:sz w:val="28"/>
          <w:szCs w:val="28"/>
          <w:highlight w:val="none"/>
          <w14:ligatures w14:val="none"/>
        </w:rPr>
        <w:t>危险化学品经营许</w:t>
      </w:r>
      <w:r>
        <w:rPr>
          <w:rFonts w:hint="eastAsia" w:ascii="Times New Roman" w:hAnsi="Times New Roman" w:eastAsia="宋体" w:cs="Times New Roman"/>
          <w:sz w:val="28"/>
          <w:szCs w:val="28"/>
          <w:highlight w:val="none"/>
          <w14:ligatures w14:val="none"/>
        </w:rPr>
        <w:t>可证有效期限2023年08月</w:t>
      </w:r>
      <w:r>
        <w:rPr>
          <w:rFonts w:hint="eastAsia" w:ascii="Times New Roman" w:hAnsi="Times New Roman" w:eastAsia="宋体" w:cs="Times New Roman"/>
          <w:sz w:val="28"/>
          <w:szCs w:val="28"/>
          <w:highlight w:val="none"/>
          <w:lang w:val="en-US" w:eastAsia="zh-CN"/>
          <w14:ligatures w14:val="none"/>
        </w:rPr>
        <w:t>25</w:t>
      </w:r>
      <w:r>
        <w:rPr>
          <w:rFonts w:hint="eastAsia" w:ascii="Times New Roman" w:hAnsi="Times New Roman" w:eastAsia="宋体" w:cs="Times New Roman"/>
          <w:sz w:val="28"/>
          <w:szCs w:val="28"/>
          <w:highlight w:val="none"/>
          <w14:ligatures w14:val="none"/>
        </w:rPr>
        <w:t>日至2026年0</w:t>
      </w:r>
      <w:r>
        <w:rPr>
          <w:rFonts w:hint="eastAsia" w:ascii="Times New Roman" w:hAnsi="Times New Roman" w:eastAsia="宋体" w:cs="Times New Roman"/>
          <w:sz w:val="28"/>
          <w:szCs w:val="28"/>
          <w:highlight w:val="none"/>
          <w:lang w:val="en-US" w:eastAsia="zh-CN"/>
          <w14:ligatures w14:val="none"/>
        </w:rPr>
        <w:t>8</w:t>
      </w:r>
      <w:r>
        <w:rPr>
          <w:rFonts w:hint="eastAsia" w:ascii="Times New Roman" w:hAnsi="Times New Roman" w:eastAsia="宋体" w:cs="Times New Roman"/>
          <w:sz w:val="28"/>
          <w:szCs w:val="28"/>
          <w:highlight w:val="none"/>
          <w14:ligatures w14:val="none"/>
        </w:rPr>
        <w:t>月</w:t>
      </w:r>
      <w:r>
        <w:rPr>
          <w:rFonts w:hint="eastAsia" w:ascii="Times New Roman" w:hAnsi="Times New Roman" w:eastAsia="宋体" w:cs="Times New Roman"/>
          <w:sz w:val="28"/>
          <w:szCs w:val="28"/>
          <w:highlight w:val="none"/>
          <w:lang w:val="en-US" w:eastAsia="zh-CN"/>
          <w14:ligatures w14:val="none"/>
        </w:rPr>
        <w:t>24</w:t>
      </w:r>
      <w:r>
        <w:rPr>
          <w:rFonts w:hint="eastAsia" w:ascii="Times New Roman" w:hAnsi="Times New Roman" w:eastAsia="宋体" w:cs="Times New Roman"/>
          <w:sz w:val="28"/>
          <w:szCs w:val="28"/>
          <w:highlight w:val="none"/>
          <w14:ligatures w14:val="none"/>
        </w:rPr>
        <w:t>日，证书编号：</w:t>
      </w:r>
      <w:r>
        <w:rPr>
          <w:rFonts w:hint="eastAsia" w:ascii="Times New Roman" w:hAnsi="Times New Roman" w:eastAsia="宋体" w:cs="Times New Roman"/>
          <w:sz w:val="28"/>
          <w:szCs w:val="28"/>
          <w:highlight w:val="none"/>
          <w:lang w:val="en-US" w:eastAsia="zh-CN"/>
          <w14:ligatures w14:val="none"/>
        </w:rPr>
        <w:t>沈北危化</w:t>
      </w:r>
      <w:r>
        <w:rPr>
          <w:rFonts w:hint="eastAsia" w:ascii="Times New Roman" w:hAnsi="Times New Roman" w:eastAsia="宋体" w:cs="Times New Roman"/>
          <w:sz w:val="28"/>
          <w:szCs w:val="28"/>
          <w:highlight w:val="none"/>
          <w14:ligatures w14:val="none"/>
        </w:rPr>
        <w:t>经字[2023]00</w:t>
      </w:r>
      <w:r>
        <w:rPr>
          <w:rFonts w:hint="eastAsia" w:ascii="Times New Roman" w:hAnsi="Times New Roman" w:eastAsia="宋体" w:cs="Times New Roman"/>
          <w:sz w:val="28"/>
          <w:szCs w:val="28"/>
          <w:highlight w:val="none"/>
          <w:lang w:val="en-US" w:eastAsia="zh-CN"/>
          <w14:ligatures w14:val="none"/>
        </w:rPr>
        <w:t>51</w:t>
      </w:r>
      <w:r>
        <w:rPr>
          <w:rFonts w:hint="eastAsia" w:ascii="Times New Roman" w:hAnsi="Times New Roman" w:eastAsia="宋体" w:cs="Times New Roman"/>
          <w:sz w:val="28"/>
          <w:szCs w:val="28"/>
          <w:highlight w:val="none"/>
          <w14:ligatures w14:val="none"/>
        </w:rPr>
        <w:t>号</w:t>
      </w:r>
      <w:r>
        <w:rPr>
          <w:rFonts w:ascii="Times New Roman" w:hAnsi="Times New Roman" w:eastAsia="宋体" w:cs="Times New Roman"/>
          <w:sz w:val="28"/>
          <w:szCs w:val="28"/>
          <w:highlight w:val="none"/>
          <w14:ligatures w14:val="none"/>
        </w:rPr>
        <w:t>。</w:t>
      </w:r>
      <w:r>
        <w:rPr>
          <w:rFonts w:hint="eastAsia" w:ascii="Times New Roman" w:hAnsi="Times New Roman" w:eastAsia="宋体" w:cs="Times New Roman"/>
          <w:sz w:val="28"/>
          <w:szCs w:val="28"/>
          <w:highlight w:val="none"/>
          <w:lang w:eastAsia="zh-CN"/>
          <w14:ligatures w14:val="none"/>
        </w:rPr>
        <w:t>沈阳新春城气体有限公司</w:t>
      </w:r>
      <w:r>
        <w:rPr>
          <w:rFonts w:hint="eastAsia" w:ascii="Times New Roman" w:hAnsi="Times New Roman" w:eastAsia="宋体" w:cs="Times New Roman"/>
          <w:sz w:val="28"/>
          <w:szCs w:val="28"/>
          <w:highlight w:val="none"/>
          <w14:ligatures w14:val="none"/>
        </w:rPr>
        <w:t>已提交延期申请。</w:t>
      </w:r>
    </w:p>
    <w:p w14:paraId="7878C6D5">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本次拟进行经营许可证的换证申请。</w:t>
      </w:r>
    </w:p>
    <w:p w14:paraId="41626337">
      <w:pPr>
        <w:keepNext/>
        <w:adjustRightInd w:val="0"/>
        <w:snapToGrid w:val="0"/>
        <w:spacing w:before="156" w:beforeLines="50" w:after="156" w:afterLines="50" w:line="240" w:lineRule="auto"/>
        <w:jc w:val="center"/>
        <w:rPr>
          <w:rFonts w:ascii="Times New Roman" w:hAnsi="Times New Roman" w:eastAsia="黑体" w:cs="Times New Roman"/>
          <w:sz w:val="24"/>
          <w:highlight w:val="none"/>
          <w14:ligatures w14:val="none"/>
        </w:rPr>
      </w:pPr>
      <w:r>
        <w:rPr>
          <w:rFonts w:hint="eastAsia" w:ascii="Times New Roman" w:hAnsi="Times New Roman" w:eastAsia="黑体" w:cs="Times New Roman"/>
          <w:sz w:val="24"/>
          <w:highlight w:val="none"/>
          <w14:ligatures w14:val="none"/>
        </w:rPr>
        <w:t>表2.1-1  经营品种清单</w:t>
      </w:r>
    </w:p>
    <w:tbl>
      <w:tblPr>
        <w:tblStyle w:val="15"/>
        <w:tblW w:w="497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5"/>
        <w:gridCol w:w="2719"/>
        <w:gridCol w:w="1796"/>
        <w:gridCol w:w="1920"/>
        <w:gridCol w:w="1040"/>
        <w:gridCol w:w="830"/>
      </w:tblGrid>
      <w:tr w14:paraId="55DD6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6" w:type="dxa"/>
            <w:vAlign w:val="center"/>
          </w:tcPr>
          <w:p w14:paraId="3827FD25">
            <w:pPr>
              <w:adjustRightInd w:val="0"/>
              <w:snapToGrid w:val="0"/>
              <w:spacing w:after="0" w:line="240" w:lineRule="auto"/>
              <w:jc w:val="center"/>
              <w:rPr>
                <w:rFonts w:ascii="Times New Roman" w:hAnsi="Times New Roman" w:eastAsia="宋体" w:cs="Times New Roman"/>
                <w:sz w:val="21"/>
                <w:szCs w:val="21"/>
                <w:highlight w:val="none"/>
                <w14:ligatures w14:val="none"/>
              </w:rPr>
            </w:pPr>
            <w:r>
              <w:rPr>
                <w:rFonts w:hint="eastAsia" w:ascii="Times New Roman" w:hAnsi="Times New Roman" w:eastAsia="宋体" w:cs="Times New Roman"/>
                <w:sz w:val="21"/>
                <w:szCs w:val="21"/>
                <w:highlight w:val="none"/>
                <w14:ligatures w14:val="none"/>
              </w:rPr>
              <w:t>序号</w:t>
            </w:r>
          </w:p>
        </w:tc>
        <w:tc>
          <w:tcPr>
            <w:tcW w:w="2724" w:type="dxa"/>
            <w:vAlign w:val="center"/>
          </w:tcPr>
          <w:p w14:paraId="68AAAA90">
            <w:pPr>
              <w:adjustRightInd w:val="0"/>
              <w:spacing w:after="0" w:line="240" w:lineRule="auto"/>
              <w:jc w:val="center"/>
              <w:rPr>
                <w:rFonts w:ascii="Times New Roman" w:hAnsi="Times New Roman" w:eastAsia="宋体" w:cs="Times New Roman"/>
                <w:sz w:val="21"/>
                <w:szCs w:val="21"/>
                <w:highlight w:val="none"/>
                <w14:ligatures w14:val="none"/>
              </w:rPr>
            </w:pPr>
            <w:r>
              <w:rPr>
                <w:rFonts w:hint="eastAsia" w:ascii="Times New Roman" w:hAnsi="Times New Roman" w:eastAsia="宋体" w:cs="Times New Roman"/>
                <w:sz w:val="21"/>
                <w:szCs w:val="21"/>
                <w:highlight w:val="none"/>
                <w14:ligatures w14:val="none"/>
              </w:rPr>
              <w:t>化学品名称</w:t>
            </w:r>
          </w:p>
        </w:tc>
        <w:tc>
          <w:tcPr>
            <w:tcW w:w="1798" w:type="dxa"/>
            <w:vAlign w:val="center"/>
          </w:tcPr>
          <w:p w14:paraId="765E4EB8">
            <w:pPr>
              <w:spacing w:after="0" w:line="240" w:lineRule="auto"/>
              <w:jc w:val="center"/>
              <w:rPr>
                <w:rFonts w:ascii="Times New Roman" w:hAnsi="Times New Roman" w:eastAsia="宋体" w:cs="宋体"/>
                <w:sz w:val="21"/>
                <w:szCs w:val="21"/>
                <w:highlight w:val="none"/>
                <w:lang w:bidi="zh-TW"/>
                <w14:ligatures w14:val="none"/>
              </w:rPr>
            </w:pPr>
            <w:r>
              <w:rPr>
                <w:rFonts w:ascii="Times New Roman" w:hAnsi="Times New Roman" w:eastAsia="宋体" w:cs="Times New Roman"/>
                <w:sz w:val="21"/>
                <w:szCs w:val="21"/>
                <w:highlight w:val="none"/>
                <w:lang w:val="zh-TW" w:eastAsia="zh-TW" w:bidi="zh-TW"/>
                <w14:ligatures w14:val="none"/>
              </w:rPr>
              <w:t>危化品目录序号</w:t>
            </w:r>
          </w:p>
        </w:tc>
        <w:tc>
          <w:tcPr>
            <w:tcW w:w="1920" w:type="dxa"/>
            <w:vAlign w:val="center"/>
          </w:tcPr>
          <w:p w14:paraId="1AFEE514">
            <w:pPr>
              <w:adjustRightInd w:val="0"/>
              <w:spacing w:after="0" w:line="240" w:lineRule="auto"/>
              <w:jc w:val="center"/>
              <w:rPr>
                <w:rFonts w:ascii="Times New Roman" w:hAnsi="Times New Roman" w:eastAsia="宋体" w:cs="Times New Roman"/>
                <w:sz w:val="21"/>
                <w:szCs w:val="21"/>
                <w:highlight w:val="none"/>
                <w14:ligatures w14:val="none"/>
              </w:rPr>
            </w:pPr>
            <w:r>
              <w:rPr>
                <w:rFonts w:hint="eastAsia" w:ascii="Times New Roman" w:hAnsi="Times New Roman" w:eastAsia="宋体" w:cs="Times New Roman"/>
                <w:sz w:val="21"/>
                <w:szCs w:val="21"/>
                <w:highlight w:val="none"/>
                <w14:ligatures w14:val="none"/>
              </w:rPr>
              <w:t>CAS号</w:t>
            </w:r>
          </w:p>
        </w:tc>
        <w:tc>
          <w:tcPr>
            <w:tcW w:w="1042" w:type="dxa"/>
            <w:vAlign w:val="center"/>
          </w:tcPr>
          <w:p w14:paraId="3FA6EA09">
            <w:pPr>
              <w:adjustRightInd w:val="0"/>
              <w:spacing w:after="0" w:line="240" w:lineRule="auto"/>
              <w:jc w:val="center"/>
              <w:rPr>
                <w:rFonts w:ascii="Times New Roman" w:hAnsi="Times New Roman" w:eastAsia="宋体" w:cs="Times New Roman"/>
                <w:sz w:val="21"/>
                <w:szCs w:val="21"/>
                <w:highlight w:val="none"/>
                <w14:ligatures w14:val="none"/>
              </w:rPr>
            </w:pPr>
            <w:r>
              <w:rPr>
                <w:rFonts w:hint="eastAsia" w:ascii="Times New Roman" w:hAnsi="Times New Roman" w:eastAsia="宋体" w:cs="Times New Roman"/>
                <w:sz w:val="21"/>
                <w:szCs w:val="21"/>
                <w:highlight w:val="none"/>
                <w14:ligatures w14:val="none"/>
              </w:rPr>
              <w:t>经营方式</w:t>
            </w:r>
          </w:p>
        </w:tc>
        <w:tc>
          <w:tcPr>
            <w:tcW w:w="831" w:type="dxa"/>
            <w:vAlign w:val="center"/>
          </w:tcPr>
          <w:p w14:paraId="016D36D6">
            <w:pPr>
              <w:adjustRightInd w:val="0"/>
              <w:spacing w:after="0" w:line="240" w:lineRule="auto"/>
              <w:jc w:val="center"/>
              <w:rPr>
                <w:rFonts w:ascii="Times New Roman" w:hAnsi="Times New Roman" w:eastAsia="宋体" w:cs="Times New Roman"/>
                <w:sz w:val="21"/>
                <w:szCs w:val="21"/>
                <w:highlight w:val="none"/>
                <w14:ligatures w14:val="none"/>
              </w:rPr>
            </w:pPr>
            <w:r>
              <w:rPr>
                <w:rFonts w:hint="eastAsia" w:ascii="Times New Roman" w:hAnsi="Times New Roman" w:eastAsia="宋体" w:cs="Times New Roman"/>
                <w:sz w:val="21"/>
                <w:szCs w:val="21"/>
                <w:highlight w:val="none"/>
                <w14:ligatures w14:val="none"/>
              </w:rPr>
              <w:t>备注</w:t>
            </w:r>
          </w:p>
        </w:tc>
      </w:tr>
      <w:tr w14:paraId="48BB7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6" w:type="dxa"/>
            <w:vAlign w:val="center"/>
          </w:tcPr>
          <w:p w14:paraId="08D6B5A8">
            <w:pPr>
              <w:pStyle w:val="23"/>
              <w:numPr>
                <w:ilvl w:val="0"/>
                <w:numId w:val="7"/>
              </w:numPr>
              <w:adjustRightInd w:val="0"/>
              <w:snapToGrid w:val="0"/>
              <w:spacing w:after="0" w:line="240" w:lineRule="auto"/>
              <w:ind w:left="0" w:firstLine="0" w:firstLineChars="0"/>
              <w:jc w:val="center"/>
              <w:rPr>
                <w:rFonts w:ascii="Times New Roman" w:hAnsi="Times New Roman" w:eastAsia="宋体" w:cs="Times New Roman"/>
                <w:sz w:val="21"/>
                <w:szCs w:val="21"/>
                <w:highlight w:val="none"/>
                <w:lang w:val="zh-TW" w:eastAsia="zh-TW" w:bidi="zh-TW"/>
                <w14:ligatures w14:val="none"/>
              </w:rPr>
            </w:pPr>
          </w:p>
        </w:tc>
        <w:tc>
          <w:tcPr>
            <w:tcW w:w="2724" w:type="dxa"/>
            <w:vAlign w:val="center"/>
          </w:tcPr>
          <w:p w14:paraId="10BC6547">
            <w:pPr>
              <w:spacing w:after="0" w:line="240" w:lineRule="auto"/>
              <w:rPr>
                <w:rFonts w:ascii="Times New Roman" w:hAnsi="Times New Roman" w:eastAsia="宋体" w:cs="宋体"/>
                <w:sz w:val="21"/>
                <w:szCs w:val="21"/>
                <w:highlight w:val="none"/>
                <w:lang w:bidi="zh-TW"/>
                <w14:ligatures w14:val="none"/>
              </w:rPr>
            </w:pPr>
            <w:r>
              <w:rPr>
                <w:rFonts w:ascii="Times New Roman" w:hAnsi="Times New Roman" w:eastAsia="宋体" w:cs="Times New Roman"/>
                <w:sz w:val="21"/>
                <w:szCs w:val="21"/>
                <w:highlight w:val="none"/>
                <w:lang w:val="zh-TW" w:eastAsia="zh-TW" w:bidi="zh-TW"/>
                <w14:ligatures w14:val="none"/>
              </w:rPr>
              <w:t>氧</w:t>
            </w:r>
            <w:r>
              <w:rPr>
                <w:rFonts w:hint="eastAsia" w:ascii="Times New Roman" w:hAnsi="Times New Roman" w:eastAsia="宋体" w:cs="Times New Roman"/>
                <w:sz w:val="21"/>
                <w:szCs w:val="21"/>
                <w:highlight w:val="none"/>
                <w:lang w:bidi="zh-TW"/>
                <w14:ligatures w14:val="none"/>
              </w:rPr>
              <w:t>[压缩的或液化的]</w:t>
            </w:r>
          </w:p>
        </w:tc>
        <w:tc>
          <w:tcPr>
            <w:tcW w:w="1798" w:type="dxa"/>
            <w:vAlign w:val="center"/>
          </w:tcPr>
          <w:p w14:paraId="26861442">
            <w:pPr>
              <w:spacing w:after="0" w:line="240" w:lineRule="auto"/>
              <w:jc w:val="center"/>
              <w:rPr>
                <w:rFonts w:ascii="Times New Roman" w:hAnsi="Times New Roman" w:eastAsia="宋体" w:cs="宋体"/>
                <w:sz w:val="21"/>
                <w:szCs w:val="21"/>
                <w:highlight w:val="none"/>
                <w:lang w:bidi="zh-TW"/>
                <w14:ligatures w14:val="none"/>
              </w:rPr>
            </w:pPr>
            <w:r>
              <w:rPr>
                <w:rFonts w:ascii="Times New Roman" w:hAnsi="Times New Roman" w:eastAsia="宋体" w:cs="宋体"/>
                <w:kern w:val="0"/>
                <w:sz w:val="21"/>
                <w:szCs w:val="20"/>
                <w:highlight w:val="none"/>
                <w:lang w:val="zh-TW" w:eastAsia="zh-TW" w:bidi="zh-TW"/>
                <w14:ligatures w14:val="none"/>
              </w:rPr>
              <w:t>2528</w:t>
            </w:r>
          </w:p>
        </w:tc>
        <w:tc>
          <w:tcPr>
            <w:tcW w:w="1920" w:type="dxa"/>
            <w:vAlign w:val="center"/>
          </w:tcPr>
          <w:p w14:paraId="00C3FC0D">
            <w:pPr>
              <w:spacing w:after="0" w:line="240" w:lineRule="auto"/>
              <w:jc w:val="center"/>
              <w:rPr>
                <w:rFonts w:ascii="Times New Roman" w:hAnsi="Times New Roman" w:eastAsia="宋体" w:cs="宋体"/>
                <w:sz w:val="21"/>
                <w:szCs w:val="21"/>
                <w:highlight w:val="none"/>
                <w:lang w:bidi="zh-TW"/>
                <w14:ligatures w14:val="none"/>
              </w:rPr>
            </w:pPr>
            <w:r>
              <w:rPr>
                <w:rFonts w:ascii="Times New Roman" w:hAnsi="Times New Roman" w:eastAsia="宋体" w:cs="宋体"/>
                <w:kern w:val="0"/>
                <w:sz w:val="21"/>
                <w:szCs w:val="20"/>
                <w:highlight w:val="none"/>
                <w:lang w:val="zh-TW" w:eastAsia="zh-TW" w:bidi="zh-TW"/>
                <w14:ligatures w14:val="none"/>
              </w:rPr>
              <w:t>7782-44-7</w:t>
            </w:r>
          </w:p>
        </w:tc>
        <w:tc>
          <w:tcPr>
            <w:tcW w:w="1042" w:type="dxa"/>
            <w:vMerge w:val="restart"/>
            <w:vAlign w:val="center"/>
          </w:tcPr>
          <w:p w14:paraId="79A92A8D">
            <w:pPr>
              <w:keepLines/>
              <w:adjustRightInd w:val="0"/>
              <w:spacing w:after="0" w:line="240" w:lineRule="auto"/>
              <w:jc w:val="center"/>
              <w:rPr>
                <w:rFonts w:ascii="Times New Roman" w:hAnsi="Times New Roman" w:eastAsia="宋体" w:cs="Times New Roman"/>
                <w:sz w:val="21"/>
                <w:szCs w:val="21"/>
                <w:highlight w:val="none"/>
                <w14:ligatures w14:val="none"/>
              </w:rPr>
            </w:pPr>
            <w:r>
              <w:rPr>
                <w:rFonts w:hint="eastAsia" w:ascii="Times New Roman" w:hAnsi="Times New Roman" w:eastAsia="宋体" w:cs="Times New Roman"/>
                <w:sz w:val="21"/>
                <w:szCs w:val="21"/>
                <w:highlight w:val="none"/>
                <w14:ligatures w14:val="none"/>
              </w:rPr>
              <w:t>储存经营</w:t>
            </w:r>
          </w:p>
        </w:tc>
        <w:tc>
          <w:tcPr>
            <w:tcW w:w="831" w:type="dxa"/>
            <w:vAlign w:val="center"/>
          </w:tcPr>
          <w:p w14:paraId="69D26D64">
            <w:pPr>
              <w:keepLines/>
              <w:adjustRightInd w:val="0"/>
              <w:spacing w:after="0" w:line="240" w:lineRule="auto"/>
              <w:jc w:val="center"/>
              <w:rPr>
                <w:rFonts w:ascii="Times New Roman" w:hAnsi="Times New Roman" w:eastAsia="宋体" w:cs="Times New Roman"/>
                <w:sz w:val="21"/>
                <w:szCs w:val="21"/>
                <w:highlight w:val="none"/>
                <w14:ligatures w14:val="none"/>
              </w:rPr>
            </w:pPr>
          </w:p>
        </w:tc>
      </w:tr>
      <w:tr w14:paraId="011C1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6" w:type="dxa"/>
            <w:vAlign w:val="center"/>
          </w:tcPr>
          <w:p w14:paraId="14E21AB7">
            <w:pPr>
              <w:pStyle w:val="23"/>
              <w:numPr>
                <w:ilvl w:val="0"/>
                <w:numId w:val="7"/>
              </w:numPr>
              <w:adjustRightInd w:val="0"/>
              <w:snapToGrid w:val="0"/>
              <w:spacing w:after="0" w:line="240" w:lineRule="auto"/>
              <w:ind w:left="0" w:firstLine="0" w:firstLineChars="0"/>
              <w:jc w:val="center"/>
              <w:rPr>
                <w:rFonts w:ascii="Times New Roman" w:hAnsi="Times New Roman" w:eastAsia="宋体" w:cs="Times New Roman"/>
                <w:sz w:val="21"/>
                <w:szCs w:val="21"/>
                <w:highlight w:val="none"/>
                <w:lang w:bidi="zh-TW"/>
                <w14:ligatures w14:val="none"/>
              </w:rPr>
            </w:pPr>
          </w:p>
        </w:tc>
        <w:tc>
          <w:tcPr>
            <w:tcW w:w="2724" w:type="dxa"/>
            <w:vAlign w:val="center"/>
          </w:tcPr>
          <w:p w14:paraId="60CEB2DC">
            <w:pPr>
              <w:spacing w:after="0" w:line="240" w:lineRule="auto"/>
              <w:rPr>
                <w:rFonts w:ascii="Times New Roman" w:hAnsi="Times New Roman" w:eastAsia="宋体" w:cs="宋体"/>
                <w:sz w:val="21"/>
                <w:szCs w:val="21"/>
                <w:highlight w:val="none"/>
                <w:lang w:bidi="zh-TW"/>
                <w14:ligatures w14:val="none"/>
              </w:rPr>
            </w:pPr>
            <w:r>
              <w:rPr>
                <w:rFonts w:ascii="Times New Roman" w:hAnsi="Times New Roman" w:eastAsia="宋体" w:cs="Times New Roman"/>
                <w:sz w:val="21"/>
                <w:szCs w:val="21"/>
                <w:highlight w:val="none"/>
                <w:lang w:bidi="zh-TW"/>
                <w14:ligatures w14:val="none"/>
              </w:rPr>
              <w:t>氩</w:t>
            </w:r>
            <w:r>
              <w:rPr>
                <w:rFonts w:hint="eastAsia" w:ascii="Times New Roman" w:hAnsi="Times New Roman" w:eastAsia="宋体" w:cs="Times New Roman"/>
                <w:sz w:val="21"/>
                <w:szCs w:val="21"/>
                <w:highlight w:val="none"/>
                <w:lang w:bidi="zh-TW"/>
                <w14:ligatures w14:val="none"/>
              </w:rPr>
              <w:t>[压缩的或液化的]</w:t>
            </w:r>
          </w:p>
        </w:tc>
        <w:tc>
          <w:tcPr>
            <w:tcW w:w="1798" w:type="dxa"/>
            <w:vAlign w:val="center"/>
          </w:tcPr>
          <w:p w14:paraId="74B078FC">
            <w:pPr>
              <w:spacing w:after="0" w:line="240" w:lineRule="auto"/>
              <w:jc w:val="center"/>
              <w:rPr>
                <w:rFonts w:ascii="Times New Roman" w:hAnsi="Times New Roman" w:eastAsia="宋体" w:cs="宋体"/>
                <w:sz w:val="21"/>
                <w:szCs w:val="21"/>
                <w:highlight w:val="none"/>
                <w:lang w:bidi="zh-TW"/>
                <w14:ligatures w14:val="none"/>
              </w:rPr>
            </w:pPr>
            <w:r>
              <w:rPr>
                <w:rFonts w:ascii="Times New Roman" w:hAnsi="Times New Roman" w:eastAsia="宋体" w:cs="宋体"/>
                <w:kern w:val="0"/>
                <w:sz w:val="21"/>
                <w:szCs w:val="20"/>
                <w:highlight w:val="none"/>
                <w:lang w:val="zh-TW" w:eastAsia="zh-TW" w:bidi="zh-TW"/>
                <w14:ligatures w14:val="none"/>
              </w:rPr>
              <w:t>2505</w:t>
            </w:r>
          </w:p>
        </w:tc>
        <w:tc>
          <w:tcPr>
            <w:tcW w:w="1920" w:type="dxa"/>
            <w:vAlign w:val="center"/>
          </w:tcPr>
          <w:p w14:paraId="311E5E4C">
            <w:pPr>
              <w:spacing w:after="0" w:line="240" w:lineRule="auto"/>
              <w:jc w:val="center"/>
              <w:rPr>
                <w:rFonts w:ascii="Times New Roman" w:hAnsi="Times New Roman" w:eastAsia="宋体" w:cs="宋体"/>
                <w:sz w:val="21"/>
                <w:szCs w:val="21"/>
                <w:highlight w:val="none"/>
                <w:lang w:bidi="zh-TW"/>
                <w14:ligatures w14:val="none"/>
              </w:rPr>
            </w:pPr>
            <w:r>
              <w:rPr>
                <w:rFonts w:ascii="Times New Roman" w:hAnsi="Times New Roman" w:eastAsia="宋体" w:cs="宋体"/>
                <w:kern w:val="0"/>
                <w:sz w:val="21"/>
                <w:szCs w:val="20"/>
                <w:highlight w:val="none"/>
                <w:lang w:val="zh-TW" w:eastAsia="zh-TW" w:bidi="zh-TW"/>
                <w14:ligatures w14:val="none"/>
              </w:rPr>
              <w:t>7440-37-1</w:t>
            </w:r>
          </w:p>
        </w:tc>
        <w:tc>
          <w:tcPr>
            <w:tcW w:w="1042" w:type="dxa"/>
            <w:vMerge w:val="continue"/>
            <w:vAlign w:val="center"/>
          </w:tcPr>
          <w:p w14:paraId="75146219">
            <w:pPr>
              <w:keepLines/>
              <w:adjustRightInd w:val="0"/>
              <w:spacing w:after="0" w:line="240" w:lineRule="auto"/>
              <w:jc w:val="center"/>
              <w:rPr>
                <w:rFonts w:ascii="Times New Roman" w:hAnsi="Times New Roman" w:eastAsia="宋体" w:cs="Times New Roman"/>
                <w:sz w:val="21"/>
                <w:szCs w:val="21"/>
                <w:highlight w:val="none"/>
                <w14:ligatures w14:val="none"/>
              </w:rPr>
            </w:pPr>
          </w:p>
        </w:tc>
        <w:tc>
          <w:tcPr>
            <w:tcW w:w="831" w:type="dxa"/>
            <w:vAlign w:val="center"/>
          </w:tcPr>
          <w:p w14:paraId="2A0446C7">
            <w:pPr>
              <w:keepLines/>
              <w:adjustRightInd w:val="0"/>
              <w:spacing w:after="0" w:line="240" w:lineRule="auto"/>
              <w:jc w:val="center"/>
              <w:rPr>
                <w:rFonts w:ascii="Times New Roman" w:hAnsi="Times New Roman" w:eastAsia="宋体" w:cs="Times New Roman"/>
                <w:sz w:val="21"/>
                <w:szCs w:val="21"/>
                <w:highlight w:val="none"/>
                <w14:ligatures w14:val="none"/>
              </w:rPr>
            </w:pPr>
          </w:p>
        </w:tc>
      </w:tr>
      <w:tr w14:paraId="607E4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6" w:type="dxa"/>
            <w:vAlign w:val="center"/>
          </w:tcPr>
          <w:p w14:paraId="563068ED">
            <w:pPr>
              <w:pStyle w:val="23"/>
              <w:numPr>
                <w:ilvl w:val="0"/>
                <w:numId w:val="7"/>
              </w:numPr>
              <w:adjustRightInd w:val="0"/>
              <w:snapToGrid w:val="0"/>
              <w:spacing w:after="0" w:line="240" w:lineRule="auto"/>
              <w:ind w:left="0" w:firstLine="0" w:firstLineChars="0"/>
              <w:jc w:val="center"/>
              <w:rPr>
                <w:rFonts w:ascii="Times New Roman" w:hAnsi="Times New Roman" w:eastAsia="宋体" w:cs="Times New Roman"/>
                <w:sz w:val="21"/>
                <w:szCs w:val="21"/>
                <w:highlight w:val="none"/>
                <w:lang w:bidi="zh-TW"/>
                <w14:ligatures w14:val="none"/>
              </w:rPr>
            </w:pPr>
          </w:p>
        </w:tc>
        <w:tc>
          <w:tcPr>
            <w:tcW w:w="2724" w:type="dxa"/>
            <w:vAlign w:val="center"/>
          </w:tcPr>
          <w:p w14:paraId="1A3624D1">
            <w:pPr>
              <w:spacing w:after="0" w:line="240" w:lineRule="auto"/>
              <w:rPr>
                <w:rFonts w:ascii="Times New Roman" w:hAnsi="Times New Roman" w:eastAsia="宋体" w:cs="Times New Roman"/>
                <w:sz w:val="21"/>
                <w:szCs w:val="21"/>
                <w:highlight w:val="none"/>
                <w:lang w:bidi="zh-TW"/>
                <w14:ligatures w14:val="none"/>
              </w:rPr>
            </w:pPr>
            <w:r>
              <w:rPr>
                <w:rFonts w:hint="eastAsia" w:ascii="Times New Roman" w:hAnsi="Times New Roman" w:eastAsia="宋体" w:cs="Times New Roman"/>
                <w:sz w:val="21"/>
                <w:szCs w:val="21"/>
                <w:highlight w:val="none"/>
                <w:lang w:bidi="zh-TW"/>
                <w14:ligatures w14:val="none"/>
              </w:rPr>
              <w:t>氮[压缩的或液化的]</w:t>
            </w:r>
          </w:p>
        </w:tc>
        <w:tc>
          <w:tcPr>
            <w:tcW w:w="1798" w:type="dxa"/>
            <w:vAlign w:val="center"/>
          </w:tcPr>
          <w:p w14:paraId="2A2F1BCD">
            <w:pPr>
              <w:spacing w:after="0" w:line="240" w:lineRule="auto"/>
              <w:jc w:val="center"/>
              <w:rPr>
                <w:rFonts w:ascii="Times New Roman" w:hAnsi="Times New Roman" w:eastAsia="宋体" w:cs="宋体"/>
                <w:kern w:val="0"/>
                <w:sz w:val="21"/>
                <w:szCs w:val="20"/>
                <w:highlight w:val="none"/>
                <w:lang w:val="zh-TW" w:eastAsia="zh-TW" w:bidi="zh-TW"/>
                <w14:ligatures w14:val="none"/>
              </w:rPr>
            </w:pPr>
            <w:r>
              <w:rPr>
                <w:rFonts w:hint="eastAsia" w:ascii="Times New Roman" w:hAnsi="Times New Roman" w:eastAsia="宋体" w:cs="Times New Roman"/>
                <w:sz w:val="21"/>
                <w:szCs w:val="21"/>
                <w:highlight w:val="none"/>
                <w:lang w:bidi="zh-TW"/>
                <w14:ligatures w14:val="none"/>
              </w:rPr>
              <w:t>172</w:t>
            </w:r>
          </w:p>
        </w:tc>
        <w:tc>
          <w:tcPr>
            <w:tcW w:w="1920" w:type="dxa"/>
            <w:vAlign w:val="center"/>
          </w:tcPr>
          <w:p w14:paraId="6C4A51F3">
            <w:pPr>
              <w:spacing w:after="0" w:line="240" w:lineRule="auto"/>
              <w:jc w:val="center"/>
              <w:rPr>
                <w:rFonts w:ascii="Times New Roman" w:hAnsi="Times New Roman" w:eastAsia="宋体" w:cs="宋体"/>
                <w:kern w:val="0"/>
                <w:sz w:val="21"/>
                <w:szCs w:val="20"/>
                <w:highlight w:val="none"/>
                <w:lang w:val="zh-TW" w:eastAsia="zh-TW" w:bidi="zh-TW"/>
                <w14:ligatures w14:val="none"/>
              </w:rPr>
            </w:pPr>
            <w:r>
              <w:rPr>
                <w:rFonts w:hint="eastAsia" w:ascii="Times New Roman" w:hAnsi="Times New Roman" w:eastAsia="宋体" w:cs="宋体"/>
                <w:kern w:val="0"/>
                <w:sz w:val="21"/>
                <w:szCs w:val="20"/>
                <w:highlight w:val="none"/>
                <w:lang w:val="zh-TW" w:eastAsia="zh-TW" w:bidi="zh-TW"/>
                <w14:ligatures w14:val="none"/>
              </w:rPr>
              <w:t>7727-37-9</w:t>
            </w:r>
          </w:p>
        </w:tc>
        <w:tc>
          <w:tcPr>
            <w:tcW w:w="1042" w:type="dxa"/>
            <w:vMerge w:val="continue"/>
            <w:vAlign w:val="center"/>
          </w:tcPr>
          <w:p w14:paraId="7A36C63E">
            <w:pPr>
              <w:keepLines/>
              <w:adjustRightInd w:val="0"/>
              <w:spacing w:after="0" w:line="240" w:lineRule="auto"/>
              <w:jc w:val="center"/>
              <w:rPr>
                <w:rFonts w:ascii="Times New Roman" w:hAnsi="Times New Roman" w:eastAsia="宋体" w:cs="Times New Roman"/>
                <w:sz w:val="21"/>
                <w:szCs w:val="21"/>
                <w:highlight w:val="none"/>
                <w14:ligatures w14:val="none"/>
              </w:rPr>
            </w:pPr>
          </w:p>
        </w:tc>
        <w:tc>
          <w:tcPr>
            <w:tcW w:w="831" w:type="dxa"/>
            <w:vAlign w:val="center"/>
          </w:tcPr>
          <w:p w14:paraId="2260392D">
            <w:pPr>
              <w:keepLines/>
              <w:adjustRightInd w:val="0"/>
              <w:spacing w:after="0" w:line="240" w:lineRule="auto"/>
              <w:jc w:val="center"/>
              <w:rPr>
                <w:rFonts w:ascii="Times New Roman" w:hAnsi="Times New Roman" w:eastAsia="宋体" w:cs="Times New Roman"/>
                <w:sz w:val="21"/>
                <w:szCs w:val="21"/>
                <w:highlight w:val="none"/>
                <w14:ligatures w14:val="none"/>
              </w:rPr>
            </w:pPr>
          </w:p>
        </w:tc>
      </w:tr>
      <w:tr w14:paraId="36617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6" w:type="dxa"/>
            <w:vAlign w:val="center"/>
          </w:tcPr>
          <w:p w14:paraId="5E1DBB24">
            <w:pPr>
              <w:pStyle w:val="23"/>
              <w:numPr>
                <w:ilvl w:val="0"/>
                <w:numId w:val="7"/>
              </w:numPr>
              <w:adjustRightInd w:val="0"/>
              <w:snapToGrid w:val="0"/>
              <w:spacing w:after="0" w:line="240" w:lineRule="auto"/>
              <w:ind w:left="0" w:firstLine="0" w:firstLineChars="0"/>
              <w:jc w:val="center"/>
              <w:rPr>
                <w:rFonts w:ascii="Times New Roman" w:hAnsi="Times New Roman" w:eastAsia="宋体" w:cs="Times New Roman"/>
                <w:sz w:val="21"/>
                <w:szCs w:val="21"/>
                <w:highlight w:val="none"/>
                <w:lang w:val="zh-TW" w:bidi="zh-TW"/>
                <w14:ligatures w14:val="none"/>
              </w:rPr>
            </w:pPr>
          </w:p>
        </w:tc>
        <w:tc>
          <w:tcPr>
            <w:tcW w:w="2724" w:type="dxa"/>
            <w:vAlign w:val="center"/>
          </w:tcPr>
          <w:p w14:paraId="373DEB7D">
            <w:pPr>
              <w:spacing w:after="0" w:line="240" w:lineRule="auto"/>
              <w:jc w:val="both"/>
              <w:rPr>
                <w:rFonts w:ascii="Times New Roman" w:hAnsi="Times New Roman" w:eastAsia="宋体" w:cs="宋体"/>
                <w:sz w:val="21"/>
                <w:szCs w:val="21"/>
                <w:highlight w:val="none"/>
                <w:lang w:bidi="zh-TW"/>
                <w14:ligatures w14:val="none"/>
              </w:rPr>
            </w:pPr>
            <w:r>
              <w:rPr>
                <w:rFonts w:ascii="Times New Roman" w:hAnsi="Times New Roman" w:eastAsia="宋体" w:cs="Times New Roman"/>
                <w:sz w:val="21"/>
                <w:szCs w:val="21"/>
                <w:highlight w:val="none"/>
                <w:lang w:val="zh-TW" w:bidi="zh-TW"/>
                <w14:ligatures w14:val="none"/>
              </w:rPr>
              <w:t>二氧化碳</w:t>
            </w:r>
            <w:r>
              <w:rPr>
                <w:rFonts w:hint="eastAsia" w:ascii="Times New Roman" w:hAnsi="Times New Roman" w:eastAsia="宋体" w:cs="Times New Roman"/>
                <w:sz w:val="21"/>
                <w:szCs w:val="21"/>
                <w:highlight w:val="none"/>
                <w:lang w:bidi="zh-TW"/>
                <w14:ligatures w14:val="none"/>
              </w:rPr>
              <w:t>[压缩的或液化的]</w:t>
            </w:r>
          </w:p>
        </w:tc>
        <w:tc>
          <w:tcPr>
            <w:tcW w:w="1798" w:type="dxa"/>
            <w:vAlign w:val="center"/>
          </w:tcPr>
          <w:p w14:paraId="5D7FE4AA">
            <w:pPr>
              <w:spacing w:after="0" w:line="240" w:lineRule="auto"/>
              <w:jc w:val="center"/>
              <w:rPr>
                <w:rFonts w:ascii="Times New Roman" w:hAnsi="Times New Roman" w:eastAsia="宋体" w:cs="宋体"/>
                <w:sz w:val="21"/>
                <w:szCs w:val="21"/>
                <w:highlight w:val="none"/>
                <w:lang w:bidi="zh-TW"/>
                <w14:ligatures w14:val="none"/>
              </w:rPr>
            </w:pPr>
            <w:r>
              <w:rPr>
                <w:rFonts w:ascii="Times New Roman" w:hAnsi="Times New Roman" w:eastAsia="宋体" w:cs="宋体"/>
                <w:kern w:val="0"/>
                <w:sz w:val="21"/>
                <w:szCs w:val="20"/>
                <w:highlight w:val="none"/>
                <w:lang w:val="zh-TW" w:eastAsia="zh-TW" w:bidi="zh-TW"/>
                <w14:ligatures w14:val="none"/>
              </w:rPr>
              <w:t>642</w:t>
            </w:r>
          </w:p>
        </w:tc>
        <w:tc>
          <w:tcPr>
            <w:tcW w:w="1920" w:type="dxa"/>
            <w:vAlign w:val="center"/>
          </w:tcPr>
          <w:p w14:paraId="0E7427D3">
            <w:pPr>
              <w:spacing w:after="0" w:line="240" w:lineRule="auto"/>
              <w:jc w:val="center"/>
              <w:rPr>
                <w:rFonts w:ascii="Times New Roman" w:hAnsi="Times New Roman" w:eastAsia="宋体" w:cs="宋体"/>
                <w:sz w:val="21"/>
                <w:szCs w:val="21"/>
                <w:highlight w:val="none"/>
                <w:lang w:bidi="zh-TW"/>
                <w14:ligatures w14:val="none"/>
              </w:rPr>
            </w:pPr>
            <w:r>
              <w:rPr>
                <w:rFonts w:ascii="Times New Roman" w:hAnsi="Times New Roman" w:eastAsia="宋体" w:cs="宋体"/>
                <w:kern w:val="0"/>
                <w:sz w:val="21"/>
                <w:szCs w:val="20"/>
                <w:highlight w:val="none"/>
                <w:lang w:val="zh-TW" w:eastAsia="zh-TW" w:bidi="zh-TW"/>
                <w14:ligatures w14:val="none"/>
              </w:rPr>
              <w:t>124-38-9</w:t>
            </w:r>
          </w:p>
        </w:tc>
        <w:tc>
          <w:tcPr>
            <w:tcW w:w="1042" w:type="dxa"/>
            <w:vMerge w:val="continue"/>
            <w:vAlign w:val="center"/>
          </w:tcPr>
          <w:p w14:paraId="192889DE">
            <w:pPr>
              <w:keepLines/>
              <w:adjustRightInd w:val="0"/>
              <w:spacing w:after="0" w:line="240" w:lineRule="auto"/>
              <w:jc w:val="center"/>
              <w:rPr>
                <w:rFonts w:ascii="Times New Roman" w:hAnsi="Times New Roman" w:eastAsia="宋体" w:cs="Times New Roman"/>
                <w:sz w:val="21"/>
                <w:szCs w:val="21"/>
                <w:highlight w:val="none"/>
                <w14:ligatures w14:val="none"/>
              </w:rPr>
            </w:pPr>
          </w:p>
        </w:tc>
        <w:tc>
          <w:tcPr>
            <w:tcW w:w="831" w:type="dxa"/>
            <w:vAlign w:val="center"/>
          </w:tcPr>
          <w:p w14:paraId="433DD6AD">
            <w:pPr>
              <w:keepLines/>
              <w:adjustRightInd w:val="0"/>
              <w:spacing w:after="0" w:line="240" w:lineRule="auto"/>
              <w:jc w:val="center"/>
              <w:rPr>
                <w:rFonts w:ascii="Times New Roman" w:hAnsi="Times New Roman" w:eastAsia="宋体" w:cs="Times New Roman"/>
                <w:sz w:val="21"/>
                <w:szCs w:val="21"/>
                <w:highlight w:val="none"/>
                <w14:ligatures w14:val="none"/>
              </w:rPr>
            </w:pPr>
          </w:p>
        </w:tc>
      </w:tr>
      <w:tr w14:paraId="3AB76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6" w:type="dxa"/>
            <w:vAlign w:val="center"/>
          </w:tcPr>
          <w:p w14:paraId="10C07F7B">
            <w:pPr>
              <w:pStyle w:val="23"/>
              <w:numPr>
                <w:ilvl w:val="0"/>
                <w:numId w:val="7"/>
              </w:numPr>
              <w:adjustRightInd w:val="0"/>
              <w:snapToGrid w:val="0"/>
              <w:spacing w:after="0" w:line="240" w:lineRule="auto"/>
              <w:ind w:left="0" w:firstLine="0" w:firstLineChars="0"/>
              <w:jc w:val="center"/>
              <w:rPr>
                <w:rFonts w:ascii="Times New Roman" w:hAnsi="Times New Roman" w:eastAsia="宋体" w:cs="Times New Roman"/>
                <w:sz w:val="21"/>
                <w:szCs w:val="21"/>
                <w:highlight w:val="none"/>
                <w:lang w:val="zh-TW" w:bidi="zh-TW"/>
                <w14:ligatures w14:val="none"/>
              </w:rPr>
            </w:pPr>
          </w:p>
        </w:tc>
        <w:tc>
          <w:tcPr>
            <w:tcW w:w="2724" w:type="dxa"/>
            <w:vAlign w:val="center"/>
          </w:tcPr>
          <w:p w14:paraId="5F65B93D">
            <w:pPr>
              <w:spacing w:after="0" w:line="240" w:lineRule="auto"/>
              <w:jc w:val="both"/>
              <w:rPr>
                <w:rFonts w:hint="default" w:ascii="Times New Roman" w:hAnsi="Times New Roman" w:eastAsia="宋体" w:cs="Times New Roman"/>
                <w:sz w:val="21"/>
                <w:szCs w:val="21"/>
                <w:highlight w:val="none"/>
                <w:lang w:val="en-US" w:eastAsia="zh-CN" w:bidi="zh-TW"/>
                <w14:ligatures w14:val="none"/>
              </w:rPr>
            </w:pPr>
            <w:r>
              <w:rPr>
                <w:rFonts w:hint="eastAsia" w:ascii="Times New Roman" w:hAnsi="Times New Roman" w:eastAsia="宋体" w:cs="Times New Roman"/>
                <w:sz w:val="21"/>
                <w:szCs w:val="21"/>
                <w:highlight w:val="none"/>
                <w:lang w:val="en-US" w:eastAsia="zh-CN" w:bidi="zh-TW"/>
                <w14:ligatures w14:val="none"/>
              </w:rPr>
              <w:t>混合气（</w:t>
            </w:r>
            <w:r>
              <w:rPr>
                <w:rFonts w:ascii="Times New Roman" w:hAnsi="Times New Roman" w:eastAsia="宋体" w:cs="Times New Roman"/>
                <w:sz w:val="21"/>
                <w:szCs w:val="21"/>
                <w:highlight w:val="none"/>
                <w:lang w:val="zh-TW" w:bidi="zh-TW"/>
                <w14:ligatures w14:val="none"/>
              </w:rPr>
              <w:t>二氧化碳</w:t>
            </w:r>
            <w:r>
              <w:rPr>
                <w:rFonts w:hint="eastAsia" w:ascii="Times New Roman" w:hAnsi="Times New Roman" w:eastAsia="宋体" w:cs="Times New Roman"/>
                <w:sz w:val="21"/>
                <w:szCs w:val="21"/>
                <w:highlight w:val="none"/>
                <w:lang w:bidi="zh-TW"/>
                <w14:ligatures w14:val="none"/>
              </w:rPr>
              <w:t>[压缩的]</w:t>
            </w:r>
            <w:r>
              <w:rPr>
                <w:rFonts w:hint="eastAsia" w:ascii="Times New Roman" w:hAnsi="Times New Roman" w:eastAsia="宋体" w:cs="Times New Roman"/>
                <w:sz w:val="21"/>
                <w:szCs w:val="21"/>
                <w:highlight w:val="none"/>
                <w:lang w:val="en-US" w:eastAsia="zh-CN" w:bidi="zh-TW"/>
                <w14:ligatures w14:val="none"/>
              </w:rPr>
              <w:t>20%+</w:t>
            </w:r>
            <w:r>
              <w:rPr>
                <w:rFonts w:ascii="Times New Roman" w:hAnsi="Times New Roman" w:eastAsia="宋体" w:cs="Times New Roman"/>
                <w:sz w:val="21"/>
                <w:szCs w:val="21"/>
                <w:highlight w:val="none"/>
                <w:lang w:bidi="zh-TW"/>
                <w14:ligatures w14:val="none"/>
              </w:rPr>
              <w:t>氩</w:t>
            </w:r>
            <w:r>
              <w:rPr>
                <w:rFonts w:hint="eastAsia" w:ascii="Times New Roman" w:hAnsi="Times New Roman" w:eastAsia="宋体" w:cs="Times New Roman"/>
                <w:sz w:val="21"/>
                <w:szCs w:val="21"/>
                <w:highlight w:val="none"/>
                <w:lang w:bidi="zh-TW"/>
                <w14:ligatures w14:val="none"/>
              </w:rPr>
              <w:t>[压缩的]</w:t>
            </w:r>
            <w:r>
              <w:rPr>
                <w:rFonts w:hint="eastAsia" w:ascii="Times New Roman" w:hAnsi="Times New Roman" w:eastAsia="宋体" w:cs="Times New Roman"/>
                <w:sz w:val="21"/>
                <w:szCs w:val="21"/>
                <w:highlight w:val="none"/>
                <w:lang w:val="en-US" w:eastAsia="zh-CN" w:bidi="zh-TW"/>
                <w14:ligatures w14:val="none"/>
              </w:rPr>
              <w:t>80%）</w:t>
            </w:r>
          </w:p>
        </w:tc>
        <w:tc>
          <w:tcPr>
            <w:tcW w:w="1798" w:type="dxa"/>
            <w:vAlign w:val="center"/>
          </w:tcPr>
          <w:p w14:paraId="196EFCE0">
            <w:pPr>
              <w:spacing w:after="0" w:line="240" w:lineRule="auto"/>
              <w:jc w:val="center"/>
              <w:rPr>
                <w:rFonts w:hint="eastAsia" w:ascii="Times New Roman" w:hAnsi="Times New Roman" w:eastAsia="宋体" w:cs="宋体"/>
                <w:kern w:val="0"/>
                <w:sz w:val="21"/>
                <w:szCs w:val="20"/>
                <w:highlight w:val="none"/>
                <w:lang w:val="en-US" w:eastAsia="zh-CN" w:bidi="zh-TW"/>
                <w14:ligatures w14:val="none"/>
              </w:rPr>
            </w:pPr>
            <w:r>
              <w:rPr>
                <w:rFonts w:ascii="Times New Roman" w:hAnsi="Times New Roman" w:eastAsia="宋体" w:cs="宋体"/>
                <w:kern w:val="0"/>
                <w:sz w:val="21"/>
                <w:szCs w:val="20"/>
                <w:highlight w:val="none"/>
                <w:lang w:val="zh-TW" w:eastAsia="zh-TW" w:bidi="zh-TW"/>
                <w14:ligatures w14:val="none"/>
              </w:rPr>
              <w:t>642</w:t>
            </w:r>
            <w:r>
              <w:rPr>
                <w:rFonts w:hint="eastAsia" w:ascii="Times New Roman" w:hAnsi="Times New Roman" w:eastAsia="宋体" w:cs="宋体"/>
                <w:kern w:val="0"/>
                <w:sz w:val="21"/>
                <w:szCs w:val="20"/>
                <w:highlight w:val="none"/>
                <w:lang w:val="en-US" w:eastAsia="zh-CN" w:bidi="zh-TW"/>
                <w14:ligatures w14:val="none"/>
              </w:rPr>
              <w:t>/</w:t>
            </w:r>
            <w:r>
              <w:rPr>
                <w:rFonts w:ascii="Times New Roman" w:hAnsi="Times New Roman" w:eastAsia="宋体" w:cs="宋体"/>
                <w:kern w:val="0"/>
                <w:sz w:val="21"/>
                <w:szCs w:val="20"/>
                <w:highlight w:val="none"/>
                <w:lang w:val="zh-TW" w:eastAsia="zh-TW" w:bidi="zh-TW"/>
                <w14:ligatures w14:val="none"/>
              </w:rPr>
              <w:t>2505</w:t>
            </w:r>
          </w:p>
        </w:tc>
        <w:tc>
          <w:tcPr>
            <w:tcW w:w="1920" w:type="dxa"/>
            <w:vAlign w:val="center"/>
          </w:tcPr>
          <w:p w14:paraId="09C14D0A">
            <w:pPr>
              <w:spacing w:after="0" w:line="240" w:lineRule="auto"/>
              <w:jc w:val="center"/>
              <w:rPr>
                <w:rFonts w:hint="eastAsia" w:ascii="Times New Roman" w:hAnsi="Times New Roman" w:eastAsia="宋体" w:cs="宋体"/>
                <w:kern w:val="0"/>
                <w:sz w:val="21"/>
                <w:szCs w:val="20"/>
                <w:highlight w:val="none"/>
                <w:lang w:val="en-US" w:eastAsia="zh-CN" w:bidi="zh-TW"/>
                <w14:ligatures w14:val="none"/>
              </w:rPr>
            </w:pPr>
            <w:r>
              <w:rPr>
                <w:rFonts w:ascii="Times New Roman" w:hAnsi="Times New Roman" w:eastAsia="宋体" w:cs="宋体"/>
                <w:kern w:val="0"/>
                <w:sz w:val="21"/>
                <w:szCs w:val="20"/>
                <w:highlight w:val="none"/>
                <w:lang w:val="zh-TW" w:eastAsia="zh-TW" w:bidi="zh-TW"/>
                <w14:ligatures w14:val="none"/>
              </w:rPr>
              <w:t>124-38-9</w:t>
            </w:r>
            <w:r>
              <w:rPr>
                <w:rFonts w:hint="eastAsia" w:ascii="Times New Roman" w:hAnsi="Times New Roman" w:eastAsia="宋体" w:cs="宋体"/>
                <w:kern w:val="0"/>
                <w:sz w:val="21"/>
                <w:szCs w:val="20"/>
                <w:highlight w:val="none"/>
                <w:lang w:val="en-US" w:eastAsia="zh-CN" w:bidi="zh-TW"/>
                <w14:ligatures w14:val="none"/>
              </w:rPr>
              <w:t>/</w:t>
            </w:r>
            <w:r>
              <w:rPr>
                <w:rFonts w:ascii="Times New Roman" w:hAnsi="Times New Roman" w:eastAsia="宋体" w:cs="宋体"/>
                <w:kern w:val="0"/>
                <w:sz w:val="21"/>
                <w:szCs w:val="20"/>
                <w:highlight w:val="none"/>
                <w:lang w:val="zh-TW" w:eastAsia="zh-TW" w:bidi="zh-TW"/>
                <w14:ligatures w14:val="none"/>
              </w:rPr>
              <w:t>7440-37-1</w:t>
            </w:r>
          </w:p>
        </w:tc>
        <w:tc>
          <w:tcPr>
            <w:tcW w:w="1042" w:type="dxa"/>
            <w:vMerge w:val="continue"/>
            <w:vAlign w:val="center"/>
          </w:tcPr>
          <w:p w14:paraId="424CB0DD">
            <w:pPr>
              <w:keepLines/>
              <w:adjustRightInd w:val="0"/>
              <w:spacing w:after="0" w:line="240" w:lineRule="auto"/>
              <w:jc w:val="center"/>
              <w:rPr>
                <w:rFonts w:ascii="Times New Roman" w:hAnsi="Times New Roman" w:eastAsia="宋体" w:cs="Times New Roman"/>
                <w:sz w:val="21"/>
                <w:szCs w:val="21"/>
                <w:highlight w:val="none"/>
                <w14:ligatures w14:val="none"/>
              </w:rPr>
            </w:pPr>
          </w:p>
        </w:tc>
        <w:tc>
          <w:tcPr>
            <w:tcW w:w="831" w:type="dxa"/>
            <w:vAlign w:val="center"/>
          </w:tcPr>
          <w:p w14:paraId="1F1BF294">
            <w:pPr>
              <w:keepLines/>
              <w:adjustRightInd w:val="0"/>
              <w:spacing w:after="0" w:line="240" w:lineRule="auto"/>
              <w:jc w:val="center"/>
              <w:rPr>
                <w:rFonts w:ascii="Times New Roman" w:hAnsi="Times New Roman" w:eastAsia="宋体" w:cs="Times New Roman"/>
                <w:sz w:val="21"/>
                <w:szCs w:val="21"/>
                <w:highlight w:val="none"/>
                <w14:ligatures w14:val="none"/>
              </w:rPr>
            </w:pPr>
          </w:p>
        </w:tc>
      </w:tr>
      <w:tr w14:paraId="366E3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6" w:type="dxa"/>
            <w:vAlign w:val="center"/>
          </w:tcPr>
          <w:p w14:paraId="05648664">
            <w:pPr>
              <w:pStyle w:val="23"/>
              <w:numPr>
                <w:ilvl w:val="0"/>
                <w:numId w:val="7"/>
              </w:numPr>
              <w:adjustRightInd w:val="0"/>
              <w:snapToGrid w:val="0"/>
              <w:spacing w:after="0" w:line="240" w:lineRule="auto"/>
              <w:ind w:left="0" w:firstLine="0" w:firstLineChars="0"/>
              <w:jc w:val="center"/>
              <w:rPr>
                <w:rFonts w:ascii="Times New Roman" w:hAnsi="Times New Roman" w:eastAsia="宋体" w:cs="Times New Roman"/>
                <w:sz w:val="21"/>
                <w:szCs w:val="21"/>
                <w:highlight w:val="none"/>
                <w:lang w:bidi="zh-TW"/>
                <w14:ligatures w14:val="none"/>
              </w:rPr>
            </w:pPr>
          </w:p>
        </w:tc>
        <w:tc>
          <w:tcPr>
            <w:tcW w:w="2724" w:type="dxa"/>
            <w:vAlign w:val="center"/>
          </w:tcPr>
          <w:p w14:paraId="26491C78">
            <w:pPr>
              <w:spacing w:after="0" w:line="240" w:lineRule="auto"/>
              <w:jc w:val="both"/>
              <w:rPr>
                <w:rFonts w:ascii="Times New Roman" w:hAnsi="Times New Roman" w:eastAsia="宋体" w:cs="Times New Roman"/>
                <w:sz w:val="21"/>
                <w:szCs w:val="21"/>
                <w:highlight w:val="none"/>
                <w:lang w:bidi="zh-TW"/>
                <w14:ligatures w14:val="none"/>
              </w:rPr>
            </w:pPr>
            <w:r>
              <w:rPr>
                <w:rFonts w:hint="eastAsia" w:ascii="Times New Roman" w:hAnsi="Times New Roman" w:eastAsia="宋体" w:cs="Times New Roman"/>
                <w:sz w:val="21"/>
                <w:szCs w:val="21"/>
                <w:highlight w:val="none"/>
                <w:lang w:bidi="zh-TW"/>
                <w14:ligatures w14:val="none"/>
              </w:rPr>
              <w:t>氢气</w:t>
            </w:r>
          </w:p>
        </w:tc>
        <w:tc>
          <w:tcPr>
            <w:tcW w:w="1798" w:type="dxa"/>
            <w:vAlign w:val="center"/>
          </w:tcPr>
          <w:p w14:paraId="5DD5DD77">
            <w:pPr>
              <w:spacing w:after="0" w:line="240" w:lineRule="auto"/>
              <w:jc w:val="center"/>
              <w:rPr>
                <w:rFonts w:ascii="Times New Roman" w:hAnsi="Times New Roman" w:eastAsia="宋体" w:cs="Times New Roman"/>
                <w:sz w:val="21"/>
                <w:szCs w:val="21"/>
                <w:highlight w:val="none"/>
                <w:lang w:bidi="zh-TW"/>
                <w14:ligatures w14:val="none"/>
              </w:rPr>
            </w:pPr>
            <w:r>
              <w:rPr>
                <w:rFonts w:hint="eastAsia" w:ascii="Times New Roman" w:hAnsi="Times New Roman" w:eastAsia="宋体" w:cs="Times New Roman"/>
                <w:sz w:val="21"/>
                <w:szCs w:val="21"/>
                <w:highlight w:val="none"/>
                <w:lang w:bidi="zh-TW"/>
                <w14:ligatures w14:val="none"/>
              </w:rPr>
              <w:t>1648</w:t>
            </w:r>
          </w:p>
        </w:tc>
        <w:tc>
          <w:tcPr>
            <w:tcW w:w="1920" w:type="dxa"/>
            <w:vAlign w:val="center"/>
          </w:tcPr>
          <w:p w14:paraId="709E0F12">
            <w:pPr>
              <w:spacing w:after="0" w:line="240" w:lineRule="auto"/>
              <w:jc w:val="center"/>
              <w:rPr>
                <w:rFonts w:ascii="Times New Roman" w:hAnsi="Times New Roman" w:eastAsia="宋体" w:cs="宋体"/>
                <w:kern w:val="0"/>
                <w:sz w:val="21"/>
                <w:szCs w:val="20"/>
                <w:highlight w:val="none"/>
                <w:lang w:val="zh-TW" w:eastAsia="zh-TW" w:bidi="zh-TW"/>
                <w14:ligatures w14:val="none"/>
              </w:rPr>
            </w:pPr>
            <w:r>
              <w:rPr>
                <w:rFonts w:hint="eastAsia" w:ascii="Times New Roman" w:hAnsi="Times New Roman" w:eastAsia="宋体" w:cs="宋体"/>
                <w:kern w:val="0"/>
                <w:sz w:val="21"/>
                <w:szCs w:val="20"/>
                <w:highlight w:val="none"/>
                <w:lang w:val="zh-TW" w:eastAsia="zh-TW" w:bidi="zh-TW"/>
                <w14:ligatures w14:val="none"/>
              </w:rPr>
              <w:t>1333-74-0</w:t>
            </w:r>
          </w:p>
        </w:tc>
        <w:tc>
          <w:tcPr>
            <w:tcW w:w="1042" w:type="dxa"/>
            <w:vMerge w:val="restart"/>
            <w:vAlign w:val="center"/>
          </w:tcPr>
          <w:p w14:paraId="7AB51481">
            <w:pPr>
              <w:keepLines/>
              <w:adjustRightInd w:val="0"/>
              <w:spacing w:after="0" w:line="240" w:lineRule="auto"/>
              <w:jc w:val="center"/>
              <w:rPr>
                <w:rFonts w:hint="default" w:ascii="Times New Roman" w:hAnsi="Times New Roman" w:eastAsia="宋体" w:cs="Times New Roman"/>
                <w:sz w:val="21"/>
                <w:szCs w:val="21"/>
                <w:highlight w:val="none"/>
                <w:lang w:val="en-US" w:eastAsia="zh-CN"/>
                <w14:ligatures w14:val="none"/>
              </w:rPr>
            </w:pPr>
            <w:r>
              <w:rPr>
                <w:rFonts w:hint="eastAsia" w:ascii="Times New Roman" w:hAnsi="Times New Roman" w:eastAsia="宋体" w:cs="Times New Roman"/>
                <w:sz w:val="21"/>
                <w:szCs w:val="21"/>
                <w:highlight w:val="none"/>
                <w:lang w:val="en-US" w:eastAsia="zh-CN"/>
                <w14:ligatures w14:val="none"/>
              </w:rPr>
              <w:t>票据经营</w:t>
            </w:r>
          </w:p>
        </w:tc>
        <w:tc>
          <w:tcPr>
            <w:tcW w:w="831" w:type="dxa"/>
            <w:vAlign w:val="center"/>
          </w:tcPr>
          <w:p w14:paraId="0FE09985">
            <w:pPr>
              <w:keepLines/>
              <w:adjustRightInd w:val="0"/>
              <w:spacing w:after="0" w:line="240" w:lineRule="auto"/>
              <w:jc w:val="center"/>
              <w:rPr>
                <w:rFonts w:ascii="Times New Roman" w:hAnsi="Times New Roman" w:eastAsia="宋体" w:cs="Times New Roman"/>
                <w:sz w:val="21"/>
                <w:szCs w:val="21"/>
                <w:highlight w:val="none"/>
                <w14:ligatures w14:val="none"/>
              </w:rPr>
            </w:pPr>
          </w:p>
        </w:tc>
      </w:tr>
      <w:tr w14:paraId="23DD5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6" w:type="dxa"/>
            <w:vAlign w:val="center"/>
          </w:tcPr>
          <w:p w14:paraId="7166BD43">
            <w:pPr>
              <w:pStyle w:val="23"/>
              <w:numPr>
                <w:ilvl w:val="0"/>
                <w:numId w:val="7"/>
              </w:numPr>
              <w:adjustRightInd w:val="0"/>
              <w:snapToGrid w:val="0"/>
              <w:spacing w:after="0" w:line="240" w:lineRule="auto"/>
              <w:ind w:left="0" w:firstLine="0" w:firstLineChars="0"/>
              <w:jc w:val="center"/>
              <w:rPr>
                <w:rFonts w:ascii="Times New Roman" w:hAnsi="Times New Roman" w:eastAsia="宋体" w:cs="Times New Roman"/>
                <w:sz w:val="21"/>
                <w:szCs w:val="21"/>
                <w:highlight w:val="none"/>
                <w:lang w:bidi="zh-TW"/>
                <w14:ligatures w14:val="none"/>
              </w:rPr>
            </w:pPr>
          </w:p>
        </w:tc>
        <w:tc>
          <w:tcPr>
            <w:tcW w:w="2724" w:type="dxa"/>
            <w:vAlign w:val="center"/>
          </w:tcPr>
          <w:p w14:paraId="6DE0CC0E">
            <w:pPr>
              <w:spacing w:after="0" w:line="240" w:lineRule="auto"/>
              <w:jc w:val="both"/>
              <w:rPr>
                <w:rFonts w:ascii="Times New Roman" w:hAnsi="Times New Roman" w:eastAsia="宋体" w:cs="宋体"/>
                <w:sz w:val="21"/>
                <w:szCs w:val="21"/>
                <w:highlight w:val="none"/>
                <w:lang w:bidi="zh-TW"/>
                <w14:ligatures w14:val="none"/>
              </w:rPr>
            </w:pPr>
            <w:r>
              <w:rPr>
                <w:rFonts w:hint="eastAsia" w:ascii="Times New Roman" w:hAnsi="Times New Roman" w:eastAsia="宋体" w:cs="宋体"/>
                <w:sz w:val="21"/>
                <w:szCs w:val="21"/>
                <w:highlight w:val="none"/>
                <w:lang w:bidi="zh-TW"/>
                <w14:ligatures w14:val="none"/>
              </w:rPr>
              <w:t>氦[压缩的或液化的]</w:t>
            </w:r>
          </w:p>
        </w:tc>
        <w:tc>
          <w:tcPr>
            <w:tcW w:w="1798" w:type="dxa"/>
            <w:vAlign w:val="center"/>
          </w:tcPr>
          <w:p w14:paraId="64011A2A">
            <w:pPr>
              <w:spacing w:after="0" w:line="240" w:lineRule="auto"/>
              <w:jc w:val="center"/>
              <w:rPr>
                <w:rFonts w:hint="default" w:ascii="Times New Roman" w:hAnsi="Times New Roman" w:eastAsia="宋体" w:cs="宋体"/>
                <w:sz w:val="21"/>
                <w:szCs w:val="21"/>
                <w:highlight w:val="none"/>
                <w:lang w:val="en-US" w:eastAsia="zh-CN" w:bidi="zh-TW"/>
                <w14:ligatures w14:val="none"/>
              </w:rPr>
            </w:pPr>
            <w:r>
              <w:rPr>
                <w:rFonts w:hint="eastAsia" w:ascii="Times New Roman" w:hAnsi="Times New Roman" w:eastAsia="宋体" w:cs="宋体"/>
                <w:sz w:val="21"/>
                <w:szCs w:val="21"/>
                <w:highlight w:val="none"/>
                <w:lang w:val="en-US" w:eastAsia="zh-CN" w:bidi="zh-TW"/>
                <w14:ligatures w14:val="none"/>
              </w:rPr>
              <w:t>929</w:t>
            </w:r>
          </w:p>
        </w:tc>
        <w:tc>
          <w:tcPr>
            <w:tcW w:w="1920" w:type="dxa"/>
            <w:vAlign w:val="center"/>
          </w:tcPr>
          <w:p w14:paraId="19559873">
            <w:pPr>
              <w:spacing w:after="0" w:line="240" w:lineRule="auto"/>
              <w:jc w:val="center"/>
              <w:rPr>
                <w:rFonts w:ascii="Times New Roman" w:hAnsi="Times New Roman" w:eastAsia="宋体" w:cs="宋体"/>
                <w:sz w:val="21"/>
                <w:szCs w:val="21"/>
                <w:highlight w:val="none"/>
                <w:lang w:bidi="zh-TW"/>
                <w14:ligatures w14:val="none"/>
              </w:rPr>
            </w:pPr>
            <w:r>
              <w:rPr>
                <w:rFonts w:hint="eastAsia" w:ascii="Times New Roman" w:hAnsi="Times New Roman" w:eastAsia="宋体" w:cs="宋体"/>
                <w:sz w:val="21"/>
                <w:szCs w:val="21"/>
                <w:highlight w:val="none"/>
                <w:lang w:bidi="zh-TW"/>
                <w14:ligatures w14:val="none"/>
              </w:rPr>
              <w:t>7440-59-7</w:t>
            </w:r>
          </w:p>
        </w:tc>
        <w:tc>
          <w:tcPr>
            <w:tcW w:w="1042" w:type="dxa"/>
            <w:vMerge w:val="continue"/>
            <w:vAlign w:val="center"/>
          </w:tcPr>
          <w:p w14:paraId="03C6296E">
            <w:pPr>
              <w:keepLines/>
              <w:adjustRightInd w:val="0"/>
              <w:spacing w:after="0" w:line="240" w:lineRule="auto"/>
              <w:jc w:val="center"/>
              <w:rPr>
                <w:rFonts w:ascii="Times New Roman" w:hAnsi="Times New Roman" w:eastAsia="宋体" w:cs="Times New Roman"/>
                <w:sz w:val="21"/>
                <w:szCs w:val="21"/>
                <w:highlight w:val="none"/>
                <w14:ligatures w14:val="none"/>
              </w:rPr>
            </w:pPr>
          </w:p>
        </w:tc>
        <w:tc>
          <w:tcPr>
            <w:tcW w:w="831" w:type="dxa"/>
            <w:vAlign w:val="center"/>
          </w:tcPr>
          <w:p w14:paraId="64301688">
            <w:pPr>
              <w:keepLines/>
              <w:adjustRightInd w:val="0"/>
              <w:spacing w:after="0" w:line="240" w:lineRule="auto"/>
              <w:jc w:val="center"/>
              <w:rPr>
                <w:rFonts w:ascii="Times New Roman" w:hAnsi="Times New Roman" w:eastAsia="宋体" w:cs="Times New Roman"/>
                <w:sz w:val="21"/>
                <w:szCs w:val="21"/>
                <w:highlight w:val="none"/>
                <w14:ligatures w14:val="none"/>
              </w:rPr>
            </w:pPr>
          </w:p>
        </w:tc>
      </w:tr>
      <w:tr w14:paraId="33E44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6" w:type="dxa"/>
            <w:vAlign w:val="center"/>
          </w:tcPr>
          <w:p w14:paraId="1D31BD95">
            <w:pPr>
              <w:pStyle w:val="23"/>
              <w:numPr>
                <w:ilvl w:val="0"/>
                <w:numId w:val="7"/>
              </w:numPr>
              <w:adjustRightInd w:val="0"/>
              <w:snapToGrid w:val="0"/>
              <w:spacing w:after="0" w:line="240" w:lineRule="auto"/>
              <w:ind w:left="0" w:firstLine="0" w:firstLineChars="0"/>
              <w:jc w:val="center"/>
              <w:rPr>
                <w:rFonts w:ascii="Times New Roman" w:hAnsi="Times New Roman" w:eastAsia="宋体" w:cs="Times New Roman"/>
                <w:sz w:val="21"/>
                <w:szCs w:val="21"/>
                <w:highlight w:val="none"/>
                <w:lang w:bidi="zh-TW"/>
                <w14:ligatures w14:val="none"/>
              </w:rPr>
            </w:pPr>
          </w:p>
        </w:tc>
        <w:tc>
          <w:tcPr>
            <w:tcW w:w="2724" w:type="dxa"/>
            <w:vAlign w:val="center"/>
          </w:tcPr>
          <w:p w14:paraId="64EAA612">
            <w:pPr>
              <w:spacing w:after="0" w:line="240" w:lineRule="auto"/>
              <w:jc w:val="both"/>
              <w:rPr>
                <w:rFonts w:ascii="Times New Roman" w:hAnsi="Times New Roman" w:eastAsia="宋体" w:cs="宋体"/>
                <w:sz w:val="21"/>
                <w:szCs w:val="21"/>
                <w:highlight w:val="none"/>
                <w:lang w:bidi="zh-TW"/>
                <w14:ligatures w14:val="none"/>
              </w:rPr>
            </w:pPr>
            <w:r>
              <w:rPr>
                <w:rFonts w:hint="eastAsia" w:ascii="Times New Roman" w:hAnsi="Times New Roman" w:eastAsia="宋体" w:cs="Times New Roman"/>
                <w:sz w:val="21"/>
                <w:szCs w:val="21"/>
                <w:highlight w:val="none"/>
                <w:lang w:bidi="zh-TW"/>
                <w14:ligatures w14:val="none"/>
              </w:rPr>
              <w:t>丙烷</w:t>
            </w:r>
          </w:p>
        </w:tc>
        <w:tc>
          <w:tcPr>
            <w:tcW w:w="1798" w:type="dxa"/>
            <w:vAlign w:val="center"/>
          </w:tcPr>
          <w:p w14:paraId="18F1F9B3">
            <w:pPr>
              <w:spacing w:after="0" w:line="240" w:lineRule="auto"/>
              <w:jc w:val="center"/>
              <w:rPr>
                <w:rFonts w:ascii="Times New Roman" w:hAnsi="Times New Roman" w:eastAsia="宋体" w:cs="宋体"/>
                <w:sz w:val="21"/>
                <w:szCs w:val="21"/>
                <w:highlight w:val="none"/>
                <w:lang w:bidi="zh-TW"/>
                <w14:ligatures w14:val="none"/>
              </w:rPr>
            </w:pPr>
            <w:r>
              <w:rPr>
                <w:rFonts w:hint="eastAsia" w:ascii="Times New Roman" w:hAnsi="Times New Roman" w:eastAsia="宋体" w:cs="Times New Roman"/>
                <w:sz w:val="21"/>
                <w:szCs w:val="21"/>
                <w:highlight w:val="none"/>
                <w:lang w:bidi="zh-TW"/>
                <w14:ligatures w14:val="none"/>
              </w:rPr>
              <w:t>139</w:t>
            </w:r>
          </w:p>
        </w:tc>
        <w:tc>
          <w:tcPr>
            <w:tcW w:w="1920" w:type="dxa"/>
            <w:vAlign w:val="center"/>
          </w:tcPr>
          <w:p w14:paraId="160516DB">
            <w:pPr>
              <w:spacing w:after="0" w:line="240" w:lineRule="auto"/>
              <w:jc w:val="center"/>
              <w:rPr>
                <w:rFonts w:ascii="Times New Roman" w:hAnsi="Times New Roman" w:eastAsia="宋体" w:cs="宋体"/>
                <w:sz w:val="21"/>
                <w:szCs w:val="21"/>
                <w:highlight w:val="none"/>
                <w:lang w:bidi="zh-TW"/>
                <w14:ligatures w14:val="none"/>
              </w:rPr>
            </w:pPr>
            <w:r>
              <w:rPr>
                <w:rFonts w:ascii="Times New Roman" w:hAnsi="Times New Roman" w:eastAsia="宋体" w:cs="宋体"/>
                <w:kern w:val="0"/>
                <w:sz w:val="21"/>
                <w:szCs w:val="20"/>
                <w:highlight w:val="none"/>
                <w:lang w:val="zh-TW" w:eastAsia="zh-TW" w:bidi="zh-TW"/>
                <w14:ligatures w14:val="none"/>
              </w:rPr>
              <w:t>74-98-6</w:t>
            </w:r>
          </w:p>
        </w:tc>
        <w:tc>
          <w:tcPr>
            <w:tcW w:w="1042" w:type="dxa"/>
            <w:vMerge w:val="continue"/>
          </w:tcPr>
          <w:p w14:paraId="5C4A8654">
            <w:pPr>
              <w:keepLines/>
              <w:adjustRightInd w:val="0"/>
              <w:spacing w:after="0" w:line="240" w:lineRule="auto"/>
              <w:jc w:val="center"/>
              <w:rPr>
                <w:rFonts w:ascii="Times New Roman" w:hAnsi="Times New Roman" w:eastAsia="宋体" w:cs="Times New Roman"/>
                <w:sz w:val="21"/>
                <w:szCs w:val="21"/>
                <w:highlight w:val="none"/>
                <w14:ligatures w14:val="none"/>
              </w:rPr>
            </w:pPr>
          </w:p>
        </w:tc>
        <w:tc>
          <w:tcPr>
            <w:tcW w:w="831" w:type="dxa"/>
          </w:tcPr>
          <w:p w14:paraId="32103C41">
            <w:pPr>
              <w:keepLines/>
              <w:adjustRightInd w:val="0"/>
              <w:spacing w:after="0" w:line="240" w:lineRule="auto"/>
              <w:jc w:val="center"/>
              <w:rPr>
                <w:rFonts w:ascii="Times New Roman" w:hAnsi="Times New Roman" w:eastAsia="宋体" w:cs="Times New Roman"/>
                <w:sz w:val="21"/>
                <w:szCs w:val="21"/>
                <w:highlight w:val="none"/>
                <w14:ligatures w14:val="none"/>
              </w:rPr>
            </w:pPr>
          </w:p>
        </w:tc>
      </w:tr>
    </w:tbl>
    <w:p w14:paraId="3AEE7945">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近三年</w:t>
      </w:r>
      <w:r>
        <w:rPr>
          <w:rFonts w:hint="eastAsia" w:ascii="Times New Roman" w:hAnsi="Times New Roman" w:eastAsia="宋体" w:cs="Times New Roman"/>
          <w:sz w:val="28"/>
          <w:szCs w:val="28"/>
          <w:highlight w:val="none"/>
          <w:lang w:eastAsia="zh-CN"/>
          <w14:ligatures w14:val="none"/>
        </w:rPr>
        <w:t>沈阳新春城气体有限公司</w:t>
      </w:r>
      <w:r>
        <w:rPr>
          <w:rFonts w:hint="eastAsia" w:ascii="Times New Roman" w:hAnsi="Times New Roman" w:eastAsia="宋体" w:cs="Times New Roman"/>
          <w:sz w:val="28"/>
          <w:szCs w:val="28"/>
          <w:highlight w:val="none"/>
          <w14:ligatures w14:val="none"/>
        </w:rPr>
        <w:t>工艺技术未发生变更，经营危险化学品品种</w:t>
      </w:r>
      <w:r>
        <w:rPr>
          <w:rFonts w:hint="eastAsia" w:ascii="Times New Roman" w:hAnsi="Times New Roman" w:eastAsia="宋体" w:cs="Times New Roman"/>
          <w:sz w:val="28"/>
          <w:szCs w:val="28"/>
          <w:highlight w:val="none"/>
          <w:lang w:val="en-US" w:eastAsia="zh-CN"/>
          <w14:ligatures w14:val="none"/>
        </w:rPr>
        <w:t>未发生变动</w:t>
      </w:r>
      <w:r>
        <w:rPr>
          <w:rFonts w:hint="eastAsia" w:ascii="Times New Roman" w:hAnsi="Times New Roman" w:eastAsia="宋体" w:cs="Times New Roman"/>
          <w:sz w:val="28"/>
          <w:szCs w:val="28"/>
          <w:highlight w:val="none"/>
          <w14:ligatures w14:val="none"/>
        </w:rPr>
        <w:t>，未发生安全生产事故。</w:t>
      </w:r>
    </w:p>
    <w:p w14:paraId="4FB5E388">
      <w:pPr>
        <w:keepNext/>
        <w:tabs>
          <w:tab w:val="left" w:pos="840"/>
          <w:tab w:val="left" w:pos="1260"/>
        </w:tabs>
        <w:adjustRightInd w:val="0"/>
        <w:snapToGrid w:val="0"/>
        <w:spacing w:before="156" w:beforeLines="50" w:after="156" w:afterLines="50" w:line="360" w:lineRule="auto"/>
        <w:ind w:firstLine="562" w:firstLineChars="200"/>
        <w:jc w:val="both"/>
        <w:outlineLvl w:val="2"/>
        <w:rPr>
          <w:rFonts w:ascii="Times New Roman" w:hAnsi="Times New Roman" w:eastAsia="黑体" w:cs="Times New Roman"/>
          <w:b/>
          <w:sz w:val="28"/>
          <w:szCs w:val="32"/>
          <w:highlight w:val="none"/>
          <w14:ligatures w14:val="none"/>
        </w:rPr>
      </w:pPr>
      <w:r>
        <w:rPr>
          <w:rFonts w:hint="eastAsia" w:ascii="Times New Roman" w:hAnsi="Times New Roman" w:eastAsia="黑体" w:cs="Times New Roman"/>
          <w:b/>
          <w:sz w:val="28"/>
          <w:szCs w:val="32"/>
          <w:highlight w:val="none"/>
          <w14:ligatures w14:val="none"/>
        </w:rPr>
        <w:t>2.1.2企业所在区域地理位置</w:t>
      </w:r>
    </w:p>
    <w:p w14:paraId="663BF5E2">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lang w:eastAsia="zh-CN"/>
          <w14:ligatures w14:val="none"/>
        </w:rPr>
        <w:t>沈阳新春城气体有限公司</w:t>
      </w:r>
      <w:r>
        <w:rPr>
          <w:rFonts w:hint="eastAsia" w:ascii="Times New Roman" w:hAnsi="Times New Roman" w:eastAsia="宋体" w:cs="Times New Roman"/>
          <w:sz w:val="28"/>
          <w:szCs w:val="28"/>
          <w:highlight w:val="none"/>
          <w14:ligatures w14:val="none"/>
        </w:rPr>
        <w:t>位于辽宁省沈阳市沈北新区财落街道财落二社区，地理位置如下图2.1-1所示。</w:t>
      </w:r>
    </w:p>
    <w:p w14:paraId="64F89BD6">
      <w:pPr>
        <w:adjustRightInd w:val="0"/>
        <w:snapToGrid w:val="0"/>
        <w:spacing w:after="0" w:line="240" w:lineRule="auto"/>
        <w:jc w:val="center"/>
        <w:rPr>
          <w:rFonts w:ascii="Times New Roman" w:hAnsi="Times New Roman" w:eastAsia="黑体" w:cs="Times New Roman"/>
          <w:sz w:val="24"/>
          <w:highlight w:val="none"/>
          <w14:ligatures w14:val="none"/>
        </w:rPr>
      </w:pPr>
    </w:p>
    <w:p w14:paraId="491AB2FD">
      <w:pPr>
        <w:tabs>
          <w:tab w:val="left" w:pos="840"/>
          <w:tab w:val="left" w:pos="1260"/>
        </w:tabs>
        <w:adjustRightInd w:val="0"/>
        <w:snapToGrid w:val="0"/>
        <w:spacing w:before="156" w:beforeLines="50" w:after="156" w:afterLines="50" w:line="360" w:lineRule="auto"/>
        <w:ind w:firstLine="562" w:firstLineChars="200"/>
        <w:jc w:val="both"/>
        <w:outlineLvl w:val="2"/>
        <w:rPr>
          <w:rFonts w:ascii="Times New Roman" w:hAnsi="Times New Roman" w:eastAsia="黑体" w:cs="Times New Roman"/>
          <w:b/>
          <w:sz w:val="28"/>
          <w:szCs w:val="32"/>
          <w:highlight w:val="none"/>
          <w14:ligatures w14:val="none"/>
        </w:rPr>
      </w:pPr>
      <w:r>
        <w:rPr>
          <w:rFonts w:hint="eastAsia" w:ascii="Times New Roman" w:hAnsi="Times New Roman" w:eastAsia="黑体" w:cs="Times New Roman"/>
          <w:b/>
          <w:sz w:val="28"/>
          <w:szCs w:val="32"/>
          <w:highlight w:val="none"/>
          <w14:ligatures w14:val="none"/>
        </w:rPr>
        <w:t>2.1.3企业周边环境及平面布置</w:t>
      </w:r>
    </w:p>
    <w:p w14:paraId="68B1685D">
      <w:pPr>
        <w:adjustRightInd w:val="0"/>
        <w:snapToGrid w:val="0"/>
        <w:spacing w:after="0" w:line="360" w:lineRule="auto"/>
        <w:ind w:firstLine="560" w:firstLineChars="200"/>
        <w:jc w:val="both"/>
        <w:rPr>
          <w:rFonts w:hint="default" w:ascii="Times New Roman" w:hAnsi="Times New Roman" w:eastAsia="宋体" w:cs="Times New Roman"/>
          <w:sz w:val="28"/>
          <w:szCs w:val="28"/>
          <w:highlight w:val="none"/>
          <w:lang w:val="en-US" w:eastAsia="zh-CN"/>
          <w14:ligatures w14:val="none"/>
        </w:rPr>
      </w:pPr>
      <w:r>
        <w:rPr>
          <w:rFonts w:hint="eastAsia" w:ascii="Times New Roman" w:hAnsi="Times New Roman" w:eastAsia="宋体" w:cs="Times New Roman"/>
          <w:sz w:val="28"/>
          <w:szCs w:val="28"/>
          <w:highlight w:val="none"/>
          <w:lang w:eastAsia="zh-CN"/>
          <w14:ligatures w14:val="none"/>
        </w:rPr>
        <w:t>（</w:t>
      </w:r>
      <w:r>
        <w:rPr>
          <w:rFonts w:hint="eastAsia" w:ascii="Times New Roman" w:hAnsi="Times New Roman" w:eastAsia="宋体" w:cs="Times New Roman"/>
          <w:sz w:val="28"/>
          <w:szCs w:val="28"/>
          <w:highlight w:val="none"/>
          <w:lang w:val="en-US" w:eastAsia="zh-CN"/>
          <w14:ligatures w14:val="none"/>
        </w:rPr>
        <w:t>1）周边环境</w:t>
      </w:r>
    </w:p>
    <w:p w14:paraId="20516B5B">
      <w:pPr>
        <w:adjustRightInd w:val="0"/>
        <w:snapToGrid w:val="0"/>
        <w:spacing w:after="0" w:line="360" w:lineRule="auto"/>
        <w:ind w:firstLine="560" w:firstLineChars="200"/>
        <w:jc w:val="both"/>
        <w:rPr>
          <w:rFonts w:hint="eastAsia"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lang w:eastAsia="zh-CN"/>
          <w14:ligatures w14:val="none"/>
        </w:rPr>
        <w:t>沈阳新春城气体有限公司</w:t>
      </w:r>
      <w:r>
        <w:rPr>
          <w:rFonts w:hint="eastAsia" w:ascii="Times New Roman" w:hAnsi="Times New Roman" w:eastAsia="宋体" w:cs="Times New Roman"/>
          <w:sz w:val="28"/>
          <w:szCs w:val="28"/>
          <w:highlight w:val="none"/>
          <w14:ligatures w14:val="none"/>
        </w:rPr>
        <w:t>位于</w:t>
      </w:r>
      <w:r>
        <w:rPr>
          <w:rFonts w:hint="default" w:ascii="Times New Roman" w:hAnsi="Times New Roman" w:eastAsia="宋体" w:cs="Times New Roman"/>
          <w:sz w:val="28"/>
          <w:szCs w:val="28"/>
          <w:highlight w:val="none"/>
          <w:lang w:val="en-US" w:eastAsia="zh-CN"/>
          <w14:ligatures w14:val="none"/>
        </w:rPr>
        <w:t>辽宁省沈阳市沈北新区财落街道财落二社区</w:t>
      </w:r>
      <w:r>
        <w:rPr>
          <w:rFonts w:hint="eastAsia" w:ascii="Times New Roman" w:hAnsi="Times New Roman" w:eastAsia="宋体" w:cs="Times New Roman"/>
          <w:sz w:val="28"/>
          <w:szCs w:val="28"/>
          <w:highlight w:val="none"/>
          <w:lang w:val="en-US" w:eastAsia="zh-CN"/>
          <w14:ligatures w14:val="none"/>
        </w:rPr>
        <w:t>。厂区西侧为天马街和一条架空通信线，北侧为居民区、支路、一条架空电力线、一条架空通信线、一个杆式变压器及一个油浸式变压器，东侧、南侧均为耕地。</w:t>
      </w:r>
    </w:p>
    <w:p w14:paraId="461A362D">
      <w:pPr>
        <w:adjustRightInd w:val="0"/>
        <w:snapToGrid w:val="0"/>
        <w:spacing w:after="0" w:line="360" w:lineRule="auto"/>
        <w:ind w:firstLine="560" w:firstLineChars="200"/>
        <w:jc w:val="both"/>
        <w:rPr>
          <w:rFonts w:hint="default" w:ascii="Times New Roman" w:hAnsi="Times New Roman" w:eastAsia="宋体" w:cs="Times New Roman"/>
          <w:sz w:val="28"/>
          <w:szCs w:val="28"/>
          <w:highlight w:val="none"/>
          <w:lang w:val="en-US" w:eastAsia="zh-CN"/>
          <w14:ligatures w14:val="none"/>
        </w:rPr>
      </w:pPr>
      <w:r>
        <w:rPr>
          <w:rFonts w:hint="eastAsia" w:ascii="Times New Roman" w:hAnsi="Times New Roman" w:eastAsia="宋体" w:cs="Times New Roman"/>
          <w:sz w:val="28"/>
          <w:szCs w:val="28"/>
          <w:highlight w:val="none"/>
          <w:lang w:eastAsia="zh-CN"/>
          <w14:ligatures w14:val="none"/>
        </w:rPr>
        <w:t>（</w:t>
      </w:r>
      <w:r>
        <w:rPr>
          <w:rFonts w:hint="eastAsia" w:ascii="Times New Roman" w:hAnsi="Times New Roman" w:eastAsia="宋体" w:cs="Times New Roman"/>
          <w:sz w:val="28"/>
          <w:szCs w:val="28"/>
          <w:highlight w:val="none"/>
          <w:lang w:val="en-US" w:eastAsia="zh-CN"/>
          <w14:ligatures w14:val="none"/>
        </w:rPr>
        <w:t>2）平面布置</w:t>
      </w:r>
    </w:p>
    <w:p w14:paraId="6E285588">
      <w:pPr>
        <w:adjustRightInd w:val="0"/>
        <w:snapToGrid w:val="0"/>
        <w:spacing w:after="0" w:line="360" w:lineRule="auto"/>
        <w:ind w:firstLine="560" w:firstLineChars="200"/>
        <w:jc w:val="both"/>
        <w:rPr>
          <w:rFonts w:hint="eastAsia" w:ascii="Times New Roman" w:hAnsi="Times New Roman" w:eastAsia="宋体" w:cs="Times New Roman"/>
          <w:sz w:val="28"/>
          <w:szCs w:val="28"/>
          <w:highlight w:val="none"/>
          <w:lang w:eastAsia="zh-CN"/>
          <w14:ligatures w14:val="none"/>
        </w:rPr>
      </w:pPr>
      <w:r>
        <w:rPr>
          <w:rFonts w:hint="eastAsia" w:ascii="Times New Roman" w:hAnsi="Times New Roman" w:eastAsia="宋体" w:cs="Times New Roman"/>
          <w:sz w:val="28"/>
          <w:szCs w:val="28"/>
          <w:highlight w:val="none"/>
          <w:lang w:val="en-US" w:eastAsia="zh-CN"/>
          <w14:ligatures w14:val="none"/>
        </w:rPr>
        <w:t>该企业</w:t>
      </w:r>
      <w:r>
        <w:rPr>
          <w:rFonts w:hint="eastAsia" w:ascii="Times New Roman" w:hAnsi="Times New Roman" w:eastAsia="宋体" w:cs="Times New Roman"/>
          <w:sz w:val="28"/>
          <w:szCs w:val="28"/>
          <w:highlight w:val="none"/>
          <w:lang w:eastAsia="zh-CN"/>
          <w14:ligatures w14:val="none"/>
        </w:rPr>
        <w:t>占地面积</w:t>
      </w:r>
      <w:r>
        <w:rPr>
          <w:rFonts w:hint="eastAsia" w:ascii="Times New Roman" w:hAnsi="Times New Roman" w:eastAsia="宋体" w:cs="Times New Roman"/>
          <w:sz w:val="28"/>
          <w:szCs w:val="28"/>
          <w:highlight w:val="none"/>
          <w:lang w:val="en-US" w:eastAsia="zh-CN"/>
          <w14:ligatures w14:val="none"/>
        </w:rPr>
        <w:t>9070m²</w:t>
      </w:r>
      <w:r>
        <w:rPr>
          <w:rFonts w:hint="eastAsia" w:ascii="Times New Roman" w:hAnsi="Times New Roman" w:eastAsia="宋体" w:cs="Times New Roman"/>
          <w:sz w:val="28"/>
          <w:szCs w:val="28"/>
          <w:highlight w:val="none"/>
          <w:lang w:eastAsia="zh-CN"/>
          <w14:ligatures w14:val="none"/>
        </w:rPr>
        <w:t>，按生产特点和使用功能将厂区进行分区布置，分为</w:t>
      </w:r>
      <w:r>
        <w:rPr>
          <w:rFonts w:hint="default" w:ascii="Times New Roman" w:hAnsi="Times New Roman" w:eastAsia="宋体" w:cs="Times New Roman"/>
          <w:sz w:val="28"/>
          <w:szCs w:val="28"/>
          <w:highlight w:val="none"/>
          <w:lang w:val="en-US" w:eastAsia="zh-CN"/>
          <w14:ligatures w14:val="none"/>
        </w:rPr>
        <w:t>乙炔生产区、气体充装区、辅助服务区</w:t>
      </w:r>
      <w:r>
        <w:rPr>
          <w:rFonts w:hint="eastAsia" w:ascii="Times New Roman" w:hAnsi="Times New Roman" w:eastAsia="宋体" w:cs="Times New Roman"/>
          <w:sz w:val="28"/>
          <w:szCs w:val="28"/>
          <w:highlight w:val="none"/>
          <w:lang w:eastAsia="zh-CN"/>
          <w14:ligatures w14:val="none"/>
        </w:rPr>
        <w:t>。</w:t>
      </w:r>
    </w:p>
    <w:p w14:paraId="61F5CA4A">
      <w:pPr>
        <w:adjustRightInd w:val="0"/>
        <w:snapToGrid w:val="0"/>
        <w:spacing w:after="0" w:line="360" w:lineRule="auto"/>
        <w:ind w:firstLine="560" w:firstLineChars="200"/>
        <w:jc w:val="both"/>
        <w:rPr>
          <w:rFonts w:hint="eastAsia"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lang w:val="en-US" w:eastAsia="zh-CN"/>
          <w14:ligatures w14:val="none"/>
        </w:rPr>
        <w:t>乙炔</w:t>
      </w:r>
      <w:r>
        <w:rPr>
          <w:rFonts w:hint="eastAsia" w:ascii="Times New Roman" w:hAnsi="Times New Roman" w:eastAsia="宋体" w:cs="Times New Roman"/>
          <w:sz w:val="28"/>
          <w:szCs w:val="28"/>
          <w:highlight w:val="none"/>
          <w14:ligatures w14:val="none"/>
        </w:rPr>
        <w:t>生产区：</w:t>
      </w:r>
      <w:r>
        <w:rPr>
          <w:rFonts w:hint="eastAsia" w:ascii="Times New Roman" w:hAnsi="Times New Roman" w:eastAsia="宋体" w:cs="Times New Roman"/>
          <w:sz w:val="28"/>
          <w:szCs w:val="28"/>
          <w:highlight w:val="none"/>
          <w:lang w:val="en-US" w:eastAsia="zh-CN"/>
          <w14:ligatures w14:val="none"/>
        </w:rPr>
        <w:t>乙炔生产厂房位于整个厂区东南角</w:t>
      </w:r>
      <w:r>
        <w:rPr>
          <w:rFonts w:hint="eastAsia" w:ascii="Times New Roman" w:hAnsi="Times New Roman" w:eastAsia="宋体" w:cs="Times New Roman"/>
          <w:sz w:val="28"/>
          <w:szCs w:val="28"/>
          <w:highlight w:val="none"/>
          <w:lang w:eastAsia="zh-CN"/>
          <w14:ligatures w14:val="none"/>
        </w:rPr>
        <w:t>，</w:t>
      </w:r>
      <w:r>
        <w:rPr>
          <w:rFonts w:hint="eastAsia" w:ascii="Times New Roman" w:hAnsi="Times New Roman" w:eastAsia="宋体" w:cs="Times New Roman"/>
          <w:sz w:val="28"/>
          <w:szCs w:val="28"/>
          <w:highlight w:val="none"/>
          <w:lang w:val="en-US" w:eastAsia="zh-CN"/>
          <w14:ligatures w14:val="none"/>
        </w:rPr>
        <w:t>生产厂房内设置电石库、乙炔发生间、净化间、压缩机间、乙炔充装间、闲置间、检瓶间和空瓶区，生产厂房南侧设置渣池和一座75m³事故水池</w:t>
      </w:r>
      <w:r>
        <w:rPr>
          <w:rFonts w:hint="eastAsia" w:ascii="Times New Roman" w:hAnsi="Times New Roman" w:eastAsia="宋体" w:cs="Times New Roman"/>
          <w:sz w:val="28"/>
          <w:szCs w:val="28"/>
          <w:highlight w:val="none"/>
          <w14:ligatures w14:val="none"/>
        </w:rPr>
        <w:t>。</w:t>
      </w:r>
    </w:p>
    <w:p w14:paraId="244E6728">
      <w:pPr>
        <w:adjustRightInd w:val="0"/>
        <w:snapToGrid w:val="0"/>
        <w:spacing w:after="0" w:line="360" w:lineRule="auto"/>
        <w:ind w:firstLine="560" w:firstLineChars="200"/>
        <w:jc w:val="both"/>
        <w:rPr>
          <w:rFonts w:hint="eastAsia"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lang w:val="en-US" w:eastAsia="zh-CN"/>
          <w14:ligatures w14:val="none"/>
        </w:rPr>
        <w:t>气体充装</w:t>
      </w:r>
      <w:r>
        <w:rPr>
          <w:rFonts w:hint="eastAsia" w:ascii="Times New Roman" w:hAnsi="Times New Roman" w:eastAsia="宋体" w:cs="Times New Roman"/>
          <w:sz w:val="28"/>
          <w:szCs w:val="28"/>
          <w:highlight w:val="none"/>
          <w14:ligatures w14:val="none"/>
        </w:rPr>
        <w:t>区：</w:t>
      </w:r>
      <w:r>
        <w:rPr>
          <w:rFonts w:hint="eastAsia" w:ascii="Times New Roman" w:hAnsi="Times New Roman" w:eastAsia="宋体" w:cs="Times New Roman"/>
          <w:sz w:val="28"/>
          <w:szCs w:val="28"/>
          <w:highlight w:val="none"/>
          <w:lang w:val="en-US" w:eastAsia="zh-CN"/>
          <w14:ligatures w14:val="none"/>
        </w:rPr>
        <w:t>位于乙炔生产厂房西侧，设有气体充装厂房，其中包括氮气、氩气及混合气充装间、氧气充装间、食品二氧化碳、氮气充装间和医用氧气充装间（停用），气体充装厂房西侧设有二氧化碳充装区、气化器区、杜瓦罐充装区、储罐区、卸车区，储罐区位于卸车区和杜瓦罐充装区中间，设有一座30m³二氧化碳储罐、一座15m³液氩储罐、一座30m³液氧储罐、一座10m³液氮储罐、一座5m³医用液氧储罐、一座20m³食品级液氮储罐和一座30m³食品级二氧化碳储罐，气体充装厂房南侧设有库棚和车库</w:t>
      </w:r>
      <w:r>
        <w:rPr>
          <w:rFonts w:hint="eastAsia" w:ascii="Times New Roman" w:hAnsi="Times New Roman" w:eastAsia="宋体" w:cs="Times New Roman"/>
          <w:sz w:val="28"/>
          <w:szCs w:val="28"/>
          <w:highlight w:val="none"/>
          <w14:ligatures w14:val="none"/>
        </w:rPr>
        <w:t>。</w:t>
      </w:r>
    </w:p>
    <w:p w14:paraId="09D4170A">
      <w:pPr>
        <w:adjustRightInd w:val="0"/>
        <w:snapToGrid w:val="0"/>
        <w:spacing w:after="0" w:line="360" w:lineRule="auto"/>
        <w:ind w:firstLine="560" w:firstLineChars="200"/>
        <w:jc w:val="both"/>
        <w:rPr>
          <w:rFonts w:hint="eastAsia" w:ascii="Times New Roman" w:hAnsi="Times New Roman" w:eastAsia="宋体" w:cs="Times New Roman"/>
          <w:sz w:val="28"/>
          <w:szCs w:val="28"/>
          <w:highlight w:val="none"/>
          <w:lang w:eastAsia="zh-CN"/>
          <w14:ligatures w14:val="none"/>
        </w:rPr>
      </w:pPr>
      <w:r>
        <w:rPr>
          <w:rFonts w:hint="eastAsia" w:ascii="Times New Roman" w:hAnsi="Times New Roman" w:eastAsia="宋体" w:cs="Times New Roman"/>
          <w:sz w:val="28"/>
          <w:szCs w:val="28"/>
          <w:highlight w:val="none"/>
          <w:lang w:val="en-US" w:eastAsia="zh-CN"/>
          <w14:ligatures w14:val="none"/>
        </w:rPr>
        <w:t>辅助服务区</w:t>
      </w:r>
      <w:r>
        <w:rPr>
          <w:rFonts w:hint="eastAsia" w:ascii="Times New Roman" w:hAnsi="Times New Roman" w:eastAsia="宋体" w:cs="Times New Roman"/>
          <w:sz w:val="28"/>
          <w:szCs w:val="28"/>
          <w:highlight w:val="none"/>
          <w14:ligatures w14:val="none"/>
        </w:rPr>
        <w:t>：</w:t>
      </w:r>
      <w:r>
        <w:rPr>
          <w:rFonts w:hint="eastAsia" w:ascii="Times New Roman" w:hAnsi="Times New Roman" w:eastAsia="宋体" w:cs="Times New Roman"/>
          <w:sz w:val="28"/>
          <w:szCs w:val="28"/>
          <w:highlight w:val="none"/>
          <w:lang w:val="en-US" w:eastAsia="zh-CN"/>
          <w14:ligatures w14:val="none"/>
        </w:rPr>
        <w:t>位于厂区北侧，设有综合楼、维修车间（无明火或火花散发点，丁类）、一座220m³消防水池、办公室、控制室、配电室、柴发间和闲置间</w:t>
      </w:r>
      <w:r>
        <w:rPr>
          <w:rFonts w:hint="eastAsia" w:ascii="Times New Roman" w:hAnsi="Times New Roman" w:eastAsia="宋体" w:cs="Times New Roman"/>
          <w:sz w:val="28"/>
          <w:szCs w:val="28"/>
          <w:highlight w:val="none"/>
          <w:lang w:eastAsia="zh-CN"/>
          <w14:ligatures w14:val="none"/>
        </w:rPr>
        <w:t>。</w:t>
      </w:r>
    </w:p>
    <w:p w14:paraId="15F73D3C">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厂区周边环境及平面布置情况见图2.1-2。厂内设施与厂外建（构）筑物、厂内建（构）筑物之间的防火间距见下表2.1-3、表2.1-4。</w:t>
      </w:r>
    </w:p>
    <w:p w14:paraId="0C8175AE">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sectPr>
          <w:headerReference r:id="rId5" w:type="default"/>
          <w:footerReference r:id="rId6" w:type="default"/>
          <w:pgSz w:w="11906" w:h="16838"/>
          <w:pgMar w:top="1418" w:right="1134" w:bottom="1134" w:left="1588" w:header="851" w:footer="992" w:gutter="0"/>
          <w:pgNumType w:start="1"/>
          <w:cols w:space="425" w:num="1"/>
          <w:docGrid w:type="lines" w:linePitch="312" w:charSpace="0"/>
        </w:sectPr>
      </w:pPr>
    </w:p>
    <w:p w14:paraId="1DAFBCEB">
      <w:pPr>
        <w:tabs>
          <w:tab w:val="left" w:pos="840"/>
          <w:tab w:val="left" w:pos="1260"/>
        </w:tabs>
        <w:adjustRightInd w:val="0"/>
        <w:snapToGrid w:val="0"/>
        <w:spacing w:before="156" w:beforeLines="50" w:after="156" w:afterLines="50" w:line="360" w:lineRule="auto"/>
        <w:ind w:firstLine="562" w:firstLineChars="200"/>
        <w:jc w:val="both"/>
        <w:outlineLvl w:val="2"/>
        <w:rPr>
          <w:rFonts w:ascii="Times New Roman" w:hAnsi="Times New Roman" w:eastAsia="黑体" w:cs="Times New Roman"/>
          <w:b/>
          <w:sz w:val="28"/>
          <w:szCs w:val="32"/>
          <w:highlight w:val="none"/>
          <w14:ligatures w14:val="none"/>
        </w:rPr>
      </w:pPr>
      <w:r>
        <w:rPr>
          <w:rFonts w:hint="eastAsia" w:ascii="Times New Roman" w:hAnsi="Times New Roman" w:eastAsia="黑体" w:cs="Times New Roman"/>
          <w:b/>
          <w:sz w:val="28"/>
          <w:szCs w:val="32"/>
          <w:highlight w:val="none"/>
          <w14:ligatures w14:val="none"/>
        </w:rPr>
        <w:t>2.1.4企业所在区域气象条件</w:t>
      </w:r>
    </w:p>
    <w:p w14:paraId="3AFF92E6">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lang w:eastAsia="zh-CN"/>
          <w14:ligatures w14:val="none"/>
        </w:rPr>
        <w:t>沈阳新春城气体有限公司</w:t>
      </w:r>
      <w:r>
        <w:rPr>
          <w:rFonts w:hint="eastAsia" w:ascii="Times New Roman" w:hAnsi="Times New Roman" w:eastAsia="宋体" w:cs="Times New Roman"/>
          <w:sz w:val="28"/>
          <w:szCs w:val="28"/>
          <w:highlight w:val="none"/>
          <w14:ligatures w14:val="none"/>
        </w:rPr>
        <w:t>位于</w:t>
      </w:r>
      <w:r>
        <w:rPr>
          <w:rFonts w:hint="eastAsia" w:ascii="Times New Roman" w:hAnsi="Times New Roman" w:eastAsia="宋体" w:cs="Times New Roman"/>
          <w:sz w:val="28"/>
          <w:szCs w:val="28"/>
          <w:highlight w:val="none"/>
          <w:lang w:val="en-US" w:eastAsia="zh-CN"/>
          <w14:ligatures w14:val="none"/>
        </w:rPr>
        <w:t>沈阳市沈北新区</w:t>
      </w:r>
      <w:r>
        <w:rPr>
          <w:rFonts w:hint="eastAsia" w:ascii="Times New Roman" w:hAnsi="Times New Roman" w:eastAsia="宋体" w:cs="Times New Roman"/>
          <w:sz w:val="28"/>
          <w:szCs w:val="28"/>
          <w:highlight w:val="none"/>
          <w:lang w:eastAsia="zh-CN"/>
          <w14:ligatures w14:val="none"/>
        </w:rPr>
        <w:t>，其自然条件如下。</w:t>
      </w:r>
    </w:p>
    <w:p w14:paraId="3A741872">
      <w:pPr>
        <w:adjustRightInd w:val="0"/>
        <w:snapToGrid w:val="0"/>
        <w:spacing w:after="0" w:line="360" w:lineRule="auto"/>
        <w:ind w:firstLine="560" w:firstLineChars="200"/>
        <w:jc w:val="both"/>
        <w:rPr>
          <w:rFonts w:hint="eastAsia"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lang w:eastAsia="zh-CN"/>
          <w14:ligatures w14:val="none"/>
        </w:rPr>
        <w:t>（</w:t>
      </w:r>
      <w:r>
        <w:rPr>
          <w:rFonts w:hint="eastAsia" w:ascii="Times New Roman" w:hAnsi="Times New Roman" w:eastAsia="宋体" w:cs="Times New Roman"/>
          <w:sz w:val="28"/>
          <w:szCs w:val="28"/>
          <w:highlight w:val="none"/>
          <w:lang w:val="en-US" w:eastAsia="zh-CN"/>
          <w14:ligatures w14:val="none"/>
        </w:rPr>
        <w:t>1）</w:t>
      </w:r>
      <w:r>
        <w:rPr>
          <w:rFonts w:hint="eastAsia" w:ascii="Times New Roman" w:hAnsi="Times New Roman" w:eastAsia="宋体" w:cs="Times New Roman"/>
          <w:sz w:val="28"/>
          <w:szCs w:val="28"/>
          <w:highlight w:val="none"/>
          <w14:ligatures w14:val="none"/>
        </w:rPr>
        <w:t>气象条件</w:t>
      </w:r>
    </w:p>
    <w:p w14:paraId="2EF35DE8">
      <w:pPr>
        <w:adjustRightInd w:val="0"/>
        <w:snapToGrid w:val="0"/>
        <w:spacing w:after="0" w:line="360" w:lineRule="auto"/>
        <w:ind w:firstLine="560" w:firstLineChars="200"/>
        <w:jc w:val="both"/>
        <w:rPr>
          <w:rFonts w:hint="eastAsia"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1）气温</w:t>
      </w:r>
    </w:p>
    <w:p w14:paraId="5C0E5E5B">
      <w:pPr>
        <w:adjustRightInd w:val="0"/>
        <w:snapToGrid w:val="0"/>
        <w:spacing w:after="0" w:line="360" w:lineRule="auto"/>
        <w:ind w:firstLine="560" w:firstLineChars="200"/>
        <w:jc w:val="both"/>
        <w:rPr>
          <w:rFonts w:hint="eastAsia"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年平均气温：7.7℃</w:t>
      </w:r>
    </w:p>
    <w:p w14:paraId="507E329D">
      <w:pPr>
        <w:adjustRightInd w:val="0"/>
        <w:snapToGrid w:val="0"/>
        <w:spacing w:after="0" w:line="360" w:lineRule="auto"/>
        <w:ind w:firstLine="560" w:firstLineChars="200"/>
        <w:jc w:val="both"/>
        <w:rPr>
          <w:rFonts w:hint="eastAsia"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最热月平均气温（7月）：25.2℃</w:t>
      </w:r>
    </w:p>
    <w:p w14:paraId="6EBE5095">
      <w:pPr>
        <w:adjustRightInd w:val="0"/>
        <w:snapToGrid w:val="0"/>
        <w:spacing w:after="0" w:line="360" w:lineRule="auto"/>
        <w:ind w:firstLine="560" w:firstLineChars="200"/>
        <w:jc w:val="both"/>
        <w:rPr>
          <w:rFonts w:hint="eastAsia"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最冷月平均气温（1月）：-12.7℃</w:t>
      </w:r>
    </w:p>
    <w:p w14:paraId="20AE7B71">
      <w:pPr>
        <w:adjustRightInd w:val="0"/>
        <w:snapToGrid w:val="0"/>
        <w:spacing w:after="0" w:line="360" w:lineRule="auto"/>
        <w:ind w:firstLine="560" w:firstLineChars="200"/>
        <w:jc w:val="both"/>
        <w:rPr>
          <w:rFonts w:hint="eastAsia"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极端最高气温：38.3℃</w:t>
      </w:r>
    </w:p>
    <w:p w14:paraId="51D3D80A">
      <w:pPr>
        <w:adjustRightInd w:val="0"/>
        <w:snapToGrid w:val="0"/>
        <w:spacing w:after="0" w:line="360" w:lineRule="auto"/>
        <w:ind w:firstLine="560" w:firstLineChars="200"/>
        <w:jc w:val="both"/>
        <w:rPr>
          <w:rFonts w:hint="eastAsia"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极端最低气温：-30.6℃</w:t>
      </w:r>
    </w:p>
    <w:p w14:paraId="43FDCA49">
      <w:pPr>
        <w:adjustRightInd w:val="0"/>
        <w:snapToGrid w:val="0"/>
        <w:spacing w:after="0" w:line="360" w:lineRule="auto"/>
        <w:ind w:firstLine="560" w:firstLineChars="200"/>
        <w:jc w:val="both"/>
        <w:rPr>
          <w:rFonts w:hint="eastAsia"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年平均最高温度：8.3℃</w:t>
      </w:r>
    </w:p>
    <w:p w14:paraId="2C2639F8">
      <w:pPr>
        <w:adjustRightInd w:val="0"/>
        <w:snapToGrid w:val="0"/>
        <w:spacing w:after="0" w:line="360" w:lineRule="auto"/>
        <w:ind w:firstLine="560" w:firstLineChars="200"/>
        <w:jc w:val="both"/>
        <w:rPr>
          <w:rFonts w:hint="eastAsia"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年平均最低温度：6.9℃</w:t>
      </w:r>
    </w:p>
    <w:p w14:paraId="3C093691">
      <w:pPr>
        <w:adjustRightInd w:val="0"/>
        <w:snapToGrid w:val="0"/>
        <w:spacing w:after="0" w:line="360" w:lineRule="auto"/>
        <w:ind w:firstLine="560" w:firstLineChars="200"/>
        <w:jc w:val="both"/>
        <w:rPr>
          <w:rFonts w:hint="eastAsia"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2）湿度</w:t>
      </w:r>
    </w:p>
    <w:p w14:paraId="3F284F7B">
      <w:pPr>
        <w:adjustRightInd w:val="0"/>
        <w:snapToGrid w:val="0"/>
        <w:spacing w:after="0" w:line="360" w:lineRule="auto"/>
        <w:ind w:firstLine="560" w:firstLineChars="200"/>
        <w:jc w:val="both"/>
        <w:rPr>
          <w:rFonts w:hint="eastAsia"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年平均最大相对湿度：69%</w:t>
      </w:r>
    </w:p>
    <w:p w14:paraId="684E65BB">
      <w:pPr>
        <w:adjustRightInd w:val="0"/>
        <w:snapToGrid w:val="0"/>
        <w:spacing w:after="0" w:line="360" w:lineRule="auto"/>
        <w:ind w:firstLine="560" w:firstLineChars="200"/>
        <w:jc w:val="both"/>
        <w:rPr>
          <w:rFonts w:hint="eastAsia"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年平均最小相对湿度：67%</w:t>
      </w:r>
    </w:p>
    <w:p w14:paraId="4E64C126">
      <w:pPr>
        <w:adjustRightInd w:val="0"/>
        <w:snapToGrid w:val="0"/>
        <w:spacing w:after="0" w:line="360" w:lineRule="auto"/>
        <w:ind w:firstLine="560" w:firstLineChars="200"/>
        <w:jc w:val="both"/>
        <w:rPr>
          <w:rFonts w:hint="eastAsia"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月均最大相对湿度（7月）：78%</w:t>
      </w:r>
    </w:p>
    <w:p w14:paraId="7A718DEF">
      <w:pPr>
        <w:adjustRightInd w:val="0"/>
        <w:snapToGrid w:val="0"/>
        <w:spacing w:after="0" w:line="360" w:lineRule="auto"/>
        <w:ind w:firstLine="560" w:firstLineChars="200"/>
        <w:jc w:val="both"/>
        <w:rPr>
          <w:rFonts w:hint="eastAsia"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月均最小相对湿度（1月）：61%</w:t>
      </w:r>
    </w:p>
    <w:p w14:paraId="32D0486D">
      <w:pPr>
        <w:adjustRightInd w:val="0"/>
        <w:snapToGrid w:val="0"/>
        <w:spacing w:after="0" w:line="360" w:lineRule="auto"/>
        <w:ind w:firstLine="560" w:firstLineChars="200"/>
        <w:jc w:val="both"/>
        <w:rPr>
          <w:rFonts w:hint="eastAsia"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3）气压</w:t>
      </w:r>
    </w:p>
    <w:p w14:paraId="616855AF">
      <w:pPr>
        <w:adjustRightInd w:val="0"/>
        <w:snapToGrid w:val="0"/>
        <w:spacing w:after="0" w:line="360" w:lineRule="auto"/>
        <w:ind w:firstLine="560" w:firstLineChars="200"/>
        <w:jc w:val="both"/>
        <w:rPr>
          <w:rFonts w:hint="eastAsia"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年平均气压：101.2kPa</w:t>
      </w:r>
    </w:p>
    <w:p w14:paraId="740FA792">
      <w:pPr>
        <w:adjustRightInd w:val="0"/>
        <w:snapToGrid w:val="0"/>
        <w:spacing w:after="0" w:line="360" w:lineRule="auto"/>
        <w:ind w:firstLine="560" w:firstLineChars="200"/>
        <w:jc w:val="both"/>
        <w:rPr>
          <w:rFonts w:hint="eastAsia"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年绝对最高气压：103.9kPa</w:t>
      </w:r>
    </w:p>
    <w:p w14:paraId="3E7DF7A0">
      <w:pPr>
        <w:adjustRightInd w:val="0"/>
        <w:snapToGrid w:val="0"/>
        <w:spacing w:after="0" w:line="360" w:lineRule="auto"/>
        <w:ind w:firstLine="560" w:firstLineChars="200"/>
        <w:jc w:val="both"/>
        <w:rPr>
          <w:rFonts w:hint="eastAsia"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年绝对最低气压：96.9kPa</w:t>
      </w:r>
    </w:p>
    <w:p w14:paraId="157E7985">
      <w:pPr>
        <w:adjustRightInd w:val="0"/>
        <w:snapToGrid w:val="0"/>
        <w:spacing w:after="0" w:line="360" w:lineRule="auto"/>
        <w:ind w:firstLine="560" w:firstLineChars="200"/>
        <w:jc w:val="both"/>
        <w:rPr>
          <w:rFonts w:hint="eastAsia"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4）降雨量</w:t>
      </w:r>
    </w:p>
    <w:p w14:paraId="7D78FFB5">
      <w:pPr>
        <w:adjustRightInd w:val="0"/>
        <w:snapToGrid w:val="0"/>
        <w:spacing w:after="0" w:line="360" w:lineRule="auto"/>
        <w:ind w:firstLine="560" w:firstLineChars="200"/>
        <w:jc w:val="both"/>
        <w:rPr>
          <w:rFonts w:hint="eastAsia"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年平均降雨量：755.4mm</w:t>
      </w:r>
    </w:p>
    <w:p w14:paraId="0A23D034">
      <w:pPr>
        <w:adjustRightInd w:val="0"/>
        <w:snapToGrid w:val="0"/>
        <w:spacing w:after="0" w:line="360" w:lineRule="auto"/>
        <w:ind w:firstLine="560" w:firstLineChars="200"/>
        <w:jc w:val="both"/>
        <w:rPr>
          <w:rFonts w:hint="eastAsia"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年最大降雨量：997.3mm</w:t>
      </w:r>
    </w:p>
    <w:p w14:paraId="53AF5988">
      <w:pPr>
        <w:adjustRightInd w:val="0"/>
        <w:snapToGrid w:val="0"/>
        <w:spacing w:after="0" w:line="360" w:lineRule="auto"/>
        <w:ind w:firstLine="560" w:firstLineChars="200"/>
        <w:jc w:val="both"/>
        <w:rPr>
          <w:rFonts w:hint="eastAsia"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年最小降雨量：520.5mm</w:t>
      </w:r>
    </w:p>
    <w:p w14:paraId="0536451E">
      <w:pPr>
        <w:adjustRightInd w:val="0"/>
        <w:snapToGrid w:val="0"/>
        <w:spacing w:after="0" w:line="360" w:lineRule="auto"/>
        <w:ind w:firstLine="560" w:firstLineChars="200"/>
        <w:jc w:val="both"/>
        <w:rPr>
          <w:rFonts w:hint="eastAsia"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一昼夜最大降雨量：178.8mm</w:t>
      </w:r>
    </w:p>
    <w:p w14:paraId="7625B6C4">
      <w:pPr>
        <w:adjustRightInd w:val="0"/>
        <w:snapToGrid w:val="0"/>
        <w:spacing w:after="0" w:line="360" w:lineRule="auto"/>
        <w:ind w:firstLine="560" w:firstLineChars="200"/>
        <w:jc w:val="both"/>
        <w:rPr>
          <w:rFonts w:hint="eastAsia"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一小时最大降雨量：42.6mm</w:t>
      </w:r>
    </w:p>
    <w:p w14:paraId="11912E9B">
      <w:pPr>
        <w:adjustRightInd w:val="0"/>
        <w:snapToGrid w:val="0"/>
        <w:spacing w:after="0" w:line="360" w:lineRule="auto"/>
        <w:ind w:firstLine="560" w:firstLineChars="200"/>
        <w:jc w:val="both"/>
        <w:rPr>
          <w:rFonts w:hint="eastAsia"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5）雪及复冰</w:t>
      </w:r>
    </w:p>
    <w:p w14:paraId="4A4C658D">
      <w:pPr>
        <w:adjustRightInd w:val="0"/>
        <w:snapToGrid w:val="0"/>
        <w:spacing w:after="0" w:line="360" w:lineRule="auto"/>
        <w:ind w:firstLine="560" w:firstLineChars="200"/>
        <w:jc w:val="both"/>
        <w:rPr>
          <w:rFonts w:hint="eastAsia"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最大积雪深度：250.0mm</w:t>
      </w:r>
    </w:p>
    <w:p w14:paraId="76711381">
      <w:pPr>
        <w:adjustRightInd w:val="0"/>
        <w:snapToGrid w:val="0"/>
        <w:spacing w:after="0" w:line="360" w:lineRule="auto"/>
        <w:ind w:firstLine="560" w:firstLineChars="200"/>
        <w:jc w:val="both"/>
        <w:rPr>
          <w:rFonts w:hint="eastAsia"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6）风</w:t>
      </w:r>
    </w:p>
    <w:p w14:paraId="651DFF2C">
      <w:pPr>
        <w:adjustRightInd w:val="0"/>
        <w:snapToGrid w:val="0"/>
        <w:spacing w:after="0" w:line="360" w:lineRule="auto"/>
        <w:ind w:firstLine="560" w:firstLineChars="200"/>
        <w:jc w:val="both"/>
        <w:rPr>
          <w:rFonts w:hint="eastAsia"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夏季主导风向：西南</w:t>
      </w:r>
    </w:p>
    <w:p w14:paraId="1CB87D82">
      <w:pPr>
        <w:adjustRightInd w:val="0"/>
        <w:snapToGrid w:val="0"/>
        <w:spacing w:after="0" w:line="360" w:lineRule="auto"/>
        <w:ind w:firstLine="560" w:firstLineChars="200"/>
        <w:jc w:val="both"/>
        <w:rPr>
          <w:rFonts w:hint="eastAsia"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冬季主导风向：西北</w:t>
      </w:r>
    </w:p>
    <w:p w14:paraId="5E7500F8">
      <w:pPr>
        <w:adjustRightInd w:val="0"/>
        <w:snapToGrid w:val="0"/>
        <w:spacing w:after="0" w:line="360" w:lineRule="auto"/>
        <w:ind w:firstLine="560" w:firstLineChars="200"/>
        <w:jc w:val="both"/>
        <w:rPr>
          <w:rFonts w:hint="eastAsia"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年平均风速：3.2m/s</w:t>
      </w:r>
    </w:p>
    <w:p w14:paraId="7B2B7585">
      <w:pPr>
        <w:adjustRightInd w:val="0"/>
        <w:snapToGrid w:val="0"/>
        <w:spacing w:after="0" w:line="360" w:lineRule="auto"/>
        <w:ind w:firstLine="560" w:firstLineChars="200"/>
        <w:jc w:val="both"/>
        <w:rPr>
          <w:rFonts w:hint="eastAsia"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最大风速：23m/s</w:t>
      </w:r>
    </w:p>
    <w:p w14:paraId="3E624788">
      <w:pPr>
        <w:adjustRightInd w:val="0"/>
        <w:snapToGrid w:val="0"/>
        <w:spacing w:after="0" w:line="360" w:lineRule="auto"/>
        <w:ind w:firstLine="560" w:firstLineChars="200"/>
        <w:jc w:val="both"/>
        <w:rPr>
          <w:rFonts w:hint="eastAsia"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7）雷电日</w:t>
      </w:r>
    </w:p>
    <w:p w14:paraId="2F81C0D4">
      <w:pPr>
        <w:adjustRightInd w:val="0"/>
        <w:snapToGrid w:val="0"/>
        <w:spacing w:after="0" w:line="360" w:lineRule="auto"/>
        <w:ind w:firstLine="560" w:firstLineChars="200"/>
        <w:jc w:val="both"/>
        <w:rPr>
          <w:rFonts w:hint="eastAsia"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年平均雷电：28.3d</w:t>
      </w:r>
    </w:p>
    <w:p w14:paraId="708B67DD">
      <w:pPr>
        <w:adjustRightInd w:val="0"/>
        <w:snapToGrid w:val="0"/>
        <w:spacing w:after="0" w:line="360" w:lineRule="auto"/>
        <w:ind w:firstLine="560" w:firstLineChars="200"/>
        <w:jc w:val="both"/>
        <w:rPr>
          <w:rFonts w:hint="eastAsia"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年最多雷电日：42d</w:t>
      </w:r>
    </w:p>
    <w:p w14:paraId="0D22329E">
      <w:pPr>
        <w:adjustRightInd w:val="0"/>
        <w:snapToGrid w:val="0"/>
        <w:spacing w:after="0" w:line="360" w:lineRule="auto"/>
        <w:ind w:firstLine="560" w:firstLineChars="200"/>
        <w:jc w:val="both"/>
        <w:rPr>
          <w:rFonts w:hint="eastAsia" w:ascii="Times New Roman" w:hAnsi="Times New Roman" w:eastAsia="宋体" w:cs="Times New Roman"/>
          <w:sz w:val="28"/>
          <w:szCs w:val="28"/>
          <w:highlight w:val="none"/>
          <w14:ligatures w14:val="none"/>
        </w:rPr>
      </w:pPr>
    </w:p>
    <w:p w14:paraId="6FED3A02">
      <w:pPr>
        <w:tabs>
          <w:tab w:val="left" w:pos="840"/>
          <w:tab w:val="left" w:pos="1260"/>
        </w:tabs>
        <w:adjustRightInd w:val="0"/>
        <w:snapToGrid w:val="0"/>
        <w:spacing w:before="156" w:beforeLines="50" w:after="156" w:afterLines="50" w:line="360" w:lineRule="auto"/>
        <w:ind w:firstLine="562" w:firstLineChars="200"/>
        <w:jc w:val="both"/>
        <w:outlineLvl w:val="2"/>
        <w:rPr>
          <w:rFonts w:ascii="Times New Roman" w:hAnsi="Times New Roman" w:eastAsia="黑体" w:cs="Times New Roman"/>
          <w:b/>
          <w:sz w:val="28"/>
          <w:szCs w:val="32"/>
          <w:highlight w:val="none"/>
          <w14:ligatures w14:val="none"/>
        </w:rPr>
      </w:pPr>
      <w:r>
        <w:rPr>
          <w:rFonts w:hint="eastAsia" w:ascii="Times New Roman" w:hAnsi="Times New Roman" w:eastAsia="黑体" w:cs="Times New Roman"/>
          <w:b/>
          <w:sz w:val="28"/>
          <w:szCs w:val="32"/>
          <w:highlight w:val="none"/>
          <w14:ligatures w14:val="none"/>
        </w:rPr>
        <w:t>2.1.5安全管理</w:t>
      </w:r>
    </w:p>
    <w:p w14:paraId="5A2AF709">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（1）企业建立并落实了健全的安全生产责任制，包括主要负责人安全职责、安全管理人员安全职责、各岗位工人安全职责</w:t>
      </w:r>
      <w:r>
        <w:rPr>
          <w:rFonts w:hint="eastAsia" w:ascii="Times New Roman" w:hAnsi="Times New Roman" w:eastAsia="宋体" w:cs="Times New Roman"/>
          <w:sz w:val="28"/>
          <w:szCs w:val="28"/>
          <w:highlight w:val="none"/>
          <w:lang w:val="en-US" w:eastAsia="zh-CN"/>
          <w14:ligatures w14:val="none"/>
        </w:rPr>
        <w:t>等</w:t>
      </w:r>
      <w:r>
        <w:rPr>
          <w:rFonts w:hint="eastAsia" w:ascii="Times New Roman" w:hAnsi="Times New Roman" w:eastAsia="宋体" w:cs="Times New Roman"/>
          <w:sz w:val="28"/>
          <w:szCs w:val="28"/>
          <w:highlight w:val="none"/>
          <w14:ligatures w14:val="none"/>
        </w:rPr>
        <w:t>；</w:t>
      </w:r>
    </w:p>
    <w:p w14:paraId="3D54014A">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（2）企业制定并落实了较完善的安全管理制度，制订了安全生产会议管理制度、安全生产责任制管理制度</w:t>
      </w:r>
      <w:r>
        <w:rPr>
          <w:rFonts w:hint="eastAsia" w:ascii="Times New Roman" w:hAnsi="Times New Roman" w:eastAsia="宋体" w:cs="Times New Roman"/>
          <w:sz w:val="28"/>
          <w:szCs w:val="28"/>
          <w:highlight w:val="none"/>
          <w:lang w:eastAsia="zh-CN"/>
          <w14:ligatures w14:val="none"/>
        </w:rPr>
        <w:t>、工伤保险管理制度、风险分级管控制度、隐患排查治理管理制度、变更管理制度</w:t>
      </w:r>
      <w:r>
        <w:rPr>
          <w:rFonts w:hint="eastAsia" w:ascii="Times New Roman" w:hAnsi="Times New Roman" w:eastAsia="宋体" w:cs="Times New Roman"/>
          <w:sz w:val="28"/>
          <w:szCs w:val="28"/>
          <w:highlight w:val="none"/>
          <w:lang w:val="en-US" w:eastAsia="zh-CN"/>
          <w14:ligatures w14:val="none"/>
        </w:rPr>
        <w:t>等</w:t>
      </w:r>
      <w:r>
        <w:rPr>
          <w:rFonts w:hint="eastAsia" w:ascii="Times New Roman" w:hAnsi="Times New Roman" w:eastAsia="宋体" w:cs="Times New Roman"/>
          <w:sz w:val="28"/>
          <w:szCs w:val="28"/>
          <w:highlight w:val="none"/>
          <w14:ligatures w14:val="none"/>
        </w:rPr>
        <w:t>；</w:t>
      </w:r>
    </w:p>
    <w:p w14:paraId="7B37FE05">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（3）企业制定并落实了低温罐车装卸安全操作规程</w:t>
      </w:r>
      <w:r>
        <w:rPr>
          <w:rFonts w:hint="eastAsia" w:ascii="Times New Roman" w:hAnsi="Times New Roman" w:eastAsia="宋体" w:cs="Times New Roman"/>
          <w:sz w:val="28"/>
          <w:szCs w:val="28"/>
          <w:highlight w:val="none"/>
          <w:lang w:eastAsia="zh-CN"/>
          <w14:ligatures w14:val="none"/>
        </w:rPr>
        <w:t>、低温储罐的安全操作规程、瓶内残液、(残气)处理操作规程、气瓶充装前、后检查操作规程、气瓶充装操作规程、气体分析操作规程</w:t>
      </w:r>
      <w:r>
        <w:rPr>
          <w:rFonts w:hint="eastAsia" w:ascii="Times New Roman" w:hAnsi="Times New Roman" w:eastAsia="宋体" w:cs="Times New Roman"/>
          <w:sz w:val="28"/>
          <w:szCs w:val="28"/>
          <w:highlight w:val="none"/>
          <w:lang w:val="en-US" w:eastAsia="zh-CN"/>
          <w14:ligatures w14:val="none"/>
        </w:rPr>
        <w:t>等</w:t>
      </w:r>
      <w:r>
        <w:rPr>
          <w:rFonts w:hint="eastAsia" w:ascii="Times New Roman" w:hAnsi="Times New Roman" w:eastAsia="宋体" w:cs="Times New Roman"/>
          <w:sz w:val="28"/>
          <w:szCs w:val="28"/>
          <w:highlight w:val="none"/>
          <w14:ligatures w14:val="none"/>
        </w:rPr>
        <w:t>。</w:t>
      </w:r>
    </w:p>
    <w:p w14:paraId="6CD310DE">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4）企业制定了相对完善的危险化学品事故应急预案，明确应急救援组织机构及其相应分工责任明确，联络、报警系统完善。能够按照危险化学品事故应急预案的规定进行演练，对演练效果能够进行讲评。符合事故应急预案的相关要求。应急预案备案登记表情况如下：</w:t>
      </w:r>
    </w:p>
    <w:p w14:paraId="783AF60D">
      <w:pPr>
        <w:adjustRightInd w:val="0"/>
        <w:snapToGrid w:val="0"/>
        <w:spacing w:after="0" w:line="360" w:lineRule="auto"/>
        <w:ind w:firstLine="560" w:firstLineChars="200"/>
        <w:jc w:val="both"/>
        <w:rPr>
          <w:rFonts w:hint="eastAsia" w:ascii="Times New Roman" w:hAnsi="Times New Roman" w:eastAsia="宋体" w:cs="Times New Roman"/>
          <w:sz w:val="28"/>
          <w:szCs w:val="28"/>
          <w:highlight w:val="none"/>
          <w:lang w:eastAsia="zh-CN"/>
          <w14:ligatures w14:val="none"/>
        </w:rPr>
      </w:pPr>
      <w:r>
        <w:rPr>
          <w:rFonts w:hint="eastAsia" w:ascii="Times New Roman" w:hAnsi="Times New Roman" w:eastAsia="宋体" w:cs="Times New Roman"/>
          <w:sz w:val="28"/>
          <w:szCs w:val="28"/>
          <w:highlight w:val="none"/>
          <w14:ligatures w14:val="none"/>
        </w:rPr>
        <w:t>备案单位：</w:t>
      </w:r>
      <w:r>
        <w:rPr>
          <w:rFonts w:hint="eastAsia" w:ascii="Times New Roman" w:hAnsi="Times New Roman" w:eastAsia="宋体" w:cs="Times New Roman"/>
          <w:sz w:val="28"/>
          <w:szCs w:val="28"/>
          <w:highlight w:val="none"/>
          <w:lang w:eastAsia="zh-CN"/>
          <w14:ligatures w14:val="none"/>
        </w:rPr>
        <w:t>沈阳新春城气体有限公司</w:t>
      </w:r>
    </w:p>
    <w:p w14:paraId="08FE5606">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发证单位：</w:t>
      </w:r>
      <w:r>
        <w:rPr>
          <w:rFonts w:hint="eastAsia" w:ascii="Times New Roman" w:hAnsi="Times New Roman" w:eastAsia="宋体" w:cs="Times New Roman"/>
          <w:sz w:val="28"/>
          <w:szCs w:val="28"/>
          <w:highlight w:val="none"/>
          <w:lang w:val="en-US" w:eastAsia="zh-CN"/>
          <w14:ligatures w14:val="none"/>
        </w:rPr>
        <w:t>沈阳市</w:t>
      </w:r>
      <w:r>
        <w:rPr>
          <w:rFonts w:hint="eastAsia" w:ascii="Times New Roman" w:hAnsi="Times New Roman" w:eastAsia="宋体" w:cs="Times New Roman"/>
          <w:sz w:val="28"/>
          <w:szCs w:val="28"/>
          <w:highlight w:val="none"/>
          <w14:ligatures w14:val="none"/>
        </w:rPr>
        <w:t>应急管理局</w:t>
      </w:r>
    </w:p>
    <w:p w14:paraId="2036DD0D">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备案日期：202</w:t>
      </w:r>
      <w:r>
        <w:rPr>
          <w:rFonts w:hint="eastAsia" w:ascii="Times New Roman" w:hAnsi="Times New Roman" w:eastAsia="宋体" w:cs="Times New Roman"/>
          <w:sz w:val="28"/>
          <w:szCs w:val="28"/>
          <w:highlight w:val="none"/>
          <w:lang w:val="en-US" w:eastAsia="zh-CN"/>
          <w14:ligatures w14:val="none"/>
        </w:rPr>
        <w:t>5</w:t>
      </w:r>
      <w:r>
        <w:rPr>
          <w:rFonts w:hint="eastAsia" w:ascii="Times New Roman" w:hAnsi="Times New Roman" w:eastAsia="宋体" w:cs="Times New Roman"/>
          <w:sz w:val="28"/>
          <w:szCs w:val="28"/>
          <w:highlight w:val="none"/>
          <w14:ligatures w14:val="none"/>
        </w:rPr>
        <w:t>年07月</w:t>
      </w:r>
      <w:r>
        <w:rPr>
          <w:rFonts w:hint="eastAsia" w:ascii="Times New Roman" w:hAnsi="Times New Roman" w:eastAsia="宋体" w:cs="Times New Roman"/>
          <w:sz w:val="28"/>
          <w:szCs w:val="28"/>
          <w:highlight w:val="none"/>
          <w:lang w:val="en-US" w:eastAsia="zh-CN"/>
          <w14:ligatures w14:val="none"/>
        </w:rPr>
        <w:t>21</w:t>
      </w:r>
      <w:r>
        <w:rPr>
          <w:rFonts w:hint="eastAsia" w:ascii="Times New Roman" w:hAnsi="Times New Roman" w:eastAsia="宋体" w:cs="Times New Roman"/>
          <w:sz w:val="28"/>
          <w:szCs w:val="28"/>
          <w:highlight w:val="none"/>
          <w14:ligatures w14:val="none"/>
        </w:rPr>
        <w:t>日</w:t>
      </w:r>
    </w:p>
    <w:p w14:paraId="1F71FCA5">
      <w:pPr>
        <w:adjustRightInd w:val="0"/>
        <w:snapToGrid w:val="0"/>
        <w:spacing w:after="0" w:line="360" w:lineRule="auto"/>
        <w:ind w:firstLine="560" w:firstLineChars="200"/>
        <w:jc w:val="both"/>
        <w:rPr>
          <w:rFonts w:hint="default" w:ascii="Times New Roman" w:hAnsi="Times New Roman" w:eastAsia="宋体" w:cs="Times New Roman"/>
          <w:sz w:val="28"/>
          <w:szCs w:val="28"/>
          <w:highlight w:val="none"/>
          <w:lang w:val="en-US" w:eastAsia="zh-CN"/>
          <w14:ligatures w14:val="none"/>
        </w:rPr>
      </w:pPr>
      <w:r>
        <w:rPr>
          <w:rFonts w:hint="eastAsia" w:ascii="Times New Roman" w:hAnsi="Times New Roman" w:eastAsia="宋体" w:cs="Times New Roman"/>
          <w:sz w:val="28"/>
          <w:szCs w:val="28"/>
          <w:highlight w:val="none"/>
          <w14:ligatures w14:val="none"/>
        </w:rPr>
        <w:t>备案编号：</w:t>
      </w:r>
      <w:r>
        <w:rPr>
          <w:rFonts w:hint="eastAsia" w:ascii="Times New Roman" w:hAnsi="Times New Roman" w:eastAsia="宋体" w:cs="Times New Roman"/>
          <w:sz w:val="28"/>
          <w:szCs w:val="28"/>
          <w:highlight w:val="none"/>
          <w:lang w:val="en-US" w:eastAsia="zh-CN"/>
          <w14:ligatures w14:val="none"/>
        </w:rPr>
        <w:t>2025年0151号</w:t>
      </w:r>
    </w:p>
    <w:p w14:paraId="157CF6F8">
      <w:pPr>
        <w:tabs>
          <w:tab w:val="left" w:pos="840"/>
          <w:tab w:val="left" w:pos="1260"/>
        </w:tabs>
        <w:adjustRightInd w:val="0"/>
        <w:snapToGrid w:val="0"/>
        <w:spacing w:before="156" w:beforeLines="50" w:after="156" w:afterLines="50" w:line="360" w:lineRule="auto"/>
        <w:ind w:firstLine="562" w:firstLineChars="200"/>
        <w:jc w:val="both"/>
        <w:outlineLvl w:val="2"/>
        <w:rPr>
          <w:rFonts w:ascii="Times New Roman" w:hAnsi="Times New Roman" w:eastAsia="黑体" w:cs="Times New Roman"/>
          <w:b/>
          <w:sz w:val="28"/>
          <w:szCs w:val="32"/>
          <w:highlight w:val="none"/>
          <w14:ligatures w14:val="none"/>
        </w:rPr>
      </w:pPr>
      <w:r>
        <w:rPr>
          <w:rFonts w:hint="eastAsia" w:ascii="Times New Roman" w:hAnsi="Times New Roman" w:eastAsia="黑体" w:cs="Times New Roman"/>
          <w:b/>
          <w:sz w:val="28"/>
          <w:szCs w:val="32"/>
          <w:highlight w:val="none"/>
          <w14:ligatures w14:val="none"/>
        </w:rPr>
        <w:t>2.1.6机构设置及人员培训情况</w:t>
      </w:r>
    </w:p>
    <w:p w14:paraId="1578CF19">
      <w:pPr>
        <w:adjustRightInd w:val="0"/>
        <w:snapToGrid w:val="0"/>
        <w:spacing w:after="0" w:line="360" w:lineRule="auto"/>
        <w:ind w:firstLine="560" w:firstLineChars="200"/>
        <w:jc w:val="both"/>
        <w:rPr>
          <w:rFonts w:hint="default" w:ascii="宋体" w:hAnsi="宋体" w:eastAsia="宋体" w:cs="Times New Roman"/>
          <w:sz w:val="28"/>
          <w:szCs w:val="28"/>
          <w:highlight w:val="none"/>
          <w:lang w:val="en-US" w:eastAsia="zh-CN"/>
          <w14:ligatures w14:val="none"/>
        </w:rPr>
      </w:pPr>
      <w:r>
        <w:rPr>
          <w:rFonts w:hint="eastAsia" w:ascii="宋体" w:hAnsi="宋体" w:eastAsia="宋体" w:cs="Times New Roman"/>
          <w:sz w:val="28"/>
          <w:szCs w:val="28"/>
          <w:highlight w:val="none"/>
          <w:lang w:eastAsia="zh-CN"/>
          <w14:ligatures w14:val="none"/>
        </w:rPr>
        <w:t>沈阳新春城气体有限公司</w:t>
      </w:r>
      <w:r>
        <w:rPr>
          <w:rFonts w:hint="eastAsia" w:ascii="宋体" w:hAnsi="宋体" w:eastAsia="宋体" w:cs="Times New Roman"/>
          <w:sz w:val="28"/>
          <w:szCs w:val="28"/>
          <w:highlight w:val="none"/>
          <w14:ligatures w14:val="none"/>
        </w:rPr>
        <w:t>现有职工</w:t>
      </w:r>
      <w:r>
        <w:rPr>
          <w:rFonts w:hint="eastAsia" w:ascii="宋体" w:hAnsi="宋体" w:eastAsia="宋体" w:cs="Times New Roman"/>
          <w:sz w:val="28"/>
          <w:szCs w:val="28"/>
          <w:highlight w:val="none"/>
          <w:lang w:val="en-US" w:eastAsia="zh-CN"/>
          <w14:ligatures w14:val="none"/>
        </w:rPr>
        <w:t>28</w:t>
      </w:r>
      <w:r>
        <w:rPr>
          <w:rFonts w:hint="eastAsia" w:ascii="宋体" w:hAnsi="宋体" w:eastAsia="宋体" w:cs="Times New Roman"/>
          <w:sz w:val="28"/>
          <w:szCs w:val="28"/>
          <w:highlight w:val="none"/>
          <w14:ligatures w14:val="none"/>
        </w:rPr>
        <w:t>人，</w:t>
      </w:r>
      <w:r>
        <w:rPr>
          <w:rFonts w:hint="eastAsia" w:ascii="宋体" w:hAnsi="宋体" w:eastAsia="宋体" w:cs="Times New Roman"/>
          <w:sz w:val="28"/>
          <w:szCs w:val="28"/>
          <w:highlight w:val="none"/>
          <w:lang w:val="en-US" w:eastAsia="zh-CN"/>
          <w14:ligatures w14:val="none"/>
        </w:rPr>
        <w:t>设置1名主要负责人，</w:t>
      </w:r>
      <w:r>
        <w:rPr>
          <w:rFonts w:hint="eastAsia" w:ascii="宋体" w:hAnsi="宋体" w:eastAsia="宋体" w:cs="Times New Roman"/>
          <w:sz w:val="28"/>
          <w:szCs w:val="28"/>
          <w:highlight w:val="none"/>
          <w14:ligatures w14:val="none"/>
        </w:rPr>
        <w:t>1名专职安全管理人员，企业管理人员、岗位操作人员执行常白班工作制，全年工作300天。企业</w:t>
      </w:r>
      <w:r>
        <w:rPr>
          <w:rFonts w:hint="eastAsia" w:ascii="宋体" w:hAnsi="宋体" w:eastAsia="宋体" w:cs="Times New Roman"/>
          <w:sz w:val="28"/>
          <w:szCs w:val="28"/>
          <w:highlight w:val="none"/>
          <w:lang w:val="en-US" w:eastAsia="zh-CN"/>
          <w14:ligatures w14:val="none"/>
        </w:rPr>
        <w:t>主要</w:t>
      </w:r>
      <w:r>
        <w:rPr>
          <w:rFonts w:hint="eastAsia" w:ascii="宋体" w:hAnsi="宋体" w:eastAsia="宋体" w:cs="Times New Roman"/>
          <w:sz w:val="28"/>
          <w:szCs w:val="28"/>
          <w:highlight w:val="none"/>
          <w14:ligatures w14:val="none"/>
        </w:rPr>
        <w:t>负责人</w:t>
      </w:r>
      <w:r>
        <w:rPr>
          <w:rFonts w:hint="eastAsia" w:ascii="宋体" w:hAnsi="宋体" w:eastAsia="宋体" w:cs="Times New Roman"/>
          <w:sz w:val="28"/>
          <w:szCs w:val="28"/>
          <w:highlight w:val="none"/>
          <w:lang w:val="en-US" w:eastAsia="zh-CN"/>
          <w14:ligatures w14:val="none"/>
        </w:rPr>
        <w:t>已取得中级注册安全工程师证书，安全管理人员</w:t>
      </w:r>
      <w:r>
        <w:rPr>
          <w:rFonts w:hint="eastAsia" w:ascii="宋体" w:hAnsi="宋体" w:eastAsia="宋体" w:cs="Times New Roman"/>
          <w:sz w:val="28"/>
          <w:szCs w:val="28"/>
          <w:highlight w:val="none"/>
          <w14:ligatures w14:val="none"/>
        </w:rPr>
        <w:t>经沈阳市应急管理局培训考核合格，并取得安全资格证书；企业特种设备作业人员均已经相关培训考核后合格，取得特种设备作业资格证书。</w:t>
      </w:r>
      <w:r>
        <w:rPr>
          <w:rFonts w:hint="eastAsia" w:ascii="宋体" w:hAnsi="宋体" w:eastAsia="宋体" w:cs="Times New Roman"/>
          <w:sz w:val="28"/>
          <w:szCs w:val="28"/>
          <w:highlight w:val="none"/>
          <w:lang w:val="en-US" w:eastAsia="zh-CN"/>
          <w14:ligatures w14:val="none"/>
        </w:rPr>
        <w:t>具体详见附件。</w:t>
      </w:r>
    </w:p>
    <w:p w14:paraId="0011E35B">
      <w:pPr>
        <w:adjustRightInd w:val="0"/>
        <w:snapToGrid w:val="0"/>
        <w:spacing w:before="312" w:beforeLines="100" w:after="312" w:afterLines="100" w:line="360" w:lineRule="auto"/>
        <w:jc w:val="center"/>
        <w:outlineLvl w:val="1"/>
        <w:rPr>
          <w:rFonts w:ascii="Times New Roman" w:hAnsi="Times New Roman" w:eastAsia="楷体" w:cs="黑体"/>
          <w:b/>
          <w:sz w:val="32"/>
          <w:szCs w:val="32"/>
          <w:highlight w:val="none"/>
          <w14:ligatures w14:val="none"/>
        </w:rPr>
      </w:pPr>
      <w:bookmarkStart w:id="96" w:name="_Toc28967"/>
      <w:r>
        <w:rPr>
          <w:rFonts w:hint="eastAsia" w:ascii="Times New Roman" w:hAnsi="Times New Roman" w:eastAsia="楷体" w:cs="黑体"/>
          <w:b/>
          <w:sz w:val="32"/>
          <w:szCs w:val="32"/>
          <w:highlight w:val="none"/>
          <w14:ligatures w14:val="none"/>
        </w:rPr>
        <w:t>2.2工艺装置、设备、设施等基本情况</w:t>
      </w:r>
      <w:bookmarkEnd w:id="96"/>
    </w:p>
    <w:p w14:paraId="5C50E7D0">
      <w:pPr>
        <w:tabs>
          <w:tab w:val="left" w:pos="840"/>
          <w:tab w:val="left" w:pos="1260"/>
        </w:tabs>
        <w:adjustRightInd w:val="0"/>
        <w:snapToGrid w:val="0"/>
        <w:spacing w:before="156" w:beforeLines="50" w:after="156" w:afterLines="50" w:line="360" w:lineRule="auto"/>
        <w:ind w:firstLine="562" w:firstLineChars="200"/>
        <w:jc w:val="both"/>
        <w:outlineLvl w:val="2"/>
        <w:rPr>
          <w:rFonts w:ascii="Times New Roman" w:hAnsi="Times New Roman" w:eastAsia="黑体" w:cs="Times New Roman"/>
          <w:b/>
          <w:sz w:val="28"/>
          <w:szCs w:val="32"/>
          <w:highlight w:val="none"/>
          <w14:ligatures w14:val="none"/>
        </w:rPr>
      </w:pPr>
      <w:r>
        <w:rPr>
          <w:rFonts w:hint="eastAsia" w:ascii="Times New Roman" w:hAnsi="Times New Roman" w:eastAsia="黑体" w:cs="Times New Roman"/>
          <w:b/>
          <w:sz w:val="28"/>
          <w:szCs w:val="32"/>
          <w:highlight w:val="none"/>
          <w14:ligatures w14:val="none"/>
        </w:rPr>
        <w:t>2.2.1工艺流程</w:t>
      </w:r>
    </w:p>
    <w:p w14:paraId="660843B1">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t>（</w:t>
      </w:r>
      <w:r>
        <w:rPr>
          <w:rFonts w:hint="eastAsia" w:ascii="Times New Roman" w:hAnsi="Times New Roman" w:eastAsia="宋体" w:cs="Times New Roman"/>
          <w:sz w:val="28"/>
          <w:szCs w:val="28"/>
          <w:highlight w:val="none"/>
          <w14:ligatures w14:val="none"/>
        </w:rPr>
        <w:t>1</w:t>
      </w:r>
      <w:r>
        <w:rPr>
          <w:rFonts w:ascii="Times New Roman" w:hAnsi="Times New Roman" w:eastAsia="宋体" w:cs="Times New Roman"/>
          <w:sz w:val="28"/>
          <w:szCs w:val="28"/>
          <w:highlight w:val="none"/>
          <w14:ligatures w14:val="none"/>
        </w:rPr>
        <w:t>）</w:t>
      </w:r>
      <w:r>
        <w:rPr>
          <w:rFonts w:hint="eastAsia" w:ascii="Times New Roman" w:hAnsi="Times New Roman" w:eastAsia="宋体" w:cs="Times New Roman"/>
          <w:sz w:val="28"/>
          <w:szCs w:val="28"/>
          <w:highlight w:val="none"/>
          <w14:ligatures w14:val="none"/>
        </w:rPr>
        <w:t>氧</w:t>
      </w:r>
      <w:r>
        <w:rPr>
          <w:rFonts w:ascii="Times New Roman" w:hAnsi="Times New Roman" w:eastAsia="宋体" w:cs="Times New Roman"/>
          <w:sz w:val="28"/>
          <w:szCs w:val="28"/>
          <w:highlight w:val="none"/>
          <w14:ligatures w14:val="none"/>
        </w:rPr>
        <w:t>充装工艺流程</w:t>
      </w:r>
    </w:p>
    <w:p w14:paraId="68F49A00">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宋体" w:hAnsi="宋体" w:eastAsia="宋体" w:cs="Times New Roman"/>
          <w:sz w:val="28"/>
          <w:szCs w:val="28"/>
          <w:highlight w:val="none"/>
          <w14:ligatures w14:val="none"/>
        </w:rPr>
        <w:t>①</w:t>
      </w:r>
      <w:r>
        <w:rPr>
          <w:rFonts w:hint="eastAsia" w:ascii="Times New Roman" w:hAnsi="Times New Roman" w:eastAsia="宋体" w:cs="Times New Roman"/>
          <w:sz w:val="28"/>
          <w:szCs w:val="28"/>
          <w:highlight w:val="none"/>
          <w14:ligatures w14:val="none"/>
        </w:rPr>
        <w:t>卸车</w:t>
      </w:r>
      <w:r>
        <w:rPr>
          <w:rFonts w:hint="eastAsia" w:ascii="Times New Roman" w:hAnsi="Times New Roman" w:eastAsia="宋体" w:cs="Times New Roman"/>
          <w:sz w:val="28"/>
          <w:szCs w:val="28"/>
          <w:highlight w:val="none"/>
          <w:lang w:val="en-US" w:eastAsia="zh-CN"/>
          <w14:ligatures w14:val="none"/>
        </w:rPr>
        <w:t>工艺流程</w:t>
      </w:r>
      <w:r>
        <w:rPr>
          <w:rFonts w:hint="eastAsia" w:ascii="Times New Roman" w:hAnsi="Times New Roman" w:eastAsia="宋体" w:cs="Times New Roman"/>
          <w:sz w:val="28"/>
          <w:szCs w:val="28"/>
          <w:highlight w:val="none"/>
          <w14:ligatures w14:val="none"/>
        </w:rPr>
        <w:t>：外购的液氧用低温汽车槽车运至充装站，</w:t>
      </w:r>
      <w:r>
        <w:rPr>
          <w:rFonts w:hint="eastAsia" w:ascii="Times New Roman" w:hAnsi="Times New Roman" w:eastAsia="宋体" w:cs="Times New Roman"/>
          <w:sz w:val="28"/>
          <w:szCs w:val="28"/>
          <w:highlight w:val="none"/>
          <w:lang w:val="en-US" w:eastAsia="zh-CN"/>
          <w14:ligatures w14:val="none"/>
        </w:rPr>
        <w:t>厂内液氧接卸场地地面为水泥路面，</w:t>
      </w:r>
      <w:r>
        <w:rPr>
          <w:rFonts w:hint="eastAsia" w:ascii="Times New Roman" w:hAnsi="Times New Roman" w:eastAsia="宋体" w:cs="Times New Roman"/>
          <w:sz w:val="28"/>
          <w:szCs w:val="28"/>
          <w:highlight w:val="none"/>
          <w14:ligatures w14:val="none"/>
        </w:rPr>
        <w:t>将槽车静电接地线与装卸台静电接地装置可靠连接</w:t>
      </w:r>
      <w:r>
        <w:rPr>
          <w:rFonts w:hint="eastAsia" w:ascii="Times New Roman" w:hAnsi="Times New Roman" w:eastAsia="宋体" w:cs="Times New Roman"/>
          <w:sz w:val="28"/>
          <w:szCs w:val="28"/>
          <w:highlight w:val="none"/>
          <w:lang w:eastAsia="zh-CN"/>
          <w14:ligatures w14:val="none"/>
        </w:rPr>
        <w:t>，</w:t>
      </w:r>
      <w:r>
        <w:rPr>
          <w:rFonts w:hint="eastAsia" w:ascii="Times New Roman" w:hAnsi="Times New Roman" w:eastAsia="宋体" w:cs="Times New Roman"/>
          <w:sz w:val="28"/>
          <w:szCs w:val="28"/>
          <w:highlight w:val="none"/>
          <w14:ligatures w14:val="none"/>
        </w:rPr>
        <w:t>通过金属软管两端的快速接头，连接槽车和相应的低温液体储罐，打开槽车出口阀门和储罐进口阀门，启动槽车泵，即可将槽车内的低温液体卸到相应的低温液体储罐中（P≤0.8MPa、T≤-183℃）。储罐液位到达储罐容器的95%，联锁切断卸车进液阀门，不再给储罐充液。储罐压力到达储罐工作压力90%发出报警。</w:t>
      </w:r>
    </w:p>
    <w:p w14:paraId="6A5B7688">
      <w:pPr>
        <w:tabs>
          <w:tab w:val="left" w:pos="840"/>
          <w:tab w:val="left" w:pos="1260"/>
        </w:tabs>
        <w:adjustRightInd w:val="0"/>
        <w:snapToGrid w:val="0"/>
        <w:spacing w:before="156" w:beforeLines="50" w:after="156" w:afterLines="50" w:line="360" w:lineRule="auto"/>
        <w:ind w:firstLine="562" w:firstLineChars="200"/>
        <w:jc w:val="both"/>
        <w:outlineLvl w:val="2"/>
        <w:rPr>
          <w:rFonts w:ascii="Times New Roman" w:hAnsi="Times New Roman" w:eastAsia="黑体" w:cs="Times New Roman"/>
          <w:b/>
          <w:sz w:val="28"/>
          <w:szCs w:val="32"/>
          <w:highlight w:val="none"/>
          <w14:ligatures w14:val="none"/>
        </w:rPr>
      </w:pPr>
      <w:r>
        <w:rPr>
          <w:rFonts w:ascii="Times New Roman" w:hAnsi="Times New Roman" w:eastAsia="黑体" w:cs="Times New Roman"/>
          <w:b/>
          <w:sz w:val="28"/>
          <w:szCs w:val="32"/>
          <w:highlight w:val="none"/>
          <w14:ligatures w14:val="none"/>
        </w:rPr>
        <w:t>2.2.2</w:t>
      </w:r>
      <w:r>
        <w:rPr>
          <w:rFonts w:hint="eastAsia" w:ascii="Times New Roman" w:hAnsi="Times New Roman" w:eastAsia="黑体" w:cs="Times New Roman"/>
          <w:b/>
          <w:sz w:val="28"/>
          <w:szCs w:val="32"/>
          <w:highlight w:val="none"/>
          <w14:ligatures w14:val="none"/>
        </w:rPr>
        <w:t>主要设备</w:t>
      </w:r>
    </w:p>
    <w:p w14:paraId="51DF3232">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该厂气体充装经营过程中所涉及的</w:t>
      </w:r>
      <w:r>
        <w:rPr>
          <w:rFonts w:ascii="Times New Roman" w:hAnsi="Times New Roman" w:eastAsia="宋体" w:cs="Times New Roman"/>
          <w:sz w:val="28"/>
          <w:szCs w:val="28"/>
          <w:highlight w:val="none"/>
          <w14:ligatures w14:val="none"/>
        </w:rPr>
        <w:t>主要生产设备</w:t>
      </w:r>
      <w:r>
        <w:rPr>
          <w:rFonts w:hint="eastAsia" w:ascii="Times New Roman" w:hAnsi="Times New Roman" w:eastAsia="宋体" w:cs="Times New Roman"/>
          <w:sz w:val="28"/>
          <w:szCs w:val="28"/>
          <w:highlight w:val="none"/>
          <w14:ligatures w14:val="none"/>
        </w:rPr>
        <w:t>、设施</w:t>
      </w:r>
      <w:r>
        <w:rPr>
          <w:rFonts w:ascii="Times New Roman" w:hAnsi="Times New Roman" w:eastAsia="宋体" w:cs="Times New Roman"/>
          <w:sz w:val="28"/>
          <w:szCs w:val="28"/>
          <w:highlight w:val="none"/>
          <w14:ligatures w14:val="none"/>
        </w:rPr>
        <w:t>明细见表</w:t>
      </w:r>
      <w:r>
        <w:rPr>
          <w:rFonts w:hint="eastAsia" w:ascii="Times New Roman" w:hAnsi="Times New Roman" w:eastAsia="宋体" w:cs="Times New Roman"/>
          <w:sz w:val="28"/>
          <w:szCs w:val="28"/>
          <w:highlight w:val="none"/>
          <w14:ligatures w14:val="none"/>
        </w:rPr>
        <w:t>2.2</w:t>
      </w:r>
      <w:r>
        <w:rPr>
          <w:rFonts w:ascii="Times New Roman" w:hAnsi="Times New Roman" w:eastAsia="宋体" w:cs="Times New Roman"/>
          <w:sz w:val="28"/>
          <w:szCs w:val="28"/>
          <w:highlight w:val="none"/>
          <w14:ligatures w14:val="none"/>
        </w:rPr>
        <w:t>-</w:t>
      </w:r>
      <w:r>
        <w:rPr>
          <w:rFonts w:hint="eastAsia" w:ascii="Times New Roman" w:hAnsi="Times New Roman" w:eastAsia="宋体" w:cs="Times New Roman"/>
          <w:sz w:val="28"/>
          <w:szCs w:val="28"/>
          <w:highlight w:val="none"/>
          <w14:ligatures w14:val="none"/>
        </w:rPr>
        <w:t>1，特种设备明细见表2.2-2。</w:t>
      </w:r>
    </w:p>
    <w:p w14:paraId="7A958C7D">
      <w:pPr>
        <w:keepNext/>
        <w:adjustRightInd w:val="0"/>
        <w:snapToGrid w:val="0"/>
        <w:spacing w:before="156" w:beforeLines="50" w:after="156" w:afterLines="50" w:line="240" w:lineRule="auto"/>
        <w:jc w:val="center"/>
        <w:rPr>
          <w:rFonts w:ascii="Times New Roman" w:hAnsi="Times New Roman" w:eastAsia="黑体" w:cs="Times New Roman"/>
          <w:sz w:val="24"/>
          <w:highlight w:val="none"/>
          <w14:ligatures w14:val="none"/>
        </w:rPr>
      </w:pPr>
      <w:r>
        <w:rPr>
          <w:rFonts w:ascii="Times New Roman" w:hAnsi="Times New Roman" w:eastAsia="黑体" w:cs="Times New Roman"/>
          <w:sz w:val="24"/>
          <w:highlight w:val="none"/>
          <w14:ligatures w14:val="none"/>
        </w:rPr>
        <w:t>表</w:t>
      </w:r>
      <w:r>
        <w:rPr>
          <w:rFonts w:hint="eastAsia" w:ascii="Times New Roman" w:hAnsi="Times New Roman" w:eastAsia="黑体" w:cs="Times New Roman"/>
          <w:sz w:val="24"/>
          <w:highlight w:val="none"/>
          <w14:ligatures w14:val="none"/>
        </w:rPr>
        <w:t xml:space="preserve">2.2-1 </w:t>
      </w:r>
      <w:r>
        <w:rPr>
          <w:rFonts w:ascii="Times New Roman" w:hAnsi="Times New Roman" w:eastAsia="黑体" w:cs="Times New Roman"/>
          <w:sz w:val="24"/>
          <w:highlight w:val="none"/>
          <w14:ligatures w14:val="none"/>
        </w:rPr>
        <w:t xml:space="preserve"> 主要生产设备</w:t>
      </w:r>
      <w:r>
        <w:rPr>
          <w:rFonts w:hint="eastAsia" w:ascii="Times New Roman" w:hAnsi="Times New Roman" w:eastAsia="黑体" w:cs="Times New Roman"/>
          <w:sz w:val="24"/>
          <w:highlight w:val="none"/>
          <w14:ligatures w14:val="none"/>
        </w:rPr>
        <w:t>、设施一览表</w:t>
      </w:r>
    </w:p>
    <w:p w14:paraId="76AD118C">
      <w:pPr>
        <w:keepNext/>
        <w:tabs>
          <w:tab w:val="left" w:pos="840"/>
          <w:tab w:val="left" w:pos="1260"/>
        </w:tabs>
        <w:adjustRightInd w:val="0"/>
        <w:snapToGrid w:val="0"/>
        <w:spacing w:before="156" w:beforeLines="50" w:after="156" w:afterLines="50" w:line="360" w:lineRule="auto"/>
        <w:ind w:firstLine="562" w:firstLineChars="200"/>
        <w:jc w:val="both"/>
        <w:outlineLvl w:val="2"/>
        <w:rPr>
          <w:rFonts w:ascii="Times New Roman" w:hAnsi="Times New Roman" w:eastAsia="黑体" w:cs="Times New Roman"/>
          <w:b/>
          <w:sz w:val="28"/>
          <w:szCs w:val="32"/>
          <w:highlight w:val="none"/>
          <w14:ligatures w14:val="none"/>
        </w:rPr>
      </w:pPr>
      <w:r>
        <w:rPr>
          <w:rFonts w:hint="eastAsia" w:ascii="Times New Roman" w:hAnsi="Times New Roman" w:eastAsia="黑体" w:cs="Times New Roman"/>
          <w:b/>
          <w:sz w:val="28"/>
          <w:szCs w:val="32"/>
          <w:highlight w:val="none"/>
          <w14:ligatures w14:val="none"/>
        </w:rPr>
        <w:t>2.2.</w:t>
      </w:r>
      <w:r>
        <w:rPr>
          <w:rFonts w:hint="eastAsia" w:ascii="Times New Roman" w:hAnsi="Times New Roman" w:eastAsia="黑体" w:cs="Times New Roman"/>
          <w:b/>
          <w:sz w:val="28"/>
          <w:szCs w:val="32"/>
          <w:highlight w:val="none"/>
          <w:lang w:val="en-US" w:eastAsia="zh-CN"/>
          <w14:ligatures w14:val="none"/>
        </w:rPr>
        <w:t>5</w:t>
      </w:r>
      <w:r>
        <w:rPr>
          <w:rFonts w:hint="eastAsia" w:ascii="Times New Roman" w:hAnsi="Times New Roman" w:eastAsia="黑体" w:cs="Times New Roman"/>
          <w:b/>
          <w:sz w:val="28"/>
          <w:szCs w:val="32"/>
          <w:highlight w:val="none"/>
          <w14:ligatures w14:val="none"/>
        </w:rPr>
        <w:t>公用工程</w:t>
      </w:r>
    </w:p>
    <w:p w14:paraId="68870ECF">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（1）给排水</w:t>
      </w:r>
    </w:p>
    <w:p w14:paraId="70620161">
      <w:pPr>
        <w:adjustRightInd w:val="0"/>
        <w:snapToGrid w:val="0"/>
        <w:spacing w:after="0" w:line="360" w:lineRule="auto"/>
        <w:ind w:firstLine="560" w:firstLineChars="200"/>
        <w:jc w:val="both"/>
        <w:rPr>
          <w:rFonts w:hint="eastAsia"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给水：</w:t>
      </w:r>
      <w:r>
        <w:rPr>
          <w:rFonts w:hint="eastAsia" w:ascii="Times New Roman" w:hAnsi="Times New Roman" w:eastAsia="宋体" w:cs="Times New Roman"/>
          <w:sz w:val="28"/>
          <w:szCs w:val="28"/>
          <w:highlight w:val="none"/>
          <w:lang w:val="en-US" w:eastAsia="zh-CN"/>
          <w14:ligatures w14:val="none"/>
        </w:rPr>
        <w:t>本项目</w:t>
      </w:r>
      <w:r>
        <w:rPr>
          <w:rFonts w:hint="eastAsia" w:ascii="Times New Roman" w:hAnsi="Times New Roman" w:eastAsia="宋体" w:cs="Times New Roman"/>
          <w:sz w:val="28"/>
          <w:szCs w:val="28"/>
          <w:highlight w:val="none"/>
          <w14:ligatures w14:val="none"/>
        </w:rPr>
        <w:t>水源主要取自</w:t>
      </w:r>
      <w:r>
        <w:rPr>
          <w:rFonts w:hint="eastAsia" w:ascii="Times New Roman" w:hAnsi="Times New Roman" w:eastAsia="宋体" w:cs="Times New Roman"/>
          <w:sz w:val="28"/>
          <w:szCs w:val="28"/>
          <w:highlight w:val="none"/>
          <w:lang w:val="en-US" w:eastAsia="zh-CN"/>
          <w14:ligatures w14:val="none"/>
        </w:rPr>
        <w:t>自建水井</w:t>
      </w:r>
      <w:r>
        <w:rPr>
          <w:rFonts w:hint="eastAsia" w:ascii="Times New Roman" w:hAnsi="Times New Roman" w:eastAsia="宋体" w:cs="Times New Roman"/>
          <w:sz w:val="28"/>
          <w:szCs w:val="28"/>
          <w:highlight w:val="none"/>
          <w14:ligatures w14:val="none"/>
        </w:rPr>
        <w:t>，</w:t>
      </w:r>
      <w:r>
        <w:rPr>
          <w:rFonts w:hint="eastAsia" w:ascii="Times New Roman" w:hAnsi="Times New Roman" w:eastAsia="宋体" w:cs="Times New Roman"/>
          <w:sz w:val="28"/>
          <w:szCs w:val="28"/>
          <w:highlight w:val="none"/>
          <w:lang w:val="en-US" w:eastAsia="zh-CN"/>
          <w14:ligatures w14:val="none"/>
        </w:rPr>
        <w:t>设有深水泵，</w:t>
      </w:r>
      <w:r>
        <w:rPr>
          <w:rFonts w:hint="eastAsia" w:ascii="Times New Roman" w:hAnsi="Times New Roman" w:eastAsia="宋体" w:cs="Times New Roman"/>
          <w:sz w:val="28"/>
          <w:szCs w:val="28"/>
          <w:highlight w:val="none"/>
          <w14:ligatures w14:val="none"/>
        </w:rPr>
        <w:t>供水量为30</w:t>
      </w:r>
      <w:r>
        <w:rPr>
          <w:rFonts w:hint="eastAsia" w:ascii="Times New Roman" w:hAnsi="Times New Roman" w:eastAsia="宋体" w:cs="Times New Roman"/>
          <w:sz w:val="28"/>
          <w:szCs w:val="28"/>
          <w:highlight w:val="none"/>
          <w:lang w:val="en-US" w:eastAsia="zh-CN"/>
          <w14:ligatures w14:val="none"/>
        </w:rPr>
        <w:t>m³</w:t>
      </w:r>
      <w:r>
        <w:rPr>
          <w:rFonts w:hint="eastAsia" w:ascii="Times New Roman" w:hAnsi="Times New Roman" w:eastAsia="宋体" w:cs="Times New Roman"/>
          <w:sz w:val="28"/>
          <w:szCs w:val="28"/>
          <w:highlight w:val="none"/>
          <w14:ligatures w14:val="none"/>
        </w:rPr>
        <w:t>/h；供水管径DN100，</w:t>
      </w:r>
      <w:r>
        <w:rPr>
          <w:rFonts w:hint="eastAsia" w:ascii="Times New Roman" w:hAnsi="Times New Roman" w:eastAsia="宋体" w:cs="Times New Roman"/>
          <w:sz w:val="28"/>
          <w:szCs w:val="28"/>
          <w:highlight w:val="none"/>
          <w:lang w:val="en-US" w:eastAsia="zh-CN"/>
          <w14:ligatures w14:val="none"/>
        </w:rPr>
        <w:t>该</w:t>
      </w:r>
      <w:r>
        <w:rPr>
          <w:rFonts w:hint="eastAsia" w:ascii="Times New Roman" w:hAnsi="Times New Roman" w:eastAsia="宋体" w:cs="Times New Roman"/>
          <w:sz w:val="28"/>
          <w:szCs w:val="28"/>
          <w:highlight w:val="none"/>
          <w14:ligatures w14:val="none"/>
        </w:rPr>
        <w:t>企业给水系统主要包括生产用水</w:t>
      </w:r>
      <w:r>
        <w:rPr>
          <w:rFonts w:hint="eastAsia" w:ascii="Times New Roman" w:hAnsi="Times New Roman" w:eastAsia="宋体" w:cs="Times New Roman"/>
          <w:sz w:val="28"/>
          <w:szCs w:val="28"/>
          <w:highlight w:val="none"/>
          <w:lang w:eastAsia="zh-CN"/>
          <w14:ligatures w14:val="none"/>
        </w:rPr>
        <w:t>、</w:t>
      </w:r>
      <w:r>
        <w:rPr>
          <w:rFonts w:hint="eastAsia" w:ascii="Times New Roman" w:hAnsi="Times New Roman" w:eastAsia="宋体" w:cs="Times New Roman"/>
          <w:sz w:val="28"/>
          <w:szCs w:val="28"/>
          <w:highlight w:val="none"/>
          <w:lang w:val="en-US" w:eastAsia="zh-CN"/>
          <w14:ligatures w14:val="none"/>
        </w:rPr>
        <w:t>生活用水和消防用水。本项目不涉及生产用水</w:t>
      </w:r>
      <w:r>
        <w:rPr>
          <w:rFonts w:hint="eastAsia" w:ascii="Times New Roman" w:hAnsi="Times New Roman" w:eastAsia="宋体" w:cs="Times New Roman"/>
          <w:sz w:val="28"/>
          <w:szCs w:val="28"/>
          <w:highlight w:val="none"/>
          <w:lang w:eastAsia="zh-CN"/>
          <w14:ligatures w14:val="none"/>
        </w:rPr>
        <w:t>，</w:t>
      </w:r>
      <w:r>
        <w:rPr>
          <w:rFonts w:hint="eastAsia" w:ascii="Times New Roman" w:hAnsi="Times New Roman" w:eastAsia="宋体" w:cs="Times New Roman"/>
          <w:sz w:val="28"/>
          <w:szCs w:val="28"/>
          <w:highlight w:val="none"/>
          <w14:ligatures w14:val="none"/>
        </w:rPr>
        <w:t>生活用水主要为厂内人员生活用水，用水量约8</w:t>
      </w:r>
      <w:r>
        <w:rPr>
          <w:rFonts w:hint="eastAsia" w:ascii="Times New Roman" w:hAnsi="Times New Roman" w:eastAsia="宋体" w:cs="Times New Roman"/>
          <w:sz w:val="28"/>
          <w:szCs w:val="28"/>
          <w:highlight w:val="none"/>
          <w:lang w:val="en-US" w:eastAsia="zh-CN"/>
          <w14:ligatures w14:val="none"/>
        </w:rPr>
        <w:t>m³</w:t>
      </w:r>
      <w:r>
        <w:rPr>
          <w:rFonts w:hint="eastAsia" w:ascii="Times New Roman" w:hAnsi="Times New Roman" w:eastAsia="宋体" w:cs="Times New Roman"/>
          <w:sz w:val="28"/>
          <w:szCs w:val="28"/>
          <w:highlight w:val="none"/>
          <w14:ligatures w14:val="none"/>
        </w:rPr>
        <w:t>/h，</w:t>
      </w:r>
      <w:r>
        <w:rPr>
          <w:rFonts w:hint="eastAsia" w:ascii="Times New Roman" w:hAnsi="Times New Roman" w:eastAsia="宋体" w:cs="Times New Roman"/>
          <w:sz w:val="28"/>
          <w:szCs w:val="28"/>
          <w:highlight w:val="none"/>
          <w:lang w:val="en-US" w:eastAsia="zh-CN"/>
          <w14:ligatures w14:val="none"/>
        </w:rPr>
        <w:t>消防用水主要用于一座220m³的消防水池。本项目自建水井</w:t>
      </w:r>
      <w:r>
        <w:rPr>
          <w:rFonts w:hint="eastAsia" w:ascii="Times New Roman" w:hAnsi="Times New Roman" w:eastAsia="宋体" w:cs="Times New Roman"/>
          <w:sz w:val="28"/>
          <w:szCs w:val="28"/>
          <w:highlight w:val="none"/>
          <w14:ligatures w14:val="none"/>
        </w:rPr>
        <w:t>能够满足该企业日常生产和生活需求。</w:t>
      </w:r>
    </w:p>
    <w:p w14:paraId="20500B38">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排水：</w:t>
      </w:r>
      <w:r>
        <w:rPr>
          <w:rFonts w:hint="eastAsia" w:ascii="Times New Roman" w:hAnsi="Times New Roman" w:eastAsia="宋体" w:cs="Times New Roman"/>
          <w:sz w:val="28"/>
          <w:szCs w:val="28"/>
          <w:highlight w:val="none"/>
          <w:lang w:val="en-US" w:eastAsia="zh-CN"/>
          <w14:ligatures w14:val="none"/>
        </w:rPr>
        <w:t>本项目生产过程中无工艺废水排放，</w:t>
      </w:r>
      <w:r>
        <w:rPr>
          <w:rFonts w:hint="eastAsia" w:ascii="Times New Roman" w:hAnsi="Times New Roman" w:eastAsia="宋体" w:cs="Times New Roman"/>
          <w:sz w:val="28"/>
          <w:szCs w:val="28"/>
          <w:highlight w:val="none"/>
          <w14:ligatures w14:val="none"/>
        </w:rPr>
        <w:t>生活污水及雨水经厂区敷设的雨水管网和污水管网汇集后排入市政水管网，能够满足该企业排水要求。</w:t>
      </w:r>
    </w:p>
    <w:p w14:paraId="4264C35D">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（2）供配电</w:t>
      </w:r>
    </w:p>
    <w:p w14:paraId="2EA790D1">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供电负荷：</w:t>
      </w:r>
      <w:r>
        <w:rPr>
          <w:rFonts w:hint="eastAsia" w:ascii="Times New Roman" w:hAnsi="Times New Roman" w:eastAsia="宋体" w:cs="Times New Roman"/>
          <w:sz w:val="28"/>
          <w:szCs w:val="28"/>
          <w:highlight w:val="none"/>
          <w:lang w:val="en-US" w:eastAsia="zh-CN"/>
          <w14:ligatures w14:val="none"/>
        </w:rPr>
        <w:t>本项目生产</w:t>
      </w:r>
      <w:r>
        <w:rPr>
          <w:rFonts w:hint="eastAsia" w:ascii="Times New Roman" w:hAnsi="Times New Roman" w:eastAsia="宋体" w:cs="Times New Roman"/>
          <w:sz w:val="28"/>
          <w:szCs w:val="28"/>
          <w:highlight w:val="none"/>
          <w14:ligatures w14:val="none"/>
        </w:rPr>
        <w:t>用电负荷</w:t>
      </w:r>
      <w:r>
        <w:rPr>
          <w:rFonts w:hint="eastAsia" w:ascii="Times New Roman" w:hAnsi="Times New Roman" w:eastAsia="宋体" w:cs="Times New Roman"/>
          <w:sz w:val="28"/>
          <w:szCs w:val="28"/>
          <w:highlight w:val="none"/>
          <w:lang w:val="en-US" w:eastAsia="zh-CN"/>
          <w14:ligatures w14:val="none"/>
        </w:rPr>
        <w:t>等级</w:t>
      </w:r>
      <w:r>
        <w:rPr>
          <w:rFonts w:hint="eastAsia" w:ascii="Times New Roman" w:hAnsi="Times New Roman" w:eastAsia="宋体" w:cs="Times New Roman"/>
          <w:sz w:val="28"/>
          <w:szCs w:val="28"/>
          <w:highlight w:val="none"/>
          <w14:ligatures w14:val="none"/>
        </w:rPr>
        <w:t>为三级。</w:t>
      </w:r>
    </w:p>
    <w:p w14:paraId="4C5E8392">
      <w:pPr>
        <w:adjustRightInd w:val="0"/>
        <w:snapToGrid w:val="0"/>
        <w:spacing w:after="0" w:line="360" w:lineRule="auto"/>
        <w:ind w:firstLine="560" w:firstLineChars="200"/>
        <w:jc w:val="both"/>
        <w:rPr>
          <w:rFonts w:hint="eastAsia"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供电方案：厂区供电电源引自沈阳市沈北新区供电分公司，进户电压为10kV，在厂区设置1台80kVA杆式油浸变压器，经变压380V/220V电源后，由厂内配电室经埋地电缆引至各用电区域。采用放射式配电，消防水泵用电负荷为二级，厂内设置柴油发电机组1台（型号为HD1-75，功率为75 kW）作为备用电源，</w:t>
      </w:r>
      <w:r>
        <w:rPr>
          <w:rFonts w:hint="eastAsia" w:ascii="Times New Roman" w:hAnsi="Times New Roman" w:eastAsia="宋体" w:cs="Times New Roman"/>
          <w:sz w:val="28"/>
          <w:szCs w:val="28"/>
          <w:highlight w:val="none"/>
          <w:lang w:val="en-US" w:eastAsia="zh-CN"/>
          <w14:ligatures w14:val="none"/>
        </w:rPr>
        <w:t>柴油油箱为0.2m³，设置在柴发间内，</w:t>
      </w:r>
      <w:r>
        <w:rPr>
          <w:rFonts w:hint="eastAsia" w:ascii="Times New Roman" w:hAnsi="Times New Roman" w:eastAsia="宋体" w:cs="Times New Roman"/>
          <w:sz w:val="28"/>
          <w:szCs w:val="28"/>
          <w:highlight w:val="none"/>
          <w14:ligatures w14:val="none"/>
        </w:rPr>
        <w:t>可满足消防水泵用电负荷的要求。</w:t>
      </w:r>
    </w:p>
    <w:p w14:paraId="39AD628F">
      <w:pPr>
        <w:adjustRightInd w:val="0"/>
        <w:snapToGrid w:val="0"/>
        <w:spacing w:before="468" w:beforeLines="150" w:after="468" w:afterLines="150" w:line="360" w:lineRule="auto"/>
        <w:jc w:val="center"/>
        <w:outlineLvl w:val="0"/>
        <w:rPr>
          <w:rFonts w:ascii="Times New Roman" w:hAnsi="Times New Roman" w:eastAsia="黑体" w:cs="黑体"/>
          <w:b/>
          <w:kern w:val="44"/>
          <w:sz w:val="32"/>
          <w:szCs w:val="44"/>
          <w:highlight w:val="none"/>
          <w14:ligatures w14:val="none"/>
        </w:rPr>
      </w:pPr>
      <w:bookmarkStart w:id="97" w:name="_Toc27547"/>
      <w:bookmarkStart w:id="98" w:name="_Toc163051348"/>
      <w:r>
        <w:rPr>
          <w:rFonts w:ascii="Times New Roman" w:hAnsi="Times New Roman" w:eastAsia="黑体" w:cs="黑体"/>
          <w:b/>
          <w:kern w:val="44"/>
          <w:sz w:val="32"/>
          <w:szCs w:val="44"/>
          <w:highlight w:val="none"/>
          <w14:ligatures w14:val="none"/>
        </w:rPr>
        <w:t>3危险、有害因素辨识分析</w:t>
      </w:r>
      <w:bookmarkEnd w:id="97"/>
      <w:bookmarkEnd w:id="98"/>
    </w:p>
    <w:p w14:paraId="4BAACEE8">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bookmarkStart w:id="99" w:name="_Toc141324902"/>
      <w:bookmarkStart w:id="100" w:name="_Toc141324799"/>
      <w:bookmarkStart w:id="101" w:name="_Toc141759634"/>
      <w:bookmarkStart w:id="102" w:name="_Toc141260348"/>
      <w:bookmarkStart w:id="103" w:name="_Toc492367650"/>
      <w:bookmarkStart w:id="104" w:name="_Toc527536706"/>
      <w:r>
        <w:rPr>
          <w:rFonts w:ascii="Times New Roman" w:hAnsi="Times New Roman" w:eastAsia="宋体" w:cs="Times New Roman"/>
          <w:sz w:val="28"/>
          <w:szCs w:val="28"/>
          <w:highlight w:val="none"/>
          <w14:ligatures w14:val="none"/>
        </w:rPr>
        <w:t>危险、有害因素分析，是对该企业在生产过程中的物料、工艺、设备及公用设施等方面潜在的危险、有害因素及能量失控时出现的危险、有害因素的性质、类别、条件和可能带来的后果进行分析。</w:t>
      </w:r>
    </w:p>
    <w:p w14:paraId="72D074A4">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t>危险因素的分析目的是对系统中潜在危险进行辨别，提出防止这些隐患转变为事故的安全对策措施。</w:t>
      </w:r>
    </w:p>
    <w:p w14:paraId="4217BA07">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t>有害因素分析的目的则是找出生产活动中对作业人员的健康可能产生危害的因素，提出改善作业条件和作业环境的对策措施。通过贯彻和落实提出的措施，达到控制和减少职业危害，保证职工身体健康和安全。</w:t>
      </w:r>
      <w:bookmarkEnd w:id="99"/>
      <w:bookmarkEnd w:id="100"/>
      <w:bookmarkEnd w:id="101"/>
      <w:bookmarkEnd w:id="102"/>
    </w:p>
    <w:bookmarkEnd w:id="103"/>
    <w:bookmarkEnd w:id="104"/>
    <w:p w14:paraId="23488186">
      <w:pPr>
        <w:adjustRightInd w:val="0"/>
        <w:snapToGrid w:val="0"/>
        <w:spacing w:before="312" w:beforeLines="100" w:after="312" w:afterLines="100" w:line="360" w:lineRule="auto"/>
        <w:jc w:val="center"/>
        <w:outlineLvl w:val="1"/>
        <w:rPr>
          <w:rFonts w:ascii="Times New Roman" w:hAnsi="Times New Roman" w:eastAsia="楷体" w:cs="黑体"/>
          <w:b/>
          <w:sz w:val="32"/>
          <w:szCs w:val="32"/>
          <w:highlight w:val="none"/>
          <w14:ligatures w14:val="none"/>
        </w:rPr>
      </w:pPr>
      <w:bookmarkStart w:id="105" w:name="_Toc163051349"/>
      <w:bookmarkStart w:id="106" w:name="_Toc153188309"/>
      <w:bookmarkStart w:id="107" w:name="_Toc479257160"/>
      <w:bookmarkStart w:id="108" w:name="_Toc16226"/>
      <w:bookmarkStart w:id="109" w:name="_Toc153188276"/>
      <w:bookmarkStart w:id="110" w:name="_Toc153164199"/>
      <w:bookmarkStart w:id="111" w:name="_Toc154481646"/>
      <w:bookmarkStart w:id="112" w:name="_Toc153164283"/>
      <w:bookmarkStart w:id="113" w:name="_Toc153164239"/>
      <w:bookmarkStart w:id="114" w:name="_Toc184353431"/>
      <w:bookmarkStart w:id="115" w:name="_Toc150762520"/>
      <w:bookmarkStart w:id="116" w:name="_Toc148415651"/>
      <w:bookmarkStart w:id="117" w:name="_Toc150744345"/>
      <w:bookmarkStart w:id="118" w:name="_Toc141260349"/>
      <w:bookmarkStart w:id="119" w:name="_Toc151432892"/>
      <w:bookmarkStart w:id="120" w:name="_Toc141759635"/>
      <w:bookmarkStart w:id="121" w:name="_Toc152300719"/>
      <w:bookmarkStart w:id="122" w:name="_Toc141324800"/>
      <w:bookmarkStart w:id="123" w:name="_Toc149036055"/>
      <w:bookmarkStart w:id="124" w:name="_Toc152386213"/>
      <w:bookmarkStart w:id="125" w:name="_Toc152296973"/>
      <w:bookmarkStart w:id="126" w:name="_Toc151433084"/>
      <w:bookmarkStart w:id="127" w:name="_Toc148274187"/>
      <w:bookmarkStart w:id="128" w:name="_Toc148271244"/>
      <w:bookmarkStart w:id="129" w:name="_Toc150762738"/>
      <w:bookmarkStart w:id="130" w:name="_Toc141324903"/>
      <w:bookmarkStart w:id="131" w:name="_Toc152308737"/>
      <w:bookmarkStart w:id="132" w:name="_Toc148271303"/>
      <w:bookmarkStart w:id="133" w:name="_Toc151432833"/>
      <w:r>
        <w:rPr>
          <w:rFonts w:ascii="Times New Roman" w:hAnsi="Times New Roman" w:eastAsia="楷体" w:cs="黑体"/>
          <w:b/>
          <w:sz w:val="32"/>
          <w:szCs w:val="32"/>
          <w:highlight w:val="none"/>
          <w14:ligatures w14:val="none"/>
        </w:rPr>
        <w:t>3.1物质的危险、有害因素分析</w:t>
      </w:r>
      <w:bookmarkEnd w:id="105"/>
      <w:bookmarkEnd w:id="106"/>
      <w:bookmarkEnd w:id="107"/>
      <w:bookmarkEnd w:id="108"/>
      <w:bookmarkEnd w:id="109"/>
      <w:bookmarkEnd w:id="110"/>
      <w:bookmarkEnd w:id="111"/>
      <w:bookmarkEnd w:id="112"/>
      <w:bookmarkEnd w:id="113"/>
      <w:bookmarkEnd w:id="114"/>
    </w:p>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14:paraId="2F9DC97F">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lang w:val="en-US" w:eastAsia="zh-CN"/>
          <w14:ligatures w14:val="none"/>
        </w:rPr>
        <w:t>根据</w:t>
      </w:r>
      <w:r>
        <w:rPr>
          <w:rFonts w:hint="eastAsia" w:ascii="Times New Roman" w:hAnsi="Times New Roman" w:eastAsia="宋体" w:cs="Times New Roman"/>
          <w:sz w:val="28"/>
          <w:szCs w:val="28"/>
          <w:highlight w:val="none"/>
          <w14:ligatures w14:val="none"/>
        </w:rPr>
        <w:t>《危险化学品目录（2026调整）》（应急管理部等十部门公告[2026]年第3号，2026年4月16日施行）进行辨识</w:t>
      </w:r>
      <w:r>
        <w:rPr>
          <w:rFonts w:ascii="Times New Roman" w:hAnsi="Times New Roman" w:eastAsia="宋体" w:cs="Times New Roman"/>
          <w:sz w:val="28"/>
          <w:szCs w:val="28"/>
          <w:highlight w:val="none"/>
          <w14:ligatures w14:val="none"/>
        </w:rPr>
        <w:t>，</w:t>
      </w:r>
      <w:r>
        <w:rPr>
          <w:rFonts w:hint="eastAsia" w:ascii="Times New Roman" w:hAnsi="Times New Roman" w:eastAsia="宋体" w:cs="Times New Roman"/>
          <w:sz w:val="28"/>
          <w:szCs w:val="28"/>
          <w:highlight w:val="none"/>
          <w14:ligatures w14:val="none"/>
        </w:rPr>
        <w:t>企业储存经营的危险化学品有氧[压缩的或液化的]、氩[压缩的或液化的]、氮[压缩的或液化的]、二氧化碳[压缩的或液化的]，票据经营的危险化学品有氢、氦[压缩的或液化的]、丙烷，各种化学品的理化性质和危险性分析如下。</w:t>
      </w:r>
      <w:r>
        <w:rPr>
          <w:rFonts w:ascii="Times New Roman" w:hAnsi="Times New Roman" w:eastAsia="宋体" w:cs="Times New Roman"/>
          <w:sz w:val="28"/>
          <w:szCs w:val="28"/>
          <w:highlight w:val="none"/>
          <w14:ligatures w14:val="none"/>
        </w:rPr>
        <w:br w:type="page"/>
      </w:r>
    </w:p>
    <w:p w14:paraId="1870464E">
      <w:pPr>
        <w:keepNext/>
        <w:adjustRightInd w:val="0"/>
        <w:snapToGrid w:val="0"/>
        <w:spacing w:before="156" w:beforeLines="50" w:after="156" w:afterLines="50" w:line="240" w:lineRule="auto"/>
        <w:jc w:val="center"/>
        <w:rPr>
          <w:rFonts w:ascii="Times New Roman" w:hAnsi="Times New Roman" w:eastAsia="黑体" w:cs="Times New Roman"/>
          <w:sz w:val="24"/>
          <w:highlight w:val="none"/>
          <w14:ligatures w14:val="none"/>
        </w:rPr>
      </w:pPr>
      <w:r>
        <w:rPr>
          <w:rFonts w:ascii="Times New Roman" w:hAnsi="Times New Roman" w:eastAsia="黑体" w:cs="Times New Roman"/>
          <w:sz w:val="24"/>
          <w:highlight w:val="none"/>
          <w14:ligatures w14:val="none"/>
        </w:rPr>
        <w:t>表</w:t>
      </w:r>
      <w:r>
        <w:rPr>
          <w:rFonts w:hint="eastAsia" w:ascii="Times New Roman" w:hAnsi="Times New Roman" w:eastAsia="黑体" w:cs="Times New Roman"/>
          <w:sz w:val="24"/>
          <w:highlight w:val="none"/>
          <w14:ligatures w14:val="none"/>
        </w:rPr>
        <w:t>3.1</w:t>
      </w:r>
      <w:r>
        <w:rPr>
          <w:rFonts w:ascii="Times New Roman" w:hAnsi="Times New Roman" w:eastAsia="黑体" w:cs="Times New Roman"/>
          <w:sz w:val="24"/>
          <w:highlight w:val="none"/>
          <w14:ligatures w14:val="none"/>
        </w:rPr>
        <w:t xml:space="preserve">-1 </w:t>
      </w:r>
      <w:r>
        <w:rPr>
          <w:rFonts w:hint="eastAsia" w:ascii="Times New Roman" w:hAnsi="Times New Roman" w:eastAsia="黑体" w:cs="Times New Roman"/>
          <w:sz w:val="24"/>
          <w:highlight w:val="none"/>
          <w14:ligatures w14:val="none"/>
        </w:rPr>
        <w:t>危险化学品危险特性一览表</w:t>
      </w:r>
    </w:p>
    <w:tbl>
      <w:tblPr>
        <w:tblStyle w:val="15"/>
        <w:tblW w:w="493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415"/>
        <w:gridCol w:w="1820"/>
        <w:gridCol w:w="1121"/>
        <w:gridCol w:w="982"/>
        <w:gridCol w:w="2110"/>
        <w:gridCol w:w="705"/>
        <w:gridCol w:w="866"/>
        <w:gridCol w:w="518"/>
        <w:gridCol w:w="519"/>
      </w:tblGrid>
      <w:tr w14:paraId="5FBFC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16" w:type="dxa"/>
            <w:shd w:val="clear" w:color="auto" w:fill="FFFFFF"/>
            <w:vAlign w:val="center"/>
          </w:tcPr>
          <w:p w14:paraId="2645D4D0">
            <w:pPr>
              <w:adjustRightInd w:val="0"/>
              <w:snapToGrid w:val="0"/>
              <w:spacing w:after="0" w:line="240" w:lineRule="auto"/>
              <w:jc w:val="center"/>
              <w:rPr>
                <w:rFonts w:ascii="Times New Roman" w:hAnsi="Times New Roman" w:eastAsia="宋体" w:cs="Times New Roman"/>
                <w:sz w:val="21"/>
                <w:szCs w:val="21"/>
                <w:highlight w:val="none"/>
                <w:lang w:val="zh-TW" w:eastAsia="zh-TW" w:bidi="zh-TW"/>
                <w14:ligatures w14:val="none"/>
              </w:rPr>
            </w:pPr>
            <w:r>
              <w:rPr>
                <w:rFonts w:ascii="Times New Roman" w:hAnsi="Times New Roman" w:eastAsia="宋体" w:cs="Times New Roman"/>
                <w:sz w:val="21"/>
                <w:szCs w:val="21"/>
                <w:highlight w:val="none"/>
                <w:lang w:val="zh-TW" w:eastAsia="zh-TW" w:bidi="zh-TW"/>
                <w14:ligatures w14:val="none"/>
              </w:rPr>
              <w:t>序号</w:t>
            </w:r>
          </w:p>
        </w:tc>
        <w:tc>
          <w:tcPr>
            <w:tcW w:w="1822" w:type="dxa"/>
            <w:shd w:val="clear" w:color="auto" w:fill="FFFFFF"/>
            <w:vAlign w:val="center"/>
          </w:tcPr>
          <w:p w14:paraId="6001E50F">
            <w:pPr>
              <w:adjustRightInd w:val="0"/>
              <w:snapToGrid w:val="0"/>
              <w:spacing w:after="0" w:line="240" w:lineRule="auto"/>
              <w:jc w:val="center"/>
              <w:rPr>
                <w:rFonts w:ascii="Times New Roman" w:hAnsi="Times New Roman" w:eastAsia="宋体" w:cs="Times New Roman"/>
                <w:sz w:val="21"/>
                <w:szCs w:val="21"/>
                <w:highlight w:val="none"/>
                <w:lang w:val="zh-TW" w:eastAsia="zh-TW" w:bidi="zh-TW"/>
                <w14:ligatures w14:val="none"/>
              </w:rPr>
            </w:pPr>
            <w:r>
              <w:rPr>
                <w:rFonts w:ascii="Times New Roman" w:hAnsi="Times New Roman" w:eastAsia="宋体" w:cs="Times New Roman"/>
                <w:sz w:val="21"/>
                <w:szCs w:val="21"/>
                <w:highlight w:val="none"/>
                <w:lang w:val="zh-TW" w:eastAsia="zh-TW" w:bidi="zh-TW"/>
                <w14:ligatures w14:val="none"/>
              </w:rPr>
              <w:t>名称</w:t>
            </w:r>
          </w:p>
        </w:tc>
        <w:tc>
          <w:tcPr>
            <w:tcW w:w="1122" w:type="dxa"/>
            <w:shd w:val="clear" w:color="auto" w:fill="FFFFFF"/>
            <w:vAlign w:val="center"/>
          </w:tcPr>
          <w:p w14:paraId="43BD64D0">
            <w:pPr>
              <w:adjustRightInd w:val="0"/>
              <w:snapToGrid w:val="0"/>
              <w:spacing w:after="0" w:line="240" w:lineRule="auto"/>
              <w:jc w:val="center"/>
              <w:rPr>
                <w:rFonts w:ascii="Times New Roman" w:hAnsi="Times New Roman" w:eastAsia="宋体" w:cs="Times New Roman"/>
                <w:sz w:val="21"/>
                <w:szCs w:val="21"/>
                <w:highlight w:val="none"/>
                <w:lang w:val="zh-TW" w:eastAsia="zh-TW" w:bidi="zh-TW"/>
                <w14:ligatures w14:val="none"/>
              </w:rPr>
            </w:pPr>
            <w:r>
              <w:rPr>
                <w:rFonts w:ascii="Times New Roman" w:hAnsi="Times New Roman" w:eastAsia="宋体" w:cs="Times New Roman"/>
                <w:sz w:val="21"/>
                <w:szCs w:val="21"/>
                <w:highlight w:val="none"/>
                <w:lang w:val="zh-TW" w:eastAsia="zh-TW" w:bidi="zh-TW"/>
                <w14:ligatures w14:val="none"/>
              </w:rPr>
              <w:t>危化品</w:t>
            </w:r>
          </w:p>
          <w:p w14:paraId="53D15CC6">
            <w:pPr>
              <w:adjustRightInd w:val="0"/>
              <w:snapToGrid w:val="0"/>
              <w:spacing w:after="0" w:line="240" w:lineRule="auto"/>
              <w:jc w:val="center"/>
              <w:rPr>
                <w:rFonts w:ascii="Times New Roman" w:hAnsi="Times New Roman" w:eastAsia="宋体" w:cs="Times New Roman"/>
                <w:sz w:val="21"/>
                <w:szCs w:val="21"/>
                <w:highlight w:val="none"/>
                <w:lang w:val="zh-TW" w:eastAsia="zh-TW" w:bidi="zh-TW"/>
                <w14:ligatures w14:val="none"/>
              </w:rPr>
            </w:pPr>
            <w:r>
              <w:rPr>
                <w:rFonts w:ascii="Times New Roman" w:hAnsi="Times New Roman" w:eastAsia="宋体" w:cs="Times New Roman"/>
                <w:sz w:val="21"/>
                <w:szCs w:val="21"/>
                <w:highlight w:val="none"/>
                <w:lang w:val="zh-TW" w:eastAsia="zh-TW" w:bidi="zh-TW"/>
                <w14:ligatures w14:val="none"/>
              </w:rPr>
              <w:t>目录序号</w:t>
            </w:r>
          </w:p>
        </w:tc>
        <w:tc>
          <w:tcPr>
            <w:tcW w:w="983" w:type="dxa"/>
            <w:shd w:val="clear" w:color="auto" w:fill="FFFFFF"/>
            <w:vAlign w:val="center"/>
          </w:tcPr>
          <w:p w14:paraId="21E0F046">
            <w:pPr>
              <w:adjustRightInd w:val="0"/>
              <w:snapToGrid w:val="0"/>
              <w:spacing w:after="0" w:line="240" w:lineRule="auto"/>
              <w:jc w:val="center"/>
              <w:rPr>
                <w:rFonts w:ascii="Times New Roman" w:hAnsi="Times New Roman" w:eastAsia="宋体" w:cs="Times New Roman"/>
                <w:sz w:val="21"/>
                <w:szCs w:val="21"/>
                <w:highlight w:val="none"/>
                <w:lang w:bidi="zh-TW"/>
                <w14:ligatures w14:val="none"/>
              </w:rPr>
            </w:pPr>
            <w:r>
              <w:rPr>
                <w:rFonts w:hint="eastAsia" w:ascii="Times New Roman" w:hAnsi="Times New Roman" w:eastAsia="宋体" w:cs="Times New Roman"/>
                <w:sz w:val="21"/>
                <w:szCs w:val="21"/>
                <w:highlight w:val="none"/>
                <w:lang w:bidi="zh-TW"/>
                <w14:ligatures w14:val="none"/>
              </w:rPr>
              <w:t>CAS号</w:t>
            </w:r>
          </w:p>
        </w:tc>
        <w:tc>
          <w:tcPr>
            <w:tcW w:w="2113" w:type="dxa"/>
            <w:shd w:val="clear" w:color="auto" w:fill="FFFFFF"/>
            <w:vAlign w:val="center"/>
          </w:tcPr>
          <w:p w14:paraId="4D6E66D3">
            <w:pPr>
              <w:adjustRightInd w:val="0"/>
              <w:snapToGrid w:val="0"/>
              <w:spacing w:after="0" w:line="240" w:lineRule="auto"/>
              <w:jc w:val="center"/>
              <w:rPr>
                <w:rFonts w:ascii="Times New Roman" w:hAnsi="Times New Roman" w:eastAsia="宋体" w:cs="Times New Roman"/>
                <w:sz w:val="21"/>
                <w:szCs w:val="21"/>
                <w:highlight w:val="none"/>
                <w:lang w:val="zh-TW" w:eastAsia="zh-TW" w:bidi="zh-TW"/>
                <w14:ligatures w14:val="none"/>
              </w:rPr>
            </w:pPr>
            <w:r>
              <w:rPr>
                <w:rFonts w:ascii="Times New Roman" w:hAnsi="Times New Roman" w:eastAsia="宋体" w:cs="Times New Roman"/>
                <w:sz w:val="21"/>
                <w:szCs w:val="21"/>
                <w:highlight w:val="none"/>
                <w:lang w:val="zh-TW" w:eastAsia="zh-TW" w:bidi="zh-TW"/>
                <w14:ligatures w14:val="none"/>
              </w:rPr>
              <w:t>危险类别</w:t>
            </w:r>
          </w:p>
        </w:tc>
        <w:tc>
          <w:tcPr>
            <w:tcW w:w="706" w:type="dxa"/>
            <w:shd w:val="clear" w:color="auto" w:fill="FFFFFF"/>
            <w:vAlign w:val="bottom"/>
          </w:tcPr>
          <w:p w14:paraId="1F6B8BBD">
            <w:pPr>
              <w:adjustRightInd w:val="0"/>
              <w:snapToGrid w:val="0"/>
              <w:spacing w:after="0" w:line="240" w:lineRule="auto"/>
              <w:jc w:val="center"/>
              <w:rPr>
                <w:rFonts w:ascii="Times New Roman" w:hAnsi="Times New Roman" w:eastAsia="宋体" w:cs="Times New Roman"/>
                <w:sz w:val="21"/>
                <w:szCs w:val="21"/>
                <w:highlight w:val="none"/>
                <w:lang w:val="zh-TW" w:eastAsia="zh-TW" w:bidi="zh-TW"/>
                <w14:ligatures w14:val="none"/>
              </w:rPr>
            </w:pPr>
            <w:r>
              <w:rPr>
                <w:rFonts w:ascii="Times New Roman" w:hAnsi="Times New Roman" w:eastAsia="宋体" w:cs="Times New Roman"/>
                <w:sz w:val="21"/>
                <w:szCs w:val="21"/>
                <w:highlight w:val="none"/>
                <w:lang w:val="zh-TW" w:eastAsia="zh-TW" w:bidi="zh-TW"/>
                <w14:ligatures w14:val="none"/>
              </w:rPr>
              <w:t>闪点</w:t>
            </w:r>
          </w:p>
          <w:p w14:paraId="7BDC9864">
            <w:pPr>
              <w:adjustRightInd w:val="0"/>
              <w:snapToGrid w:val="0"/>
              <w:spacing w:after="0" w:line="240" w:lineRule="auto"/>
              <w:jc w:val="center"/>
              <w:rPr>
                <w:rFonts w:ascii="Times New Roman" w:hAnsi="Times New Roman" w:eastAsia="宋体" w:cs="Times New Roman"/>
                <w:sz w:val="21"/>
                <w:szCs w:val="21"/>
                <w:highlight w:val="none"/>
                <w:lang w:val="zh-TW" w:bidi="zh-TW"/>
                <w14:ligatures w14:val="none"/>
              </w:rPr>
            </w:pPr>
            <w:r>
              <w:rPr>
                <w:rFonts w:hint="eastAsia" w:ascii="Times New Roman" w:hAnsi="Times New Roman" w:eastAsia="宋体" w:cs="Times New Roman"/>
                <w:sz w:val="21"/>
                <w:szCs w:val="21"/>
                <w:highlight w:val="none"/>
                <w:lang w:bidi="en-US"/>
                <w14:ligatures w14:val="none"/>
              </w:rPr>
              <w:t>（</w:t>
            </w:r>
            <w:r>
              <w:rPr>
                <w:rFonts w:ascii="Times New Roman" w:hAnsi="Times New Roman" w:eastAsia="宋体" w:cs="Times New Roman"/>
                <w:sz w:val="21"/>
                <w:szCs w:val="21"/>
                <w:highlight w:val="none"/>
                <w:lang w:eastAsia="en-US" w:bidi="en-US"/>
                <w14:ligatures w14:val="none"/>
              </w:rPr>
              <w:t>°C</w:t>
            </w:r>
            <w:r>
              <w:rPr>
                <w:rFonts w:hint="eastAsia" w:ascii="Times New Roman" w:hAnsi="Times New Roman" w:eastAsia="宋体" w:cs="Times New Roman"/>
                <w:sz w:val="21"/>
                <w:szCs w:val="21"/>
                <w:highlight w:val="none"/>
                <w:lang w:bidi="en-US"/>
                <w14:ligatures w14:val="none"/>
              </w:rPr>
              <w:t>）</w:t>
            </w:r>
          </w:p>
        </w:tc>
        <w:tc>
          <w:tcPr>
            <w:tcW w:w="867" w:type="dxa"/>
            <w:shd w:val="clear" w:color="auto" w:fill="FFFFFF"/>
            <w:vAlign w:val="center"/>
          </w:tcPr>
          <w:p w14:paraId="58CF2026">
            <w:pPr>
              <w:adjustRightInd w:val="0"/>
              <w:snapToGrid w:val="0"/>
              <w:spacing w:after="0" w:line="240" w:lineRule="auto"/>
              <w:jc w:val="center"/>
              <w:rPr>
                <w:rFonts w:ascii="Times New Roman" w:hAnsi="Times New Roman" w:eastAsia="宋体" w:cs="Times New Roman"/>
                <w:sz w:val="21"/>
                <w:szCs w:val="21"/>
                <w:highlight w:val="none"/>
                <w:lang w:val="zh-TW" w:eastAsia="zh-TW" w:bidi="zh-TW"/>
                <w14:ligatures w14:val="none"/>
              </w:rPr>
            </w:pPr>
            <w:r>
              <w:rPr>
                <w:rFonts w:ascii="Times New Roman" w:hAnsi="Times New Roman" w:eastAsia="宋体" w:cs="Times New Roman"/>
                <w:sz w:val="21"/>
                <w:szCs w:val="21"/>
                <w:highlight w:val="none"/>
                <w:lang w:val="zh-TW" w:eastAsia="zh-TW" w:bidi="zh-TW"/>
                <w14:ligatures w14:val="none"/>
              </w:rPr>
              <w:t>爆炸</w:t>
            </w:r>
          </w:p>
          <w:p w14:paraId="1D113A55">
            <w:pPr>
              <w:adjustRightInd w:val="0"/>
              <w:snapToGrid w:val="0"/>
              <w:spacing w:after="0" w:line="240" w:lineRule="auto"/>
              <w:jc w:val="center"/>
              <w:rPr>
                <w:rFonts w:ascii="Times New Roman" w:hAnsi="Times New Roman" w:eastAsia="宋体" w:cs="Times New Roman"/>
                <w:sz w:val="21"/>
                <w:szCs w:val="21"/>
                <w:highlight w:val="none"/>
                <w:lang w:val="zh-TW" w:eastAsia="zh-TW" w:bidi="zh-TW"/>
                <w14:ligatures w14:val="none"/>
              </w:rPr>
            </w:pPr>
            <w:r>
              <w:rPr>
                <w:rFonts w:ascii="Times New Roman" w:hAnsi="Times New Roman" w:eastAsia="宋体" w:cs="Times New Roman"/>
                <w:sz w:val="21"/>
                <w:szCs w:val="21"/>
                <w:highlight w:val="none"/>
                <w:lang w:val="zh-TW" w:eastAsia="zh-TW" w:bidi="zh-TW"/>
                <w14:ligatures w14:val="none"/>
              </w:rPr>
              <w:t>极限</w:t>
            </w:r>
          </w:p>
          <w:p w14:paraId="38F79144">
            <w:pPr>
              <w:adjustRightInd w:val="0"/>
              <w:snapToGrid w:val="0"/>
              <w:spacing w:after="0" w:line="240" w:lineRule="auto"/>
              <w:jc w:val="center"/>
              <w:rPr>
                <w:rFonts w:ascii="Times New Roman" w:hAnsi="Times New Roman" w:eastAsia="宋体" w:cs="Times New Roman"/>
                <w:sz w:val="21"/>
                <w:szCs w:val="21"/>
                <w:highlight w:val="none"/>
                <w:lang w:val="zh-TW" w:eastAsia="zh-TW" w:bidi="zh-TW"/>
                <w14:ligatures w14:val="none"/>
              </w:rPr>
            </w:pPr>
            <w:r>
              <w:rPr>
                <w:rFonts w:ascii="Times New Roman" w:hAnsi="Times New Roman" w:eastAsia="宋体" w:cs="Times New Roman"/>
                <w:sz w:val="21"/>
                <w:szCs w:val="21"/>
                <w:highlight w:val="none"/>
                <w:lang w:eastAsia="en-US" w:bidi="en-US"/>
                <w14:ligatures w14:val="none"/>
              </w:rPr>
              <w:t>%</w:t>
            </w:r>
          </w:p>
        </w:tc>
        <w:tc>
          <w:tcPr>
            <w:tcW w:w="519" w:type="dxa"/>
            <w:shd w:val="clear" w:color="auto" w:fill="FFFFFF"/>
            <w:vAlign w:val="bottom"/>
          </w:tcPr>
          <w:p w14:paraId="0C8CB500">
            <w:pPr>
              <w:adjustRightInd w:val="0"/>
              <w:snapToGrid w:val="0"/>
              <w:spacing w:after="0" w:line="240" w:lineRule="auto"/>
              <w:jc w:val="center"/>
              <w:rPr>
                <w:rFonts w:ascii="Times New Roman" w:hAnsi="Times New Roman" w:eastAsia="宋体" w:cs="Times New Roman"/>
                <w:sz w:val="21"/>
                <w:szCs w:val="21"/>
                <w:highlight w:val="none"/>
                <w:lang w:val="zh-TW" w:eastAsia="zh-TW" w:bidi="zh-TW"/>
                <w14:ligatures w14:val="none"/>
              </w:rPr>
            </w:pPr>
            <w:r>
              <w:rPr>
                <w:rFonts w:ascii="Times New Roman" w:hAnsi="Times New Roman" w:eastAsia="宋体" w:cs="Times New Roman"/>
                <w:sz w:val="21"/>
                <w:szCs w:val="21"/>
                <w:highlight w:val="none"/>
                <w:lang w:val="zh-TW" w:eastAsia="zh-TW" w:bidi="zh-TW"/>
                <w14:ligatures w14:val="none"/>
              </w:rPr>
              <w:t>火灾</w:t>
            </w:r>
          </w:p>
          <w:p w14:paraId="0D086592">
            <w:pPr>
              <w:adjustRightInd w:val="0"/>
              <w:snapToGrid w:val="0"/>
              <w:spacing w:after="0" w:line="240" w:lineRule="auto"/>
              <w:jc w:val="center"/>
              <w:rPr>
                <w:rFonts w:ascii="Times New Roman" w:hAnsi="Times New Roman" w:eastAsia="宋体" w:cs="Times New Roman"/>
                <w:sz w:val="21"/>
                <w:szCs w:val="21"/>
                <w:highlight w:val="none"/>
                <w:lang w:bidi="zh-TW"/>
                <w14:ligatures w14:val="none"/>
              </w:rPr>
            </w:pPr>
            <w:r>
              <w:rPr>
                <w:rFonts w:ascii="Times New Roman" w:hAnsi="Times New Roman" w:eastAsia="宋体" w:cs="Times New Roman"/>
                <w:sz w:val="21"/>
                <w:szCs w:val="21"/>
                <w:highlight w:val="none"/>
                <w:lang w:val="zh-TW" w:eastAsia="zh-TW" w:bidi="zh-TW"/>
                <w14:ligatures w14:val="none"/>
              </w:rPr>
              <w:t>危险性</w:t>
            </w:r>
          </w:p>
        </w:tc>
        <w:tc>
          <w:tcPr>
            <w:tcW w:w="520" w:type="dxa"/>
            <w:shd w:val="clear" w:color="auto" w:fill="FFFFFF"/>
            <w:vAlign w:val="center"/>
          </w:tcPr>
          <w:p w14:paraId="162D37BB">
            <w:pPr>
              <w:adjustRightInd w:val="0"/>
              <w:snapToGrid w:val="0"/>
              <w:spacing w:after="0" w:line="240" w:lineRule="auto"/>
              <w:jc w:val="center"/>
              <w:rPr>
                <w:rFonts w:ascii="Times New Roman" w:hAnsi="Times New Roman" w:eastAsia="宋体" w:cs="Times New Roman"/>
                <w:sz w:val="21"/>
                <w:szCs w:val="21"/>
                <w:highlight w:val="none"/>
                <w:lang w:bidi="zh-TW"/>
                <w14:ligatures w14:val="none"/>
              </w:rPr>
            </w:pPr>
            <w:r>
              <w:rPr>
                <w:rFonts w:hint="eastAsia" w:ascii="Times New Roman" w:hAnsi="Times New Roman" w:eastAsia="宋体" w:cs="Times New Roman"/>
                <w:sz w:val="21"/>
                <w:szCs w:val="21"/>
                <w:highlight w:val="none"/>
                <w:lang w:bidi="zh-TW"/>
                <w14:ligatures w14:val="none"/>
              </w:rPr>
              <w:t>备注</w:t>
            </w:r>
          </w:p>
        </w:tc>
      </w:tr>
      <w:tr w14:paraId="7DE71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16" w:type="dxa"/>
            <w:shd w:val="clear" w:color="auto" w:fill="FFFFFF"/>
            <w:vAlign w:val="center"/>
          </w:tcPr>
          <w:p w14:paraId="5A9279A2">
            <w:pPr>
              <w:numPr>
                <w:ilvl w:val="0"/>
                <w:numId w:val="8"/>
              </w:numPr>
              <w:adjustRightInd w:val="0"/>
              <w:snapToGrid w:val="0"/>
              <w:spacing w:after="0" w:line="240" w:lineRule="auto"/>
              <w:jc w:val="center"/>
              <w:rPr>
                <w:rFonts w:ascii="Times New Roman" w:hAnsi="Times New Roman" w:eastAsia="宋体" w:cs="Times New Roman"/>
                <w:sz w:val="21"/>
                <w:szCs w:val="21"/>
                <w:highlight w:val="none"/>
                <w:lang w:val="zh-TW" w:eastAsia="zh-TW" w:bidi="zh-TW"/>
                <w14:ligatures w14:val="none"/>
              </w:rPr>
            </w:pPr>
          </w:p>
        </w:tc>
        <w:tc>
          <w:tcPr>
            <w:tcW w:w="1822" w:type="dxa"/>
            <w:shd w:val="clear" w:color="auto" w:fill="FFFFFF"/>
            <w:vAlign w:val="center"/>
          </w:tcPr>
          <w:p w14:paraId="405111DF">
            <w:pPr>
              <w:adjustRightInd w:val="0"/>
              <w:snapToGrid w:val="0"/>
              <w:spacing w:after="0" w:line="240" w:lineRule="auto"/>
              <w:rPr>
                <w:rFonts w:ascii="Times New Roman" w:hAnsi="Times New Roman" w:eastAsia="宋体" w:cs="Times New Roman"/>
                <w:sz w:val="21"/>
                <w:szCs w:val="21"/>
                <w:highlight w:val="none"/>
                <w:lang w:bidi="zh-TW"/>
                <w14:ligatures w14:val="none"/>
              </w:rPr>
            </w:pPr>
            <w:r>
              <w:rPr>
                <w:rFonts w:ascii="Times New Roman" w:hAnsi="Times New Roman" w:eastAsia="宋体" w:cs="Times New Roman"/>
                <w:sz w:val="21"/>
                <w:szCs w:val="21"/>
                <w:highlight w:val="none"/>
                <w:lang w:val="zh-TW" w:eastAsia="zh-TW" w:bidi="zh-TW"/>
                <w14:ligatures w14:val="none"/>
              </w:rPr>
              <w:t>氧</w:t>
            </w:r>
            <w:r>
              <w:rPr>
                <w:rFonts w:hint="eastAsia" w:ascii="Times New Roman" w:hAnsi="Times New Roman" w:eastAsia="宋体" w:cs="Times New Roman"/>
                <w:sz w:val="21"/>
                <w:szCs w:val="21"/>
                <w:highlight w:val="none"/>
                <w:lang w:bidi="zh-TW"/>
                <w14:ligatures w14:val="none"/>
              </w:rPr>
              <w:t>[压缩的或液化的]</w:t>
            </w:r>
          </w:p>
        </w:tc>
        <w:tc>
          <w:tcPr>
            <w:tcW w:w="1122" w:type="dxa"/>
            <w:shd w:val="clear" w:color="auto" w:fill="FFFFFF"/>
            <w:vAlign w:val="center"/>
          </w:tcPr>
          <w:p w14:paraId="01275F93">
            <w:pPr>
              <w:adjustRightInd w:val="0"/>
              <w:snapToGrid w:val="0"/>
              <w:spacing w:after="0" w:line="240" w:lineRule="auto"/>
              <w:jc w:val="center"/>
              <w:rPr>
                <w:rFonts w:ascii="Times New Roman" w:hAnsi="Times New Roman" w:eastAsia="宋体" w:cs="宋体"/>
                <w:kern w:val="0"/>
                <w:sz w:val="21"/>
                <w:szCs w:val="21"/>
                <w:highlight w:val="none"/>
                <w:lang w:val="zh-TW" w:eastAsia="zh-TW" w:bidi="zh-TW"/>
                <w14:ligatures w14:val="none"/>
              </w:rPr>
            </w:pPr>
            <w:r>
              <w:rPr>
                <w:rFonts w:ascii="Times New Roman" w:hAnsi="Times New Roman" w:eastAsia="宋体" w:cs="宋体"/>
                <w:kern w:val="0"/>
                <w:sz w:val="21"/>
                <w:szCs w:val="21"/>
                <w:highlight w:val="none"/>
                <w:lang w:val="zh-TW" w:eastAsia="zh-TW" w:bidi="zh-TW"/>
                <w14:ligatures w14:val="none"/>
              </w:rPr>
              <w:t>2528</w:t>
            </w:r>
          </w:p>
        </w:tc>
        <w:tc>
          <w:tcPr>
            <w:tcW w:w="983" w:type="dxa"/>
            <w:shd w:val="clear" w:color="auto" w:fill="FFFFFF"/>
            <w:vAlign w:val="center"/>
          </w:tcPr>
          <w:p w14:paraId="5E8A296C">
            <w:pPr>
              <w:adjustRightInd w:val="0"/>
              <w:snapToGrid w:val="0"/>
              <w:spacing w:after="0" w:line="240" w:lineRule="auto"/>
              <w:jc w:val="center"/>
              <w:rPr>
                <w:rFonts w:ascii="Times New Roman" w:hAnsi="Times New Roman" w:eastAsia="宋体" w:cs="宋体"/>
                <w:kern w:val="0"/>
                <w:sz w:val="21"/>
                <w:szCs w:val="21"/>
                <w:highlight w:val="none"/>
                <w:lang w:val="zh-TW" w:eastAsia="zh-TW" w:bidi="zh-TW"/>
                <w14:ligatures w14:val="none"/>
              </w:rPr>
            </w:pPr>
            <w:r>
              <w:rPr>
                <w:rFonts w:ascii="Times New Roman" w:hAnsi="Times New Roman" w:eastAsia="宋体" w:cs="宋体"/>
                <w:kern w:val="0"/>
                <w:sz w:val="21"/>
                <w:szCs w:val="21"/>
                <w:highlight w:val="none"/>
                <w:lang w:val="zh-TW" w:eastAsia="zh-TW" w:bidi="zh-TW"/>
                <w14:ligatures w14:val="none"/>
              </w:rPr>
              <w:t>7782-44-7</w:t>
            </w:r>
          </w:p>
        </w:tc>
        <w:tc>
          <w:tcPr>
            <w:tcW w:w="2113" w:type="dxa"/>
            <w:shd w:val="clear" w:color="auto" w:fill="FFFFFF"/>
            <w:vAlign w:val="center"/>
          </w:tcPr>
          <w:p w14:paraId="7563F5B7">
            <w:pPr>
              <w:widowControl/>
              <w:adjustRightInd w:val="0"/>
              <w:snapToGrid w:val="0"/>
              <w:spacing w:after="0" w:line="240" w:lineRule="auto"/>
              <w:rPr>
                <w:rFonts w:ascii="Times New Roman" w:hAnsi="Times New Roman" w:eastAsia="宋体" w:cs="Times New Roman"/>
                <w:sz w:val="21"/>
                <w:szCs w:val="21"/>
                <w:highlight w:val="none"/>
                <w:lang w:bidi="zh-TW"/>
                <w14:ligatures w14:val="none"/>
              </w:rPr>
            </w:pPr>
            <w:r>
              <w:rPr>
                <w:rFonts w:hint="eastAsia" w:ascii="Times New Roman" w:hAnsi="Times New Roman" w:eastAsia="宋体" w:cs="Times New Roman"/>
                <w:sz w:val="21"/>
                <w:szCs w:val="21"/>
                <w:highlight w:val="none"/>
                <w:lang w:bidi="zh-TW"/>
                <w14:ligatures w14:val="none"/>
              </w:rPr>
              <w:t>氧化性气体，类别1</w:t>
            </w:r>
          </w:p>
          <w:p w14:paraId="16D65EDA">
            <w:pPr>
              <w:adjustRightInd w:val="0"/>
              <w:snapToGrid w:val="0"/>
              <w:spacing w:after="0" w:line="240" w:lineRule="auto"/>
              <w:rPr>
                <w:rFonts w:ascii="Times New Roman" w:hAnsi="Times New Roman" w:eastAsia="宋体" w:cs="Times New Roman"/>
                <w:sz w:val="21"/>
                <w:szCs w:val="21"/>
                <w:highlight w:val="none"/>
                <w:lang w:bidi="zh-TW"/>
                <w14:ligatures w14:val="none"/>
              </w:rPr>
            </w:pPr>
            <w:r>
              <w:rPr>
                <w:rFonts w:hint="eastAsia" w:ascii="Times New Roman" w:hAnsi="Times New Roman" w:eastAsia="宋体" w:cs="Times New Roman"/>
                <w:sz w:val="21"/>
                <w:szCs w:val="21"/>
                <w:highlight w:val="none"/>
                <w:lang w:bidi="zh-TW"/>
                <w14:ligatures w14:val="none"/>
              </w:rPr>
              <w:t>加压气体</w:t>
            </w:r>
          </w:p>
        </w:tc>
        <w:tc>
          <w:tcPr>
            <w:tcW w:w="706" w:type="dxa"/>
            <w:shd w:val="clear" w:color="auto" w:fill="FFFFFF"/>
            <w:vAlign w:val="center"/>
          </w:tcPr>
          <w:p w14:paraId="39017DEE">
            <w:pPr>
              <w:adjustRightInd w:val="0"/>
              <w:snapToGrid w:val="0"/>
              <w:spacing w:after="0" w:line="240" w:lineRule="auto"/>
              <w:jc w:val="center"/>
              <w:rPr>
                <w:rFonts w:ascii="Times New Roman" w:hAnsi="Times New Roman" w:eastAsia="宋体" w:cs="Times New Roman"/>
                <w:sz w:val="21"/>
                <w:szCs w:val="21"/>
                <w:highlight w:val="none"/>
                <w:lang w:val="zh-TW" w:eastAsia="zh-TW" w:bidi="zh-TW"/>
                <w14:ligatures w14:val="none"/>
              </w:rPr>
            </w:pPr>
            <w:r>
              <w:rPr>
                <w:rFonts w:hint="eastAsia" w:ascii="Times New Roman" w:hAnsi="Times New Roman" w:eastAsia="宋体" w:cs="Times New Roman"/>
                <w:sz w:val="21"/>
                <w:szCs w:val="21"/>
                <w:highlight w:val="none"/>
                <w:lang w:bidi="zh-TW"/>
                <w14:ligatures w14:val="none"/>
              </w:rPr>
              <w:t>-</w:t>
            </w:r>
          </w:p>
        </w:tc>
        <w:tc>
          <w:tcPr>
            <w:tcW w:w="867" w:type="dxa"/>
            <w:shd w:val="clear" w:color="auto" w:fill="FFFFFF"/>
            <w:vAlign w:val="center"/>
          </w:tcPr>
          <w:p w14:paraId="0948D7CD">
            <w:pPr>
              <w:adjustRightInd w:val="0"/>
              <w:snapToGrid w:val="0"/>
              <w:spacing w:after="0" w:line="240" w:lineRule="auto"/>
              <w:jc w:val="center"/>
              <w:rPr>
                <w:rFonts w:ascii="Times New Roman" w:hAnsi="Times New Roman" w:eastAsia="宋体" w:cs="Times New Roman"/>
                <w:sz w:val="21"/>
                <w:szCs w:val="21"/>
                <w:highlight w:val="none"/>
                <w:lang w:val="zh-TW" w:eastAsia="zh-TW" w:bidi="zh-TW"/>
                <w14:ligatures w14:val="none"/>
              </w:rPr>
            </w:pPr>
            <w:r>
              <w:rPr>
                <w:rFonts w:hint="eastAsia" w:ascii="Times New Roman" w:hAnsi="Times New Roman" w:eastAsia="宋体" w:cs="Times New Roman"/>
                <w:sz w:val="21"/>
                <w:szCs w:val="21"/>
                <w:highlight w:val="none"/>
                <w:lang w:bidi="zh-TW"/>
                <w14:ligatures w14:val="none"/>
              </w:rPr>
              <w:t>-</w:t>
            </w:r>
          </w:p>
        </w:tc>
        <w:tc>
          <w:tcPr>
            <w:tcW w:w="519" w:type="dxa"/>
            <w:shd w:val="clear" w:color="auto" w:fill="FFFFFF"/>
            <w:vAlign w:val="center"/>
          </w:tcPr>
          <w:p w14:paraId="4A8B79C3">
            <w:pPr>
              <w:adjustRightInd w:val="0"/>
              <w:snapToGrid w:val="0"/>
              <w:spacing w:after="0" w:line="240" w:lineRule="auto"/>
              <w:jc w:val="center"/>
              <w:rPr>
                <w:rFonts w:ascii="Times New Roman" w:hAnsi="Times New Roman" w:eastAsia="宋体" w:cs="Times New Roman"/>
                <w:sz w:val="21"/>
                <w:szCs w:val="21"/>
                <w:highlight w:val="none"/>
                <w:lang w:val="zh-TW" w:eastAsia="zh-TW" w:bidi="zh-TW"/>
                <w14:ligatures w14:val="none"/>
              </w:rPr>
            </w:pPr>
            <w:r>
              <w:rPr>
                <w:rFonts w:ascii="Times New Roman" w:hAnsi="Times New Roman" w:eastAsia="宋体" w:cs="Times New Roman"/>
                <w:sz w:val="21"/>
                <w:szCs w:val="21"/>
                <w:highlight w:val="none"/>
                <w:lang w:val="zh-TW" w:eastAsia="zh-TW" w:bidi="zh-TW"/>
                <w14:ligatures w14:val="none"/>
              </w:rPr>
              <w:t>乙类</w:t>
            </w:r>
          </w:p>
        </w:tc>
        <w:tc>
          <w:tcPr>
            <w:tcW w:w="520" w:type="dxa"/>
            <w:vMerge w:val="restart"/>
            <w:shd w:val="clear" w:color="auto" w:fill="FFFFFF"/>
            <w:vAlign w:val="center"/>
          </w:tcPr>
          <w:p w14:paraId="63CB00B5">
            <w:pPr>
              <w:adjustRightInd w:val="0"/>
              <w:snapToGrid w:val="0"/>
              <w:spacing w:after="0" w:line="240" w:lineRule="auto"/>
              <w:jc w:val="center"/>
              <w:rPr>
                <w:rFonts w:ascii="Times New Roman" w:hAnsi="Times New Roman" w:eastAsia="宋体" w:cs="Times New Roman"/>
                <w:sz w:val="21"/>
                <w:szCs w:val="21"/>
                <w:highlight w:val="none"/>
                <w:lang w:bidi="zh-TW"/>
                <w14:ligatures w14:val="none"/>
              </w:rPr>
            </w:pPr>
            <w:r>
              <w:rPr>
                <w:rFonts w:hint="eastAsia" w:ascii="Times New Roman" w:hAnsi="Times New Roman" w:eastAsia="宋体" w:cs="Times New Roman"/>
                <w:sz w:val="21"/>
                <w:szCs w:val="21"/>
                <w:highlight w:val="none"/>
                <w:lang w:bidi="zh-TW"/>
                <w14:ligatures w14:val="none"/>
              </w:rPr>
              <w:t>储存经营</w:t>
            </w:r>
          </w:p>
        </w:tc>
      </w:tr>
      <w:tr w14:paraId="0A6F4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16" w:type="dxa"/>
            <w:shd w:val="clear" w:color="auto" w:fill="FFFFFF"/>
            <w:vAlign w:val="center"/>
          </w:tcPr>
          <w:p w14:paraId="262692A9">
            <w:pPr>
              <w:numPr>
                <w:ilvl w:val="0"/>
                <w:numId w:val="8"/>
              </w:numPr>
              <w:adjustRightInd w:val="0"/>
              <w:snapToGrid w:val="0"/>
              <w:spacing w:after="0" w:line="240" w:lineRule="auto"/>
              <w:jc w:val="center"/>
              <w:rPr>
                <w:rFonts w:ascii="Times New Roman" w:hAnsi="Times New Roman" w:eastAsia="宋体" w:cs="Times New Roman"/>
                <w:sz w:val="21"/>
                <w:szCs w:val="21"/>
                <w:highlight w:val="none"/>
                <w:lang w:val="zh-TW" w:eastAsia="zh-TW" w:bidi="zh-TW"/>
                <w14:ligatures w14:val="none"/>
              </w:rPr>
            </w:pPr>
          </w:p>
        </w:tc>
        <w:tc>
          <w:tcPr>
            <w:tcW w:w="1822" w:type="dxa"/>
            <w:shd w:val="clear" w:color="auto" w:fill="FFFFFF"/>
            <w:vAlign w:val="center"/>
          </w:tcPr>
          <w:p w14:paraId="30D52F24">
            <w:pPr>
              <w:adjustRightInd w:val="0"/>
              <w:snapToGrid w:val="0"/>
              <w:spacing w:after="0" w:line="240" w:lineRule="auto"/>
              <w:rPr>
                <w:rFonts w:ascii="Times New Roman" w:hAnsi="Times New Roman" w:eastAsia="宋体" w:cs="Times New Roman"/>
                <w:sz w:val="21"/>
                <w:szCs w:val="21"/>
                <w:highlight w:val="none"/>
                <w:lang w:val="zh-TW" w:eastAsia="zh-TW" w:bidi="zh-TW"/>
                <w14:ligatures w14:val="none"/>
              </w:rPr>
            </w:pPr>
            <w:r>
              <w:rPr>
                <w:rFonts w:ascii="Times New Roman" w:hAnsi="Times New Roman" w:eastAsia="宋体" w:cs="Times New Roman"/>
                <w:sz w:val="21"/>
                <w:szCs w:val="21"/>
                <w:highlight w:val="none"/>
                <w:lang w:bidi="zh-TW"/>
                <w14:ligatures w14:val="none"/>
              </w:rPr>
              <w:t>氩</w:t>
            </w:r>
            <w:r>
              <w:rPr>
                <w:rFonts w:hint="eastAsia" w:ascii="Times New Roman" w:hAnsi="Times New Roman" w:eastAsia="宋体" w:cs="Times New Roman"/>
                <w:sz w:val="21"/>
                <w:szCs w:val="21"/>
                <w:highlight w:val="none"/>
                <w:lang w:bidi="zh-TW"/>
                <w14:ligatures w14:val="none"/>
              </w:rPr>
              <w:t>[压缩的或液化的]</w:t>
            </w:r>
          </w:p>
        </w:tc>
        <w:tc>
          <w:tcPr>
            <w:tcW w:w="1122" w:type="dxa"/>
            <w:shd w:val="clear" w:color="auto" w:fill="FFFFFF"/>
            <w:vAlign w:val="center"/>
          </w:tcPr>
          <w:p w14:paraId="7D7E586F">
            <w:pPr>
              <w:adjustRightInd w:val="0"/>
              <w:snapToGrid w:val="0"/>
              <w:spacing w:after="0" w:line="240" w:lineRule="auto"/>
              <w:jc w:val="center"/>
              <w:rPr>
                <w:rFonts w:ascii="Times New Roman" w:hAnsi="Times New Roman" w:eastAsia="宋体" w:cs="宋体"/>
                <w:kern w:val="0"/>
                <w:sz w:val="21"/>
                <w:szCs w:val="21"/>
                <w:highlight w:val="none"/>
                <w:lang w:val="zh-TW" w:eastAsia="zh-TW" w:bidi="zh-TW"/>
                <w14:ligatures w14:val="none"/>
              </w:rPr>
            </w:pPr>
            <w:r>
              <w:rPr>
                <w:rFonts w:ascii="Times New Roman" w:hAnsi="Times New Roman" w:eastAsia="宋体" w:cs="宋体"/>
                <w:kern w:val="0"/>
                <w:sz w:val="21"/>
                <w:szCs w:val="21"/>
                <w:highlight w:val="none"/>
                <w:lang w:val="zh-TW" w:eastAsia="zh-TW" w:bidi="zh-TW"/>
                <w14:ligatures w14:val="none"/>
              </w:rPr>
              <w:t>2505</w:t>
            </w:r>
          </w:p>
        </w:tc>
        <w:tc>
          <w:tcPr>
            <w:tcW w:w="983" w:type="dxa"/>
            <w:shd w:val="clear" w:color="auto" w:fill="FFFFFF"/>
            <w:vAlign w:val="center"/>
          </w:tcPr>
          <w:p w14:paraId="73138ACA">
            <w:pPr>
              <w:adjustRightInd w:val="0"/>
              <w:snapToGrid w:val="0"/>
              <w:spacing w:after="0" w:line="240" w:lineRule="auto"/>
              <w:jc w:val="center"/>
              <w:rPr>
                <w:rFonts w:ascii="Times New Roman" w:hAnsi="Times New Roman" w:eastAsia="宋体" w:cs="宋体"/>
                <w:kern w:val="0"/>
                <w:sz w:val="21"/>
                <w:szCs w:val="21"/>
                <w:highlight w:val="none"/>
                <w:lang w:val="zh-TW" w:eastAsia="zh-TW" w:bidi="zh-TW"/>
                <w14:ligatures w14:val="none"/>
              </w:rPr>
            </w:pPr>
            <w:r>
              <w:rPr>
                <w:rFonts w:ascii="Times New Roman" w:hAnsi="Times New Roman" w:eastAsia="宋体" w:cs="宋体"/>
                <w:kern w:val="0"/>
                <w:sz w:val="21"/>
                <w:szCs w:val="21"/>
                <w:highlight w:val="none"/>
                <w:lang w:val="zh-TW" w:eastAsia="zh-TW" w:bidi="zh-TW"/>
                <w14:ligatures w14:val="none"/>
              </w:rPr>
              <w:t>7440-37-1</w:t>
            </w:r>
          </w:p>
        </w:tc>
        <w:tc>
          <w:tcPr>
            <w:tcW w:w="2113" w:type="dxa"/>
            <w:shd w:val="clear" w:color="auto" w:fill="FFFFFF"/>
            <w:vAlign w:val="center"/>
          </w:tcPr>
          <w:p w14:paraId="4FC059F3">
            <w:pPr>
              <w:adjustRightInd w:val="0"/>
              <w:snapToGrid w:val="0"/>
              <w:spacing w:after="0" w:line="240" w:lineRule="auto"/>
              <w:rPr>
                <w:rFonts w:ascii="Times New Roman" w:hAnsi="Times New Roman" w:eastAsia="宋体" w:cs="Times New Roman"/>
                <w:sz w:val="21"/>
                <w:szCs w:val="21"/>
                <w:highlight w:val="none"/>
                <w:lang w:bidi="zh-TW"/>
                <w14:ligatures w14:val="none"/>
              </w:rPr>
            </w:pPr>
            <w:r>
              <w:rPr>
                <w:rFonts w:hint="eastAsia" w:ascii="Times New Roman" w:hAnsi="Times New Roman" w:eastAsia="宋体" w:cs="Times New Roman"/>
                <w:sz w:val="21"/>
                <w:szCs w:val="21"/>
                <w:highlight w:val="none"/>
                <w:lang w:bidi="zh-TW"/>
                <w14:ligatures w14:val="none"/>
              </w:rPr>
              <w:t>加压气体</w:t>
            </w:r>
          </w:p>
        </w:tc>
        <w:tc>
          <w:tcPr>
            <w:tcW w:w="706" w:type="dxa"/>
            <w:shd w:val="clear" w:color="auto" w:fill="FFFFFF"/>
            <w:vAlign w:val="center"/>
          </w:tcPr>
          <w:p w14:paraId="21478EC7">
            <w:pPr>
              <w:adjustRightInd w:val="0"/>
              <w:snapToGrid w:val="0"/>
              <w:spacing w:after="0" w:line="240" w:lineRule="auto"/>
              <w:jc w:val="center"/>
              <w:rPr>
                <w:rFonts w:ascii="Times New Roman" w:hAnsi="Times New Roman" w:eastAsia="宋体" w:cs="Times New Roman"/>
                <w:sz w:val="21"/>
                <w:szCs w:val="21"/>
                <w:highlight w:val="none"/>
                <w:lang w:val="zh-TW" w:eastAsia="zh-TW" w:bidi="zh-TW"/>
                <w14:ligatures w14:val="none"/>
              </w:rPr>
            </w:pPr>
            <w:r>
              <w:rPr>
                <w:rFonts w:hint="eastAsia" w:ascii="Times New Roman" w:hAnsi="Times New Roman" w:eastAsia="宋体" w:cs="Times New Roman"/>
                <w:sz w:val="21"/>
                <w:szCs w:val="21"/>
                <w:highlight w:val="none"/>
                <w:lang w:bidi="zh-TW"/>
                <w14:ligatures w14:val="none"/>
              </w:rPr>
              <w:t>-</w:t>
            </w:r>
          </w:p>
        </w:tc>
        <w:tc>
          <w:tcPr>
            <w:tcW w:w="867" w:type="dxa"/>
            <w:shd w:val="clear" w:color="auto" w:fill="FFFFFF"/>
            <w:vAlign w:val="center"/>
          </w:tcPr>
          <w:p w14:paraId="513D376B">
            <w:pPr>
              <w:adjustRightInd w:val="0"/>
              <w:snapToGrid w:val="0"/>
              <w:spacing w:after="0" w:line="240" w:lineRule="auto"/>
              <w:jc w:val="center"/>
              <w:rPr>
                <w:rFonts w:ascii="Times New Roman" w:hAnsi="Times New Roman" w:eastAsia="宋体" w:cs="Times New Roman"/>
                <w:sz w:val="21"/>
                <w:szCs w:val="21"/>
                <w:highlight w:val="none"/>
                <w:lang w:val="zh-TW" w:eastAsia="zh-TW" w:bidi="zh-TW"/>
                <w14:ligatures w14:val="none"/>
              </w:rPr>
            </w:pPr>
            <w:r>
              <w:rPr>
                <w:rFonts w:hint="eastAsia" w:ascii="Times New Roman" w:hAnsi="Times New Roman" w:eastAsia="宋体" w:cs="Times New Roman"/>
                <w:sz w:val="21"/>
                <w:szCs w:val="21"/>
                <w:highlight w:val="none"/>
                <w:lang w:bidi="zh-TW"/>
                <w14:ligatures w14:val="none"/>
              </w:rPr>
              <w:t>-</w:t>
            </w:r>
          </w:p>
        </w:tc>
        <w:tc>
          <w:tcPr>
            <w:tcW w:w="519" w:type="dxa"/>
            <w:shd w:val="clear" w:color="auto" w:fill="FFFFFF"/>
            <w:vAlign w:val="center"/>
          </w:tcPr>
          <w:p w14:paraId="3483D685">
            <w:pPr>
              <w:adjustRightInd w:val="0"/>
              <w:snapToGrid w:val="0"/>
              <w:spacing w:after="0" w:line="240" w:lineRule="auto"/>
              <w:jc w:val="center"/>
              <w:rPr>
                <w:rFonts w:ascii="Times New Roman" w:hAnsi="Times New Roman" w:eastAsia="宋体" w:cs="Times New Roman"/>
                <w:sz w:val="21"/>
                <w:szCs w:val="21"/>
                <w:highlight w:val="none"/>
                <w:lang w:bidi="zh-TW"/>
                <w14:ligatures w14:val="none"/>
              </w:rPr>
            </w:pPr>
            <w:r>
              <w:rPr>
                <w:rFonts w:ascii="Times New Roman" w:hAnsi="Times New Roman" w:eastAsia="宋体" w:cs="Times New Roman"/>
                <w:sz w:val="21"/>
                <w:szCs w:val="21"/>
                <w:highlight w:val="none"/>
                <w:lang w:val="zh-TW" w:eastAsia="zh-TW" w:bidi="zh-TW"/>
                <w14:ligatures w14:val="none"/>
              </w:rPr>
              <w:t>戊类</w:t>
            </w:r>
          </w:p>
        </w:tc>
        <w:tc>
          <w:tcPr>
            <w:tcW w:w="520" w:type="dxa"/>
            <w:vMerge w:val="continue"/>
            <w:shd w:val="clear" w:color="auto" w:fill="FFFFFF"/>
            <w:vAlign w:val="bottom"/>
          </w:tcPr>
          <w:p w14:paraId="40C96D34">
            <w:pPr>
              <w:adjustRightInd w:val="0"/>
              <w:snapToGrid w:val="0"/>
              <w:spacing w:after="0" w:line="240" w:lineRule="auto"/>
              <w:jc w:val="center"/>
              <w:rPr>
                <w:rFonts w:ascii="Times New Roman" w:hAnsi="Times New Roman" w:eastAsia="宋体" w:cs="Times New Roman"/>
                <w:sz w:val="21"/>
                <w:szCs w:val="21"/>
                <w:highlight w:val="none"/>
                <w:lang w:val="zh-TW" w:eastAsia="zh-TW" w:bidi="zh-TW"/>
                <w14:ligatures w14:val="none"/>
              </w:rPr>
            </w:pPr>
          </w:p>
        </w:tc>
      </w:tr>
      <w:tr w14:paraId="2BA99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16" w:type="dxa"/>
            <w:shd w:val="clear" w:color="auto" w:fill="FFFFFF"/>
            <w:vAlign w:val="center"/>
          </w:tcPr>
          <w:p w14:paraId="1FF24A74">
            <w:pPr>
              <w:numPr>
                <w:ilvl w:val="0"/>
                <w:numId w:val="8"/>
              </w:numPr>
              <w:adjustRightInd w:val="0"/>
              <w:snapToGrid w:val="0"/>
              <w:spacing w:after="0" w:line="240" w:lineRule="auto"/>
              <w:jc w:val="center"/>
              <w:rPr>
                <w:rFonts w:ascii="Times New Roman" w:hAnsi="Times New Roman" w:eastAsia="宋体" w:cs="Times New Roman"/>
                <w:sz w:val="21"/>
                <w:szCs w:val="21"/>
                <w:highlight w:val="none"/>
                <w:lang w:val="zh-TW" w:eastAsia="zh-TW" w:bidi="zh-TW"/>
                <w14:ligatures w14:val="none"/>
              </w:rPr>
            </w:pPr>
          </w:p>
        </w:tc>
        <w:tc>
          <w:tcPr>
            <w:tcW w:w="1822" w:type="dxa"/>
            <w:shd w:val="clear" w:color="auto" w:fill="FFFFFF"/>
            <w:vAlign w:val="center"/>
          </w:tcPr>
          <w:p w14:paraId="2D1EFF1C">
            <w:pPr>
              <w:adjustRightInd w:val="0"/>
              <w:snapToGrid w:val="0"/>
              <w:spacing w:after="0" w:line="240" w:lineRule="auto"/>
              <w:rPr>
                <w:rFonts w:ascii="Times New Roman" w:hAnsi="Times New Roman" w:eastAsia="宋体" w:cs="Times New Roman"/>
                <w:sz w:val="21"/>
                <w:szCs w:val="21"/>
                <w:highlight w:val="none"/>
                <w:lang w:bidi="zh-TW"/>
                <w14:ligatures w14:val="none"/>
              </w:rPr>
            </w:pPr>
            <w:r>
              <w:rPr>
                <w:rFonts w:hint="eastAsia" w:ascii="Times New Roman" w:hAnsi="Times New Roman" w:eastAsia="宋体" w:cs="Times New Roman"/>
                <w:sz w:val="21"/>
                <w:szCs w:val="21"/>
                <w:highlight w:val="none"/>
                <w:lang w:bidi="zh-TW"/>
                <w14:ligatures w14:val="none"/>
              </w:rPr>
              <w:t>氮[压缩的或液化的]</w:t>
            </w:r>
          </w:p>
        </w:tc>
        <w:tc>
          <w:tcPr>
            <w:tcW w:w="1122" w:type="dxa"/>
            <w:shd w:val="clear" w:color="auto" w:fill="FFFFFF"/>
            <w:vAlign w:val="center"/>
          </w:tcPr>
          <w:p w14:paraId="192DAD24">
            <w:pPr>
              <w:adjustRightInd w:val="0"/>
              <w:snapToGrid w:val="0"/>
              <w:spacing w:after="0" w:line="240" w:lineRule="auto"/>
              <w:jc w:val="center"/>
              <w:rPr>
                <w:rFonts w:ascii="Times New Roman" w:hAnsi="Times New Roman" w:eastAsia="宋体" w:cs="宋体"/>
                <w:kern w:val="0"/>
                <w:sz w:val="21"/>
                <w:szCs w:val="21"/>
                <w:highlight w:val="none"/>
                <w:lang w:val="zh-TW" w:eastAsia="zh-TW" w:bidi="zh-TW"/>
                <w14:ligatures w14:val="none"/>
              </w:rPr>
            </w:pPr>
            <w:r>
              <w:rPr>
                <w:rFonts w:ascii="Times New Roman" w:hAnsi="Times New Roman" w:eastAsia="宋体" w:cs="宋体"/>
                <w:kern w:val="0"/>
                <w:sz w:val="21"/>
                <w:szCs w:val="21"/>
                <w:highlight w:val="none"/>
                <w:lang w:val="zh-TW" w:eastAsia="zh-TW" w:bidi="zh-TW"/>
                <w14:ligatures w14:val="none"/>
              </w:rPr>
              <w:t>172</w:t>
            </w:r>
          </w:p>
        </w:tc>
        <w:tc>
          <w:tcPr>
            <w:tcW w:w="983" w:type="dxa"/>
            <w:shd w:val="clear" w:color="auto" w:fill="FFFFFF"/>
            <w:vAlign w:val="center"/>
          </w:tcPr>
          <w:p w14:paraId="0857FB00">
            <w:pPr>
              <w:adjustRightInd w:val="0"/>
              <w:snapToGrid w:val="0"/>
              <w:spacing w:after="0" w:line="240" w:lineRule="auto"/>
              <w:jc w:val="center"/>
              <w:rPr>
                <w:rFonts w:ascii="Times New Roman" w:hAnsi="Times New Roman" w:eastAsia="宋体" w:cs="宋体"/>
                <w:kern w:val="0"/>
                <w:sz w:val="21"/>
                <w:szCs w:val="21"/>
                <w:highlight w:val="none"/>
                <w:lang w:val="zh-TW" w:eastAsia="zh-TW" w:bidi="zh-TW"/>
                <w14:ligatures w14:val="none"/>
              </w:rPr>
            </w:pPr>
            <w:r>
              <w:rPr>
                <w:rFonts w:ascii="Times New Roman" w:hAnsi="Times New Roman" w:eastAsia="宋体" w:cs="宋体"/>
                <w:kern w:val="0"/>
                <w:sz w:val="21"/>
                <w:szCs w:val="21"/>
                <w:highlight w:val="none"/>
                <w:lang w:val="zh-TW" w:eastAsia="zh-TW" w:bidi="zh-TW"/>
                <w14:ligatures w14:val="none"/>
              </w:rPr>
              <w:t>7727-37-9</w:t>
            </w:r>
          </w:p>
        </w:tc>
        <w:tc>
          <w:tcPr>
            <w:tcW w:w="2113" w:type="dxa"/>
            <w:shd w:val="clear" w:color="auto" w:fill="FFFFFF"/>
            <w:vAlign w:val="center"/>
          </w:tcPr>
          <w:p w14:paraId="3244D5F7">
            <w:pPr>
              <w:adjustRightInd w:val="0"/>
              <w:snapToGrid w:val="0"/>
              <w:spacing w:after="0" w:line="240" w:lineRule="auto"/>
              <w:rPr>
                <w:rFonts w:ascii="Times New Roman" w:hAnsi="Times New Roman" w:eastAsia="宋体" w:cs="Times New Roman"/>
                <w:sz w:val="21"/>
                <w:szCs w:val="21"/>
                <w:highlight w:val="none"/>
                <w:lang w:bidi="zh-TW"/>
                <w14:ligatures w14:val="none"/>
              </w:rPr>
            </w:pPr>
            <w:r>
              <w:rPr>
                <w:rFonts w:hint="eastAsia" w:ascii="Times New Roman" w:hAnsi="Times New Roman" w:eastAsia="宋体" w:cs="Times New Roman"/>
                <w:sz w:val="21"/>
                <w:szCs w:val="21"/>
                <w:highlight w:val="none"/>
                <w:lang w:bidi="zh-TW"/>
                <w14:ligatures w14:val="none"/>
              </w:rPr>
              <w:t>加压气体</w:t>
            </w:r>
          </w:p>
        </w:tc>
        <w:tc>
          <w:tcPr>
            <w:tcW w:w="706" w:type="dxa"/>
            <w:shd w:val="clear" w:color="auto" w:fill="FFFFFF"/>
            <w:vAlign w:val="center"/>
          </w:tcPr>
          <w:p w14:paraId="15D12998">
            <w:pPr>
              <w:adjustRightInd w:val="0"/>
              <w:snapToGrid w:val="0"/>
              <w:spacing w:after="0" w:line="240" w:lineRule="auto"/>
              <w:jc w:val="center"/>
              <w:rPr>
                <w:rFonts w:ascii="Times New Roman" w:hAnsi="Times New Roman" w:eastAsia="宋体" w:cs="Times New Roman"/>
                <w:sz w:val="21"/>
                <w:szCs w:val="21"/>
                <w:highlight w:val="none"/>
                <w:lang w:bidi="zh-TW"/>
                <w14:ligatures w14:val="none"/>
              </w:rPr>
            </w:pPr>
            <w:r>
              <w:rPr>
                <w:rFonts w:hint="eastAsia" w:ascii="Times New Roman" w:hAnsi="Times New Roman" w:eastAsia="宋体" w:cs="Times New Roman"/>
                <w:sz w:val="21"/>
                <w:szCs w:val="21"/>
                <w:highlight w:val="none"/>
                <w:lang w:bidi="zh-TW"/>
                <w14:ligatures w14:val="none"/>
              </w:rPr>
              <w:t>-</w:t>
            </w:r>
          </w:p>
        </w:tc>
        <w:tc>
          <w:tcPr>
            <w:tcW w:w="867" w:type="dxa"/>
            <w:shd w:val="clear" w:color="auto" w:fill="FFFFFF"/>
            <w:vAlign w:val="center"/>
          </w:tcPr>
          <w:p w14:paraId="14355CED">
            <w:pPr>
              <w:adjustRightInd w:val="0"/>
              <w:snapToGrid w:val="0"/>
              <w:spacing w:after="0" w:line="240" w:lineRule="auto"/>
              <w:jc w:val="center"/>
              <w:rPr>
                <w:rFonts w:ascii="Times New Roman" w:hAnsi="Times New Roman" w:eastAsia="宋体" w:cs="Times New Roman"/>
                <w:sz w:val="21"/>
                <w:szCs w:val="21"/>
                <w:highlight w:val="none"/>
                <w:lang w:bidi="zh-TW"/>
                <w14:ligatures w14:val="none"/>
              </w:rPr>
            </w:pPr>
            <w:r>
              <w:rPr>
                <w:rFonts w:hint="eastAsia" w:ascii="Times New Roman" w:hAnsi="Times New Roman" w:eastAsia="宋体" w:cs="Times New Roman"/>
                <w:sz w:val="21"/>
                <w:szCs w:val="21"/>
                <w:highlight w:val="none"/>
                <w:lang w:bidi="zh-TW"/>
                <w14:ligatures w14:val="none"/>
              </w:rPr>
              <w:t>-</w:t>
            </w:r>
          </w:p>
        </w:tc>
        <w:tc>
          <w:tcPr>
            <w:tcW w:w="519" w:type="dxa"/>
            <w:shd w:val="clear" w:color="auto" w:fill="FFFFFF"/>
            <w:vAlign w:val="center"/>
          </w:tcPr>
          <w:p w14:paraId="5E3AA61F">
            <w:pPr>
              <w:adjustRightInd w:val="0"/>
              <w:snapToGrid w:val="0"/>
              <w:spacing w:after="0" w:line="240" w:lineRule="auto"/>
              <w:jc w:val="center"/>
              <w:rPr>
                <w:rFonts w:ascii="Times New Roman" w:hAnsi="Times New Roman" w:eastAsia="宋体" w:cs="Times New Roman"/>
                <w:sz w:val="21"/>
                <w:szCs w:val="21"/>
                <w:highlight w:val="none"/>
                <w:lang w:val="zh-TW" w:eastAsia="zh-TW" w:bidi="zh-TW"/>
                <w14:ligatures w14:val="none"/>
              </w:rPr>
            </w:pPr>
            <w:r>
              <w:rPr>
                <w:rFonts w:ascii="Times New Roman" w:hAnsi="Times New Roman" w:eastAsia="宋体" w:cs="Times New Roman"/>
                <w:sz w:val="21"/>
                <w:szCs w:val="21"/>
                <w:highlight w:val="none"/>
                <w:lang w:val="zh-TW" w:eastAsia="zh-TW" w:bidi="zh-TW"/>
                <w14:ligatures w14:val="none"/>
              </w:rPr>
              <w:t>戊类</w:t>
            </w:r>
          </w:p>
        </w:tc>
        <w:tc>
          <w:tcPr>
            <w:tcW w:w="520" w:type="dxa"/>
            <w:vMerge w:val="continue"/>
            <w:shd w:val="clear" w:color="auto" w:fill="FFFFFF"/>
            <w:vAlign w:val="bottom"/>
          </w:tcPr>
          <w:p w14:paraId="0B03CBAE">
            <w:pPr>
              <w:adjustRightInd w:val="0"/>
              <w:snapToGrid w:val="0"/>
              <w:spacing w:after="0" w:line="240" w:lineRule="auto"/>
              <w:jc w:val="center"/>
              <w:rPr>
                <w:rFonts w:ascii="Times New Roman" w:hAnsi="Times New Roman" w:eastAsia="宋体" w:cs="Times New Roman"/>
                <w:sz w:val="21"/>
                <w:szCs w:val="21"/>
                <w:highlight w:val="none"/>
                <w:lang w:val="zh-TW" w:eastAsia="zh-TW" w:bidi="zh-TW"/>
                <w14:ligatures w14:val="none"/>
              </w:rPr>
            </w:pPr>
          </w:p>
        </w:tc>
      </w:tr>
      <w:tr w14:paraId="1C691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16" w:type="dxa"/>
            <w:shd w:val="clear" w:color="auto" w:fill="FFFFFF"/>
            <w:vAlign w:val="center"/>
          </w:tcPr>
          <w:p w14:paraId="3B7DCA96">
            <w:pPr>
              <w:numPr>
                <w:ilvl w:val="0"/>
                <w:numId w:val="8"/>
              </w:numPr>
              <w:adjustRightInd w:val="0"/>
              <w:snapToGrid w:val="0"/>
              <w:spacing w:after="0" w:line="240" w:lineRule="auto"/>
              <w:jc w:val="center"/>
              <w:rPr>
                <w:rFonts w:ascii="Times New Roman" w:hAnsi="Times New Roman" w:eastAsia="宋体" w:cs="Times New Roman"/>
                <w:sz w:val="21"/>
                <w:szCs w:val="21"/>
                <w:highlight w:val="none"/>
                <w:lang w:val="zh-TW" w:eastAsia="zh-TW" w:bidi="zh-TW"/>
                <w14:ligatures w14:val="none"/>
              </w:rPr>
            </w:pPr>
          </w:p>
        </w:tc>
        <w:tc>
          <w:tcPr>
            <w:tcW w:w="1822" w:type="dxa"/>
            <w:shd w:val="clear" w:color="auto" w:fill="FFFFFF"/>
            <w:vAlign w:val="center"/>
          </w:tcPr>
          <w:p w14:paraId="63D1BBE0">
            <w:pPr>
              <w:adjustRightInd w:val="0"/>
              <w:snapToGrid w:val="0"/>
              <w:spacing w:after="0" w:line="240" w:lineRule="auto"/>
              <w:jc w:val="both"/>
              <w:rPr>
                <w:rFonts w:ascii="Times New Roman" w:hAnsi="Times New Roman" w:eastAsia="宋体" w:cs="Times New Roman"/>
                <w:sz w:val="21"/>
                <w:szCs w:val="21"/>
                <w:highlight w:val="none"/>
                <w:lang w:val="zh-TW" w:bidi="zh-TW"/>
                <w14:ligatures w14:val="none"/>
              </w:rPr>
            </w:pPr>
            <w:r>
              <w:rPr>
                <w:rFonts w:ascii="Times New Roman" w:hAnsi="Times New Roman" w:eastAsia="宋体" w:cs="Times New Roman"/>
                <w:sz w:val="21"/>
                <w:szCs w:val="21"/>
                <w:highlight w:val="none"/>
                <w:lang w:val="zh-TW" w:bidi="zh-TW"/>
                <w14:ligatures w14:val="none"/>
              </w:rPr>
              <w:t>二氧化碳</w:t>
            </w:r>
            <w:r>
              <w:rPr>
                <w:rFonts w:hint="eastAsia" w:ascii="Times New Roman" w:hAnsi="Times New Roman" w:eastAsia="宋体" w:cs="Times New Roman"/>
                <w:sz w:val="21"/>
                <w:szCs w:val="21"/>
                <w:highlight w:val="none"/>
                <w:lang w:bidi="zh-TW"/>
                <w14:ligatures w14:val="none"/>
              </w:rPr>
              <w:t>[压缩的或液化的]</w:t>
            </w:r>
          </w:p>
        </w:tc>
        <w:tc>
          <w:tcPr>
            <w:tcW w:w="1122" w:type="dxa"/>
            <w:shd w:val="clear" w:color="auto" w:fill="FFFFFF"/>
            <w:vAlign w:val="center"/>
          </w:tcPr>
          <w:p w14:paraId="002162FC">
            <w:pPr>
              <w:adjustRightInd w:val="0"/>
              <w:snapToGrid w:val="0"/>
              <w:spacing w:after="0" w:line="240" w:lineRule="auto"/>
              <w:jc w:val="center"/>
              <w:rPr>
                <w:rFonts w:ascii="Times New Roman" w:hAnsi="Times New Roman" w:eastAsia="宋体" w:cs="宋体"/>
                <w:kern w:val="0"/>
                <w:sz w:val="21"/>
                <w:szCs w:val="21"/>
                <w:highlight w:val="none"/>
                <w:lang w:val="zh-TW" w:eastAsia="zh-TW" w:bidi="zh-TW"/>
                <w14:ligatures w14:val="none"/>
              </w:rPr>
            </w:pPr>
            <w:r>
              <w:rPr>
                <w:rFonts w:ascii="Times New Roman" w:hAnsi="Times New Roman" w:eastAsia="宋体" w:cs="宋体"/>
                <w:kern w:val="0"/>
                <w:sz w:val="21"/>
                <w:szCs w:val="21"/>
                <w:highlight w:val="none"/>
                <w:lang w:val="zh-TW" w:eastAsia="zh-TW" w:bidi="zh-TW"/>
                <w14:ligatures w14:val="none"/>
              </w:rPr>
              <w:t>642</w:t>
            </w:r>
          </w:p>
        </w:tc>
        <w:tc>
          <w:tcPr>
            <w:tcW w:w="983" w:type="dxa"/>
            <w:shd w:val="clear" w:color="auto" w:fill="FFFFFF"/>
            <w:vAlign w:val="center"/>
          </w:tcPr>
          <w:p w14:paraId="1BDF1286">
            <w:pPr>
              <w:adjustRightInd w:val="0"/>
              <w:snapToGrid w:val="0"/>
              <w:spacing w:after="0" w:line="240" w:lineRule="auto"/>
              <w:jc w:val="center"/>
              <w:rPr>
                <w:rFonts w:ascii="Times New Roman" w:hAnsi="Times New Roman" w:eastAsia="宋体" w:cs="宋体"/>
                <w:kern w:val="0"/>
                <w:sz w:val="21"/>
                <w:szCs w:val="21"/>
                <w:highlight w:val="none"/>
                <w:lang w:val="zh-TW" w:eastAsia="zh-TW" w:bidi="zh-TW"/>
                <w14:ligatures w14:val="none"/>
              </w:rPr>
            </w:pPr>
            <w:r>
              <w:rPr>
                <w:rFonts w:ascii="Times New Roman" w:hAnsi="Times New Roman" w:eastAsia="宋体" w:cs="宋体"/>
                <w:kern w:val="0"/>
                <w:sz w:val="21"/>
                <w:szCs w:val="21"/>
                <w:highlight w:val="none"/>
                <w:lang w:val="zh-TW" w:eastAsia="zh-TW" w:bidi="zh-TW"/>
                <w14:ligatures w14:val="none"/>
              </w:rPr>
              <w:t>124-38-9</w:t>
            </w:r>
          </w:p>
        </w:tc>
        <w:tc>
          <w:tcPr>
            <w:tcW w:w="2113" w:type="dxa"/>
            <w:shd w:val="clear" w:color="auto" w:fill="FFFFFF"/>
            <w:vAlign w:val="center"/>
          </w:tcPr>
          <w:p w14:paraId="57D66244">
            <w:pPr>
              <w:widowControl/>
              <w:adjustRightInd w:val="0"/>
              <w:snapToGrid w:val="0"/>
              <w:spacing w:after="0" w:line="240" w:lineRule="auto"/>
              <w:rPr>
                <w:rFonts w:ascii="Times New Roman" w:hAnsi="Times New Roman" w:eastAsia="宋体" w:cs="Times New Roman"/>
                <w:sz w:val="21"/>
                <w:szCs w:val="21"/>
                <w:highlight w:val="none"/>
                <w:lang w:bidi="zh-TW"/>
                <w14:ligatures w14:val="none"/>
              </w:rPr>
            </w:pPr>
            <w:r>
              <w:rPr>
                <w:rFonts w:hint="eastAsia" w:ascii="Times New Roman" w:hAnsi="Times New Roman" w:eastAsia="宋体" w:cs="Times New Roman"/>
                <w:sz w:val="21"/>
                <w:szCs w:val="21"/>
                <w:highlight w:val="none"/>
                <w:lang w:bidi="zh-TW"/>
                <w14:ligatures w14:val="none"/>
              </w:rPr>
              <w:t>加压气体</w:t>
            </w:r>
          </w:p>
          <w:p w14:paraId="5684ACC9">
            <w:pPr>
              <w:adjustRightInd w:val="0"/>
              <w:snapToGrid w:val="0"/>
              <w:spacing w:after="0" w:line="240" w:lineRule="auto"/>
              <w:rPr>
                <w:rFonts w:ascii="Times New Roman" w:hAnsi="Times New Roman" w:eastAsia="宋体" w:cs="Times New Roman"/>
                <w:sz w:val="21"/>
                <w:szCs w:val="21"/>
                <w:highlight w:val="none"/>
                <w:lang w:val="zh-TW" w:bidi="zh-TW"/>
                <w14:ligatures w14:val="none"/>
              </w:rPr>
            </w:pPr>
            <w:r>
              <w:rPr>
                <w:rFonts w:hint="eastAsia" w:ascii="Times New Roman" w:hAnsi="Times New Roman" w:eastAsia="宋体" w:cs="Times New Roman"/>
                <w:sz w:val="21"/>
                <w:szCs w:val="21"/>
                <w:highlight w:val="none"/>
                <w:lang w:bidi="zh-TW"/>
                <w14:ligatures w14:val="none"/>
              </w:rPr>
              <w:t>特异性靶器官毒性-一次接触，类别3（麻醉效应）</w:t>
            </w:r>
          </w:p>
        </w:tc>
        <w:tc>
          <w:tcPr>
            <w:tcW w:w="706" w:type="dxa"/>
            <w:shd w:val="clear" w:color="auto" w:fill="FFFFFF"/>
            <w:vAlign w:val="center"/>
          </w:tcPr>
          <w:p w14:paraId="3AE56BF1">
            <w:pPr>
              <w:adjustRightInd w:val="0"/>
              <w:snapToGrid w:val="0"/>
              <w:spacing w:after="0" w:line="240" w:lineRule="auto"/>
              <w:jc w:val="center"/>
              <w:rPr>
                <w:rFonts w:ascii="Times New Roman" w:hAnsi="Times New Roman" w:eastAsia="宋体" w:cs="Times New Roman"/>
                <w:sz w:val="21"/>
                <w:szCs w:val="21"/>
                <w:highlight w:val="none"/>
                <w:lang w:bidi="zh-TW"/>
                <w14:ligatures w14:val="none"/>
              </w:rPr>
            </w:pPr>
            <w:r>
              <w:rPr>
                <w:rFonts w:hint="eastAsia" w:ascii="Times New Roman" w:hAnsi="Times New Roman" w:eastAsia="宋体" w:cs="Times New Roman"/>
                <w:sz w:val="21"/>
                <w:szCs w:val="21"/>
                <w:highlight w:val="none"/>
                <w:lang w:bidi="zh-TW"/>
                <w14:ligatures w14:val="none"/>
              </w:rPr>
              <w:t>-</w:t>
            </w:r>
          </w:p>
        </w:tc>
        <w:tc>
          <w:tcPr>
            <w:tcW w:w="867" w:type="dxa"/>
            <w:shd w:val="clear" w:color="auto" w:fill="FFFFFF"/>
            <w:vAlign w:val="center"/>
          </w:tcPr>
          <w:p w14:paraId="0E6ADCFD">
            <w:pPr>
              <w:adjustRightInd w:val="0"/>
              <w:snapToGrid w:val="0"/>
              <w:spacing w:after="0" w:line="240" w:lineRule="auto"/>
              <w:jc w:val="center"/>
              <w:rPr>
                <w:rFonts w:ascii="Times New Roman" w:hAnsi="Times New Roman" w:eastAsia="宋体" w:cs="Times New Roman"/>
                <w:sz w:val="21"/>
                <w:szCs w:val="21"/>
                <w:highlight w:val="none"/>
                <w:lang w:bidi="zh-TW"/>
                <w14:ligatures w14:val="none"/>
              </w:rPr>
            </w:pPr>
            <w:r>
              <w:rPr>
                <w:rFonts w:hint="eastAsia" w:ascii="Times New Roman" w:hAnsi="Times New Roman" w:eastAsia="宋体" w:cs="Times New Roman"/>
                <w:sz w:val="21"/>
                <w:szCs w:val="21"/>
                <w:highlight w:val="none"/>
                <w:lang w:bidi="zh-TW"/>
                <w14:ligatures w14:val="none"/>
              </w:rPr>
              <w:t>-</w:t>
            </w:r>
          </w:p>
        </w:tc>
        <w:tc>
          <w:tcPr>
            <w:tcW w:w="519" w:type="dxa"/>
            <w:shd w:val="clear" w:color="auto" w:fill="FFFFFF"/>
            <w:vAlign w:val="center"/>
          </w:tcPr>
          <w:p w14:paraId="34AC809F">
            <w:pPr>
              <w:adjustRightInd w:val="0"/>
              <w:snapToGrid w:val="0"/>
              <w:spacing w:after="0" w:line="240" w:lineRule="auto"/>
              <w:jc w:val="center"/>
              <w:rPr>
                <w:rFonts w:ascii="Times New Roman" w:hAnsi="Times New Roman" w:eastAsia="宋体" w:cs="Times New Roman"/>
                <w:sz w:val="21"/>
                <w:szCs w:val="21"/>
                <w:highlight w:val="none"/>
                <w:lang w:bidi="zh-TW"/>
                <w14:ligatures w14:val="none"/>
              </w:rPr>
            </w:pPr>
            <w:r>
              <w:rPr>
                <w:rFonts w:ascii="Times New Roman" w:hAnsi="Times New Roman" w:eastAsia="宋体" w:cs="Times New Roman"/>
                <w:sz w:val="21"/>
                <w:szCs w:val="21"/>
                <w:highlight w:val="none"/>
                <w:lang w:val="zh-TW" w:eastAsia="zh-TW" w:bidi="zh-TW"/>
                <w14:ligatures w14:val="none"/>
              </w:rPr>
              <w:t>戊类</w:t>
            </w:r>
          </w:p>
        </w:tc>
        <w:tc>
          <w:tcPr>
            <w:tcW w:w="520" w:type="dxa"/>
            <w:vMerge w:val="continue"/>
            <w:shd w:val="clear" w:color="auto" w:fill="FFFFFF"/>
            <w:vAlign w:val="center"/>
          </w:tcPr>
          <w:p w14:paraId="58CF1BC4">
            <w:pPr>
              <w:adjustRightInd w:val="0"/>
              <w:snapToGrid w:val="0"/>
              <w:spacing w:after="0" w:line="240" w:lineRule="auto"/>
              <w:jc w:val="center"/>
              <w:rPr>
                <w:rFonts w:ascii="Times New Roman" w:hAnsi="Times New Roman" w:eastAsia="宋体" w:cs="Times New Roman"/>
                <w:sz w:val="21"/>
                <w:szCs w:val="21"/>
                <w:highlight w:val="none"/>
                <w:lang w:val="zh-TW" w:eastAsia="zh-TW" w:bidi="zh-TW"/>
                <w14:ligatures w14:val="none"/>
              </w:rPr>
            </w:pPr>
          </w:p>
        </w:tc>
      </w:tr>
      <w:tr w14:paraId="2F4DA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16" w:type="dxa"/>
            <w:shd w:val="clear" w:color="auto" w:fill="FFFFFF"/>
            <w:vAlign w:val="center"/>
          </w:tcPr>
          <w:p w14:paraId="47388BC3">
            <w:pPr>
              <w:numPr>
                <w:ilvl w:val="0"/>
                <w:numId w:val="8"/>
              </w:numPr>
              <w:adjustRightInd w:val="0"/>
              <w:snapToGrid w:val="0"/>
              <w:spacing w:after="0" w:line="240" w:lineRule="auto"/>
              <w:jc w:val="center"/>
              <w:rPr>
                <w:rFonts w:ascii="Times New Roman" w:hAnsi="Times New Roman" w:eastAsia="宋体" w:cs="Times New Roman"/>
                <w:sz w:val="21"/>
                <w:szCs w:val="21"/>
                <w:highlight w:val="none"/>
                <w:lang w:val="zh-TW" w:eastAsia="zh-TW" w:bidi="zh-TW"/>
                <w14:ligatures w14:val="none"/>
              </w:rPr>
            </w:pPr>
          </w:p>
        </w:tc>
        <w:tc>
          <w:tcPr>
            <w:tcW w:w="1822" w:type="dxa"/>
            <w:shd w:val="clear" w:color="auto" w:fill="FFFFFF"/>
            <w:vAlign w:val="center"/>
          </w:tcPr>
          <w:p w14:paraId="5F569F8A">
            <w:pPr>
              <w:adjustRightInd w:val="0"/>
              <w:snapToGrid w:val="0"/>
              <w:spacing w:after="0" w:line="240" w:lineRule="auto"/>
              <w:jc w:val="both"/>
              <w:rPr>
                <w:rFonts w:ascii="Times New Roman" w:hAnsi="Times New Roman" w:eastAsia="宋体" w:cs="Times New Roman"/>
                <w:sz w:val="21"/>
                <w:szCs w:val="21"/>
                <w:highlight w:val="none"/>
                <w:lang w:val="zh-TW" w:bidi="zh-TW"/>
                <w14:ligatures w14:val="none"/>
              </w:rPr>
            </w:pPr>
            <w:r>
              <w:rPr>
                <w:rFonts w:hint="eastAsia" w:ascii="Times New Roman" w:hAnsi="Times New Roman" w:eastAsia="宋体" w:cs="Times New Roman"/>
                <w:sz w:val="21"/>
                <w:szCs w:val="21"/>
                <w:highlight w:val="none"/>
                <w:lang w:val="zh-TW" w:bidi="zh-TW"/>
                <w14:ligatures w14:val="none"/>
              </w:rPr>
              <w:t>氢气</w:t>
            </w:r>
          </w:p>
        </w:tc>
        <w:tc>
          <w:tcPr>
            <w:tcW w:w="1122" w:type="dxa"/>
            <w:shd w:val="clear" w:color="auto" w:fill="FFFFFF"/>
            <w:vAlign w:val="center"/>
          </w:tcPr>
          <w:p w14:paraId="193359F6">
            <w:pPr>
              <w:adjustRightInd w:val="0"/>
              <w:snapToGrid w:val="0"/>
              <w:spacing w:after="0" w:line="240" w:lineRule="auto"/>
              <w:jc w:val="center"/>
              <w:rPr>
                <w:rFonts w:ascii="Times New Roman" w:hAnsi="Times New Roman" w:eastAsia="宋体" w:cs="宋体"/>
                <w:kern w:val="0"/>
                <w:sz w:val="21"/>
                <w:szCs w:val="21"/>
                <w:highlight w:val="none"/>
                <w:lang w:val="zh-TW" w:bidi="zh-TW"/>
                <w14:ligatures w14:val="none"/>
              </w:rPr>
            </w:pPr>
            <w:r>
              <w:rPr>
                <w:rFonts w:hint="eastAsia" w:ascii="Times New Roman" w:hAnsi="Times New Roman" w:eastAsia="宋体" w:cs="宋体"/>
                <w:kern w:val="0"/>
                <w:sz w:val="21"/>
                <w:szCs w:val="21"/>
                <w:highlight w:val="none"/>
                <w:lang w:val="zh-TW" w:bidi="zh-TW"/>
                <w14:ligatures w14:val="none"/>
              </w:rPr>
              <w:t>1648</w:t>
            </w:r>
          </w:p>
        </w:tc>
        <w:tc>
          <w:tcPr>
            <w:tcW w:w="983" w:type="dxa"/>
            <w:shd w:val="clear" w:color="auto" w:fill="FFFFFF"/>
            <w:vAlign w:val="center"/>
          </w:tcPr>
          <w:p w14:paraId="620EEA43">
            <w:pPr>
              <w:adjustRightInd w:val="0"/>
              <w:snapToGrid w:val="0"/>
              <w:spacing w:after="0" w:line="240" w:lineRule="auto"/>
              <w:jc w:val="center"/>
              <w:rPr>
                <w:rFonts w:ascii="Times New Roman" w:hAnsi="Times New Roman" w:eastAsia="宋体" w:cs="宋体"/>
                <w:kern w:val="0"/>
                <w:sz w:val="21"/>
                <w:szCs w:val="21"/>
                <w:highlight w:val="none"/>
                <w:lang w:val="zh-TW" w:eastAsia="zh-TW" w:bidi="zh-TW"/>
                <w14:ligatures w14:val="none"/>
              </w:rPr>
            </w:pPr>
            <w:r>
              <w:rPr>
                <w:rFonts w:hint="eastAsia" w:ascii="Times New Roman" w:hAnsi="Times New Roman" w:eastAsia="宋体" w:cs="宋体"/>
                <w:kern w:val="0"/>
                <w:sz w:val="21"/>
                <w:szCs w:val="21"/>
                <w:highlight w:val="none"/>
                <w:lang w:val="zh-TW" w:eastAsia="zh-TW" w:bidi="zh-TW"/>
                <w14:ligatures w14:val="none"/>
              </w:rPr>
              <w:t>1333-74-0</w:t>
            </w:r>
          </w:p>
        </w:tc>
        <w:tc>
          <w:tcPr>
            <w:tcW w:w="2113" w:type="dxa"/>
            <w:shd w:val="clear" w:color="auto" w:fill="FFFFFF"/>
            <w:vAlign w:val="center"/>
          </w:tcPr>
          <w:p w14:paraId="0C87786E">
            <w:pPr>
              <w:widowControl/>
              <w:adjustRightInd w:val="0"/>
              <w:snapToGrid w:val="0"/>
              <w:spacing w:after="0" w:line="240" w:lineRule="auto"/>
              <w:rPr>
                <w:rFonts w:ascii="Times New Roman" w:hAnsi="Times New Roman" w:eastAsia="宋体" w:cs="Times New Roman"/>
                <w:sz w:val="21"/>
                <w:szCs w:val="21"/>
                <w:highlight w:val="none"/>
                <w:lang w:bidi="zh-TW"/>
                <w14:ligatures w14:val="none"/>
              </w:rPr>
            </w:pPr>
            <w:r>
              <w:rPr>
                <w:rFonts w:hint="eastAsia" w:ascii="Times New Roman" w:hAnsi="Times New Roman" w:eastAsia="宋体" w:cs="Times New Roman"/>
                <w:sz w:val="21"/>
                <w:szCs w:val="21"/>
                <w:highlight w:val="none"/>
                <w:lang w:bidi="zh-TW"/>
                <w14:ligatures w14:val="none"/>
              </w:rPr>
              <w:t>易燃气体，类别1</w:t>
            </w:r>
          </w:p>
          <w:p w14:paraId="713DF982">
            <w:pPr>
              <w:widowControl/>
              <w:adjustRightInd w:val="0"/>
              <w:snapToGrid w:val="0"/>
              <w:spacing w:after="0" w:line="240" w:lineRule="auto"/>
              <w:rPr>
                <w:rFonts w:ascii="Times New Roman" w:hAnsi="Times New Roman" w:eastAsia="宋体" w:cs="Times New Roman"/>
                <w:sz w:val="21"/>
                <w:szCs w:val="21"/>
                <w:highlight w:val="none"/>
                <w:lang w:bidi="zh-TW"/>
                <w14:ligatures w14:val="none"/>
              </w:rPr>
            </w:pPr>
            <w:r>
              <w:rPr>
                <w:rFonts w:hint="eastAsia" w:ascii="Times New Roman" w:hAnsi="Times New Roman" w:eastAsia="宋体" w:cs="Times New Roman"/>
                <w:sz w:val="21"/>
                <w:szCs w:val="21"/>
                <w:highlight w:val="none"/>
                <w:lang w:bidi="zh-TW"/>
                <w14:ligatures w14:val="none"/>
              </w:rPr>
              <w:t>加压气体</w:t>
            </w:r>
          </w:p>
        </w:tc>
        <w:tc>
          <w:tcPr>
            <w:tcW w:w="706" w:type="dxa"/>
            <w:shd w:val="clear" w:color="auto" w:fill="FFFFFF"/>
            <w:vAlign w:val="center"/>
          </w:tcPr>
          <w:p w14:paraId="7199E304">
            <w:pPr>
              <w:adjustRightInd w:val="0"/>
              <w:snapToGrid w:val="0"/>
              <w:spacing w:after="0" w:line="240" w:lineRule="auto"/>
              <w:jc w:val="center"/>
              <w:rPr>
                <w:rFonts w:ascii="Times New Roman" w:hAnsi="Times New Roman" w:eastAsia="宋体" w:cs="Times New Roman"/>
                <w:sz w:val="21"/>
                <w:szCs w:val="21"/>
                <w:highlight w:val="none"/>
                <w:lang w:bidi="zh-TW"/>
                <w14:ligatures w14:val="none"/>
              </w:rPr>
            </w:pPr>
            <w:r>
              <w:rPr>
                <w:rFonts w:hint="eastAsia" w:ascii="Times New Roman" w:hAnsi="Times New Roman" w:eastAsia="宋体" w:cs="Times New Roman"/>
                <w:sz w:val="21"/>
                <w:szCs w:val="21"/>
                <w:highlight w:val="none"/>
                <w:lang w:bidi="zh-TW"/>
                <w14:ligatures w14:val="none"/>
              </w:rPr>
              <w:t>-</w:t>
            </w:r>
          </w:p>
        </w:tc>
        <w:tc>
          <w:tcPr>
            <w:tcW w:w="867" w:type="dxa"/>
            <w:shd w:val="clear" w:color="auto" w:fill="FFFFFF"/>
            <w:vAlign w:val="center"/>
          </w:tcPr>
          <w:p w14:paraId="37A6F4C8">
            <w:pPr>
              <w:adjustRightInd w:val="0"/>
              <w:snapToGrid w:val="0"/>
              <w:spacing w:after="0" w:line="240" w:lineRule="auto"/>
              <w:jc w:val="center"/>
              <w:rPr>
                <w:rFonts w:ascii="Times New Roman" w:hAnsi="Times New Roman" w:eastAsia="宋体" w:cs="Times New Roman"/>
                <w:sz w:val="21"/>
                <w:szCs w:val="21"/>
                <w:highlight w:val="none"/>
                <w:lang w:bidi="zh-TW"/>
                <w14:ligatures w14:val="none"/>
              </w:rPr>
            </w:pPr>
            <w:r>
              <w:rPr>
                <w:rFonts w:hint="eastAsia" w:ascii="Times New Roman" w:hAnsi="Times New Roman" w:eastAsia="宋体" w:cs="Times New Roman"/>
                <w:sz w:val="21"/>
                <w:szCs w:val="21"/>
                <w:highlight w:val="none"/>
                <w:lang w:bidi="zh-TW"/>
                <w14:ligatures w14:val="none"/>
              </w:rPr>
              <w:t>4</w:t>
            </w:r>
            <w:r>
              <w:rPr>
                <w:rFonts w:hint="eastAsia" w:ascii="Times New Roman" w:hAnsi="Times New Roman" w:eastAsia="宋体" w:cs="Times New Roman"/>
                <w:sz w:val="21"/>
                <w:szCs w:val="21"/>
                <w:highlight w:val="none"/>
                <w:lang w:val="en-US" w:eastAsia="zh-CN" w:bidi="zh-TW"/>
                <w14:ligatures w14:val="none"/>
              </w:rPr>
              <w:t>~</w:t>
            </w:r>
            <w:r>
              <w:rPr>
                <w:rFonts w:hint="eastAsia" w:ascii="Times New Roman" w:hAnsi="Times New Roman" w:eastAsia="宋体" w:cs="Times New Roman"/>
                <w:sz w:val="21"/>
                <w:szCs w:val="21"/>
                <w:highlight w:val="none"/>
                <w:lang w:bidi="zh-TW"/>
                <w14:ligatures w14:val="none"/>
              </w:rPr>
              <w:t>75</w:t>
            </w:r>
          </w:p>
        </w:tc>
        <w:tc>
          <w:tcPr>
            <w:tcW w:w="519" w:type="dxa"/>
            <w:shd w:val="clear" w:color="auto" w:fill="FFFFFF"/>
            <w:vAlign w:val="center"/>
          </w:tcPr>
          <w:p w14:paraId="1B097EE4">
            <w:pPr>
              <w:adjustRightInd w:val="0"/>
              <w:snapToGrid w:val="0"/>
              <w:spacing w:after="0" w:line="240" w:lineRule="auto"/>
              <w:jc w:val="center"/>
              <w:rPr>
                <w:rFonts w:ascii="Times New Roman" w:hAnsi="Times New Roman" w:eastAsia="宋体" w:cs="Times New Roman"/>
                <w:sz w:val="21"/>
                <w:szCs w:val="21"/>
                <w:highlight w:val="none"/>
                <w:lang w:val="zh-TW" w:eastAsia="zh-TW" w:bidi="zh-TW"/>
                <w14:ligatures w14:val="none"/>
              </w:rPr>
            </w:pPr>
            <w:r>
              <w:rPr>
                <w:rFonts w:hint="eastAsia" w:ascii="Times New Roman" w:hAnsi="Times New Roman" w:eastAsia="宋体" w:cs="Times New Roman"/>
                <w:sz w:val="21"/>
                <w:szCs w:val="21"/>
                <w:highlight w:val="none"/>
                <w:lang w:val="zh-TW" w:eastAsia="zh-TW" w:bidi="zh-TW"/>
                <w14:ligatures w14:val="none"/>
              </w:rPr>
              <w:t>甲类</w:t>
            </w:r>
          </w:p>
        </w:tc>
        <w:tc>
          <w:tcPr>
            <w:tcW w:w="520" w:type="dxa"/>
            <w:vMerge w:val="restart"/>
            <w:shd w:val="clear" w:color="auto" w:fill="FFFFFF"/>
            <w:vAlign w:val="center"/>
          </w:tcPr>
          <w:p w14:paraId="5655A953">
            <w:pPr>
              <w:adjustRightInd w:val="0"/>
              <w:snapToGrid w:val="0"/>
              <w:spacing w:after="0" w:line="240" w:lineRule="auto"/>
              <w:jc w:val="center"/>
              <w:rPr>
                <w:rFonts w:hint="eastAsia" w:ascii="Times New Roman" w:hAnsi="Times New Roman" w:eastAsia="宋体" w:cs="Times New Roman"/>
                <w:sz w:val="21"/>
                <w:szCs w:val="21"/>
                <w:highlight w:val="none"/>
                <w:lang w:val="en-US" w:eastAsia="zh-CN" w:bidi="zh-TW"/>
                <w14:ligatures w14:val="none"/>
              </w:rPr>
            </w:pPr>
            <w:r>
              <w:rPr>
                <w:rFonts w:hint="eastAsia" w:ascii="Times New Roman" w:hAnsi="Times New Roman" w:eastAsia="宋体" w:cs="Times New Roman"/>
                <w:sz w:val="21"/>
                <w:szCs w:val="21"/>
                <w:highlight w:val="none"/>
                <w:lang w:val="en-US" w:eastAsia="zh-CN" w:bidi="zh-TW"/>
                <w14:ligatures w14:val="none"/>
              </w:rPr>
              <w:t>票据经营</w:t>
            </w:r>
          </w:p>
        </w:tc>
      </w:tr>
      <w:tr w14:paraId="04602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16" w:type="dxa"/>
            <w:shd w:val="clear" w:color="auto" w:fill="FFFFFF"/>
            <w:vAlign w:val="center"/>
          </w:tcPr>
          <w:p w14:paraId="4956E18D">
            <w:pPr>
              <w:numPr>
                <w:ilvl w:val="0"/>
                <w:numId w:val="8"/>
              </w:numPr>
              <w:adjustRightInd w:val="0"/>
              <w:snapToGrid w:val="0"/>
              <w:spacing w:after="0" w:line="240" w:lineRule="auto"/>
              <w:jc w:val="center"/>
              <w:rPr>
                <w:rFonts w:ascii="Times New Roman" w:hAnsi="Times New Roman" w:eastAsia="宋体" w:cs="Times New Roman"/>
                <w:sz w:val="21"/>
                <w:szCs w:val="21"/>
                <w:highlight w:val="none"/>
                <w:lang w:val="zh-TW" w:eastAsia="zh-TW" w:bidi="zh-TW"/>
                <w14:ligatures w14:val="none"/>
              </w:rPr>
            </w:pPr>
          </w:p>
        </w:tc>
        <w:tc>
          <w:tcPr>
            <w:tcW w:w="1822" w:type="dxa"/>
            <w:shd w:val="clear" w:color="auto" w:fill="FFFFFF"/>
            <w:vAlign w:val="center"/>
          </w:tcPr>
          <w:p w14:paraId="2517AE79">
            <w:pPr>
              <w:adjustRightInd w:val="0"/>
              <w:snapToGrid w:val="0"/>
              <w:spacing w:after="0" w:line="240" w:lineRule="auto"/>
              <w:jc w:val="both"/>
              <w:rPr>
                <w:rFonts w:ascii="Times New Roman" w:hAnsi="Times New Roman" w:eastAsia="宋体" w:cs="Times New Roman"/>
                <w:sz w:val="21"/>
                <w:szCs w:val="21"/>
                <w:highlight w:val="none"/>
                <w:lang w:bidi="zh-TW"/>
                <w14:ligatures w14:val="none"/>
              </w:rPr>
            </w:pPr>
            <w:r>
              <w:rPr>
                <w:rFonts w:hint="eastAsia" w:ascii="Times New Roman" w:hAnsi="Times New Roman" w:eastAsia="宋体" w:cs="Times New Roman"/>
                <w:sz w:val="21"/>
                <w:szCs w:val="21"/>
                <w:highlight w:val="none"/>
                <w:lang w:bidi="zh-TW"/>
                <w14:ligatures w14:val="none"/>
              </w:rPr>
              <w:t>氦[压缩的或液化的]</w:t>
            </w:r>
          </w:p>
        </w:tc>
        <w:tc>
          <w:tcPr>
            <w:tcW w:w="1122" w:type="dxa"/>
            <w:shd w:val="clear" w:color="auto" w:fill="FFFFFF"/>
            <w:vAlign w:val="center"/>
          </w:tcPr>
          <w:p w14:paraId="188D200A">
            <w:pPr>
              <w:adjustRightInd w:val="0"/>
              <w:snapToGrid w:val="0"/>
              <w:spacing w:after="0" w:line="240" w:lineRule="auto"/>
              <w:jc w:val="center"/>
              <w:rPr>
                <w:rFonts w:ascii="Times New Roman" w:hAnsi="Times New Roman" w:eastAsia="宋体" w:cs="Times New Roman"/>
                <w:sz w:val="21"/>
                <w:szCs w:val="21"/>
                <w:highlight w:val="none"/>
                <w:lang w:bidi="zh-TW"/>
                <w14:ligatures w14:val="none"/>
              </w:rPr>
            </w:pPr>
            <w:r>
              <w:rPr>
                <w:rFonts w:hint="eastAsia" w:ascii="Times New Roman" w:hAnsi="Times New Roman" w:eastAsia="宋体" w:cs="Times New Roman"/>
                <w:color w:val="auto"/>
                <w:spacing w:val="4"/>
                <w:kern w:val="0"/>
                <w:sz w:val="21"/>
                <w:szCs w:val="21"/>
                <w:highlight w:val="none"/>
                <w:lang w:val="en-US" w:eastAsia="zh-CN" w:bidi="ar"/>
              </w:rPr>
              <w:t>929</w:t>
            </w:r>
          </w:p>
        </w:tc>
        <w:tc>
          <w:tcPr>
            <w:tcW w:w="983" w:type="dxa"/>
            <w:shd w:val="clear" w:color="auto" w:fill="FFFFFF"/>
            <w:vAlign w:val="center"/>
          </w:tcPr>
          <w:p w14:paraId="7912EF6E">
            <w:pPr>
              <w:adjustRightInd w:val="0"/>
              <w:snapToGrid w:val="0"/>
              <w:spacing w:after="0" w:line="240" w:lineRule="auto"/>
              <w:jc w:val="center"/>
              <w:rPr>
                <w:rFonts w:ascii="Times New Roman" w:hAnsi="Times New Roman" w:eastAsia="宋体" w:cs="宋体"/>
                <w:kern w:val="0"/>
                <w:sz w:val="21"/>
                <w:szCs w:val="21"/>
                <w:highlight w:val="none"/>
                <w:lang w:val="zh-TW" w:eastAsia="zh-TW" w:bidi="zh-TW"/>
                <w14:ligatures w14:val="none"/>
              </w:rPr>
            </w:pPr>
            <w:r>
              <w:rPr>
                <w:rFonts w:hint="default" w:ascii="Times New Roman" w:hAnsi="Times New Roman" w:eastAsia="宋体" w:cs="Times New Roman"/>
                <w:color w:val="auto"/>
                <w:spacing w:val="4"/>
                <w:kern w:val="0"/>
                <w:sz w:val="21"/>
                <w:szCs w:val="21"/>
                <w:highlight w:val="none"/>
                <w:lang w:val="en-US" w:eastAsia="zh-CN" w:bidi="ar"/>
              </w:rPr>
              <w:t>7440-59-7</w:t>
            </w:r>
          </w:p>
        </w:tc>
        <w:tc>
          <w:tcPr>
            <w:tcW w:w="2113" w:type="dxa"/>
            <w:shd w:val="clear" w:color="auto" w:fill="FFFFFF"/>
            <w:vAlign w:val="center"/>
          </w:tcPr>
          <w:p w14:paraId="667839F5">
            <w:pPr>
              <w:widowControl/>
              <w:adjustRightInd w:val="0"/>
              <w:snapToGrid w:val="0"/>
              <w:spacing w:after="0" w:line="240" w:lineRule="auto"/>
              <w:jc w:val="both"/>
              <w:rPr>
                <w:rFonts w:ascii="Times New Roman" w:hAnsi="Times New Roman" w:eastAsia="宋体" w:cs="宋体"/>
                <w:kern w:val="0"/>
                <w:sz w:val="21"/>
                <w:szCs w:val="21"/>
                <w:highlight w:val="none"/>
                <w14:ligatures w14:val="none"/>
              </w:rPr>
            </w:pPr>
            <w:r>
              <w:rPr>
                <w:rFonts w:hint="default" w:ascii="Times New Roman" w:hAnsi="Times New Roman" w:eastAsia="宋体" w:cs="Times New Roman"/>
                <w:color w:val="auto"/>
                <w:spacing w:val="4"/>
                <w:kern w:val="0"/>
                <w:sz w:val="21"/>
                <w:szCs w:val="21"/>
                <w:highlight w:val="none"/>
                <w:lang w:val="en-US" w:eastAsia="zh-CN" w:bidi="ar"/>
              </w:rPr>
              <w:t>加压气体</w:t>
            </w:r>
          </w:p>
        </w:tc>
        <w:tc>
          <w:tcPr>
            <w:tcW w:w="706" w:type="dxa"/>
            <w:shd w:val="clear" w:color="auto" w:fill="FFFFFF"/>
            <w:vAlign w:val="center"/>
          </w:tcPr>
          <w:p w14:paraId="2D545488">
            <w:pPr>
              <w:adjustRightInd w:val="0"/>
              <w:snapToGrid w:val="0"/>
              <w:spacing w:after="0" w:line="240" w:lineRule="auto"/>
              <w:jc w:val="center"/>
              <w:rPr>
                <w:rFonts w:hint="eastAsia" w:ascii="Times New Roman" w:hAnsi="Times New Roman" w:eastAsia="宋体" w:cs="Times New Roman"/>
                <w:sz w:val="21"/>
                <w:szCs w:val="21"/>
                <w:highlight w:val="none"/>
                <w:lang w:val="en-US" w:eastAsia="zh-CN" w:bidi="zh-TW"/>
                <w14:ligatures w14:val="none"/>
              </w:rPr>
            </w:pPr>
            <w:r>
              <w:rPr>
                <w:rFonts w:hint="eastAsia" w:ascii="Times New Roman" w:hAnsi="Times New Roman" w:eastAsia="宋体" w:cs="Times New Roman"/>
                <w:sz w:val="21"/>
                <w:szCs w:val="21"/>
                <w:highlight w:val="none"/>
                <w:lang w:val="en-US" w:eastAsia="zh-CN" w:bidi="zh-TW"/>
                <w14:ligatures w14:val="none"/>
              </w:rPr>
              <w:t>-</w:t>
            </w:r>
          </w:p>
        </w:tc>
        <w:tc>
          <w:tcPr>
            <w:tcW w:w="867" w:type="dxa"/>
            <w:shd w:val="clear" w:color="auto" w:fill="FFFFFF"/>
            <w:vAlign w:val="center"/>
          </w:tcPr>
          <w:p w14:paraId="173BA7CC">
            <w:pPr>
              <w:adjustRightInd w:val="0"/>
              <w:snapToGrid w:val="0"/>
              <w:spacing w:after="0" w:line="240" w:lineRule="auto"/>
              <w:jc w:val="center"/>
              <w:rPr>
                <w:rFonts w:hint="default" w:ascii="Times New Roman" w:hAnsi="Times New Roman" w:eastAsia="宋体" w:cs="宋体"/>
                <w:sz w:val="21"/>
                <w:szCs w:val="21"/>
                <w:highlight w:val="none"/>
                <w:lang w:val="en-US" w:eastAsia="zh-CN" w:bidi="zh-TW"/>
                <w14:ligatures w14:val="none"/>
              </w:rPr>
            </w:pPr>
            <w:r>
              <w:rPr>
                <w:rFonts w:hint="eastAsia" w:ascii="Times New Roman" w:hAnsi="Times New Roman" w:eastAsia="宋体" w:cs="宋体"/>
                <w:sz w:val="21"/>
                <w:szCs w:val="21"/>
                <w:highlight w:val="none"/>
                <w:lang w:val="en-US" w:eastAsia="zh-CN" w:bidi="zh-TW"/>
                <w14:ligatures w14:val="none"/>
              </w:rPr>
              <w:t>-</w:t>
            </w:r>
          </w:p>
        </w:tc>
        <w:tc>
          <w:tcPr>
            <w:tcW w:w="519" w:type="dxa"/>
            <w:shd w:val="clear" w:color="auto" w:fill="FFFFFF"/>
            <w:vAlign w:val="center"/>
          </w:tcPr>
          <w:p w14:paraId="66A0EE09">
            <w:pPr>
              <w:adjustRightInd w:val="0"/>
              <w:snapToGrid w:val="0"/>
              <w:spacing w:after="0" w:line="240" w:lineRule="auto"/>
              <w:jc w:val="center"/>
              <w:rPr>
                <w:rFonts w:ascii="Times New Roman" w:hAnsi="Times New Roman" w:eastAsia="宋体" w:cs="Times New Roman"/>
                <w:sz w:val="21"/>
                <w:szCs w:val="21"/>
                <w:highlight w:val="none"/>
                <w:lang w:bidi="zh-TW"/>
                <w14:ligatures w14:val="none"/>
              </w:rPr>
            </w:pPr>
            <w:r>
              <w:rPr>
                <w:rFonts w:ascii="Times New Roman" w:hAnsi="Times New Roman" w:eastAsia="宋体" w:cs="Times New Roman"/>
                <w:sz w:val="21"/>
                <w:szCs w:val="21"/>
                <w:highlight w:val="none"/>
                <w:lang w:val="zh-TW" w:eastAsia="zh-TW" w:bidi="zh-TW"/>
                <w14:ligatures w14:val="none"/>
              </w:rPr>
              <w:t>戊类</w:t>
            </w:r>
          </w:p>
        </w:tc>
        <w:tc>
          <w:tcPr>
            <w:tcW w:w="520" w:type="dxa"/>
            <w:vMerge w:val="continue"/>
            <w:shd w:val="clear" w:color="auto" w:fill="FFFFFF"/>
            <w:vAlign w:val="center"/>
          </w:tcPr>
          <w:p w14:paraId="46D8C090">
            <w:pPr>
              <w:adjustRightInd w:val="0"/>
              <w:snapToGrid w:val="0"/>
              <w:spacing w:after="0" w:line="240" w:lineRule="auto"/>
              <w:jc w:val="center"/>
              <w:rPr>
                <w:rFonts w:ascii="Times New Roman" w:hAnsi="Times New Roman" w:eastAsia="宋体" w:cs="Times New Roman"/>
                <w:sz w:val="21"/>
                <w:szCs w:val="21"/>
                <w:highlight w:val="none"/>
                <w:lang w:bidi="zh-TW"/>
                <w14:ligatures w14:val="none"/>
              </w:rPr>
            </w:pPr>
          </w:p>
        </w:tc>
      </w:tr>
      <w:tr w14:paraId="477D1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16" w:type="dxa"/>
            <w:shd w:val="clear" w:color="auto" w:fill="FFFFFF"/>
            <w:vAlign w:val="center"/>
          </w:tcPr>
          <w:p w14:paraId="3F1FB43B">
            <w:pPr>
              <w:numPr>
                <w:ilvl w:val="0"/>
                <w:numId w:val="8"/>
              </w:numPr>
              <w:adjustRightInd w:val="0"/>
              <w:snapToGrid w:val="0"/>
              <w:spacing w:after="0" w:line="240" w:lineRule="auto"/>
              <w:jc w:val="center"/>
              <w:rPr>
                <w:rFonts w:ascii="Times New Roman" w:hAnsi="Times New Roman" w:eastAsia="宋体" w:cs="Times New Roman"/>
                <w:sz w:val="21"/>
                <w:szCs w:val="21"/>
                <w:highlight w:val="none"/>
                <w:lang w:val="zh-TW" w:eastAsia="zh-TW" w:bidi="zh-TW"/>
                <w14:ligatures w14:val="none"/>
              </w:rPr>
            </w:pPr>
          </w:p>
        </w:tc>
        <w:tc>
          <w:tcPr>
            <w:tcW w:w="1822" w:type="dxa"/>
            <w:shd w:val="clear" w:color="auto" w:fill="FFFFFF"/>
            <w:vAlign w:val="center"/>
          </w:tcPr>
          <w:p w14:paraId="3E521187">
            <w:pPr>
              <w:adjustRightInd w:val="0"/>
              <w:snapToGrid w:val="0"/>
              <w:spacing w:after="0" w:line="240" w:lineRule="auto"/>
              <w:jc w:val="both"/>
              <w:rPr>
                <w:rFonts w:ascii="Times New Roman" w:hAnsi="Times New Roman" w:eastAsia="宋体" w:cs="Times New Roman"/>
                <w:sz w:val="21"/>
                <w:szCs w:val="21"/>
                <w:highlight w:val="none"/>
                <w:lang w:bidi="zh-TW"/>
                <w14:ligatures w14:val="none"/>
              </w:rPr>
            </w:pPr>
            <w:r>
              <w:rPr>
                <w:rFonts w:hint="eastAsia" w:ascii="Times New Roman" w:hAnsi="Times New Roman" w:eastAsia="宋体" w:cs="Times New Roman"/>
                <w:sz w:val="21"/>
                <w:szCs w:val="21"/>
                <w:highlight w:val="none"/>
                <w:lang w:bidi="zh-TW"/>
                <w14:ligatures w14:val="none"/>
              </w:rPr>
              <w:t>丙烷</w:t>
            </w:r>
          </w:p>
        </w:tc>
        <w:tc>
          <w:tcPr>
            <w:tcW w:w="1122" w:type="dxa"/>
            <w:shd w:val="clear" w:color="auto" w:fill="FFFFFF"/>
            <w:vAlign w:val="center"/>
          </w:tcPr>
          <w:p w14:paraId="6D773691">
            <w:pPr>
              <w:adjustRightInd w:val="0"/>
              <w:snapToGrid w:val="0"/>
              <w:spacing w:after="0" w:line="240" w:lineRule="auto"/>
              <w:jc w:val="center"/>
              <w:rPr>
                <w:rFonts w:ascii="Times New Roman" w:hAnsi="Times New Roman" w:eastAsia="宋体" w:cs="Times New Roman"/>
                <w:sz w:val="21"/>
                <w:szCs w:val="21"/>
                <w:highlight w:val="none"/>
                <w:lang w:bidi="zh-TW"/>
                <w14:ligatures w14:val="none"/>
              </w:rPr>
            </w:pPr>
            <w:r>
              <w:rPr>
                <w:rFonts w:hint="eastAsia" w:ascii="Times New Roman" w:hAnsi="Times New Roman" w:eastAsia="宋体" w:cs="Times New Roman"/>
                <w:sz w:val="21"/>
                <w:szCs w:val="21"/>
                <w:highlight w:val="none"/>
                <w:lang w:bidi="zh-TW"/>
                <w14:ligatures w14:val="none"/>
              </w:rPr>
              <w:t>139</w:t>
            </w:r>
          </w:p>
        </w:tc>
        <w:tc>
          <w:tcPr>
            <w:tcW w:w="983" w:type="dxa"/>
            <w:shd w:val="clear" w:color="auto" w:fill="FFFFFF"/>
            <w:vAlign w:val="center"/>
          </w:tcPr>
          <w:p w14:paraId="1175404E">
            <w:pPr>
              <w:adjustRightInd w:val="0"/>
              <w:snapToGrid w:val="0"/>
              <w:spacing w:after="0" w:line="240" w:lineRule="auto"/>
              <w:jc w:val="center"/>
              <w:rPr>
                <w:rFonts w:ascii="Times New Roman" w:hAnsi="Times New Roman" w:eastAsia="宋体" w:cs="Times New Roman"/>
                <w:sz w:val="21"/>
                <w:szCs w:val="21"/>
                <w:highlight w:val="none"/>
                <w:lang w:bidi="zh-TW"/>
                <w14:ligatures w14:val="none"/>
              </w:rPr>
            </w:pPr>
            <w:r>
              <w:rPr>
                <w:rFonts w:ascii="Times New Roman" w:hAnsi="Times New Roman" w:eastAsia="宋体" w:cs="宋体"/>
                <w:kern w:val="0"/>
                <w:sz w:val="21"/>
                <w:szCs w:val="21"/>
                <w:highlight w:val="none"/>
                <w:lang w:val="zh-TW" w:eastAsia="zh-TW" w:bidi="zh-TW"/>
                <w14:ligatures w14:val="none"/>
              </w:rPr>
              <w:t>74-98-6</w:t>
            </w:r>
          </w:p>
        </w:tc>
        <w:tc>
          <w:tcPr>
            <w:tcW w:w="2113" w:type="dxa"/>
            <w:shd w:val="clear" w:color="auto" w:fill="FFFFFF"/>
            <w:vAlign w:val="center"/>
          </w:tcPr>
          <w:p w14:paraId="5A30ABE7">
            <w:pPr>
              <w:widowControl/>
              <w:adjustRightInd w:val="0"/>
              <w:snapToGrid w:val="0"/>
              <w:spacing w:after="0" w:line="240" w:lineRule="auto"/>
              <w:jc w:val="both"/>
              <w:rPr>
                <w:rFonts w:ascii="Times New Roman" w:hAnsi="Times New Roman" w:eastAsia="宋体" w:cs="宋体"/>
                <w:kern w:val="0"/>
                <w:sz w:val="21"/>
                <w:szCs w:val="21"/>
                <w:highlight w:val="none"/>
                <w14:ligatures w14:val="none"/>
              </w:rPr>
            </w:pPr>
            <w:r>
              <w:rPr>
                <w:rFonts w:ascii="Times New Roman" w:hAnsi="Times New Roman" w:eastAsia="宋体" w:cs="宋体"/>
                <w:kern w:val="0"/>
                <w:sz w:val="21"/>
                <w:szCs w:val="21"/>
                <w:highlight w:val="none"/>
                <w14:ligatures w14:val="none"/>
              </w:rPr>
              <w:t>易燃气体</w:t>
            </w:r>
            <w:r>
              <w:rPr>
                <w:rFonts w:hint="eastAsia" w:ascii="Times New Roman" w:hAnsi="Times New Roman" w:eastAsia="宋体" w:cs="宋体"/>
                <w:kern w:val="0"/>
                <w:sz w:val="21"/>
                <w:szCs w:val="21"/>
                <w:highlight w:val="none"/>
                <w14:ligatures w14:val="none"/>
              </w:rPr>
              <w:t>，</w:t>
            </w:r>
            <w:r>
              <w:rPr>
                <w:rFonts w:ascii="Times New Roman" w:hAnsi="Times New Roman" w:eastAsia="宋体" w:cs="宋体"/>
                <w:kern w:val="0"/>
                <w:sz w:val="21"/>
                <w:szCs w:val="21"/>
                <w:highlight w:val="none"/>
                <w14:ligatures w14:val="none"/>
              </w:rPr>
              <w:t>类别1</w:t>
            </w:r>
          </w:p>
          <w:p w14:paraId="183FA645">
            <w:pPr>
              <w:adjustRightInd w:val="0"/>
              <w:snapToGrid w:val="0"/>
              <w:spacing w:after="0" w:line="240" w:lineRule="auto"/>
              <w:rPr>
                <w:rFonts w:ascii="Times New Roman" w:hAnsi="Times New Roman" w:eastAsia="宋体" w:cs="Times New Roman"/>
                <w:sz w:val="21"/>
                <w:szCs w:val="21"/>
                <w:highlight w:val="none"/>
                <w:lang w:bidi="zh-TW"/>
                <w14:ligatures w14:val="none"/>
              </w:rPr>
            </w:pPr>
            <w:r>
              <w:rPr>
                <w:rFonts w:ascii="Times New Roman" w:hAnsi="Times New Roman" w:eastAsia="宋体" w:cs="宋体"/>
                <w:kern w:val="0"/>
                <w:sz w:val="21"/>
                <w:szCs w:val="21"/>
                <w:highlight w:val="none"/>
                <w:lang w:val="zh-TW" w:eastAsia="zh-TW" w:bidi="zh-TW"/>
                <w14:ligatures w14:val="none"/>
              </w:rPr>
              <w:t>加压气体</w:t>
            </w:r>
          </w:p>
        </w:tc>
        <w:tc>
          <w:tcPr>
            <w:tcW w:w="706" w:type="dxa"/>
            <w:shd w:val="clear" w:color="auto" w:fill="FFFFFF"/>
            <w:vAlign w:val="center"/>
          </w:tcPr>
          <w:p w14:paraId="5CDA6760">
            <w:pPr>
              <w:adjustRightInd w:val="0"/>
              <w:snapToGrid w:val="0"/>
              <w:spacing w:after="0" w:line="240" w:lineRule="auto"/>
              <w:jc w:val="center"/>
              <w:rPr>
                <w:rFonts w:ascii="Times New Roman" w:hAnsi="Times New Roman" w:eastAsia="宋体" w:cs="Times New Roman"/>
                <w:sz w:val="21"/>
                <w:szCs w:val="21"/>
                <w:highlight w:val="none"/>
                <w:lang w:bidi="zh-TW"/>
                <w14:ligatures w14:val="none"/>
              </w:rPr>
            </w:pPr>
            <w:r>
              <w:rPr>
                <w:rFonts w:hint="eastAsia" w:ascii="Times New Roman" w:hAnsi="Times New Roman" w:eastAsia="宋体" w:cs="Times New Roman"/>
                <w:sz w:val="21"/>
                <w:szCs w:val="21"/>
                <w:highlight w:val="none"/>
                <w:lang w:bidi="zh-TW"/>
                <w14:ligatures w14:val="none"/>
              </w:rPr>
              <w:t>-104</w:t>
            </w:r>
          </w:p>
        </w:tc>
        <w:tc>
          <w:tcPr>
            <w:tcW w:w="867" w:type="dxa"/>
            <w:shd w:val="clear" w:color="auto" w:fill="FFFFFF"/>
            <w:vAlign w:val="center"/>
          </w:tcPr>
          <w:p w14:paraId="41BCC490">
            <w:pPr>
              <w:adjustRightInd w:val="0"/>
              <w:snapToGrid w:val="0"/>
              <w:spacing w:after="0" w:line="240" w:lineRule="auto"/>
              <w:jc w:val="center"/>
              <w:rPr>
                <w:rFonts w:ascii="Times New Roman" w:hAnsi="Times New Roman" w:eastAsia="宋体" w:cs="Times New Roman"/>
                <w:sz w:val="21"/>
                <w:szCs w:val="21"/>
                <w:highlight w:val="none"/>
                <w:lang w:bidi="zh-TW"/>
                <w14:ligatures w14:val="none"/>
              </w:rPr>
            </w:pPr>
            <w:r>
              <w:rPr>
                <w:rFonts w:hint="eastAsia" w:ascii="Times New Roman" w:hAnsi="Times New Roman" w:eastAsia="宋体" w:cs="Times New Roman"/>
                <w:sz w:val="21"/>
                <w:szCs w:val="21"/>
                <w:highlight w:val="none"/>
                <w:lang w:bidi="zh-TW"/>
                <w14:ligatures w14:val="none"/>
              </w:rPr>
              <w:t>2.1</w:t>
            </w:r>
            <w:r>
              <w:rPr>
                <w:rFonts w:hint="eastAsia" w:ascii="Times New Roman" w:hAnsi="Times New Roman" w:eastAsia="宋体" w:cs="Times New Roman"/>
                <w:sz w:val="21"/>
                <w:szCs w:val="21"/>
                <w:highlight w:val="none"/>
                <w:lang w:val="en-US" w:eastAsia="zh-CN" w:bidi="zh-TW"/>
                <w14:ligatures w14:val="none"/>
              </w:rPr>
              <w:t>~</w:t>
            </w:r>
            <w:r>
              <w:rPr>
                <w:rFonts w:hint="eastAsia" w:ascii="Times New Roman" w:hAnsi="Times New Roman" w:eastAsia="宋体" w:cs="Times New Roman"/>
                <w:sz w:val="21"/>
                <w:szCs w:val="21"/>
                <w:highlight w:val="none"/>
                <w:lang w:bidi="zh-TW"/>
                <w14:ligatures w14:val="none"/>
              </w:rPr>
              <w:t>9.5</w:t>
            </w:r>
          </w:p>
        </w:tc>
        <w:tc>
          <w:tcPr>
            <w:tcW w:w="519" w:type="dxa"/>
            <w:shd w:val="clear" w:color="auto" w:fill="FFFFFF"/>
            <w:vAlign w:val="center"/>
          </w:tcPr>
          <w:p w14:paraId="01CD975E">
            <w:pPr>
              <w:adjustRightInd w:val="0"/>
              <w:snapToGrid w:val="0"/>
              <w:spacing w:after="0" w:line="240" w:lineRule="auto"/>
              <w:jc w:val="center"/>
              <w:rPr>
                <w:rFonts w:ascii="Times New Roman" w:hAnsi="Times New Roman" w:eastAsia="宋体" w:cs="Times New Roman"/>
                <w:sz w:val="21"/>
                <w:szCs w:val="21"/>
                <w:highlight w:val="none"/>
                <w:lang w:bidi="zh-TW"/>
                <w14:ligatures w14:val="none"/>
              </w:rPr>
            </w:pPr>
            <w:r>
              <w:rPr>
                <w:rFonts w:hint="eastAsia" w:ascii="Times New Roman" w:hAnsi="Times New Roman" w:eastAsia="宋体" w:cs="Times New Roman"/>
                <w:sz w:val="21"/>
                <w:szCs w:val="21"/>
                <w:highlight w:val="none"/>
                <w:lang w:bidi="zh-TW"/>
                <w14:ligatures w14:val="none"/>
              </w:rPr>
              <w:t>甲类</w:t>
            </w:r>
          </w:p>
        </w:tc>
        <w:tc>
          <w:tcPr>
            <w:tcW w:w="520" w:type="dxa"/>
            <w:vMerge w:val="continue"/>
            <w:shd w:val="clear" w:color="auto" w:fill="FFFFFF"/>
          </w:tcPr>
          <w:p w14:paraId="47349676">
            <w:pPr>
              <w:adjustRightInd w:val="0"/>
              <w:snapToGrid w:val="0"/>
              <w:spacing w:after="0" w:line="240" w:lineRule="auto"/>
              <w:jc w:val="center"/>
              <w:rPr>
                <w:rFonts w:ascii="Times New Roman" w:hAnsi="Times New Roman" w:eastAsia="宋体" w:cs="Times New Roman"/>
                <w:sz w:val="21"/>
                <w:szCs w:val="21"/>
                <w:highlight w:val="none"/>
                <w:lang w:val="zh-TW" w:eastAsia="zh-TW" w:bidi="zh-TW"/>
                <w14:ligatures w14:val="none"/>
              </w:rPr>
            </w:pPr>
          </w:p>
        </w:tc>
      </w:tr>
    </w:tbl>
    <w:p w14:paraId="12F41A9B">
      <w:pPr>
        <w:spacing w:after="0" w:line="360" w:lineRule="auto"/>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br w:type="page"/>
      </w:r>
    </w:p>
    <w:p w14:paraId="4BC33224">
      <w:pPr>
        <w:tabs>
          <w:tab w:val="left" w:pos="840"/>
          <w:tab w:val="left" w:pos="1260"/>
        </w:tabs>
        <w:adjustRightInd w:val="0"/>
        <w:snapToGrid w:val="0"/>
        <w:spacing w:before="156" w:beforeLines="50" w:after="156" w:afterLines="50" w:line="360" w:lineRule="auto"/>
        <w:ind w:firstLine="562" w:firstLineChars="200"/>
        <w:jc w:val="both"/>
        <w:outlineLvl w:val="2"/>
        <w:rPr>
          <w:rFonts w:ascii="Times New Roman" w:hAnsi="Times New Roman" w:eastAsia="黑体" w:cs="Times New Roman"/>
          <w:b/>
          <w:sz w:val="28"/>
          <w:szCs w:val="32"/>
          <w:highlight w:val="none"/>
          <w14:ligatures w14:val="none"/>
        </w:rPr>
      </w:pPr>
      <w:r>
        <w:rPr>
          <w:rFonts w:ascii="Times New Roman" w:hAnsi="Times New Roman" w:eastAsia="黑体" w:cs="Times New Roman"/>
          <w:b/>
          <w:sz w:val="28"/>
          <w:szCs w:val="32"/>
          <w:highlight w:val="none"/>
          <w14:ligatures w14:val="none"/>
        </w:rPr>
        <w:t>3.1.</w:t>
      </w:r>
      <w:r>
        <w:rPr>
          <w:rFonts w:hint="eastAsia" w:ascii="Times New Roman" w:hAnsi="Times New Roman" w:eastAsia="黑体" w:cs="Times New Roman"/>
          <w:b/>
          <w:sz w:val="28"/>
          <w:szCs w:val="32"/>
          <w:highlight w:val="none"/>
          <w14:ligatures w14:val="none"/>
        </w:rPr>
        <w:t>1</w:t>
      </w:r>
      <w:r>
        <w:rPr>
          <w:rFonts w:ascii="Times New Roman" w:hAnsi="Times New Roman" w:eastAsia="黑体" w:cs="Times New Roman"/>
          <w:b/>
          <w:sz w:val="28"/>
          <w:szCs w:val="32"/>
          <w:highlight w:val="none"/>
          <w14:ligatures w14:val="none"/>
        </w:rPr>
        <w:t>氧</w:t>
      </w:r>
    </w:p>
    <w:p w14:paraId="20314EC0">
      <w:pPr>
        <w:adjustRightInd w:val="0"/>
        <w:snapToGrid w:val="0"/>
        <w:spacing w:before="312" w:beforeLines="100" w:after="312" w:afterLines="100" w:line="360" w:lineRule="auto"/>
        <w:jc w:val="center"/>
        <w:outlineLvl w:val="1"/>
        <w:rPr>
          <w:rFonts w:ascii="Times New Roman" w:hAnsi="Times New Roman" w:eastAsia="楷体" w:cs="黑体"/>
          <w:b/>
          <w:sz w:val="32"/>
          <w:szCs w:val="32"/>
          <w:highlight w:val="none"/>
          <w14:ligatures w14:val="none"/>
        </w:rPr>
      </w:pPr>
      <w:bookmarkStart w:id="134" w:name="_Toc25429"/>
      <w:r>
        <w:rPr>
          <w:rFonts w:hint="eastAsia" w:ascii="Times New Roman" w:hAnsi="Times New Roman" w:eastAsia="楷体" w:cs="黑体"/>
          <w:b/>
          <w:sz w:val="32"/>
          <w:szCs w:val="32"/>
          <w:highlight w:val="none"/>
          <w14:ligatures w14:val="none"/>
        </w:rPr>
        <w:t>3.2储存经营过程中的危险、有害因素分析</w:t>
      </w:r>
      <w:bookmarkEnd w:id="134"/>
    </w:p>
    <w:p w14:paraId="1EA6DB11">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依据《生产安全事故分类与编码》、《生产过程危险和有害因素分类与代码》和《职业病危害因素分类目录》可知，</w:t>
      </w:r>
      <w:r>
        <w:rPr>
          <w:rFonts w:hint="eastAsia" w:ascii="Times New Roman" w:hAnsi="Times New Roman" w:eastAsia="宋体" w:cs="Times New Roman"/>
          <w:sz w:val="28"/>
          <w:szCs w:val="28"/>
          <w:highlight w:val="none"/>
          <w:lang w:eastAsia="zh-CN"/>
          <w14:ligatures w14:val="none"/>
        </w:rPr>
        <w:t>沈阳新春城气体有限公司</w:t>
      </w:r>
      <w:r>
        <w:rPr>
          <w:rFonts w:hint="eastAsia" w:ascii="Times New Roman" w:hAnsi="Times New Roman" w:eastAsia="宋体" w:cs="Times New Roman"/>
          <w:sz w:val="28"/>
          <w:szCs w:val="28"/>
          <w:highlight w:val="none"/>
          <w14:ligatures w14:val="none"/>
        </w:rPr>
        <w:t>经营过程中（含充装、储存）的危险、有害因素分为：容器爆炸、管道爆炸、火灾、中毒、窒息、泄漏、触电、机械致害、高处坠落、跌落、物体打击、厂内车辆致害、淹溺、</w:t>
      </w:r>
      <w:r>
        <w:rPr>
          <w:rFonts w:hint="eastAsia" w:ascii="Times New Roman" w:hAnsi="Times New Roman" w:eastAsia="宋体" w:cs="Times New Roman"/>
          <w:sz w:val="28"/>
          <w:szCs w:val="28"/>
          <w:highlight w:val="none"/>
          <w:lang w:val="en-US" w:eastAsia="zh-CN"/>
          <w14:ligatures w14:val="none"/>
        </w:rPr>
        <w:t>其他</w:t>
      </w:r>
      <w:r>
        <w:rPr>
          <w:rFonts w:hint="eastAsia" w:ascii="Times New Roman" w:hAnsi="Times New Roman" w:eastAsia="宋体" w:cs="Times New Roman"/>
          <w:sz w:val="28"/>
          <w:szCs w:val="28"/>
          <w:highlight w:val="none"/>
          <w14:ligatures w14:val="none"/>
        </w:rPr>
        <w:t>等。</w:t>
      </w:r>
    </w:p>
    <w:p w14:paraId="3E90A523">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p>
    <w:p w14:paraId="5D4C26D6">
      <w:pPr>
        <w:adjustRightInd w:val="0"/>
        <w:snapToGrid w:val="0"/>
        <w:spacing w:before="312" w:beforeLines="100" w:after="312" w:afterLines="100" w:line="360" w:lineRule="auto"/>
        <w:jc w:val="center"/>
        <w:outlineLvl w:val="1"/>
        <w:rPr>
          <w:rFonts w:ascii="Times New Roman" w:hAnsi="Times New Roman" w:eastAsia="楷体" w:cs="黑体"/>
          <w:b/>
          <w:sz w:val="32"/>
          <w:szCs w:val="32"/>
          <w:highlight w:val="none"/>
          <w14:ligatures w14:val="none"/>
        </w:rPr>
      </w:pPr>
      <w:bookmarkStart w:id="135" w:name="_Toc8083"/>
      <w:r>
        <w:rPr>
          <w:rFonts w:hint="eastAsia" w:ascii="Times New Roman" w:hAnsi="Times New Roman" w:eastAsia="楷体" w:cs="黑体"/>
          <w:b/>
          <w:sz w:val="32"/>
          <w:szCs w:val="32"/>
          <w:highlight w:val="none"/>
          <w14:ligatures w14:val="none"/>
        </w:rPr>
        <w:t>3.3主要危险有害部位辨识结果</w:t>
      </w:r>
      <w:bookmarkEnd w:id="135"/>
    </w:p>
    <w:p w14:paraId="4D7ACB30">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lang w:eastAsia="zh-CN"/>
          <w14:ligatures w14:val="none"/>
        </w:rPr>
        <w:t>沈阳新春城气体有限公司</w:t>
      </w:r>
      <w:r>
        <w:rPr>
          <w:rFonts w:hint="eastAsia" w:ascii="Times New Roman" w:hAnsi="Times New Roman" w:eastAsia="宋体" w:cs="Times New Roman"/>
          <w:sz w:val="28"/>
          <w:szCs w:val="28"/>
          <w:highlight w:val="none"/>
          <w14:ligatures w14:val="none"/>
        </w:rPr>
        <w:t>主要危险有害部位辨识结果，见表3.3-1。</w:t>
      </w:r>
    </w:p>
    <w:p w14:paraId="6D655D9F">
      <w:pPr>
        <w:adjustRightInd w:val="0"/>
        <w:snapToGrid w:val="0"/>
        <w:spacing w:before="312" w:beforeLines="100" w:after="312" w:afterLines="100" w:line="360" w:lineRule="auto"/>
        <w:jc w:val="center"/>
        <w:outlineLvl w:val="1"/>
        <w:rPr>
          <w:rFonts w:ascii="Times New Roman" w:hAnsi="Times New Roman" w:eastAsia="楷体" w:cs="黑体"/>
          <w:b/>
          <w:sz w:val="32"/>
          <w:szCs w:val="32"/>
          <w:highlight w:val="none"/>
          <w14:ligatures w14:val="none"/>
        </w:rPr>
      </w:pPr>
      <w:bookmarkStart w:id="136" w:name="_Toc8391"/>
      <w:r>
        <w:rPr>
          <w:rFonts w:hint="eastAsia" w:ascii="Times New Roman" w:hAnsi="Times New Roman" w:eastAsia="楷体" w:cs="黑体"/>
          <w:b/>
          <w:sz w:val="32"/>
          <w:szCs w:val="32"/>
          <w:highlight w:val="none"/>
          <w14:ligatures w14:val="none"/>
        </w:rPr>
        <w:t>3.4周边环境及自然条件分析</w:t>
      </w:r>
      <w:bookmarkEnd w:id="136"/>
    </w:p>
    <w:p w14:paraId="3E68C3E5">
      <w:pPr>
        <w:adjustRightInd w:val="0"/>
        <w:snapToGrid w:val="0"/>
        <w:spacing w:before="312" w:beforeLines="100" w:after="312" w:afterLines="100" w:line="360" w:lineRule="auto"/>
        <w:jc w:val="center"/>
        <w:outlineLvl w:val="1"/>
        <w:rPr>
          <w:rFonts w:ascii="Times New Roman" w:hAnsi="Times New Roman" w:eastAsia="楷体" w:cs="黑体"/>
          <w:b/>
          <w:sz w:val="32"/>
          <w:szCs w:val="32"/>
          <w:highlight w:val="none"/>
          <w14:ligatures w14:val="none"/>
        </w:rPr>
      </w:pPr>
      <w:bookmarkStart w:id="137" w:name="_Toc163051353"/>
      <w:bookmarkStart w:id="138" w:name="_Toc479257174"/>
      <w:bookmarkStart w:id="139" w:name="_Toc12494"/>
      <w:r>
        <w:rPr>
          <w:rFonts w:ascii="Times New Roman" w:hAnsi="Times New Roman" w:eastAsia="楷体" w:cs="黑体"/>
          <w:b/>
          <w:sz w:val="32"/>
          <w:szCs w:val="32"/>
          <w:highlight w:val="none"/>
          <w14:ligatures w14:val="none"/>
        </w:rPr>
        <w:t>3.</w:t>
      </w:r>
      <w:r>
        <w:rPr>
          <w:rFonts w:hint="eastAsia" w:ascii="Times New Roman" w:hAnsi="Times New Roman" w:eastAsia="楷体" w:cs="黑体"/>
          <w:b/>
          <w:sz w:val="32"/>
          <w:szCs w:val="32"/>
          <w:highlight w:val="none"/>
          <w14:ligatures w14:val="none"/>
        </w:rPr>
        <w:t>5“</w:t>
      </w:r>
      <w:r>
        <w:rPr>
          <w:rFonts w:ascii="Times New Roman" w:hAnsi="Times New Roman" w:eastAsia="楷体" w:cs="黑体"/>
          <w:b/>
          <w:sz w:val="32"/>
          <w:szCs w:val="32"/>
          <w:highlight w:val="none"/>
          <w14:ligatures w14:val="none"/>
        </w:rPr>
        <w:t>两重点、一重大</w:t>
      </w:r>
      <w:r>
        <w:rPr>
          <w:rFonts w:hint="eastAsia" w:ascii="Times New Roman" w:hAnsi="Times New Roman" w:eastAsia="楷体" w:cs="黑体"/>
          <w:b/>
          <w:sz w:val="32"/>
          <w:szCs w:val="32"/>
          <w:highlight w:val="none"/>
          <w14:ligatures w14:val="none"/>
        </w:rPr>
        <w:t>”</w:t>
      </w:r>
      <w:r>
        <w:rPr>
          <w:rFonts w:ascii="Times New Roman" w:hAnsi="Times New Roman" w:eastAsia="楷体" w:cs="黑体"/>
          <w:b/>
          <w:sz w:val="32"/>
          <w:szCs w:val="32"/>
          <w:highlight w:val="none"/>
          <w14:ligatures w14:val="none"/>
        </w:rPr>
        <w:t>辨识</w:t>
      </w:r>
      <w:bookmarkEnd w:id="137"/>
      <w:bookmarkEnd w:id="138"/>
      <w:bookmarkEnd w:id="139"/>
    </w:p>
    <w:p w14:paraId="542FFA89">
      <w:pPr>
        <w:tabs>
          <w:tab w:val="left" w:pos="840"/>
          <w:tab w:val="left" w:pos="1260"/>
        </w:tabs>
        <w:adjustRightInd w:val="0"/>
        <w:snapToGrid w:val="0"/>
        <w:spacing w:before="156" w:beforeLines="50" w:after="156" w:afterLines="50" w:line="360" w:lineRule="auto"/>
        <w:ind w:firstLine="562" w:firstLineChars="200"/>
        <w:jc w:val="both"/>
        <w:outlineLvl w:val="2"/>
        <w:rPr>
          <w:rFonts w:ascii="Times New Roman" w:hAnsi="Times New Roman" w:eastAsia="黑体" w:cs="Times New Roman"/>
          <w:b/>
          <w:sz w:val="28"/>
          <w:szCs w:val="32"/>
          <w:highlight w:val="none"/>
          <w14:ligatures w14:val="none"/>
        </w:rPr>
      </w:pPr>
      <w:bookmarkStart w:id="140" w:name="_Toc423599728"/>
      <w:bookmarkStart w:id="141" w:name="_Toc479257175"/>
      <w:r>
        <w:rPr>
          <w:rFonts w:ascii="Times New Roman" w:hAnsi="Times New Roman" w:eastAsia="黑体" w:cs="Times New Roman"/>
          <w:b/>
          <w:sz w:val="28"/>
          <w:szCs w:val="32"/>
          <w:highlight w:val="none"/>
          <w14:ligatures w14:val="none"/>
        </w:rPr>
        <w:t>3.</w:t>
      </w:r>
      <w:r>
        <w:rPr>
          <w:rFonts w:hint="eastAsia" w:ascii="Times New Roman" w:hAnsi="Times New Roman" w:eastAsia="黑体" w:cs="Times New Roman"/>
          <w:b/>
          <w:sz w:val="28"/>
          <w:szCs w:val="32"/>
          <w:highlight w:val="none"/>
          <w14:ligatures w14:val="none"/>
        </w:rPr>
        <w:t>5</w:t>
      </w:r>
      <w:r>
        <w:rPr>
          <w:rFonts w:ascii="Times New Roman" w:hAnsi="Times New Roman" w:eastAsia="黑体" w:cs="Times New Roman"/>
          <w:b/>
          <w:sz w:val="28"/>
          <w:szCs w:val="32"/>
          <w:highlight w:val="none"/>
          <w14:ligatures w14:val="none"/>
        </w:rPr>
        <w:t>.1重大危险源辨识</w:t>
      </w:r>
      <w:bookmarkEnd w:id="140"/>
      <w:bookmarkEnd w:id="141"/>
    </w:p>
    <w:p w14:paraId="4FAB4B83">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（1）重大危险源定义</w:t>
      </w:r>
    </w:p>
    <w:p w14:paraId="797CB016">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根据《危险化学品重大危险源辨识》（</w:t>
      </w:r>
      <w:r>
        <w:rPr>
          <w:rFonts w:ascii="Times New Roman" w:hAnsi="Times New Roman" w:eastAsia="宋体" w:cs="Times New Roman"/>
          <w:sz w:val="28"/>
          <w:szCs w:val="28"/>
          <w:highlight w:val="none"/>
          <w14:ligatures w14:val="none"/>
        </w:rPr>
        <w:t>GB</w:t>
      </w:r>
      <w:r>
        <w:rPr>
          <w:rFonts w:hint="eastAsia" w:ascii="Times New Roman" w:hAnsi="Times New Roman" w:eastAsia="宋体" w:cs="Times New Roman"/>
          <w:sz w:val="28"/>
          <w:szCs w:val="28"/>
          <w:highlight w:val="none"/>
          <w14:ligatures w14:val="none"/>
        </w:rPr>
        <w:t xml:space="preserve"> 1</w:t>
      </w:r>
      <w:r>
        <w:rPr>
          <w:rFonts w:ascii="Times New Roman" w:hAnsi="Times New Roman" w:eastAsia="宋体" w:cs="Times New Roman"/>
          <w:sz w:val="28"/>
          <w:szCs w:val="28"/>
          <w:highlight w:val="none"/>
          <w14:ligatures w14:val="none"/>
        </w:rPr>
        <w:t>8218-2018</w:t>
      </w:r>
      <w:r>
        <w:rPr>
          <w:rFonts w:hint="eastAsia" w:ascii="Times New Roman" w:hAnsi="Times New Roman" w:eastAsia="宋体" w:cs="Times New Roman"/>
          <w:sz w:val="28"/>
          <w:szCs w:val="28"/>
          <w:highlight w:val="none"/>
          <w14:ligatures w14:val="none"/>
        </w:rPr>
        <w:t>），危险化学品重大危险源的定义为：长期地或临时地生产、储存、使用和经营危险化学品，且危险化学品的数量等于或超过临界量的单元。</w:t>
      </w:r>
    </w:p>
    <w:p w14:paraId="3F7C317B">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（2）重大危险源辨识指标</w:t>
      </w:r>
    </w:p>
    <w:p w14:paraId="1A830E55">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重大危险源的辨识指标为：生产单元、储存单元内存在危险化学品的数量等于或超过规定的临界量，即被定为重大危险源。单元内存在危险化学品的数量根据危险化学品种类的多少区分为以下两种情况：</w:t>
      </w:r>
    </w:p>
    <w:p w14:paraId="133045FE">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生产单元、储存单元内存在的危险化学品为单一品种时，该危险化学品的数量即为单元内危险化学品的总量，若等于或超过相应的临界量，则定为重大危险源。</w:t>
      </w:r>
    </w:p>
    <w:p w14:paraId="4036AB95">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生产单元、储存单元内存在的危险物质为多品种时，则按下式计算，若满足下式，则定为重大危险源：</w:t>
      </w:r>
    </w:p>
    <w:p w14:paraId="0C6143C1">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m:oMath>
        <m:r>
          <m:rPr/>
          <w:rPr>
            <w:rFonts w:hint="eastAsia" w:ascii="Cambria Math" w:hAnsi="Cambria Math" w:eastAsia="宋体" w:cs="Times New Roman"/>
            <w:sz w:val="28"/>
            <w:szCs w:val="28"/>
            <w:highlight w:val="none"/>
            <w14:ligatures w14:val="none"/>
          </w:rPr>
          <m:t>S</m:t>
        </m:r>
        <m:r>
          <m:rPr>
            <m:sty m:val="p"/>
          </m:rPr>
          <w:rPr>
            <w:rFonts w:ascii="Cambria Math" w:hAnsi="Cambria Math" w:eastAsia="宋体" w:cs="Times New Roman"/>
            <w:sz w:val="28"/>
            <w:szCs w:val="28"/>
            <w:highlight w:val="none"/>
            <w14:ligatures w14:val="none"/>
          </w:rPr>
          <m:t>=</m:t>
        </m:r>
        <m:f>
          <m:fPr>
            <m:ctrlPr>
              <w:rPr>
                <w:rFonts w:ascii="Cambria Math" w:hAnsi="Cambria Math" w:eastAsia="宋体" w:cs="Times New Roman"/>
                <w:sz w:val="28"/>
                <w:szCs w:val="28"/>
                <w:highlight w:val="none"/>
                <w14:ligatures w14:val="none"/>
              </w:rPr>
            </m:ctrlPr>
          </m:fPr>
          <m:num>
            <m:sSub>
              <m:sSubPr>
                <m:ctrlPr>
                  <w:rPr>
                    <w:rFonts w:ascii="Cambria Math" w:hAnsi="Cambria Math" w:eastAsia="宋体" w:cs="Times New Roman"/>
                    <w:sz w:val="28"/>
                    <w:szCs w:val="28"/>
                    <w:highlight w:val="none"/>
                    <w14:ligatures w14:val="none"/>
                  </w:rPr>
                </m:ctrlPr>
              </m:sSubPr>
              <m:e>
                <m:r>
                  <m:rPr/>
                  <w:rPr>
                    <w:rFonts w:hint="eastAsia" w:ascii="Cambria Math" w:hAnsi="Cambria Math" w:eastAsia="宋体" w:cs="Times New Roman"/>
                    <w:sz w:val="28"/>
                    <w:szCs w:val="28"/>
                    <w:highlight w:val="none"/>
                    <w14:ligatures w14:val="none"/>
                  </w:rPr>
                  <m:t>q</m:t>
                </m:r>
                <m:ctrlPr>
                  <w:rPr>
                    <w:rFonts w:ascii="Cambria Math" w:hAnsi="Cambria Math" w:eastAsia="宋体" w:cs="Times New Roman"/>
                    <w:sz w:val="28"/>
                    <w:szCs w:val="28"/>
                    <w:highlight w:val="none"/>
                    <w14:ligatures w14:val="none"/>
                  </w:rPr>
                </m:ctrlPr>
              </m:e>
              <m:sub>
                <m:r>
                  <m:rPr>
                    <m:sty m:val="p"/>
                  </m:rPr>
                  <w:rPr>
                    <w:rFonts w:ascii="Cambria Math" w:hAnsi="Cambria Math" w:eastAsia="宋体" w:cs="Times New Roman"/>
                    <w:sz w:val="28"/>
                    <w:szCs w:val="28"/>
                    <w:highlight w:val="none"/>
                    <w14:ligatures w14:val="none"/>
                  </w:rPr>
                  <m:t>1</m:t>
                </m:r>
                <m:ctrlPr>
                  <w:rPr>
                    <w:rFonts w:ascii="Cambria Math" w:hAnsi="Cambria Math" w:eastAsia="宋体" w:cs="Times New Roman"/>
                    <w:sz w:val="28"/>
                    <w:szCs w:val="28"/>
                    <w:highlight w:val="none"/>
                    <w14:ligatures w14:val="none"/>
                  </w:rPr>
                </m:ctrlPr>
              </m:sub>
            </m:sSub>
            <m:ctrlPr>
              <w:rPr>
                <w:rFonts w:ascii="Cambria Math" w:hAnsi="Cambria Math" w:eastAsia="宋体" w:cs="Times New Roman"/>
                <w:sz w:val="28"/>
                <w:szCs w:val="28"/>
                <w:highlight w:val="none"/>
                <w14:ligatures w14:val="none"/>
              </w:rPr>
            </m:ctrlPr>
          </m:num>
          <m:den>
            <m:sSub>
              <m:sSubPr>
                <m:ctrlPr>
                  <w:rPr>
                    <w:rFonts w:ascii="Cambria Math" w:hAnsi="Cambria Math" w:eastAsia="宋体" w:cs="Times New Roman"/>
                    <w:sz w:val="28"/>
                    <w:szCs w:val="28"/>
                    <w:highlight w:val="none"/>
                    <w14:ligatures w14:val="none"/>
                  </w:rPr>
                </m:ctrlPr>
              </m:sSubPr>
              <m:e>
                <m:r>
                  <m:rPr/>
                  <w:rPr>
                    <w:rFonts w:ascii="Cambria Math" w:hAnsi="Cambria Math" w:eastAsia="宋体" w:cs="Times New Roman"/>
                    <w:sz w:val="28"/>
                    <w:szCs w:val="28"/>
                    <w:highlight w:val="none"/>
                    <w14:ligatures w14:val="none"/>
                  </w:rPr>
                  <m:t>Q</m:t>
                </m:r>
                <m:ctrlPr>
                  <w:rPr>
                    <w:rFonts w:ascii="Cambria Math" w:hAnsi="Cambria Math" w:eastAsia="宋体" w:cs="Times New Roman"/>
                    <w:sz w:val="28"/>
                    <w:szCs w:val="28"/>
                    <w:highlight w:val="none"/>
                    <w14:ligatures w14:val="none"/>
                  </w:rPr>
                </m:ctrlPr>
              </m:e>
              <m:sub>
                <m:r>
                  <m:rPr>
                    <m:sty m:val="p"/>
                  </m:rPr>
                  <w:rPr>
                    <w:rFonts w:ascii="Cambria Math" w:hAnsi="Cambria Math" w:eastAsia="宋体" w:cs="Times New Roman"/>
                    <w:sz w:val="28"/>
                    <w:szCs w:val="28"/>
                    <w:highlight w:val="none"/>
                    <w14:ligatures w14:val="none"/>
                  </w:rPr>
                  <m:t>1</m:t>
                </m:r>
                <m:ctrlPr>
                  <w:rPr>
                    <w:rFonts w:ascii="Cambria Math" w:hAnsi="Cambria Math" w:eastAsia="宋体" w:cs="Times New Roman"/>
                    <w:sz w:val="28"/>
                    <w:szCs w:val="28"/>
                    <w:highlight w:val="none"/>
                    <w14:ligatures w14:val="none"/>
                  </w:rPr>
                </m:ctrlPr>
              </m:sub>
            </m:sSub>
            <m:ctrlPr>
              <w:rPr>
                <w:rFonts w:ascii="Cambria Math" w:hAnsi="Cambria Math" w:eastAsia="宋体" w:cs="Times New Roman"/>
                <w:sz w:val="28"/>
                <w:szCs w:val="28"/>
                <w:highlight w:val="none"/>
                <w14:ligatures w14:val="none"/>
              </w:rPr>
            </m:ctrlPr>
          </m:den>
        </m:f>
        <m:r>
          <m:rPr>
            <m:sty m:val="p"/>
          </m:rPr>
          <w:rPr>
            <w:rFonts w:ascii="Cambria Math" w:hAnsi="Cambria Math" w:eastAsia="宋体" w:cs="Times New Roman"/>
            <w:sz w:val="28"/>
            <w:szCs w:val="28"/>
            <w:highlight w:val="none"/>
            <w14:ligatures w14:val="none"/>
          </w:rPr>
          <m:t>+</m:t>
        </m:r>
        <m:f>
          <m:fPr>
            <m:ctrlPr>
              <w:rPr>
                <w:rFonts w:ascii="Cambria Math" w:hAnsi="Cambria Math" w:eastAsia="宋体" w:cs="Times New Roman"/>
                <w:sz w:val="28"/>
                <w:szCs w:val="28"/>
                <w:highlight w:val="none"/>
                <w14:ligatures w14:val="none"/>
              </w:rPr>
            </m:ctrlPr>
          </m:fPr>
          <m:num>
            <m:sSub>
              <m:sSubPr>
                <m:ctrlPr>
                  <w:rPr>
                    <w:rFonts w:ascii="Cambria Math" w:hAnsi="Cambria Math" w:eastAsia="宋体" w:cs="Times New Roman"/>
                    <w:sz w:val="28"/>
                    <w:szCs w:val="28"/>
                    <w:highlight w:val="none"/>
                    <w14:ligatures w14:val="none"/>
                  </w:rPr>
                </m:ctrlPr>
              </m:sSubPr>
              <m:e>
                <m:r>
                  <m:rPr/>
                  <w:rPr>
                    <w:rFonts w:ascii="Cambria Math" w:hAnsi="Cambria Math" w:eastAsia="宋体" w:cs="Times New Roman"/>
                    <w:sz w:val="28"/>
                    <w:szCs w:val="28"/>
                    <w:highlight w:val="none"/>
                    <w14:ligatures w14:val="none"/>
                  </w:rPr>
                  <m:t>q</m:t>
                </m:r>
                <m:ctrlPr>
                  <w:rPr>
                    <w:rFonts w:ascii="Cambria Math" w:hAnsi="Cambria Math" w:eastAsia="宋体" w:cs="Times New Roman"/>
                    <w:sz w:val="28"/>
                    <w:szCs w:val="28"/>
                    <w:highlight w:val="none"/>
                    <w14:ligatures w14:val="none"/>
                  </w:rPr>
                </m:ctrlPr>
              </m:e>
              <m:sub>
                <m:r>
                  <m:rPr>
                    <m:sty m:val="p"/>
                  </m:rPr>
                  <w:rPr>
                    <w:rFonts w:ascii="Cambria Math" w:hAnsi="Cambria Math" w:eastAsia="宋体" w:cs="Times New Roman"/>
                    <w:sz w:val="28"/>
                    <w:szCs w:val="28"/>
                    <w:highlight w:val="none"/>
                    <w14:ligatures w14:val="none"/>
                  </w:rPr>
                  <m:t>2</m:t>
                </m:r>
                <m:ctrlPr>
                  <w:rPr>
                    <w:rFonts w:ascii="Cambria Math" w:hAnsi="Cambria Math" w:eastAsia="宋体" w:cs="Times New Roman"/>
                    <w:sz w:val="28"/>
                    <w:szCs w:val="28"/>
                    <w:highlight w:val="none"/>
                    <w14:ligatures w14:val="none"/>
                  </w:rPr>
                </m:ctrlPr>
              </m:sub>
            </m:sSub>
            <m:ctrlPr>
              <w:rPr>
                <w:rFonts w:ascii="Cambria Math" w:hAnsi="Cambria Math" w:eastAsia="宋体" w:cs="Times New Roman"/>
                <w:sz w:val="28"/>
                <w:szCs w:val="28"/>
                <w:highlight w:val="none"/>
                <w14:ligatures w14:val="none"/>
              </w:rPr>
            </m:ctrlPr>
          </m:num>
          <m:den>
            <m:sSub>
              <m:sSubPr>
                <m:ctrlPr>
                  <w:rPr>
                    <w:rFonts w:ascii="Cambria Math" w:hAnsi="Cambria Math" w:eastAsia="宋体" w:cs="Times New Roman"/>
                    <w:sz w:val="28"/>
                    <w:szCs w:val="28"/>
                    <w:highlight w:val="none"/>
                    <w14:ligatures w14:val="none"/>
                  </w:rPr>
                </m:ctrlPr>
              </m:sSubPr>
              <m:e>
                <m:r>
                  <m:rPr/>
                  <w:rPr>
                    <w:rFonts w:ascii="Cambria Math" w:hAnsi="Cambria Math" w:eastAsia="宋体" w:cs="Times New Roman"/>
                    <w:sz w:val="28"/>
                    <w:szCs w:val="28"/>
                    <w:highlight w:val="none"/>
                    <w14:ligatures w14:val="none"/>
                  </w:rPr>
                  <m:t>Q</m:t>
                </m:r>
                <m:ctrlPr>
                  <w:rPr>
                    <w:rFonts w:ascii="Cambria Math" w:hAnsi="Cambria Math" w:eastAsia="宋体" w:cs="Times New Roman"/>
                    <w:sz w:val="28"/>
                    <w:szCs w:val="28"/>
                    <w:highlight w:val="none"/>
                    <w14:ligatures w14:val="none"/>
                  </w:rPr>
                </m:ctrlPr>
              </m:e>
              <m:sub>
                <m:r>
                  <m:rPr>
                    <m:sty m:val="p"/>
                  </m:rPr>
                  <w:rPr>
                    <w:rFonts w:ascii="Cambria Math" w:hAnsi="Cambria Math" w:eastAsia="宋体" w:cs="Times New Roman"/>
                    <w:sz w:val="28"/>
                    <w:szCs w:val="28"/>
                    <w:highlight w:val="none"/>
                    <w14:ligatures w14:val="none"/>
                  </w:rPr>
                  <m:t>2</m:t>
                </m:r>
                <m:ctrlPr>
                  <w:rPr>
                    <w:rFonts w:ascii="Cambria Math" w:hAnsi="Cambria Math" w:eastAsia="宋体" w:cs="Times New Roman"/>
                    <w:sz w:val="28"/>
                    <w:szCs w:val="28"/>
                    <w:highlight w:val="none"/>
                    <w14:ligatures w14:val="none"/>
                  </w:rPr>
                </m:ctrlPr>
              </m:sub>
            </m:sSub>
            <m:ctrlPr>
              <w:rPr>
                <w:rFonts w:ascii="Cambria Math" w:hAnsi="Cambria Math" w:eastAsia="宋体" w:cs="Times New Roman"/>
                <w:sz w:val="28"/>
                <w:szCs w:val="28"/>
                <w:highlight w:val="none"/>
                <w14:ligatures w14:val="none"/>
              </w:rPr>
            </m:ctrlPr>
          </m:den>
        </m:f>
        <m:r>
          <m:rPr>
            <m:sty m:val="p"/>
          </m:rPr>
          <w:rPr>
            <w:rFonts w:ascii="Cambria Math" w:hAnsi="Cambria Math" w:eastAsia="宋体" w:cs="Times New Roman"/>
            <w:sz w:val="28"/>
            <w:szCs w:val="28"/>
            <w:highlight w:val="none"/>
            <w14:ligatures w14:val="none"/>
          </w:rPr>
          <m:t>+⋯+</m:t>
        </m:r>
        <m:f>
          <m:fPr>
            <m:ctrlPr>
              <w:rPr>
                <w:rFonts w:ascii="Cambria Math" w:hAnsi="Cambria Math" w:eastAsia="宋体" w:cs="Times New Roman"/>
                <w:sz w:val="28"/>
                <w:szCs w:val="28"/>
                <w:highlight w:val="none"/>
                <w14:ligatures w14:val="none"/>
              </w:rPr>
            </m:ctrlPr>
          </m:fPr>
          <m:num>
            <m:sSub>
              <m:sSubPr>
                <m:ctrlPr>
                  <w:rPr>
                    <w:rFonts w:ascii="Cambria Math" w:hAnsi="Cambria Math" w:eastAsia="宋体" w:cs="Times New Roman"/>
                    <w:sz w:val="28"/>
                    <w:szCs w:val="28"/>
                    <w:highlight w:val="none"/>
                    <w14:ligatures w14:val="none"/>
                  </w:rPr>
                </m:ctrlPr>
              </m:sSubPr>
              <m:e>
                <m:r>
                  <m:rPr/>
                  <w:rPr>
                    <w:rFonts w:ascii="Cambria Math" w:hAnsi="Cambria Math" w:eastAsia="宋体" w:cs="Times New Roman"/>
                    <w:sz w:val="28"/>
                    <w:szCs w:val="28"/>
                    <w:highlight w:val="none"/>
                    <w14:ligatures w14:val="none"/>
                  </w:rPr>
                  <m:t>q</m:t>
                </m:r>
                <m:ctrlPr>
                  <w:rPr>
                    <w:rFonts w:ascii="Cambria Math" w:hAnsi="Cambria Math" w:eastAsia="宋体" w:cs="Times New Roman"/>
                    <w:sz w:val="28"/>
                    <w:szCs w:val="28"/>
                    <w:highlight w:val="none"/>
                    <w14:ligatures w14:val="none"/>
                  </w:rPr>
                </m:ctrlPr>
              </m:e>
              <m:sub>
                <m:r>
                  <m:rPr/>
                  <w:rPr>
                    <w:rFonts w:ascii="Cambria Math" w:hAnsi="Cambria Math" w:eastAsia="宋体" w:cs="Times New Roman"/>
                    <w:sz w:val="28"/>
                    <w:szCs w:val="28"/>
                    <w:highlight w:val="none"/>
                    <w14:ligatures w14:val="none"/>
                  </w:rPr>
                  <m:t>n</m:t>
                </m:r>
                <m:ctrlPr>
                  <w:rPr>
                    <w:rFonts w:ascii="Cambria Math" w:hAnsi="Cambria Math" w:eastAsia="宋体" w:cs="Times New Roman"/>
                    <w:sz w:val="28"/>
                    <w:szCs w:val="28"/>
                    <w:highlight w:val="none"/>
                    <w14:ligatures w14:val="none"/>
                  </w:rPr>
                </m:ctrlPr>
              </m:sub>
            </m:sSub>
            <m:ctrlPr>
              <w:rPr>
                <w:rFonts w:ascii="Cambria Math" w:hAnsi="Cambria Math" w:eastAsia="宋体" w:cs="Times New Roman"/>
                <w:sz w:val="28"/>
                <w:szCs w:val="28"/>
                <w:highlight w:val="none"/>
                <w14:ligatures w14:val="none"/>
              </w:rPr>
            </m:ctrlPr>
          </m:num>
          <m:den>
            <m:sSub>
              <m:sSubPr>
                <m:ctrlPr>
                  <w:rPr>
                    <w:rFonts w:ascii="Cambria Math" w:hAnsi="Cambria Math" w:eastAsia="宋体" w:cs="Times New Roman"/>
                    <w:sz w:val="28"/>
                    <w:szCs w:val="28"/>
                    <w:highlight w:val="none"/>
                    <w14:ligatures w14:val="none"/>
                  </w:rPr>
                </m:ctrlPr>
              </m:sSubPr>
              <m:e>
                <m:r>
                  <m:rPr/>
                  <w:rPr>
                    <w:rFonts w:ascii="Cambria Math" w:hAnsi="Cambria Math" w:eastAsia="宋体" w:cs="Times New Roman"/>
                    <w:sz w:val="28"/>
                    <w:szCs w:val="28"/>
                    <w:highlight w:val="none"/>
                    <w14:ligatures w14:val="none"/>
                  </w:rPr>
                  <m:t>Q</m:t>
                </m:r>
                <m:ctrlPr>
                  <w:rPr>
                    <w:rFonts w:ascii="Cambria Math" w:hAnsi="Cambria Math" w:eastAsia="宋体" w:cs="Times New Roman"/>
                    <w:sz w:val="28"/>
                    <w:szCs w:val="28"/>
                    <w:highlight w:val="none"/>
                    <w14:ligatures w14:val="none"/>
                  </w:rPr>
                </m:ctrlPr>
              </m:e>
              <m:sub>
                <m:r>
                  <m:rPr/>
                  <w:rPr>
                    <w:rFonts w:ascii="Cambria Math" w:hAnsi="Cambria Math" w:eastAsia="宋体" w:cs="Times New Roman"/>
                    <w:sz w:val="28"/>
                    <w:szCs w:val="28"/>
                    <w:highlight w:val="none"/>
                    <w14:ligatures w14:val="none"/>
                  </w:rPr>
                  <m:t>n</m:t>
                </m:r>
                <m:ctrlPr>
                  <w:rPr>
                    <w:rFonts w:ascii="Cambria Math" w:hAnsi="Cambria Math" w:eastAsia="宋体" w:cs="Times New Roman"/>
                    <w:sz w:val="28"/>
                    <w:szCs w:val="28"/>
                    <w:highlight w:val="none"/>
                    <w14:ligatures w14:val="none"/>
                  </w:rPr>
                </m:ctrlPr>
              </m:sub>
            </m:sSub>
            <m:ctrlPr>
              <w:rPr>
                <w:rFonts w:ascii="Cambria Math" w:hAnsi="Cambria Math" w:eastAsia="宋体" w:cs="Times New Roman"/>
                <w:sz w:val="28"/>
                <w:szCs w:val="28"/>
                <w:highlight w:val="none"/>
                <w14:ligatures w14:val="none"/>
              </w:rPr>
            </m:ctrlPr>
          </m:den>
        </m:f>
        <m:r>
          <m:rPr>
            <m:sty m:val="p"/>
          </m:rPr>
          <w:rPr>
            <w:rFonts w:ascii="Cambria Math" w:hAnsi="Cambria Math" w:eastAsia="宋体" w:cs="Times New Roman"/>
            <w:sz w:val="28"/>
            <w:szCs w:val="28"/>
            <w:highlight w:val="none"/>
            <w14:ligatures w14:val="none"/>
          </w:rPr>
          <m:t>≥1</m:t>
        </m:r>
      </m:oMath>
      <w:r>
        <w:rPr>
          <w:rFonts w:hint="eastAsia" w:ascii="Times New Roman" w:hAnsi="Times New Roman" w:eastAsia="宋体" w:cs="Times New Roman"/>
          <w:sz w:val="28"/>
          <w:szCs w:val="28"/>
          <w:highlight w:val="none"/>
          <w14:ligatures w14:val="none"/>
        </w:rPr>
        <w:t xml:space="preserve">                  公式（3.5</w:t>
      </w:r>
      <w:r>
        <w:rPr>
          <w:rFonts w:ascii="Times New Roman" w:hAnsi="Times New Roman" w:eastAsia="宋体" w:cs="Times New Roman"/>
          <w:sz w:val="28"/>
          <w:szCs w:val="28"/>
          <w:highlight w:val="none"/>
          <w14:ligatures w14:val="none"/>
        </w:rPr>
        <w:t>-1</w:t>
      </w:r>
      <w:r>
        <w:rPr>
          <w:rFonts w:hint="eastAsia" w:ascii="Times New Roman" w:hAnsi="Times New Roman" w:eastAsia="宋体" w:cs="Times New Roman"/>
          <w:sz w:val="28"/>
          <w:szCs w:val="28"/>
          <w:highlight w:val="none"/>
          <w14:ligatures w14:val="none"/>
        </w:rPr>
        <w:t>）</w:t>
      </w:r>
    </w:p>
    <w:p w14:paraId="0A7107AD">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式中：</w:t>
      </w:r>
      <w:r>
        <w:rPr>
          <w:rFonts w:ascii="Times New Roman" w:hAnsi="Times New Roman" w:eastAsia="宋体" w:cs="Times New Roman"/>
          <w:sz w:val="28"/>
          <w:szCs w:val="28"/>
          <w:highlight w:val="none"/>
          <w14:ligatures w14:val="none"/>
        </w:rPr>
        <w:t>q</w:t>
      </w:r>
      <w:r>
        <w:rPr>
          <w:rFonts w:ascii="Times New Roman" w:hAnsi="Times New Roman" w:eastAsia="宋体" w:cs="Times New Roman"/>
          <w:sz w:val="28"/>
          <w:szCs w:val="28"/>
          <w:highlight w:val="none"/>
          <w:vertAlign w:val="subscript"/>
          <w14:ligatures w14:val="none"/>
        </w:rPr>
        <w:t>1</w:t>
      </w:r>
      <w:r>
        <w:rPr>
          <w:rFonts w:hint="eastAsia" w:ascii="Times New Roman" w:hAnsi="Times New Roman" w:eastAsia="宋体" w:cs="Times New Roman"/>
          <w:sz w:val="28"/>
          <w:szCs w:val="28"/>
          <w:highlight w:val="none"/>
          <w14:ligatures w14:val="none"/>
        </w:rPr>
        <w:t>，</w:t>
      </w:r>
      <w:r>
        <w:rPr>
          <w:rFonts w:ascii="Times New Roman" w:hAnsi="Times New Roman" w:eastAsia="宋体" w:cs="Times New Roman"/>
          <w:sz w:val="28"/>
          <w:szCs w:val="28"/>
          <w:highlight w:val="none"/>
          <w14:ligatures w14:val="none"/>
        </w:rPr>
        <w:t>q</w:t>
      </w:r>
      <w:r>
        <w:rPr>
          <w:rFonts w:ascii="Times New Roman" w:hAnsi="Times New Roman" w:eastAsia="宋体" w:cs="Times New Roman"/>
          <w:sz w:val="28"/>
          <w:szCs w:val="28"/>
          <w:highlight w:val="none"/>
          <w:vertAlign w:val="subscript"/>
          <w14:ligatures w14:val="none"/>
        </w:rPr>
        <w:t>2</w:t>
      </w:r>
      <w:r>
        <w:rPr>
          <w:rFonts w:hint="eastAsia" w:ascii="Times New Roman" w:hAnsi="Times New Roman" w:eastAsia="宋体" w:cs="Times New Roman"/>
          <w:sz w:val="28"/>
          <w:szCs w:val="28"/>
          <w:highlight w:val="none"/>
          <w14:ligatures w14:val="none"/>
        </w:rPr>
        <w:t>，…，</w:t>
      </w:r>
      <w:r>
        <w:rPr>
          <w:rFonts w:ascii="Times New Roman" w:hAnsi="Times New Roman" w:eastAsia="宋体" w:cs="Times New Roman"/>
          <w:sz w:val="28"/>
          <w:szCs w:val="28"/>
          <w:highlight w:val="none"/>
          <w14:ligatures w14:val="none"/>
        </w:rPr>
        <w:t>q</w:t>
      </w:r>
      <w:r>
        <w:rPr>
          <w:rFonts w:ascii="Times New Roman" w:hAnsi="Times New Roman" w:eastAsia="宋体" w:cs="Times New Roman"/>
          <w:sz w:val="28"/>
          <w:szCs w:val="28"/>
          <w:highlight w:val="none"/>
          <w:vertAlign w:val="subscript"/>
          <w14:ligatures w14:val="none"/>
        </w:rPr>
        <w:t>n</w:t>
      </w:r>
      <w:r>
        <w:rPr>
          <w:rFonts w:hint="eastAsia" w:ascii="Times New Roman" w:hAnsi="Times New Roman" w:eastAsia="宋体" w:cs="Times New Roman"/>
          <w:sz w:val="28"/>
          <w:szCs w:val="28"/>
          <w:highlight w:val="none"/>
          <w14:ligatures w14:val="none"/>
        </w:rPr>
        <w:t>——每种危险化学品的实际存在量，</w:t>
      </w:r>
      <w:r>
        <w:rPr>
          <w:rFonts w:ascii="Times New Roman" w:hAnsi="Times New Roman" w:eastAsia="宋体" w:cs="Times New Roman"/>
          <w:sz w:val="28"/>
          <w:szCs w:val="28"/>
          <w:highlight w:val="none"/>
          <w14:ligatures w14:val="none"/>
        </w:rPr>
        <w:t>t</w:t>
      </w:r>
      <w:r>
        <w:rPr>
          <w:rFonts w:hint="eastAsia" w:ascii="Times New Roman" w:hAnsi="Times New Roman" w:eastAsia="宋体" w:cs="Times New Roman"/>
          <w:sz w:val="28"/>
          <w:szCs w:val="28"/>
          <w:highlight w:val="none"/>
          <w14:ligatures w14:val="none"/>
        </w:rPr>
        <w:t>。</w:t>
      </w:r>
    </w:p>
    <w:p w14:paraId="2D40330B">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t>Q</w:t>
      </w:r>
      <w:r>
        <w:rPr>
          <w:rFonts w:ascii="Times New Roman" w:hAnsi="Times New Roman" w:eastAsia="宋体" w:cs="Times New Roman"/>
          <w:sz w:val="28"/>
          <w:szCs w:val="28"/>
          <w:highlight w:val="none"/>
          <w:vertAlign w:val="subscript"/>
          <w14:ligatures w14:val="none"/>
        </w:rPr>
        <w:t>1</w:t>
      </w:r>
      <w:r>
        <w:rPr>
          <w:rFonts w:hint="eastAsia" w:ascii="Times New Roman" w:hAnsi="Times New Roman" w:eastAsia="宋体" w:cs="Times New Roman"/>
          <w:sz w:val="28"/>
          <w:szCs w:val="28"/>
          <w:highlight w:val="none"/>
          <w14:ligatures w14:val="none"/>
        </w:rPr>
        <w:t>，</w:t>
      </w:r>
      <w:r>
        <w:rPr>
          <w:rFonts w:ascii="Times New Roman" w:hAnsi="Times New Roman" w:eastAsia="宋体" w:cs="Times New Roman"/>
          <w:sz w:val="28"/>
          <w:szCs w:val="28"/>
          <w:highlight w:val="none"/>
          <w14:ligatures w14:val="none"/>
        </w:rPr>
        <w:t>Q</w:t>
      </w:r>
      <w:r>
        <w:rPr>
          <w:rFonts w:ascii="Times New Roman" w:hAnsi="Times New Roman" w:eastAsia="宋体" w:cs="Times New Roman"/>
          <w:sz w:val="28"/>
          <w:szCs w:val="28"/>
          <w:highlight w:val="none"/>
          <w:vertAlign w:val="subscript"/>
          <w14:ligatures w14:val="none"/>
        </w:rPr>
        <w:t>2</w:t>
      </w:r>
      <w:r>
        <w:rPr>
          <w:rFonts w:hint="eastAsia" w:ascii="Times New Roman" w:hAnsi="Times New Roman" w:eastAsia="宋体" w:cs="Times New Roman"/>
          <w:sz w:val="28"/>
          <w:szCs w:val="28"/>
          <w:highlight w:val="none"/>
          <w14:ligatures w14:val="none"/>
        </w:rPr>
        <w:t>，…，</w:t>
      </w:r>
      <w:r>
        <w:rPr>
          <w:rFonts w:ascii="Times New Roman" w:hAnsi="Times New Roman" w:eastAsia="宋体" w:cs="Times New Roman"/>
          <w:sz w:val="28"/>
          <w:szCs w:val="28"/>
          <w:highlight w:val="none"/>
          <w14:ligatures w14:val="none"/>
        </w:rPr>
        <w:t>Q</w:t>
      </w:r>
      <w:r>
        <w:rPr>
          <w:rFonts w:ascii="Times New Roman" w:hAnsi="Times New Roman" w:eastAsia="宋体" w:cs="Times New Roman"/>
          <w:sz w:val="28"/>
          <w:szCs w:val="28"/>
          <w:highlight w:val="none"/>
          <w:vertAlign w:val="subscript"/>
          <w14:ligatures w14:val="none"/>
        </w:rPr>
        <w:t>n</w:t>
      </w:r>
      <w:r>
        <w:rPr>
          <w:rFonts w:hint="eastAsia" w:ascii="Times New Roman" w:hAnsi="Times New Roman" w:eastAsia="宋体" w:cs="Times New Roman"/>
          <w:sz w:val="28"/>
          <w:szCs w:val="28"/>
          <w:highlight w:val="none"/>
          <w14:ligatures w14:val="none"/>
        </w:rPr>
        <w:t>——与每种危险化学品相对应的临界量，</w:t>
      </w:r>
      <w:r>
        <w:rPr>
          <w:rFonts w:ascii="Times New Roman" w:hAnsi="Times New Roman" w:eastAsia="宋体" w:cs="Times New Roman"/>
          <w:sz w:val="28"/>
          <w:szCs w:val="28"/>
          <w:highlight w:val="none"/>
          <w14:ligatures w14:val="none"/>
        </w:rPr>
        <w:t>t</w:t>
      </w:r>
      <w:r>
        <w:rPr>
          <w:rFonts w:hint="eastAsia" w:ascii="Times New Roman" w:hAnsi="Times New Roman" w:eastAsia="宋体" w:cs="Times New Roman"/>
          <w:sz w:val="28"/>
          <w:szCs w:val="28"/>
          <w:highlight w:val="none"/>
          <w14:ligatures w14:val="none"/>
        </w:rPr>
        <w:t>。</w:t>
      </w:r>
    </w:p>
    <w:p w14:paraId="12F2F382">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（3）重大危险源辨识</w:t>
      </w:r>
    </w:p>
    <w:p w14:paraId="0D7472C9">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根据《危险化学品重大危险源辨识》（GB 18218-2018）可知，该企业涉及重大危险源辨识的物质有氧、氢气</w:t>
      </w:r>
      <w:r>
        <w:rPr>
          <w:rFonts w:hint="eastAsia" w:ascii="Times New Roman" w:hAnsi="Times New Roman" w:eastAsia="宋体" w:cs="Times New Roman"/>
          <w:sz w:val="28"/>
          <w:szCs w:val="28"/>
          <w:highlight w:val="none"/>
          <w:lang w:val="en-US" w:eastAsia="zh-CN"/>
          <w14:ligatures w14:val="none"/>
        </w:rPr>
        <w:t>和</w:t>
      </w:r>
      <w:r>
        <w:rPr>
          <w:rFonts w:hint="eastAsia" w:ascii="Times New Roman" w:hAnsi="Times New Roman" w:eastAsia="宋体" w:cs="Times New Roman"/>
          <w:sz w:val="28"/>
          <w:szCs w:val="28"/>
          <w:highlight w:val="none"/>
          <w14:ligatures w14:val="none"/>
        </w:rPr>
        <w:t>丙烷。</w:t>
      </w:r>
    </w:p>
    <w:p w14:paraId="3A0680F2">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由于</w:t>
      </w:r>
      <w:r>
        <w:rPr>
          <w:rFonts w:hint="eastAsia" w:ascii="Times New Roman" w:hAnsi="Times New Roman" w:eastAsia="宋体" w:cs="Times New Roman"/>
          <w:sz w:val="28"/>
          <w:szCs w:val="28"/>
          <w:highlight w:val="none"/>
          <w:lang w:val="en-US" w:eastAsia="zh-CN"/>
          <w14:ligatures w14:val="none"/>
        </w:rPr>
        <w:t>氢气和丙烷</w:t>
      </w:r>
      <w:r>
        <w:rPr>
          <w:rFonts w:hint="eastAsia" w:ascii="Times New Roman" w:hAnsi="Times New Roman" w:eastAsia="宋体" w:cs="Times New Roman"/>
          <w:sz w:val="28"/>
          <w:szCs w:val="28"/>
          <w:highlight w:val="none"/>
          <w14:ligatures w14:val="none"/>
        </w:rPr>
        <w:t>属于票据经营，因此，该企业危险化学品重大危险源单元划分为液氧储罐区单元和充装间单元2个储存单元。</w:t>
      </w:r>
    </w:p>
    <w:p w14:paraId="4764311B">
      <w:pPr>
        <w:adjustRightInd w:val="0"/>
        <w:snapToGrid w:val="0"/>
        <w:spacing w:after="0" w:line="360" w:lineRule="auto"/>
        <w:ind w:firstLine="562"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b/>
          <w:bCs/>
          <w:sz w:val="28"/>
          <w:szCs w:val="28"/>
          <w:highlight w:val="none"/>
          <w14:ligatures w14:val="none"/>
        </w:rPr>
        <w:t>液氧储罐区单元</w:t>
      </w:r>
      <w:r>
        <w:rPr>
          <w:rFonts w:hint="eastAsia" w:ascii="Times New Roman" w:hAnsi="Times New Roman" w:eastAsia="宋体" w:cs="Times New Roman"/>
          <w:sz w:val="28"/>
          <w:szCs w:val="28"/>
          <w:highlight w:val="none"/>
          <w14:ligatures w14:val="none"/>
        </w:rPr>
        <w:t>：1座30m³液氧储罐</w:t>
      </w:r>
      <w:r>
        <w:rPr>
          <w:rFonts w:hint="eastAsia" w:ascii="Times New Roman" w:hAnsi="Times New Roman" w:eastAsia="宋体" w:cs="Times New Roman"/>
          <w:sz w:val="28"/>
          <w:szCs w:val="28"/>
          <w:highlight w:val="none"/>
          <w:lang w:val="en-US" w:eastAsia="zh-CN"/>
          <w14:ligatures w14:val="none"/>
        </w:rPr>
        <w:t>和1座5m³医用液氧储罐，</w:t>
      </w:r>
      <w:r>
        <w:rPr>
          <w:rFonts w:hint="eastAsia" w:ascii="Times New Roman" w:hAnsi="Times New Roman" w:eastAsia="宋体" w:cs="Times New Roman"/>
          <w:sz w:val="28"/>
          <w:szCs w:val="28"/>
          <w:highlight w:val="none"/>
          <w14:ligatures w14:val="none"/>
        </w:rPr>
        <w:t>液氧密度为1.143t/m³，储</w:t>
      </w:r>
      <w:r>
        <w:rPr>
          <w:rFonts w:hint="eastAsia" w:ascii="Times New Roman" w:hAnsi="Times New Roman" w:eastAsia="宋体" w:cs="Times New Roman"/>
          <w:sz w:val="28"/>
          <w:szCs w:val="28"/>
          <w:highlight w:val="none"/>
          <w:lang w:val="en-US" w:eastAsia="zh-CN"/>
          <w14:ligatures w14:val="none"/>
        </w:rPr>
        <w:t>存</w:t>
      </w:r>
      <w:r>
        <w:rPr>
          <w:rFonts w:hint="eastAsia" w:ascii="Times New Roman" w:hAnsi="Times New Roman" w:eastAsia="宋体" w:cs="Times New Roman"/>
          <w:sz w:val="28"/>
          <w:szCs w:val="28"/>
          <w:highlight w:val="none"/>
          <w14:ligatures w14:val="none"/>
        </w:rPr>
        <w:t>量为</w:t>
      </w:r>
      <w:r>
        <w:rPr>
          <w:rFonts w:hint="eastAsia" w:ascii="Times New Roman" w:hAnsi="Times New Roman" w:eastAsia="宋体" w:cs="Times New Roman"/>
          <w:sz w:val="28"/>
          <w:szCs w:val="28"/>
          <w:highlight w:val="none"/>
          <w:lang w:eastAsia="zh-CN"/>
          <w14:ligatures w14:val="none"/>
        </w:rPr>
        <w:t>（</w:t>
      </w:r>
      <w:r>
        <w:rPr>
          <w:rFonts w:hint="eastAsia" w:ascii="Times New Roman" w:hAnsi="Times New Roman" w:eastAsia="宋体" w:cs="Times New Roman"/>
          <w:sz w:val="28"/>
          <w:szCs w:val="28"/>
          <w:highlight w:val="none"/>
          <w14:ligatures w14:val="none"/>
        </w:rPr>
        <w:t>30</w:t>
      </w:r>
      <w:r>
        <w:rPr>
          <w:rFonts w:hint="eastAsia" w:ascii="Times New Roman" w:hAnsi="Times New Roman" w:eastAsia="宋体" w:cs="Times New Roman"/>
          <w:sz w:val="28"/>
          <w:szCs w:val="28"/>
          <w:highlight w:val="none"/>
          <w:lang w:val="en-US" w:eastAsia="zh-CN"/>
          <w14:ligatures w14:val="none"/>
        </w:rPr>
        <w:t>+5</w:t>
      </w:r>
      <w:r>
        <w:rPr>
          <w:rFonts w:hint="eastAsia" w:ascii="Times New Roman" w:hAnsi="Times New Roman" w:eastAsia="宋体" w:cs="Times New Roman"/>
          <w:sz w:val="28"/>
          <w:szCs w:val="28"/>
          <w:highlight w:val="none"/>
          <w:lang w:eastAsia="zh-CN"/>
          <w14:ligatures w14:val="none"/>
        </w:rPr>
        <w:t>）</w:t>
      </w:r>
      <w:r>
        <w:rPr>
          <w:rFonts w:hint="eastAsia" w:ascii="Times New Roman" w:hAnsi="Times New Roman" w:eastAsia="宋体" w:cs="Times New Roman"/>
          <w:sz w:val="28"/>
          <w:szCs w:val="28"/>
          <w:highlight w:val="none"/>
          <w14:ligatures w14:val="none"/>
        </w:rPr>
        <w:t>×1.143t/m³=</w:t>
      </w:r>
      <w:r>
        <w:rPr>
          <w:rFonts w:hint="eastAsia" w:ascii="Times New Roman" w:hAnsi="Times New Roman" w:eastAsia="宋体" w:cs="Times New Roman"/>
          <w:sz w:val="28"/>
          <w:szCs w:val="28"/>
          <w:highlight w:val="none"/>
          <w:lang w:val="en-US" w:eastAsia="zh-CN"/>
          <w14:ligatures w14:val="none"/>
        </w:rPr>
        <w:t>40.005</w:t>
      </w:r>
      <w:r>
        <w:rPr>
          <w:rFonts w:hint="eastAsia" w:ascii="Times New Roman" w:hAnsi="Times New Roman" w:eastAsia="宋体" w:cs="Times New Roman"/>
          <w:sz w:val="28"/>
          <w:szCs w:val="28"/>
          <w:highlight w:val="none"/>
          <w14:ligatures w14:val="none"/>
        </w:rPr>
        <w:t>t。</w:t>
      </w:r>
    </w:p>
    <w:p w14:paraId="65C30342">
      <w:pPr>
        <w:keepNext/>
        <w:adjustRightInd w:val="0"/>
        <w:snapToGrid w:val="0"/>
        <w:spacing w:before="156" w:beforeLines="50" w:after="156" w:afterLines="50" w:line="240" w:lineRule="auto"/>
        <w:jc w:val="center"/>
        <w:rPr>
          <w:rFonts w:ascii="Times New Roman" w:hAnsi="Times New Roman" w:eastAsia="黑体" w:cs="Times New Roman"/>
          <w:sz w:val="24"/>
          <w:highlight w:val="none"/>
          <w14:ligatures w14:val="none"/>
        </w:rPr>
      </w:pPr>
      <w:r>
        <w:rPr>
          <w:rFonts w:ascii="Times New Roman" w:hAnsi="Times New Roman" w:eastAsia="黑体" w:cs="Times New Roman"/>
          <w:sz w:val="24"/>
          <w:highlight w:val="none"/>
          <w14:ligatures w14:val="none"/>
        </w:rPr>
        <w:t>表</w:t>
      </w:r>
      <w:r>
        <w:rPr>
          <w:rFonts w:hint="eastAsia" w:ascii="Times New Roman" w:hAnsi="Times New Roman" w:eastAsia="黑体" w:cs="Times New Roman"/>
          <w:sz w:val="24"/>
          <w:highlight w:val="none"/>
          <w14:ligatures w14:val="none"/>
        </w:rPr>
        <w:t>3.5</w:t>
      </w:r>
      <w:r>
        <w:rPr>
          <w:rFonts w:ascii="Times New Roman" w:hAnsi="Times New Roman" w:eastAsia="黑体" w:cs="Times New Roman"/>
          <w:sz w:val="24"/>
          <w:highlight w:val="none"/>
          <w14:ligatures w14:val="none"/>
        </w:rPr>
        <w:t>-</w:t>
      </w:r>
      <w:r>
        <w:rPr>
          <w:rFonts w:hint="eastAsia" w:ascii="Times New Roman" w:hAnsi="Times New Roman" w:eastAsia="黑体" w:cs="Times New Roman"/>
          <w:sz w:val="24"/>
          <w:highlight w:val="none"/>
          <w14:ligatures w14:val="none"/>
        </w:rPr>
        <w:t>1  液氧储罐区单元</w:t>
      </w:r>
      <w:r>
        <w:rPr>
          <w:rFonts w:ascii="Times New Roman" w:hAnsi="Times New Roman" w:eastAsia="黑体" w:cs="Times New Roman"/>
          <w:sz w:val="24"/>
          <w:highlight w:val="none"/>
          <w14:ligatures w14:val="none"/>
        </w:rPr>
        <w:t>储存量和临界量一览表</w:t>
      </w: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4"/>
        <w:gridCol w:w="2848"/>
        <w:gridCol w:w="2644"/>
        <w:gridCol w:w="2798"/>
      </w:tblGrid>
      <w:tr w14:paraId="59216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482" w:type="pct"/>
            <w:vAlign w:val="center"/>
          </w:tcPr>
          <w:p w14:paraId="0560EB4C">
            <w:pPr>
              <w:adjustRightInd w:val="0"/>
              <w:snapToGrid w:val="0"/>
              <w:spacing w:after="0" w:line="240" w:lineRule="auto"/>
              <w:jc w:val="center"/>
              <w:rPr>
                <w:rFonts w:ascii="Times New Roman" w:hAnsi="Times New Roman" w:eastAsia="宋体" w:cs="Times New Roman"/>
                <w:sz w:val="21"/>
                <w:highlight w:val="none"/>
                <w14:ligatures w14:val="none"/>
              </w:rPr>
            </w:pPr>
            <w:r>
              <w:rPr>
                <w:rFonts w:ascii="Times New Roman" w:hAnsi="Times New Roman" w:eastAsia="宋体" w:cs="Times New Roman"/>
                <w:sz w:val="21"/>
                <w:highlight w:val="none"/>
                <w14:ligatures w14:val="none"/>
              </w:rPr>
              <w:t>序号</w:t>
            </w:r>
          </w:p>
        </w:tc>
        <w:tc>
          <w:tcPr>
            <w:tcW w:w="1552" w:type="pct"/>
            <w:vAlign w:val="center"/>
          </w:tcPr>
          <w:p w14:paraId="722F80CC">
            <w:pPr>
              <w:adjustRightInd w:val="0"/>
              <w:snapToGrid w:val="0"/>
              <w:spacing w:after="0" w:line="240" w:lineRule="auto"/>
              <w:jc w:val="center"/>
              <w:rPr>
                <w:rFonts w:ascii="Times New Roman" w:hAnsi="Times New Roman" w:eastAsia="宋体" w:cs="Times New Roman"/>
                <w:sz w:val="21"/>
                <w:highlight w:val="none"/>
                <w14:ligatures w14:val="none"/>
              </w:rPr>
            </w:pPr>
            <w:r>
              <w:rPr>
                <w:rFonts w:ascii="Times New Roman" w:hAnsi="Times New Roman" w:eastAsia="宋体" w:cs="Times New Roman"/>
                <w:sz w:val="21"/>
                <w:highlight w:val="none"/>
                <w14:ligatures w14:val="none"/>
              </w:rPr>
              <w:t>物质名称</w:t>
            </w:r>
          </w:p>
        </w:tc>
        <w:tc>
          <w:tcPr>
            <w:tcW w:w="1441" w:type="pct"/>
            <w:vAlign w:val="center"/>
          </w:tcPr>
          <w:p w14:paraId="236D092C">
            <w:pPr>
              <w:adjustRightInd w:val="0"/>
              <w:snapToGrid w:val="0"/>
              <w:spacing w:after="0" w:line="240" w:lineRule="auto"/>
              <w:jc w:val="center"/>
              <w:rPr>
                <w:rFonts w:ascii="Times New Roman" w:hAnsi="Times New Roman" w:eastAsia="宋体" w:cs="Times New Roman"/>
                <w:sz w:val="21"/>
                <w:highlight w:val="none"/>
                <w14:ligatures w14:val="none"/>
              </w:rPr>
            </w:pPr>
            <w:r>
              <w:rPr>
                <w:rFonts w:ascii="Times New Roman" w:hAnsi="Times New Roman" w:eastAsia="宋体" w:cs="Times New Roman"/>
                <w:sz w:val="21"/>
                <w:highlight w:val="none"/>
                <w14:ligatures w14:val="none"/>
              </w:rPr>
              <w:t>最大存在量（t）</w:t>
            </w:r>
          </w:p>
        </w:tc>
        <w:tc>
          <w:tcPr>
            <w:tcW w:w="1525" w:type="pct"/>
            <w:vAlign w:val="center"/>
          </w:tcPr>
          <w:p w14:paraId="2905A897">
            <w:pPr>
              <w:adjustRightInd w:val="0"/>
              <w:snapToGrid w:val="0"/>
              <w:spacing w:after="0" w:line="240" w:lineRule="auto"/>
              <w:jc w:val="center"/>
              <w:rPr>
                <w:rFonts w:ascii="Times New Roman" w:hAnsi="Times New Roman" w:eastAsia="宋体" w:cs="Times New Roman"/>
                <w:sz w:val="21"/>
                <w:highlight w:val="none"/>
                <w14:ligatures w14:val="none"/>
              </w:rPr>
            </w:pPr>
            <w:r>
              <w:rPr>
                <w:rFonts w:ascii="Times New Roman" w:hAnsi="Times New Roman" w:eastAsia="宋体" w:cs="Times New Roman"/>
                <w:sz w:val="21"/>
                <w:highlight w:val="none"/>
                <w14:ligatures w14:val="none"/>
              </w:rPr>
              <w:t>临界量（t）</w:t>
            </w:r>
          </w:p>
        </w:tc>
      </w:tr>
      <w:tr w14:paraId="74B28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82" w:type="pct"/>
            <w:vAlign w:val="center"/>
          </w:tcPr>
          <w:p w14:paraId="71754850">
            <w:pPr>
              <w:adjustRightInd w:val="0"/>
              <w:snapToGrid w:val="0"/>
              <w:spacing w:after="0" w:line="240" w:lineRule="auto"/>
              <w:jc w:val="center"/>
              <w:rPr>
                <w:rFonts w:ascii="Times New Roman" w:hAnsi="Times New Roman" w:eastAsia="宋体" w:cs="Times New Roman"/>
                <w:sz w:val="21"/>
                <w:highlight w:val="none"/>
                <w14:ligatures w14:val="none"/>
              </w:rPr>
            </w:pPr>
            <w:r>
              <w:rPr>
                <w:rFonts w:ascii="Times New Roman" w:hAnsi="Times New Roman" w:eastAsia="宋体" w:cs="Times New Roman"/>
                <w:sz w:val="21"/>
                <w:highlight w:val="none"/>
                <w14:ligatures w14:val="none"/>
              </w:rPr>
              <w:t>1</w:t>
            </w:r>
          </w:p>
        </w:tc>
        <w:tc>
          <w:tcPr>
            <w:tcW w:w="1552" w:type="pct"/>
            <w:vAlign w:val="center"/>
          </w:tcPr>
          <w:p w14:paraId="3B641F32">
            <w:pPr>
              <w:spacing w:after="0" w:line="240" w:lineRule="auto"/>
              <w:jc w:val="center"/>
              <w:rPr>
                <w:rFonts w:ascii="Times New Roman" w:hAnsi="Times New Roman" w:eastAsia="宋体" w:cs="Times New Roman"/>
                <w:sz w:val="21"/>
                <w:highlight w:val="none"/>
                <w14:ligatures w14:val="none"/>
              </w:rPr>
            </w:pPr>
            <w:r>
              <w:rPr>
                <w:rFonts w:hint="eastAsia" w:ascii="Times New Roman" w:hAnsi="Times New Roman" w:eastAsia="宋体" w:cs="Times New Roman"/>
                <w:sz w:val="21"/>
                <w:highlight w:val="none"/>
                <w14:ligatures w14:val="none"/>
              </w:rPr>
              <w:t>液氧</w:t>
            </w:r>
          </w:p>
        </w:tc>
        <w:tc>
          <w:tcPr>
            <w:tcW w:w="1441" w:type="pct"/>
            <w:vAlign w:val="center"/>
          </w:tcPr>
          <w:p w14:paraId="0B0D9E01">
            <w:pPr>
              <w:spacing w:after="0" w:line="240" w:lineRule="auto"/>
              <w:jc w:val="center"/>
              <w:rPr>
                <w:rFonts w:hint="default" w:ascii="Times New Roman" w:hAnsi="Times New Roman" w:eastAsia="宋体" w:cs="Times New Roman"/>
                <w:sz w:val="21"/>
                <w:szCs w:val="21"/>
                <w:highlight w:val="none"/>
                <w:lang w:val="en-US" w:eastAsia="zh-CN"/>
                <w14:ligatures w14:val="none"/>
              </w:rPr>
            </w:pPr>
            <w:r>
              <w:rPr>
                <w:rFonts w:hint="eastAsia" w:ascii="Times New Roman" w:hAnsi="Times New Roman" w:eastAsia="宋体" w:cs="Times New Roman"/>
                <w:sz w:val="21"/>
                <w:szCs w:val="21"/>
                <w:highlight w:val="none"/>
                <w:lang w:val="en-US" w:eastAsia="zh-CN"/>
                <w14:ligatures w14:val="none"/>
              </w:rPr>
              <w:t>40.005</w:t>
            </w:r>
          </w:p>
        </w:tc>
        <w:tc>
          <w:tcPr>
            <w:tcW w:w="1525" w:type="pct"/>
            <w:vAlign w:val="center"/>
          </w:tcPr>
          <w:p w14:paraId="247341DD">
            <w:pPr>
              <w:spacing w:after="0" w:line="240" w:lineRule="auto"/>
              <w:jc w:val="center"/>
              <w:rPr>
                <w:rFonts w:ascii="Times New Roman" w:hAnsi="Times New Roman" w:eastAsia="宋体" w:cs="Times New Roman"/>
                <w:sz w:val="21"/>
                <w:highlight w:val="none"/>
                <w14:ligatures w14:val="none"/>
              </w:rPr>
            </w:pPr>
            <w:r>
              <w:rPr>
                <w:rFonts w:hint="eastAsia" w:ascii="Times New Roman" w:hAnsi="Times New Roman" w:eastAsia="宋体" w:cs="Times New Roman"/>
                <w:sz w:val="21"/>
                <w:highlight w:val="none"/>
                <w14:ligatures w14:val="none"/>
              </w:rPr>
              <w:t>200</w:t>
            </w:r>
          </w:p>
        </w:tc>
      </w:tr>
    </w:tbl>
    <w:p w14:paraId="004992BC">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氧最大储存量</w:t>
      </w:r>
      <w:r>
        <w:rPr>
          <w:rFonts w:hint="eastAsia" w:ascii="Times New Roman" w:hAnsi="Times New Roman" w:eastAsia="宋体" w:cs="Times New Roman"/>
          <w:sz w:val="28"/>
          <w:szCs w:val="28"/>
          <w:highlight w:val="none"/>
          <w:lang w:val="en-US" w:eastAsia="zh-CN"/>
          <w14:ligatures w14:val="none"/>
        </w:rPr>
        <w:t>40.005</w:t>
      </w:r>
      <w:r>
        <w:rPr>
          <w:rFonts w:hint="eastAsia" w:ascii="Times New Roman" w:hAnsi="Times New Roman" w:eastAsia="宋体" w:cs="Times New Roman"/>
          <w:sz w:val="28"/>
          <w:szCs w:val="28"/>
          <w:highlight w:val="none"/>
          <w14:ligatures w14:val="none"/>
        </w:rPr>
        <w:t>t＜氧临界量200t</w:t>
      </w:r>
    </w:p>
    <w:p w14:paraId="218EE847">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因此，液氧储罐区单元不构成危险化学品重大危险源。</w:t>
      </w:r>
    </w:p>
    <w:p w14:paraId="3CFB0A18">
      <w:pPr>
        <w:adjustRightInd w:val="0"/>
        <w:snapToGrid w:val="0"/>
        <w:spacing w:after="0" w:line="360" w:lineRule="auto"/>
        <w:ind w:firstLine="562" w:firstLineChars="200"/>
        <w:jc w:val="both"/>
        <w:rPr>
          <w:rFonts w:hint="eastAsia" w:ascii="Times New Roman" w:hAnsi="Times New Roman" w:eastAsia="宋体" w:cs="Times New Roman"/>
          <w:b/>
          <w:bCs/>
          <w:sz w:val="28"/>
          <w:szCs w:val="28"/>
          <w:highlight w:val="none"/>
          <w14:ligatures w14:val="none"/>
        </w:rPr>
      </w:pPr>
      <w:r>
        <w:rPr>
          <w:rFonts w:hint="eastAsia" w:ascii="Times New Roman" w:hAnsi="Times New Roman" w:eastAsia="宋体" w:cs="Times New Roman"/>
          <w:b/>
          <w:bCs/>
          <w:sz w:val="28"/>
          <w:szCs w:val="28"/>
          <w:highlight w:val="none"/>
          <w14:ligatures w14:val="none"/>
        </w:rPr>
        <w:t>充装间单元：</w:t>
      </w:r>
    </w:p>
    <w:p w14:paraId="0271A532">
      <w:pPr>
        <w:adjustRightInd w:val="0"/>
        <w:snapToGrid w:val="0"/>
        <w:spacing w:after="0" w:line="360" w:lineRule="auto"/>
        <w:ind w:firstLine="560" w:firstLineChars="200"/>
        <w:jc w:val="both"/>
        <w:rPr>
          <w:rFonts w:hint="eastAsia" w:ascii="Times New Roman" w:hAnsi="Times New Roman" w:eastAsia="宋体" w:cs="Times New Roman"/>
          <w:sz w:val="28"/>
          <w:szCs w:val="28"/>
          <w:highlight w:val="none"/>
          <w:lang w:val="en-US" w:eastAsia="zh-CN"/>
          <w14:ligatures w14:val="none"/>
        </w:rPr>
      </w:pPr>
      <w:r>
        <w:rPr>
          <w:rFonts w:hint="eastAsia" w:ascii="Times New Roman" w:hAnsi="Times New Roman" w:eastAsia="宋体" w:cs="Times New Roman"/>
          <w:sz w:val="28"/>
          <w:szCs w:val="28"/>
          <w:highlight w:val="none"/>
          <w14:ligatures w14:val="none"/>
        </w:rPr>
        <w:t>氧气充装间共设</w:t>
      </w:r>
      <w:r>
        <w:rPr>
          <w:rFonts w:hint="eastAsia" w:ascii="Times New Roman" w:hAnsi="Times New Roman" w:eastAsia="宋体" w:cs="Times New Roman"/>
          <w:sz w:val="28"/>
          <w:szCs w:val="28"/>
          <w:highlight w:val="none"/>
          <w:lang w:val="en-US" w:eastAsia="zh-CN"/>
          <w14:ligatures w14:val="none"/>
        </w:rPr>
        <w:t>3</w:t>
      </w:r>
      <w:r>
        <w:rPr>
          <w:rFonts w:hint="eastAsia" w:ascii="Times New Roman" w:hAnsi="Times New Roman" w:eastAsia="宋体" w:cs="Times New Roman"/>
          <w:sz w:val="28"/>
          <w:szCs w:val="28"/>
          <w:highlight w:val="none"/>
          <w14:ligatures w14:val="none"/>
        </w:rPr>
        <w:t>组氧气</w:t>
      </w:r>
      <w:r>
        <w:rPr>
          <w:rFonts w:hint="eastAsia" w:ascii="Times New Roman" w:hAnsi="Times New Roman" w:eastAsia="宋体" w:cs="Times New Roman"/>
          <w:sz w:val="28"/>
          <w:szCs w:val="28"/>
          <w:highlight w:val="none"/>
          <w:lang w:val="en-US" w:eastAsia="zh-CN"/>
          <w14:ligatures w14:val="none"/>
        </w:rPr>
        <w:t>花篮充装器</w:t>
      </w:r>
      <w:r>
        <w:rPr>
          <w:rFonts w:hint="eastAsia" w:ascii="Times New Roman" w:hAnsi="Times New Roman" w:eastAsia="宋体" w:cs="Times New Roman"/>
          <w:sz w:val="28"/>
          <w:szCs w:val="28"/>
          <w:highlight w:val="none"/>
          <w14:ligatures w14:val="none"/>
        </w:rPr>
        <w:t>，</w:t>
      </w:r>
      <w:r>
        <w:rPr>
          <w:rFonts w:hint="eastAsia" w:ascii="Times New Roman" w:hAnsi="Times New Roman" w:eastAsia="宋体" w:cs="Times New Roman"/>
          <w:sz w:val="28"/>
          <w:szCs w:val="28"/>
          <w:highlight w:val="none"/>
          <w:lang w:val="en-US" w:eastAsia="zh-CN"/>
          <w14:ligatures w14:val="none"/>
        </w:rPr>
        <w:t>32</w:t>
      </w:r>
      <w:r>
        <w:rPr>
          <w:rFonts w:hint="eastAsia" w:ascii="Times New Roman" w:hAnsi="Times New Roman" w:eastAsia="宋体" w:cs="Times New Roman"/>
          <w:sz w:val="28"/>
          <w:szCs w:val="28"/>
          <w:highlight w:val="none"/>
          <w14:ligatures w14:val="none"/>
        </w:rPr>
        <w:t>头/组氧气瓶</w:t>
      </w:r>
      <w:r>
        <w:rPr>
          <w:rFonts w:hint="eastAsia" w:ascii="Times New Roman" w:hAnsi="Times New Roman" w:eastAsia="宋体" w:cs="Times New Roman"/>
          <w:sz w:val="28"/>
          <w:szCs w:val="28"/>
          <w:highlight w:val="none"/>
          <w:lang w:val="en-US" w:eastAsia="zh-CN"/>
          <w14:ligatures w14:val="none"/>
        </w:rPr>
        <w:t>50</w:t>
      </w:r>
      <w:r>
        <w:rPr>
          <w:rFonts w:hint="eastAsia" w:ascii="Times New Roman" w:hAnsi="Times New Roman" w:eastAsia="宋体" w:cs="Times New Roman"/>
          <w:sz w:val="28"/>
          <w:szCs w:val="28"/>
          <w:highlight w:val="none"/>
          <w14:ligatures w14:val="none"/>
        </w:rPr>
        <w:t>L/瓶，压力为15MPa</w:t>
      </w:r>
      <w:r>
        <w:rPr>
          <w:rFonts w:hint="eastAsia" w:ascii="Times New Roman" w:hAnsi="Times New Roman" w:eastAsia="宋体" w:cs="Times New Roman"/>
          <w:sz w:val="28"/>
          <w:szCs w:val="28"/>
          <w:highlight w:val="none"/>
          <w:lang w:eastAsia="zh-CN"/>
          <w14:ligatures w14:val="none"/>
        </w:rPr>
        <w:t>，</w:t>
      </w:r>
      <w:r>
        <w:rPr>
          <w:rFonts w:hint="eastAsia" w:ascii="Times New Roman" w:hAnsi="Times New Roman" w:eastAsia="宋体" w:cs="Times New Roman"/>
          <w:sz w:val="28"/>
          <w:szCs w:val="28"/>
          <w:highlight w:val="none"/>
          <w:lang w:val="en-US" w:eastAsia="zh-CN"/>
          <w14:ligatures w14:val="none"/>
        </w:rPr>
        <w:t>氧气密度为1.429</w:t>
      </w:r>
      <w:r>
        <w:rPr>
          <w:rFonts w:hint="eastAsia" w:ascii="Times New Roman" w:hAnsi="Times New Roman" w:eastAsia="宋体" w:cs="Times New Roman"/>
          <w:sz w:val="28"/>
          <w:szCs w:val="28"/>
          <w:highlight w:val="none"/>
          <w14:ligatures w14:val="none"/>
        </w:rPr>
        <w:t>t/m³。储量为：</w:t>
      </w:r>
      <w:r>
        <w:rPr>
          <w:rFonts w:hint="eastAsia" w:ascii="Times New Roman" w:hAnsi="Times New Roman" w:eastAsia="宋体" w:cs="Times New Roman"/>
          <w:sz w:val="28"/>
          <w:szCs w:val="28"/>
          <w:highlight w:val="none"/>
          <w:lang w:val="en-US" w:eastAsia="zh-CN"/>
          <w14:ligatures w14:val="none"/>
        </w:rPr>
        <w:t>3</w:t>
      </w:r>
      <w:r>
        <w:rPr>
          <w:rFonts w:hint="eastAsia" w:ascii="Times New Roman" w:hAnsi="Times New Roman" w:eastAsia="宋体" w:cs="Times New Roman"/>
          <w:sz w:val="28"/>
          <w:szCs w:val="28"/>
          <w:highlight w:val="none"/>
          <w14:ligatures w14:val="none"/>
        </w:rPr>
        <w:t>×</w:t>
      </w:r>
      <w:r>
        <w:rPr>
          <w:rFonts w:hint="eastAsia" w:ascii="Times New Roman" w:hAnsi="Times New Roman" w:eastAsia="宋体" w:cs="Times New Roman"/>
          <w:sz w:val="28"/>
          <w:szCs w:val="28"/>
          <w:highlight w:val="none"/>
          <w:lang w:val="en-US" w:eastAsia="zh-CN"/>
          <w14:ligatures w14:val="none"/>
        </w:rPr>
        <w:t>32</w:t>
      </w:r>
      <w:r>
        <w:rPr>
          <w:rFonts w:hint="eastAsia" w:ascii="Times New Roman" w:hAnsi="Times New Roman" w:eastAsia="宋体" w:cs="Times New Roman"/>
          <w:sz w:val="28"/>
          <w:szCs w:val="28"/>
          <w:highlight w:val="none"/>
          <w14:ligatures w14:val="none"/>
        </w:rPr>
        <w:t>×</w:t>
      </w:r>
      <w:r>
        <w:rPr>
          <w:rFonts w:hint="eastAsia" w:ascii="Times New Roman" w:hAnsi="Times New Roman" w:eastAsia="宋体" w:cs="Times New Roman"/>
          <w:sz w:val="28"/>
          <w:szCs w:val="28"/>
          <w:highlight w:val="none"/>
          <w:lang w:val="en-US" w:eastAsia="zh-CN"/>
          <w14:ligatures w14:val="none"/>
        </w:rPr>
        <w:t>5</w:t>
      </w:r>
      <w:r>
        <w:rPr>
          <w:rFonts w:hint="eastAsia" w:ascii="Times New Roman" w:hAnsi="Times New Roman" w:eastAsia="宋体" w:cs="Times New Roman"/>
          <w:sz w:val="28"/>
          <w:szCs w:val="28"/>
          <w:highlight w:val="none"/>
          <w14:ligatures w14:val="none"/>
        </w:rPr>
        <w:t>0×10</w:t>
      </w:r>
      <w:r>
        <w:rPr>
          <w:rFonts w:hint="eastAsia" w:ascii="Times New Roman" w:hAnsi="Times New Roman" w:eastAsia="宋体" w:cs="Times New Roman"/>
          <w:sz w:val="28"/>
          <w:szCs w:val="28"/>
          <w:highlight w:val="none"/>
          <w:vertAlign w:val="superscript"/>
          <w14:ligatures w14:val="none"/>
        </w:rPr>
        <w:t>-3</w:t>
      </w:r>
      <w:r>
        <w:rPr>
          <w:rFonts w:hint="eastAsia" w:ascii="Times New Roman" w:hAnsi="Times New Roman" w:eastAsia="宋体" w:cs="Times New Roman"/>
          <w:sz w:val="28"/>
          <w:szCs w:val="28"/>
          <w:highlight w:val="none"/>
          <w14:ligatures w14:val="none"/>
        </w:rPr>
        <w:t>×15×10×1.429=</w:t>
      </w:r>
      <w:r>
        <w:rPr>
          <w:rFonts w:hint="eastAsia" w:ascii="Times New Roman" w:hAnsi="Times New Roman" w:eastAsia="宋体" w:cs="Times New Roman"/>
          <w:sz w:val="28"/>
          <w:szCs w:val="28"/>
          <w:highlight w:val="none"/>
          <w:lang w:val="en-US" w:eastAsia="zh-CN"/>
          <w14:ligatures w14:val="none"/>
        </w:rPr>
        <w:t>1028.88</w:t>
      </w:r>
      <w:r>
        <w:rPr>
          <w:rFonts w:hint="eastAsia" w:ascii="Times New Roman" w:hAnsi="Times New Roman" w:eastAsia="宋体" w:cs="Times New Roman"/>
          <w:sz w:val="28"/>
          <w:szCs w:val="28"/>
          <w:highlight w:val="none"/>
          <w14:ligatures w14:val="none"/>
        </w:rPr>
        <w:t>kg</w:t>
      </w:r>
      <w:r>
        <w:rPr>
          <w:rFonts w:hint="eastAsia" w:ascii="Times New Roman" w:hAnsi="Times New Roman" w:eastAsia="宋体" w:cs="Times New Roman"/>
          <w:sz w:val="28"/>
          <w:szCs w:val="28"/>
          <w:highlight w:val="none"/>
          <w:lang w:eastAsia="zh-CN"/>
          <w14:ligatures w14:val="none"/>
        </w:rPr>
        <w:t>，</w:t>
      </w:r>
      <w:r>
        <w:rPr>
          <w:rFonts w:hint="eastAsia" w:ascii="Times New Roman" w:hAnsi="Times New Roman" w:eastAsia="宋体" w:cs="Times New Roman"/>
          <w:sz w:val="28"/>
          <w:szCs w:val="28"/>
          <w:highlight w:val="none"/>
          <w14:ligatures w14:val="none"/>
        </w:rPr>
        <w:t>因此，</w:t>
      </w:r>
      <w:r>
        <w:rPr>
          <w:rFonts w:hint="eastAsia" w:ascii="Times New Roman" w:hAnsi="Times New Roman" w:eastAsia="宋体" w:cs="Times New Roman"/>
          <w:sz w:val="28"/>
          <w:szCs w:val="28"/>
          <w:highlight w:val="none"/>
          <w:lang w:val="en-US" w:eastAsia="zh-CN"/>
          <w14:ligatures w14:val="none"/>
        </w:rPr>
        <w:t>氧气</w:t>
      </w:r>
      <w:r>
        <w:rPr>
          <w:rFonts w:hint="eastAsia" w:ascii="Times New Roman" w:hAnsi="Times New Roman" w:eastAsia="宋体" w:cs="Times New Roman"/>
          <w:sz w:val="28"/>
          <w:szCs w:val="28"/>
          <w:highlight w:val="none"/>
          <w14:ligatures w14:val="none"/>
        </w:rPr>
        <w:t>充装间单元氧气最大储存量为</w:t>
      </w:r>
      <w:r>
        <w:rPr>
          <w:rFonts w:hint="eastAsia" w:ascii="Times New Roman" w:hAnsi="Times New Roman" w:eastAsia="宋体" w:cs="Times New Roman"/>
          <w:sz w:val="28"/>
          <w:szCs w:val="28"/>
          <w:highlight w:val="none"/>
          <w:lang w:val="en-US" w:eastAsia="zh-CN"/>
          <w14:ligatures w14:val="none"/>
        </w:rPr>
        <w:t>1.029t。</w:t>
      </w:r>
    </w:p>
    <w:p w14:paraId="20AEECD3">
      <w:pPr>
        <w:adjustRightInd w:val="0"/>
        <w:snapToGrid w:val="0"/>
        <w:spacing w:after="0" w:line="360" w:lineRule="auto"/>
        <w:ind w:firstLine="560" w:firstLineChars="200"/>
        <w:jc w:val="both"/>
        <w:rPr>
          <w:rFonts w:hint="default" w:ascii="Times New Roman" w:hAnsi="Times New Roman" w:eastAsia="宋体" w:cs="Times New Roman"/>
          <w:sz w:val="28"/>
          <w:szCs w:val="28"/>
          <w:highlight w:val="none"/>
          <w:lang w:val="en-US" w:eastAsia="zh-CN"/>
          <w14:ligatures w14:val="none"/>
        </w:rPr>
      </w:pPr>
      <w:r>
        <w:rPr>
          <w:rFonts w:hint="eastAsia" w:ascii="Times New Roman" w:hAnsi="Times New Roman" w:eastAsia="宋体" w:cs="Times New Roman"/>
          <w:sz w:val="28"/>
          <w:szCs w:val="28"/>
          <w:highlight w:val="none"/>
          <w:lang w:val="en-US" w:eastAsia="zh-CN"/>
          <w14:ligatures w14:val="none"/>
        </w:rPr>
        <w:t>医用氧气充装间共设2</w:t>
      </w:r>
      <w:r>
        <w:rPr>
          <w:rFonts w:hint="eastAsia" w:ascii="Times New Roman" w:hAnsi="Times New Roman" w:eastAsia="宋体" w:cs="Times New Roman"/>
          <w:sz w:val="28"/>
          <w:szCs w:val="28"/>
          <w:highlight w:val="none"/>
          <w14:ligatures w14:val="none"/>
        </w:rPr>
        <w:t>组氧气</w:t>
      </w:r>
      <w:r>
        <w:rPr>
          <w:rFonts w:hint="eastAsia" w:ascii="Times New Roman" w:hAnsi="Times New Roman" w:eastAsia="宋体" w:cs="Times New Roman"/>
          <w:sz w:val="28"/>
          <w:szCs w:val="28"/>
          <w:highlight w:val="none"/>
          <w:lang w:val="en-US" w:eastAsia="zh-CN"/>
          <w14:ligatures w14:val="none"/>
        </w:rPr>
        <w:t>花篮充装器</w:t>
      </w:r>
      <w:r>
        <w:rPr>
          <w:rFonts w:hint="eastAsia" w:ascii="Times New Roman" w:hAnsi="Times New Roman" w:eastAsia="宋体" w:cs="Times New Roman"/>
          <w:sz w:val="28"/>
          <w:szCs w:val="28"/>
          <w:highlight w:val="none"/>
          <w14:ligatures w14:val="none"/>
        </w:rPr>
        <w:t>，</w:t>
      </w:r>
      <w:r>
        <w:rPr>
          <w:rFonts w:hint="eastAsia" w:ascii="Times New Roman" w:hAnsi="Times New Roman" w:eastAsia="宋体" w:cs="Times New Roman"/>
          <w:sz w:val="28"/>
          <w:szCs w:val="28"/>
          <w:highlight w:val="none"/>
          <w:lang w:val="en-US" w:eastAsia="zh-CN"/>
          <w14:ligatures w14:val="none"/>
        </w:rPr>
        <w:t>16</w:t>
      </w:r>
      <w:r>
        <w:rPr>
          <w:rFonts w:hint="eastAsia" w:ascii="Times New Roman" w:hAnsi="Times New Roman" w:eastAsia="宋体" w:cs="Times New Roman"/>
          <w:sz w:val="28"/>
          <w:szCs w:val="28"/>
          <w:highlight w:val="none"/>
          <w14:ligatures w14:val="none"/>
        </w:rPr>
        <w:t>头/组氧气瓶</w:t>
      </w:r>
      <w:r>
        <w:rPr>
          <w:rFonts w:hint="eastAsia" w:ascii="Times New Roman" w:hAnsi="Times New Roman" w:eastAsia="宋体" w:cs="Times New Roman"/>
          <w:sz w:val="28"/>
          <w:szCs w:val="28"/>
          <w:highlight w:val="none"/>
          <w:lang w:val="en-US" w:eastAsia="zh-CN"/>
          <w14:ligatures w14:val="none"/>
        </w:rPr>
        <w:t>50</w:t>
      </w:r>
      <w:r>
        <w:rPr>
          <w:rFonts w:hint="eastAsia" w:ascii="Times New Roman" w:hAnsi="Times New Roman" w:eastAsia="宋体" w:cs="Times New Roman"/>
          <w:sz w:val="28"/>
          <w:szCs w:val="28"/>
          <w:highlight w:val="none"/>
          <w14:ligatures w14:val="none"/>
        </w:rPr>
        <w:t>L/瓶，压力为15MPa</w:t>
      </w:r>
      <w:r>
        <w:rPr>
          <w:rFonts w:hint="eastAsia" w:ascii="Times New Roman" w:hAnsi="Times New Roman" w:eastAsia="宋体" w:cs="Times New Roman"/>
          <w:sz w:val="28"/>
          <w:szCs w:val="28"/>
          <w:highlight w:val="none"/>
          <w:lang w:eastAsia="zh-CN"/>
          <w14:ligatures w14:val="none"/>
        </w:rPr>
        <w:t>，</w:t>
      </w:r>
      <w:r>
        <w:rPr>
          <w:rFonts w:hint="eastAsia" w:ascii="Times New Roman" w:hAnsi="Times New Roman" w:eastAsia="宋体" w:cs="Times New Roman"/>
          <w:sz w:val="28"/>
          <w:szCs w:val="28"/>
          <w:highlight w:val="none"/>
          <w:lang w:val="en-US" w:eastAsia="zh-CN"/>
          <w14:ligatures w14:val="none"/>
        </w:rPr>
        <w:t>氧气密度为1.429</w:t>
      </w:r>
      <w:r>
        <w:rPr>
          <w:rFonts w:hint="eastAsia" w:ascii="Times New Roman" w:hAnsi="Times New Roman" w:eastAsia="宋体" w:cs="Times New Roman"/>
          <w:sz w:val="28"/>
          <w:szCs w:val="28"/>
          <w:highlight w:val="none"/>
          <w14:ligatures w14:val="none"/>
        </w:rPr>
        <w:t>t/m³。储量为：</w:t>
      </w:r>
      <w:r>
        <w:rPr>
          <w:rFonts w:hint="eastAsia" w:ascii="Times New Roman" w:hAnsi="Times New Roman" w:eastAsia="宋体" w:cs="Times New Roman"/>
          <w:sz w:val="28"/>
          <w:szCs w:val="28"/>
          <w:highlight w:val="none"/>
          <w:lang w:val="en-US" w:eastAsia="zh-CN"/>
          <w14:ligatures w14:val="none"/>
        </w:rPr>
        <w:t>2</w:t>
      </w:r>
      <w:r>
        <w:rPr>
          <w:rFonts w:hint="eastAsia" w:ascii="Times New Roman" w:hAnsi="Times New Roman" w:eastAsia="宋体" w:cs="Times New Roman"/>
          <w:sz w:val="28"/>
          <w:szCs w:val="28"/>
          <w:highlight w:val="none"/>
          <w14:ligatures w14:val="none"/>
        </w:rPr>
        <w:t>×</w:t>
      </w:r>
      <w:r>
        <w:rPr>
          <w:rFonts w:hint="eastAsia" w:ascii="Times New Roman" w:hAnsi="Times New Roman" w:eastAsia="宋体" w:cs="Times New Roman"/>
          <w:sz w:val="28"/>
          <w:szCs w:val="28"/>
          <w:highlight w:val="none"/>
          <w:lang w:val="en-US" w:eastAsia="zh-CN"/>
          <w14:ligatures w14:val="none"/>
        </w:rPr>
        <w:t>16</w:t>
      </w:r>
      <w:r>
        <w:rPr>
          <w:rFonts w:hint="eastAsia" w:ascii="Times New Roman" w:hAnsi="Times New Roman" w:eastAsia="宋体" w:cs="Times New Roman"/>
          <w:sz w:val="28"/>
          <w:szCs w:val="28"/>
          <w:highlight w:val="none"/>
          <w14:ligatures w14:val="none"/>
        </w:rPr>
        <w:t>×</w:t>
      </w:r>
      <w:r>
        <w:rPr>
          <w:rFonts w:hint="eastAsia" w:ascii="Times New Roman" w:hAnsi="Times New Roman" w:eastAsia="宋体" w:cs="Times New Roman"/>
          <w:sz w:val="28"/>
          <w:szCs w:val="28"/>
          <w:highlight w:val="none"/>
          <w:lang w:val="en-US" w:eastAsia="zh-CN"/>
          <w14:ligatures w14:val="none"/>
        </w:rPr>
        <w:t>5</w:t>
      </w:r>
      <w:r>
        <w:rPr>
          <w:rFonts w:hint="eastAsia" w:ascii="Times New Roman" w:hAnsi="Times New Roman" w:eastAsia="宋体" w:cs="Times New Roman"/>
          <w:sz w:val="28"/>
          <w:szCs w:val="28"/>
          <w:highlight w:val="none"/>
          <w14:ligatures w14:val="none"/>
        </w:rPr>
        <w:t>0×10</w:t>
      </w:r>
      <w:r>
        <w:rPr>
          <w:rFonts w:hint="eastAsia" w:ascii="Times New Roman" w:hAnsi="Times New Roman" w:eastAsia="宋体" w:cs="Times New Roman"/>
          <w:sz w:val="28"/>
          <w:szCs w:val="28"/>
          <w:highlight w:val="none"/>
          <w:vertAlign w:val="superscript"/>
          <w14:ligatures w14:val="none"/>
        </w:rPr>
        <w:t>-3</w:t>
      </w:r>
      <w:r>
        <w:rPr>
          <w:rFonts w:hint="eastAsia" w:ascii="Times New Roman" w:hAnsi="Times New Roman" w:eastAsia="宋体" w:cs="Times New Roman"/>
          <w:sz w:val="28"/>
          <w:szCs w:val="28"/>
          <w:highlight w:val="none"/>
          <w14:ligatures w14:val="none"/>
        </w:rPr>
        <w:t>×15×10×1.429=</w:t>
      </w:r>
      <w:r>
        <w:rPr>
          <w:rFonts w:hint="eastAsia" w:ascii="Times New Roman" w:hAnsi="Times New Roman" w:eastAsia="宋体" w:cs="Times New Roman"/>
          <w:sz w:val="28"/>
          <w:szCs w:val="28"/>
          <w:highlight w:val="none"/>
          <w:lang w:val="en-US" w:eastAsia="zh-CN"/>
          <w14:ligatures w14:val="none"/>
        </w:rPr>
        <w:t>342.96</w:t>
      </w:r>
      <w:r>
        <w:rPr>
          <w:rFonts w:hint="eastAsia" w:ascii="Times New Roman" w:hAnsi="Times New Roman" w:eastAsia="宋体" w:cs="Times New Roman"/>
          <w:sz w:val="28"/>
          <w:szCs w:val="28"/>
          <w:highlight w:val="none"/>
          <w14:ligatures w14:val="none"/>
        </w:rPr>
        <w:t>kg</w:t>
      </w:r>
      <w:r>
        <w:rPr>
          <w:rFonts w:hint="eastAsia" w:ascii="Times New Roman" w:hAnsi="Times New Roman" w:eastAsia="宋体" w:cs="Times New Roman"/>
          <w:sz w:val="28"/>
          <w:szCs w:val="28"/>
          <w:highlight w:val="none"/>
          <w:lang w:eastAsia="zh-CN"/>
          <w14:ligatures w14:val="none"/>
        </w:rPr>
        <w:t>，</w:t>
      </w:r>
      <w:r>
        <w:rPr>
          <w:rFonts w:hint="eastAsia" w:ascii="Times New Roman" w:hAnsi="Times New Roman" w:eastAsia="宋体" w:cs="Times New Roman"/>
          <w:sz w:val="28"/>
          <w:szCs w:val="28"/>
          <w:highlight w:val="none"/>
          <w14:ligatures w14:val="none"/>
        </w:rPr>
        <w:t>因此，</w:t>
      </w:r>
      <w:r>
        <w:rPr>
          <w:rFonts w:hint="eastAsia" w:ascii="Times New Roman" w:hAnsi="Times New Roman" w:eastAsia="宋体" w:cs="Times New Roman"/>
          <w:sz w:val="28"/>
          <w:szCs w:val="28"/>
          <w:highlight w:val="none"/>
          <w:lang w:val="en-US" w:eastAsia="zh-CN"/>
          <w14:ligatures w14:val="none"/>
        </w:rPr>
        <w:t>医用氧气</w:t>
      </w:r>
      <w:r>
        <w:rPr>
          <w:rFonts w:hint="eastAsia" w:ascii="Times New Roman" w:hAnsi="Times New Roman" w:eastAsia="宋体" w:cs="Times New Roman"/>
          <w:sz w:val="28"/>
          <w:szCs w:val="28"/>
          <w:highlight w:val="none"/>
          <w14:ligatures w14:val="none"/>
        </w:rPr>
        <w:t>充装间单元氧气最大储存量为</w:t>
      </w:r>
      <w:r>
        <w:rPr>
          <w:rFonts w:hint="eastAsia" w:ascii="Times New Roman" w:hAnsi="Times New Roman" w:eastAsia="宋体" w:cs="Times New Roman"/>
          <w:sz w:val="28"/>
          <w:szCs w:val="28"/>
          <w:highlight w:val="none"/>
          <w:lang w:val="en-US" w:eastAsia="zh-CN"/>
          <w14:ligatures w14:val="none"/>
        </w:rPr>
        <w:t>0.343t。</w:t>
      </w:r>
    </w:p>
    <w:p w14:paraId="5AFE1F95">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氧气充装间</w:t>
      </w:r>
      <w:r>
        <w:rPr>
          <w:rFonts w:hint="eastAsia" w:ascii="Times New Roman" w:hAnsi="Times New Roman" w:eastAsia="宋体" w:cs="Times New Roman"/>
          <w:sz w:val="28"/>
          <w:szCs w:val="28"/>
          <w:highlight w:val="none"/>
          <w:lang w:val="en-US" w:eastAsia="zh-CN"/>
          <w14:ligatures w14:val="none"/>
        </w:rPr>
        <w:t>和医用氧气充装间的充装气瓶根据订单需要随充随走，不存放。</w:t>
      </w:r>
    </w:p>
    <w:p w14:paraId="620E81FA">
      <w:pPr>
        <w:keepNext/>
        <w:adjustRightInd w:val="0"/>
        <w:snapToGrid w:val="0"/>
        <w:spacing w:before="156" w:beforeLines="50" w:after="156" w:afterLines="50" w:line="240" w:lineRule="auto"/>
        <w:jc w:val="center"/>
        <w:rPr>
          <w:rFonts w:ascii="Times New Roman" w:hAnsi="Times New Roman" w:eastAsia="黑体" w:cs="Times New Roman"/>
          <w:sz w:val="24"/>
          <w:highlight w:val="none"/>
          <w14:ligatures w14:val="none"/>
        </w:rPr>
      </w:pPr>
      <w:r>
        <w:rPr>
          <w:rFonts w:ascii="Times New Roman" w:hAnsi="Times New Roman" w:eastAsia="黑体" w:cs="Times New Roman"/>
          <w:sz w:val="24"/>
          <w:highlight w:val="none"/>
          <w14:ligatures w14:val="none"/>
        </w:rPr>
        <w:t>表</w:t>
      </w:r>
      <w:r>
        <w:rPr>
          <w:rFonts w:hint="eastAsia" w:ascii="Times New Roman" w:hAnsi="Times New Roman" w:eastAsia="黑体" w:cs="Times New Roman"/>
          <w:sz w:val="24"/>
          <w:highlight w:val="none"/>
          <w14:ligatures w14:val="none"/>
        </w:rPr>
        <w:t>3.5</w:t>
      </w:r>
      <w:r>
        <w:rPr>
          <w:rFonts w:ascii="Times New Roman" w:hAnsi="Times New Roman" w:eastAsia="黑体" w:cs="Times New Roman"/>
          <w:sz w:val="24"/>
          <w:highlight w:val="none"/>
          <w14:ligatures w14:val="none"/>
        </w:rPr>
        <w:t>-</w:t>
      </w:r>
      <w:r>
        <w:rPr>
          <w:rFonts w:hint="eastAsia" w:ascii="Times New Roman" w:hAnsi="Times New Roman" w:eastAsia="黑体" w:cs="Times New Roman"/>
          <w:sz w:val="24"/>
          <w:highlight w:val="none"/>
          <w14:ligatures w14:val="none"/>
        </w:rPr>
        <w:t>2  充装间单元</w:t>
      </w:r>
      <w:r>
        <w:rPr>
          <w:rFonts w:ascii="Times New Roman" w:hAnsi="Times New Roman" w:eastAsia="黑体" w:cs="Times New Roman"/>
          <w:sz w:val="24"/>
          <w:highlight w:val="none"/>
          <w14:ligatures w14:val="none"/>
        </w:rPr>
        <w:t>储存量和临界量一览表</w:t>
      </w:r>
    </w:p>
    <w:tbl>
      <w:tblPr>
        <w:tblStyle w:val="1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4"/>
        <w:gridCol w:w="2211"/>
        <w:gridCol w:w="2052"/>
        <w:gridCol w:w="2052"/>
        <w:gridCol w:w="2171"/>
      </w:tblGrid>
      <w:tr w14:paraId="32EDF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373" w:type="pct"/>
            <w:vAlign w:val="center"/>
          </w:tcPr>
          <w:p w14:paraId="619D2E68">
            <w:pPr>
              <w:adjustRightInd w:val="0"/>
              <w:snapToGrid w:val="0"/>
              <w:spacing w:after="0" w:line="240" w:lineRule="auto"/>
              <w:jc w:val="center"/>
              <w:rPr>
                <w:rFonts w:ascii="Times New Roman" w:hAnsi="Times New Roman" w:eastAsia="宋体" w:cs="Times New Roman"/>
                <w:sz w:val="21"/>
                <w:highlight w:val="none"/>
                <w14:ligatures w14:val="none"/>
              </w:rPr>
            </w:pPr>
            <w:r>
              <w:rPr>
                <w:rFonts w:ascii="Times New Roman" w:hAnsi="Times New Roman" w:eastAsia="宋体" w:cs="Times New Roman"/>
                <w:sz w:val="21"/>
                <w:highlight w:val="none"/>
                <w14:ligatures w14:val="none"/>
              </w:rPr>
              <w:t>序号</w:t>
            </w:r>
          </w:p>
        </w:tc>
        <w:tc>
          <w:tcPr>
            <w:tcW w:w="1205" w:type="pct"/>
            <w:vAlign w:val="center"/>
          </w:tcPr>
          <w:p w14:paraId="660A3CC5">
            <w:pPr>
              <w:adjustRightInd w:val="0"/>
              <w:snapToGrid w:val="0"/>
              <w:spacing w:after="0" w:line="240" w:lineRule="auto"/>
              <w:jc w:val="center"/>
              <w:rPr>
                <w:rFonts w:ascii="Times New Roman" w:hAnsi="Times New Roman" w:eastAsia="宋体" w:cs="Times New Roman"/>
                <w:sz w:val="21"/>
                <w:highlight w:val="none"/>
                <w14:ligatures w14:val="none"/>
              </w:rPr>
            </w:pPr>
            <w:r>
              <w:rPr>
                <w:rFonts w:ascii="Times New Roman" w:hAnsi="Times New Roman" w:eastAsia="宋体" w:cs="Times New Roman"/>
                <w:sz w:val="21"/>
                <w:highlight w:val="none"/>
                <w14:ligatures w14:val="none"/>
              </w:rPr>
              <w:t>物质名称</w:t>
            </w:r>
          </w:p>
        </w:tc>
        <w:tc>
          <w:tcPr>
            <w:tcW w:w="1118" w:type="pct"/>
            <w:vAlign w:val="center"/>
          </w:tcPr>
          <w:p w14:paraId="5FF63D11">
            <w:pPr>
              <w:adjustRightInd w:val="0"/>
              <w:snapToGrid w:val="0"/>
              <w:spacing w:after="0" w:line="240" w:lineRule="auto"/>
              <w:jc w:val="center"/>
              <w:rPr>
                <w:rFonts w:hint="default" w:ascii="Times New Roman" w:hAnsi="Times New Roman" w:eastAsia="宋体" w:cs="Times New Roman"/>
                <w:sz w:val="21"/>
                <w:highlight w:val="none"/>
                <w:lang w:val="en-US" w:eastAsia="zh-CN"/>
                <w14:ligatures w14:val="none"/>
              </w:rPr>
            </w:pPr>
            <w:r>
              <w:rPr>
                <w:rFonts w:hint="eastAsia" w:ascii="Times New Roman" w:hAnsi="Times New Roman" w:eastAsia="宋体" w:cs="Times New Roman"/>
                <w:sz w:val="21"/>
                <w:highlight w:val="none"/>
                <w:lang w:val="en-US" w:eastAsia="zh-CN"/>
                <w14:ligatures w14:val="none"/>
              </w:rPr>
              <w:t>储存场所</w:t>
            </w:r>
          </w:p>
        </w:tc>
        <w:tc>
          <w:tcPr>
            <w:tcW w:w="1118" w:type="pct"/>
            <w:vAlign w:val="center"/>
          </w:tcPr>
          <w:p w14:paraId="31CA4E79">
            <w:pPr>
              <w:adjustRightInd w:val="0"/>
              <w:snapToGrid w:val="0"/>
              <w:spacing w:after="0" w:line="240" w:lineRule="auto"/>
              <w:jc w:val="center"/>
              <w:rPr>
                <w:rFonts w:ascii="Times New Roman" w:hAnsi="Times New Roman" w:eastAsia="宋体" w:cs="Times New Roman"/>
                <w:sz w:val="21"/>
                <w:highlight w:val="none"/>
                <w14:ligatures w14:val="none"/>
              </w:rPr>
            </w:pPr>
            <w:r>
              <w:rPr>
                <w:rFonts w:ascii="Times New Roman" w:hAnsi="Times New Roman" w:eastAsia="宋体" w:cs="Times New Roman"/>
                <w:sz w:val="21"/>
                <w:highlight w:val="none"/>
                <w14:ligatures w14:val="none"/>
              </w:rPr>
              <w:t>最大存在量（t）</w:t>
            </w:r>
          </w:p>
        </w:tc>
        <w:tc>
          <w:tcPr>
            <w:tcW w:w="1183" w:type="pct"/>
            <w:vAlign w:val="center"/>
          </w:tcPr>
          <w:p w14:paraId="393149EE">
            <w:pPr>
              <w:adjustRightInd w:val="0"/>
              <w:snapToGrid w:val="0"/>
              <w:spacing w:after="0" w:line="240" w:lineRule="auto"/>
              <w:jc w:val="center"/>
              <w:rPr>
                <w:rFonts w:ascii="Times New Roman" w:hAnsi="Times New Roman" w:eastAsia="宋体" w:cs="Times New Roman"/>
                <w:sz w:val="21"/>
                <w:highlight w:val="none"/>
                <w14:ligatures w14:val="none"/>
              </w:rPr>
            </w:pPr>
            <w:r>
              <w:rPr>
                <w:rFonts w:ascii="Times New Roman" w:hAnsi="Times New Roman" w:eastAsia="宋体" w:cs="Times New Roman"/>
                <w:sz w:val="21"/>
                <w:highlight w:val="none"/>
                <w14:ligatures w14:val="none"/>
              </w:rPr>
              <w:t>临界量（t）</w:t>
            </w:r>
          </w:p>
        </w:tc>
      </w:tr>
      <w:tr w14:paraId="55D95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73" w:type="pct"/>
            <w:vAlign w:val="center"/>
          </w:tcPr>
          <w:p w14:paraId="6F43F386">
            <w:pPr>
              <w:adjustRightInd w:val="0"/>
              <w:snapToGrid w:val="0"/>
              <w:spacing w:after="0" w:line="240" w:lineRule="auto"/>
              <w:jc w:val="center"/>
              <w:rPr>
                <w:rFonts w:ascii="Times New Roman" w:hAnsi="Times New Roman" w:eastAsia="宋体" w:cs="Times New Roman"/>
                <w:sz w:val="21"/>
                <w:highlight w:val="none"/>
                <w14:ligatures w14:val="none"/>
              </w:rPr>
            </w:pPr>
            <w:r>
              <w:rPr>
                <w:rFonts w:ascii="Times New Roman" w:hAnsi="Times New Roman" w:eastAsia="宋体" w:cs="Times New Roman"/>
                <w:sz w:val="21"/>
                <w:highlight w:val="none"/>
                <w14:ligatures w14:val="none"/>
              </w:rPr>
              <w:t>1</w:t>
            </w:r>
          </w:p>
        </w:tc>
        <w:tc>
          <w:tcPr>
            <w:tcW w:w="1205" w:type="pct"/>
            <w:vAlign w:val="center"/>
          </w:tcPr>
          <w:p w14:paraId="1CE24F4C">
            <w:pPr>
              <w:spacing w:after="0" w:line="240" w:lineRule="auto"/>
              <w:jc w:val="center"/>
              <w:rPr>
                <w:rFonts w:ascii="Times New Roman" w:hAnsi="Times New Roman" w:eastAsia="宋体" w:cs="Times New Roman"/>
                <w:sz w:val="21"/>
                <w:highlight w:val="none"/>
                <w14:ligatures w14:val="none"/>
              </w:rPr>
            </w:pPr>
            <w:r>
              <w:rPr>
                <w:rFonts w:hint="eastAsia" w:ascii="Times New Roman" w:hAnsi="Times New Roman" w:eastAsia="宋体" w:cs="Times New Roman"/>
                <w:sz w:val="21"/>
                <w:highlight w:val="none"/>
                <w14:ligatures w14:val="none"/>
              </w:rPr>
              <w:t>氧气</w:t>
            </w:r>
          </w:p>
        </w:tc>
        <w:tc>
          <w:tcPr>
            <w:tcW w:w="1118" w:type="pct"/>
            <w:vAlign w:val="center"/>
          </w:tcPr>
          <w:p w14:paraId="537B2ABB">
            <w:pPr>
              <w:spacing w:after="0" w:line="240" w:lineRule="auto"/>
              <w:jc w:val="center"/>
              <w:rPr>
                <w:rFonts w:hint="default" w:ascii="Times New Roman" w:hAnsi="Times New Roman" w:eastAsia="宋体" w:cs="Times New Roman"/>
                <w:sz w:val="21"/>
                <w:highlight w:val="none"/>
                <w:lang w:val="en-US" w:eastAsia="zh-CN"/>
                <w14:ligatures w14:val="none"/>
              </w:rPr>
            </w:pPr>
            <w:r>
              <w:rPr>
                <w:rFonts w:hint="eastAsia" w:ascii="Times New Roman" w:hAnsi="Times New Roman" w:eastAsia="宋体" w:cs="Times New Roman"/>
                <w:sz w:val="21"/>
                <w:highlight w:val="none"/>
                <w:lang w:val="en-US" w:eastAsia="zh-CN"/>
                <w14:ligatures w14:val="none"/>
              </w:rPr>
              <w:t>氧气充装间</w:t>
            </w:r>
          </w:p>
        </w:tc>
        <w:tc>
          <w:tcPr>
            <w:tcW w:w="1118" w:type="pct"/>
            <w:vAlign w:val="center"/>
          </w:tcPr>
          <w:p w14:paraId="04F5D046">
            <w:pPr>
              <w:spacing w:after="0" w:line="240" w:lineRule="auto"/>
              <w:jc w:val="center"/>
              <w:rPr>
                <w:rFonts w:hint="default" w:ascii="Times New Roman" w:hAnsi="Times New Roman" w:eastAsia="宋体" w:cs="Times New Roman"/>
                <w:sz w:val="21"/>
                <w:szCs w:val="21"/>
                <w:highlight w:val="none"/>
                <w:lang w:val="en-US" w:eastAsia="zh-CN"/>
                <w14:ligatures w14:val="none"/>
              </w:rPr>
            </w:pPr>
            <w:r>
              <w:rPr>
                <w:rFonts w:hint="eastAsia" w:ascii="Times New Roman" w:hAnsi="Times New Roman" w:eastAsia="宋体" w:cs="Times New Roman"/>
                <w:sz w:val="21"/>
                <w:szCs w:val="21"/>
                <w:highlight w:val="none"/>
                <w:lang w:val="en-US" w:eastAsia="zh-CN"/>
                <w14:ligatures w14:val="none"/>
              </w:rPr>
              <w:t>1.029</w:t>
            </w:r>
          </w:p>
        </w:tc>
        <w:tc>
          <w:tcPr>
            <w:tcW w:w="1183" w:type="pct"/>
            <w:vAlign w:val="center"/>
          </w:tcPr>
          <w:p w14:paraId="3ACFED8F">
            <w:pPr>
              <w:spacing w:after="0" w:line="240" w:lineRule="auto"/>
              <w:jc w:val="center"/>
              <w:rPr>
                <w:rFonts w:ascii="Times New Roman" w:hAnsi="Times New Roman" w:eastAsia="宋体" w:cs="Times New Roman"/>
                <w:sz w:val="21"/>
                <w:highlight w:val="none"/>
                <w14:ligatures w14:val="none"/>
              </w:rPr>
            </w:pPr>
            <w:r>
              <w:rPr>
                <w:rFonts w:hint="eastAsia" w:ascii="Times New Roman" w:hAnsi="Times New Roman" w:eastAsia="宋体" w:cs="Times New Roman"/>
                <w:sz w:val="21"/>
                <w:highlight w:val="none"/>
                <w14:ligatures w14:val="none"/>
              </w:rPr>
              <w:t>200</w:t>
            </w:r>
          </w:p>
        </w:tc>
      </w:tr>
      <w:tr w14:paraId="1E852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73" w:type="pct"/>
            <w:vAlign w:val="center"/>
          </w:tcPr>
          <w:p w14:paraId="62A8651B">
            <w:pPr>
              <w:adjustRightInd w:val="0"/>
              <w:snapToGrid w:val="0"/>
              <w:spacing w:after="0" w:line="240" w:lineRule="auto"/>
              <w:jc w:val="center"/>
              <w:rPr>
                <w:rFonts w:hint="eastAsia" w:ascii="Times New Roman" w:hAnsi="Times New Roman" w:eastAsia="宋体" w:cs="Times New Roman"/>
                <w:sz w:val="21"/>
                <w:highlight w:val="none"/>
                <w:lang w:val="en-US" w:eastAsia="zh-CN"/>
                <w14:ligatures w14:val="none"/>
              </w:rPr>
            </w:pPr>
            <w:r>
              <w:rPr>
                <w:rFonts w:hint="eastAsia" w:ascii="Times New Roman" w:hAnsi="Times New Roman" w:eastAsia="宋体" w:cs="Times New Roman"/>
                <w:sz w:val="21"/>
                <w:highlight w:val="none"/>
                <w:lang w:val="en-US" w:eastAsia="zh-CN"/>
                <w14:ligatures w14:val="none"/>
              </w:rPr>
              <w:t>2</w:t>
            </w:r>
          </w:p>
        </w:tc>
        <w:tc>
          <w:tcPr>
            <w:tcW w:w="1205" w:type="pct"/>
            <w:vAlign w:val="center"/>
          </w:tcPr>
          <w:p w14:paraId="5AEB87F9">
            <w:pPr>
              <w:spacing w:after="0" w:line="240" w:lineRule="auto"/>
              <w:jc w:val="center"/>
              <w:rPr>
                <w:rFonts w:hint="eastAsia" w:ascii="Times New Roman" w:hAnsi="Times New Roman" w:eastAsia="宋体" w:cs="Times New Roman"/>
                <w:sz w:val="21"/>
                <w:highlight w:val="none"/>
                <w14:ligatures w14:val="none"/>
              </w:rPr>
            </w:pPr>
            <w:r>
              <w:rPr>
                <w:rFonts w:hint="eastAsia" w:ascii="Times New Roman" w:hAnsi="Times New Roman" w:eastAsia="宋体" w:cs="Times New Roman"/>
                <w:sz w:val="21"/>
                <w:highlight w:val="none"/>
                <w:lang w:val="en-US" w:eastAsia="zh-CN"/>
                <w14:ligatures w14:val="none"/>
              </w:rPr>
              <w:t>医用</w:t>
            </w:r>
            <w:r>
              <w:rPr>
                <w:rFonts w:hint="eastAsia" w:ascii="Times New Roman" w:hAnsi="Times New Roman" w:eastAsia="宋体" w:cs="Times New Roman"/>
                <w:sz w:val="21"/>
                <w:highlight w:val="none"/>
                <w14:ligatures w14:val="none"/>
              </w:rPr>
              <w:t>氧气</w:t>
            </w:r>
          </w:p>
        </w:tc>
        <w:tc>
          <w:tcPr>
            <w:tcW w:w="1118" w:type="pct"/>
            <w:vAlign w:val="center"/>
          </w:tcPr>
          <w:p w14:paraId="294543DA">
            <w:pPr>
              <w:spacing w:after="0" w:line="240" w:lineRule="auto"/>
              <w:jc w:val="center"/>
              <w:rPr>
                <w:rFonts w:hint="eastAsia" w:ascii="Times New Roman" w:hAnsi="Times New Roman" w:eastAsia="宋体" w:cs="Times New Roman"/>
                <w:sz w:val="21"/>
                <w:highlight w:val="none"/>
                <w14:ligatures w14:val="none"/>
              </w:rPr>
            </w:pPr>
            <w:r>
              <w:rPr>
                <w:rFonts w:hint="eastAsia" w:ascii="Times New Roman" w:hAnsi="Times New Roman" w:eastAsia="宋体" w:cs="Times New Roman"/>
                <w:sz w:val="21"/>
                <w:highlight w:val="none"/>
                <w14:ligatures w14:val="none"/>
              </w:rPr>
              <w:t>医用氧气充装间</w:t>
            </w:r>
          </w:p>
        </w:tc>
        <w:tc>
          <w:tcPr>
            <w:tcW w:w="1118" w:type="pct"/>
            <w:vAlign w:val="center"/>
          </w:tcPr>
          <w:p w14:paraId="507B4096">
            <w:pPr>
              <w:spacing w:after="0" w:line="240" w:lineRule="auto"/>
              <w:jc w:val="center"/>
              <w:rPr>
                <w:rFonts w:hint="default" w:ascii="Times New Roman" w:hAnsi="Times New Roman" w:eastAsia="宋体" w:cs="Times New Roman"/>
                <w:sz w:val="21"/>
                <w:szCs w:val="21"/>
                <w:highlight w:val="none"/>
                <w:lang w:val="en-US" w:eastAsia="zh-CN"/>
                <w14:ligatures w14:val="none"/>
              </w:rPr>
            </w:pPr>
            <w:r>
              <w:rPr>
                <w:rFonts w:hint="eastAsia" w:ascii="Times New Roman" w:hAnsi="Times New Roman" w:eastAsia="宋体" w:cs="Times New Roman"/>
                <w:sz w:val="21"/>
                <w:szCs w:val="21"/>
                <w:highlight w:val="none"/>
                <w:lang w:val="en-US" w:eastAsia="zh-CN"/>
                <w14:ligatures w14:val="none"/>
              </w:rPr>
              <w:t>0.343</w:t>
            </w:r>
          </w:p>
        </w:tc>
        <w:tc>
          <w:tcPr>
            <w:tcW w:w="1183" w:type="pct"/>
            <w:vAlign w:val="center"/>
          </w:tcPr>
          <w:p w14:paraId="7A98CFAA">
            <w:pPr>
              <w:spacing w:after="0" w:line="240" w:lineRule="auto"/>
              <w:jc w:val="center"/>
              <w:rPr>
                <w:rFonts w:hint="default" w:ascii="Times New Roman" w:hAnsi="Times New Roman" w:eastAsia="宋体" w:cs="Times New Roman"/>
                <w:sz w:val="21"/>
                <w:highlight w:val="none"/>
                <w:lang w:val="en-US" w:eastAsia="zh-CN"/>
                <w14:ligatures w14:val="none"/>
              </w:rPr>
            </w:pPr>
            <w:r>
              <w:rPr>
                <w:rFonts w:hint="eastAsia" w:ascii="Times New Roman" w:hAnsi="Times New Roman" w:eastAsia="宋体" w:cs="Times New Roman"/>
                <w:sz w:val="21"/>
                <w:highlight w:val="none"/>
                <w:lang w:val="en-US" w:eastAsia="zh-CN"/>
                <w14:ligatures w14:val="none"/>
              </w:rPr>
              <w:t>200</w:t>
            </w:r>
          </w:p>
        </w:tc>
      </w:tr>
    </w:tbl>
    <w:p w14:paraId="0F183A6C">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lang w:val="en-US" w:eastAsia="zh-CN"/>
          <w14:ligatures w14:val="none"/>
        </w:rPr>
        <w:t>氧气的最大储存量为1.029+0.343=1.372t＜氧临界量200t</w:t>
      </w:r>
    </w:p>
    <w:p w14:paraId="2F85EC52">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因此，充装间单元不构成危险化学品重大危险源。</w:t>
      </w:r>
    </w:p>
    <w:p w14:paraId="3FC7CA46">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综上，</w:t>
      </w:r>
      <w:r>
        <w:rPr>
          <w:rFonts w:hint="eastAsia" w:ascii="Times New Roman" w:hAnsi="Times New Roman" w:eastAsia="宋体" w:cs="Times New Roman"/>
          <w:sz w:val="28"/>
          <w:szCs w:val="28"/>
          <w:highlight w:val="none"/>
          <w:lang w:eastAsia="zh-CN"/>
          <w14:ligatures w14:val="none"/>
        </w:rPr>
        <w:t>沈阳新春城气体有限公司</w:t>
      </w:r>
      <w:r>
        <w:rPr>
          <w:rFonts w:hint="eastAsia" w:ascii="Times New Roman" w:hAnsi="Times New Roman" w:eastAsia="宋体" w:cs="Times New Roman"/>
          <w:sz w:val="28"/>
          <w:szCs w:val="28"/>
          <w:highlight w:val="none"/>
          <w14:ligatures w14:val="none"/>
        </w:rPr>
        <w:t>不构成危险化学品重大危险源。</w:t>
      </w:r>
    </w:p>
    <w:p w14:paraId="6EA7BA04">
      <w:pPr>
        <w:keepNext/>
        <w:tabs>
          <w:tab w:val="left" w:pos="840"/>
          <w:tab w:val="left" w:pos="1260"/>
        </w:tabs>
        <w:adjustRightInd w:val="0"/>
        <w:snapToGrid w:val="0"/>
        <w:spacing w:before="156" w:beforeLines="50" w:after="156" w:afterLines="50" w:line="360" w:lineRule="auto"/>
        <w:ind w:firstLine="562" w:firstLineChars="200"/>
        <w:jc w:val="both"/>
        <w:outlineLvl w:val="2"/>
        <w:rPr>
          <w:rFonts w:ascii="Times New Roman" w:hAnsi="Times New Roman" w:eastAsia="黑体" w:cs="Times New Roman"/>
          <w:b/>
          <w:sz w:val="28"/>
          <w:szCs w:val="32"/>
          <w:highlight w:val="none"/>
          <w14:ligatures w14:val="none"/>
        </w:rPr>
      </w:pPr>
      <w:bookmarkStart w:id="142" w:name="_Toc479257176"/>
      <w:bookmarkStart w:id="143" w:name="_Toc423599729"/>
      <w:r>
        <w:rPr>
          <w:rFonts w:ascii="Times New Roman" w:hAnsi="Times New Roman" w:eastAsia="黑体" w:cs="Times New Roman"/>
          <w:b/>
          <w:sz w:val="28"/>
          <w:szCs w:val="32"/>
          <w:highlight w:val="none"/>
          <w14:ligatures w14:val="none"/>
        </w:rPr>
        <w:t>3.</w:t>
      </w:r>
      <w:r>
        <w:rPr>
          <w:rFonts w:hint="eastAsia" w:ascii="Times New Roman" w:hAnsi="Times New Roman" w:eastAsia="黑体" w:cs="Times New Roman"/>
          <w:b/>
          <w:sz w:val="28"/>
          <w:szCs w:val="32"/>
          <w:highlight w:val="none"/>
          <w14:ligatures w14:val="none"/>
        </w:rPr>
        <w:t>5</w:t>
      </w:r>
      <w:r>
        <w:rPr>
          <w:rFonts w:ascii="Times New Roman" w:hAnsi="Times New Roman" w:eastAsia="黑体" w:cs="Times New Roman"/>
          <w:b/>
          <w:sz w:val="28"/>
          <w:szCs w:val="32"/>
          <w:highlight w:val="none"/>
          <w14:ligatures w14:val="none"/>
        </w:rPr>
        <w:t>.2重点监管危险化学品辨识</w:t>
      </w:r>
      <w:bookmarkEnd w:id="142"/>
      <w:bookmarkEnd w:id="143"/>
    </w:p>
    <w:p w14:paraId="33981C72">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t>根据《国家安全监管总局关于公布首批重点监管的危险化学品目录的通知》（安监总管三〔2011〕95号）、《国家安全监管总局关于公布第二批重点监管危险化学品名录的通知》（安监总管三〔2013〕12号），</w:t>
      </w:r>
      <w:r>
        <w:rPr>
          <w:rFonts w:hint="eastAsia" w:ascii="Times New Roman" w:hAnsi="Times New Roman" w:eastAsia="宋体" w:cs="Times New Roman"/>
          <w:sz w:val="28"/>
          <w:szCs w:val="28"/>
          <w:highlight w:val="none"/>
          <w:lang w:eastAsia="zh-CN"/>
          <w14:ligatures w14:val="none"/>
        </w:rPr>
        <w:t>沈阳新春城气体有限公司</w:t>
      </w:r>
      <w:r>
        <w:rPr>
          <w:rFonts w:hint="eastAsia" w:ascii="Times New Roman" w:hAnsi="Times New Roman" w:eastAsia="宋体" w:cs="Times New Roman"/>
          <w:sz w:val="28"/>
          <w:szCs w:val="28"/>
          <w:highlight w:val="none"/>
          <w14:ligatures w14:val="none"/>
        </w:rPr>
        <w:t>票据经营的氢气为</w:t>
      </w:r>
      <w:r>
        <w:rPr>
          <w:rFonts w:ascii="Times New Roman" w:hAnsi="Times New Roman" w:eastAsia="宋体" w:cs="Times New Roman"/>
          <w:sz w:val="28"/>
          <w:szCs w:val="28"/>
          <w:highlight w:val="none"/>
          <w14:ligatures w14:val="none"/>
        </w:rPr>
        <w:t>重点监管危险化学品。</w:t>
      </w:r>
    </w:p>
    <w:p w14:paraId="6D8817F4">
      <w:pPr>
        <w:tabs>
          <w:tab w:val="left" w:pos="840"/>
          <w:tab w:val="left" w:pos="1260"/>
        </w:tabs>
        <w:adjustRightInd w:val="0"/>
        <w:snapToGrid w:val="0"/>
        <w:spacing w:before="156" w:beforeLines="50" w:after="156" w:afterLines="50" w:line="360" w:lineRule="auto"/>
        <w:ind w:firstLine="562" w:firstLineChars="200"/>
        <w:jc w:val="both"/>
        <w:outlineLvl w:val="2"/>
        <w:rPr>
          <w:rFonts w:ascii="Times New Roman" w:hAnsi="Times New Roman" w:eastAsia="黑体" w:cs="Times New Roman"/>
          <w:b/>
          <w:sz w:val="28"/>
          <w:szCs w:val="32"/>
          <w:highlight w:val="none"/>
          <w14:ligatures w14:val="none"/>
        </w:rPr>
      </w:pPr>
      <w:bookmarkStart w:id="144" w:name="_Toc423599730"/>
      <w:bookmarkStart w:id="145" w:name="_Toc479257177"/>
      <w:r>
        <w:rPr>
          <w:rFonts w:ascii="Times New Roman" w:hAnsi="Times New Roman" w:eastAsia="黑体" w:cs="Times New Roman"/>
          <w:b/>
          <w:sz w:val="28"/>
          <w:szCs w:val="32"/>
          <w:highlight w:val="none"/>
          <w14:ligatures w14:val="none"/>
        </w:rPr>
        <w:t>3.</w:t>
      </w:r>
      <w:r>
        <w:rPr>
          <w:rFonts w:hint="eastAsia" w:ascii="Times New Roman" w:hAnsi="Times New Roman" w:eastAsia="黑体" w:cs="Times New Roman"/>
          <w:b/>
          <w:sz w:val="28"/>
          <w:szCs w:val="32"/>
          <w:highlight w:val="none"/>
          <w14:ligatures w14:val="none"/>
        </w:rPr>
        <w:t>5</w:t>
      </w:r>
      <w:r>
        <w:rPr>
          <w:rFonts w:ascii="Times New Roman" w:hAnsi="Times New Roman" w:eastAsia="黑体" w:cs="Times New Roman"/>
          <w:b/>
          <w:sz w:val="28"/>
          <w:szCs w:val="32"/>
          <w:highlight w:val="none"/>
          <w14:ligatures w14:val="none"/>
        </w:rPr>
        <w:t>.3重点监管危险化工工艺辨识</w:t>
      </w:r>
      <w:bookmarkEnd w:id="144"/>
      <w:bookmarkEnd w:id="145"/>
    </w:p>
    <w:p w14:paraId="190BE3FA">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t>根据《国家安全监管总局关于公布首批重点监管的危险化工工艺目录的通知》（安监总管三〔2009〕116号）、《国家安全监管总局关于公布第二批重点监管、危险化工工艺目录和调整首批重点监管、危险化工工艺中部分典型工艺的通知》（安监总管三〔2013〕3号）</w:t>
      </w:r>
      <w:r>
        <w:rPr>
          <w:rFonts w:hint="eastAsia" w:ascii="Times New Roman" w:hAnsi="Times New Roman" w:eastAsia="宋体" w:cs="Times New Roman"/>
          <w:sz w:val="28"/>
          <w:szCs w:val="28"/>
          <w:highlight w:val="none"/>
          <w14:ligatures w14:val="none"/>
        </w:rPr>
        <w:t>，企业未</w:t>
      </w:r>
      <w:r>
        <w:rPr>
          <w:rFonts w:ascii="Times New Roman" w:hAnsi="Times New Roman" w:eastAsia="宋体" w:cs="Times New Roman"/>
          <w:sz w:val="28"/>
          <w:szCs w:val="28"/>
          <w:highlight w:val="none"/>
          <w14:ligatures w14:val="none"/>
        </w:rPr>
        <w:t>涉及危险化工工艺。</w:t>
      </w:r>
    </w:p>
    <w:p w14:paraId="6C48E08C">
      <w:pPr>
        <w:keepNext/>
        <w:adjustRightInd w:val="0"/>
        <w:snapToGrid w:val="0"/>
        <w:spacing w:before="312" w:beforeLines="100" w:after="312" w:afterLines="100" w:line="360" w:lineRule="auto"/>
        <w:jc w:val="center"/>
        <w:outlineLvl w:val="1"/>
        <w:rPr>
          <w:rFonts w:ascii="Times New Roman" w:hAnsi="Times New Roman" w:eastAsia="楷体" w:cs="黑体"/>
          <w:b/>
          <w:sz w:val="32"/>
          <w:szCs w:val="32"/>
          <w:highlight w:val="none"/>
          <w14:ligatures w14:val="none"/>
        </w:rPr>
      </w:pPr>
      <w:bookmarkStart w:id="146" w:name="_Toc25981"/>
      <w:r>
        <w:rPr>
          <w:rFonts w:hint="eastAsia" w:ascii="Times New Roman" w:hAnsi="Times New Roman" w:eastAsia="楷体" w:cs="黑体"/>
          <w:b/>
          <w:sz w:val="32"/>
          <w:szCs w:val="32"/>
          <w:highlight w:val="none"/>
          <w14:ligatures w14:val="none"/>
        </w:rPr>
        <w:t>3.6事故案例</w:t>
      </w:r>
      <w:bookmarkEnd w:id="146"/>
    </w:p>
    <w:p w14:paraId="42DB482E">
      <w:pPr>
        <w:tabs>
          <w:tab w:val="left" w:pos="840"/>
          <w:tab w:val="left" w:pos="1260"/>
        </w:tabs>
        <w:adjustRightInd w:val="0"/>
        <w:snapToGrid w:val="0"/>
        <w:spacing w:before="156" w:beforeLines="50" w:after="156" w:afterLines="50" w:line="360" w:lineRule="auto"/>
        <w:ind w:firstLine="562" w:firstLineChars="200"/>
        <w:jc w:val="both"/>
        <w:outlineLvl w:val="2"/>
        <w:rPr>
          <w:rFonts w:ascii="Times New Roman" w:hAnsi="Times New Roman" w:eastAsia="黑体" w:cs="Times New Roman"/>
          <w:b/>
          <w:sz w:val="28"/>
          <w:szCs w:val="32"/>
          <w:highlight w:val="none"/>
          <w14:ligatures w14:val="none"/>
        </w:rPr>
      </w:pPr>
      <w:r>
        <w:rPr>
          <w:rFonts w:hint="eastAsia" w:ascii="Times New Roman" w:hAnsi="Times New Roman" w:eastAsia="黑体" w:cs="Times New Roman"/>
          <w:b/>
          <w:sz w:val="28"/>
          <w:szCs w:val="32"/>
          <w:highlight w:val="none"/>
          <w14:ligatures w14:val="none"/>
        </w:rPr>
        <w:t>3.6.1事故案例一</w:t>
      </w:r>
    </w:p>
    <w:p w14:paraId="69DCBC59">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p>
    <w:p w14:paraId="16660017">
      <w:pPr>
        <w:adjustRightInd w:val="0"/>
        <w:snapToGrid w:val="0"/>
        <w:spacing w:before="468" w:beforeLines="150" w:after="468" w:afterLines="150" w:line="360" w:lineRule="auto"/>
        <w:jc w:val="center"/>
        <w:outlineLvl w:val="0"/>
        <w:rPr>
          <w:rFonts w:ascii="Times New Roman" w:hAnsi="Times New Roman" w:eastAsia="黑体" w:cs="黑体"/>
          <w:b/>
          <w:kern w:val="44"/>
          <w:sz w:val="32"/>
          <w:szCs w:val="44"/>
          <w:highlight w:val="none"/>
          <w14:ligatures w14:val="none"/>
        </w:rPr>
      </w:pPr>
      <w:bookmarkStart w:id="147" w:name="_Toc31255"/>
      <w:r>
        <w:rPr>
          <w:rFonts w:hint="eastAsia" w:ascii="Times New Roman" w:hAnsi="Times New Roman" w:eastAsia="黑体" w:cs="黑体"/>
          <w:b/>
          <w:kern w:val="44"/>
          <w:sz w:val="32"/>
          <w:szCs w:val="44"/>
          <w:highlight w:val="none"/>
          <w14:ligatures w14:val="none"/>
        </w:rPr>
        <w:t>4评价单元划分及评价方法选择</w:t>
      </w:r>
      <w:bookmarkEnd w:id="147"/>
    </w:p>
    <w:p w14:paraId="621E289A">
      <w:pPr>
        <w:adjustRightInd w:val="0"/>
        <w:snapToGrid w:val="0"/>
        <w:spacing w:before="312" w:beforeLines="100" w:after="312" w:afterLines="100" w:line="360" w:lineRule="auto"/>
        <w:jc w:val="center"/>
        <w:outlineLvl w:val="1"/>
        <w:rPr>
          <w:rFonts w:ascii="Times New Roman" w:hAnsi="Times New Roman" w:eastAsia="楷体" w:cs="黑体"/>
          <w:b/>
          <w:sz w:val="32"/>
          <w:szCs w:val="32"/>
          <w:highlight w:val="none"/>
          <w14:ligatures w14:val="none"/>
        </w:rPr>
      </w:pPr>
      <w:bookmarkStart w:id="148" w:name="_Toc16776"/>
      <w:r>
        <w:rPr>
          <w:rFonts w:hint="eastAsia" w:ascii="Times New Roman" w:hAnsi="Times New Roman" w:eastAsia="楷体" w:cs="黑体"/>
          <w:b/>
          <w:sz w:val="32"/>
          <w:szCs w:val="32"/>
          <w:highlight w:val="none"/>
          <w14:ligatures w14:val="none"/>
        </w:rPr>
        <w:t>4.1评价单元划分和评价方法选择</w:t>
      </w:r>
      <w:bookmarkEnd w:id="148"/>
    </w:p>
    <w:p w14:paraId="3A088944">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按照评价单元划分的原则和方法，结合该企业经营条件及安全管理、周边环境及平面布置、充装及储存、公辅工程及辅助设施及重大生产安全事故隐患等内容，划分为5个评价单元，各个单元采用的评价方法见表4.1-1所示。</w:t>
      </w:r>
    </w:p>
    <w:p w14:paraId="7486D010">
      <w:pPr>
        <w:keepNext/>
        <w:adjustRightInd w:val="0"/>
        <w:snapToGrid w:val="0"/>
        <w:spacing w:before="156" w:beforeLines="50" w:after="156" w:afterLines="50" w:line="240" w:lineRule="auto"/>
        <w:jc w:val="center"/>
        <w:rPr>
          <w:rFonts w:ascii="Times New Roman" w:hAnsi="Times New Roman" w:eastAsia="黑体" w:cs="Times New Roman"/>
          <w:sz w:val="24"/>
          <w:highlight w:val="none"/>
          <w14:ligatures w14:val="none"/>
        </w:rPr>
      </w:pPr>
      <w:r>
        <w:rPr>
          <w:rFonts w:hint="eastAsia" w:ascii="Times New Roman" w:hAnsi="Times New Roman" w:eastAsia="黑体" w:cs="Times New Roman"/>
          <w:sz w:val="24"/>
          <w:highlight w:val="none"/>
          <w14:ligatures w14:val="none"/>
        </w:rPr>
        <w:t>表4.1-1  各单元评价方法的选择</w:t>
      </w: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2154"/>
        <w:gridCol w:w="1706"/>
        <w:gridCol w:w="4639"/>
      </w:tblGrid>
      <w:tr w14:paraId="0F80E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8" w:type="pct"/>
            <w:vAlign w:val="center"/>
          </w:tcPr>
          <w:p w14:paraId="1F535907">
            <w:pPr>
              <w:adjustRightInd w:val="0"/>
              <w:snapToGrid w:val="0"/>
              <w:spacing w:after="0" w:line="240" w:lineRule="auto"/>
              <w:jc w:val="center"/>
              <w:rPr>
                <w:rFonts w:ascii="Times New Roman" w:hAnsi="Times New Roman" w:eastAsia="宋体" w:cs="Times New Roman"/>
                <w:sz w:val="21"/>
                <w:highlight w:val="none"/>
                <w14:ligatures w14:val="none"/>
              </w:rPr>
            </w:pPr>
            <w:r>
              <w:rPr>
                <w:rFonts w:ascii="Times New Roman" w:hAnsi="Times New Roman" w:eastAsia="宋体" w:cs="Times New Roman"/>
                <w:sz w:val="21"/>
                <w:highlight w:val="none"/>
                <w14:ligatures w14:val="none"/>
              </w:rPr>
              <w:t>序号</w:t>
            </w:r>
          </w:p>
        </w:tc>
        <w:tc>
          <w:tcPr>
            <w:tcW w:w="1174" w:type="pct"/>
            <w:vAlign w:val="center"/>
          </w:tcPr>
          <w:p w14:paraId="5B8B164B">
            <w:pPr>
              <w:adjustRightInd w:val="0"/>
              <w:snapToGrid w:val="0"/>
              <w:spacing w:after="0" w:line="240" w:lineRule="auto"/>
              <w:jc w:val="center"/>
              <w:rPr>
                <w:rFonts w:ascii="Times New Roman" w:hAnsi="Times New Roman" w:eastAsia="宋体" w:cs="Times New Roman"/>
                <w:sz w:val="21"/>
                <w:highlight w:val="none"/>
                <w14:ligatures w14:val="none"/>
              </w:rPr>
            </w:pPr>
            <w:r>
              <w:rPr>
                <w:rFonts w:ascii="Times New Roman" w:hAnsi="Times New Roman" w:eastAsia="宋体" w:cs="Times New Roman"/>
                <w:sz w:val="21"/>
                <w:highlight w:val="none"/>
                <w14:ligatures w14:val="none"/>
              </w:rPr>
              <w:t>评价单元</w:t>
            </w:r>
          </w:p>
        </w:tc>
        <w:tc>
          <w:tcPr>
            <w:tcW w:w="930" w:type="pct"/>
            <w:vAlign w:val="center"/>
          </w:tcPr>
          <w:p w14:paraId="01E3104B">
            <w:pPr>
              <w:adjustRightInd w:val="0"/>
              <w:snapToGrid w:val="0"/>
              <w:spacing w:after="0" w:line="240" w:lineRule="auto"/>
              <w:jc w:val="center"/>
              <w:rPr>
                <w:rFonts w:ascii="Times New Roman" w:hAnsi="Times New Roman" w:eastAsia="宋体" w:cs="Times New Roman"/>
                <w:sz w:val="21"/>
                <w:highlight w:val="none"/>
                <w14:ligatures w14:val="none"/>
              </w:rPr>
            </w:pPr>
            <w:r>
              <w:rPr>
                <w:rFonts w:hint="eastAsia" w:ascii="Times New Roman" w:hAnsi="Times New Roman" w:eastAsia="宋体" w:cs="Times New Roman"/>
                <w:sz w:val="21"/>
                <w:highlight w:val="none"/>
                <w14:ligatures w14:val="none"/>
              </w:rPr>
              <w:t>选用评价方法</w:t>
            </w:r>
          </w:p>
        </w:tc>
        <w:tc>
          <w:tcPr>
            <w:tcW w:w="2528" w:type="pct"/>
            <w:vAlign w:val="center"/>
          </w:tcPr>
          <w:p w14:paraId="7EF4C6F0">
            <w:pPr>
              <w:adjustRightInd w:val="0"/>
              <w:snapToGrid w:val="0"/>
              <w:spacing w:after="0" w:line="240" w:lineRule="auto"/>
              <w:jc w:val="center"/>
              <w:rPr>
                <w:rFonts w:ascii="Times New Roman" w:hAnsi="Times New Roman" w:eastAsia="宋体" w:cs="Times New Roman"/>
                <w:sz w:val="21"/>
                <w:highlight w:val="none"/>
                <w14:ligatures w14:val="none"/>
              </w:rPr>
            </w:pPr>
            <w:r>
              <w:rPr>
                <w:rFonts w:ascii="Times New Roman" w:hAnsi="Times New Roman" w:eastAsia="宋体" w:cs="Times New Roman"/>
                <w:sz w:val="21"/>
                <w:highlight w:val="none"/>
                <w14:ligatures w14:val="none"/>
              </w:rPr>
              <w:t>主要内容</w:t>
            </w:r>
          </w:p>
        </w:tc>
      </w:tr>
      <w:tr w14:paraId="5509B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8" w:type="pct"/>
            <w:vAlign w:val="center"/>
          </w:tcPr>
          <w:p w14:paraId="5E23DF0E">
            <w:pPr>
              <w:adjustRightInd w:val="0"/>
              <w:snapToGrid w:val="0"/>
              <w:spacing w:after="0" w:line="240" w:lineRule="auto"/>
              <w:jc w:val="center"/>
              <w:rPr>
                <w:rFonts w:ascii="Times New Roman" w:hAnsi="Times New Roman" w:eastAsia="宋体" w:cs="Times New Roman"/>
                <w:sz w:val="21"/>
                <w:highlight w:val="none"/>
                <w14:ligatures w14:val="none"/>
              </w:rPr>
            </w:pPr>
            <w:r>
              <w:rPr>
                <w:rFonts w:ascii="Times New Roman" w:hAnsi="Times New Roman" w:eastAsia="宋体" w:cs="Times New Roman"/>
                <w:sz w:val="21"/>
                <w:highlight w:val="none"/>
                <w14:ligatures w14:val="none"/>
              </w:rPr>
              <w:t>1</w:t>
            </w:r>
          </w:p>
        </w:tc>
        <w:tc>
          <w:tcPr>
            <w:tcW w:w="1174" w:type="pct"/>
            <w:vAlign w:val="center"/>
          </w:tcPr>
          <w:p w14:paraId="21310058">
            <w:pPr>
              <w:adjustRightInd w:val="0"/>
              <w:snapToGrid w:val="0"/>
              <w:spacing w:after="0" w:line="240" w:lineRule="auto"/>
              <w:jc w:val="center"/>
              <w:rPr>
                <w:rFonts w:ascii="Times New Roman" w:hAnsi="Times New Roman" w:eastAsia="宋体" w:cs="Times New Roman"/>
                <w:sz w:val="21"/>
                <w:highlight w:val="none"/>
                <w14:ligatures w14:val="none"/>
              </w:rPr>
            </w:pPr>
            <w:r>
              <w:rPr>
                <w:rFonts w:ascii="Times New Roman" w:hAnsi="Times New Roman" w:eastAsia="宋体" w:cs="Times New Roman"/>
                <w:sz w:val="21"/>
                <w:highlight w:val="none"/>
                <w14:ligatures w14:val="none"/>
              </w:rPr>
              <w:t>经营</w:t>
            </w:r>
            <w:r>
              <w:rPr>
                <w:rFonts w:hint="eastAsia" w:ascii="Times New Roman" w:hAnsi="Times New Roman" w:eastAsia="宋体" w:cs="Times New Roman"/>
                <w:sz w:val="21"/>
                <w:highlight w:val="none"/>
                <w14:ligatures w14:val="none"/>
              </w:rPr>
              <w:t>条件</w:t>
            </w:r>
            <w:r>
              <w:rPr>
                <w:rFonts w:ascii="Times New Roman" w:hAnsi="Times New Roman" w:eastAsia="宋体" w:cs="Times New Roman"/>
                <w:sz w:val="21"/>
                <w:highlight w:val="none"/>
                <w14:ligatures w14:val="none"/>
              </w:rPr>
              <w:t>及安全管理</w:t>
            </w:r>
          </w:p>
        </w:tc>
        <w:tc>
          <w:tcPr>
            <w:tcW w:w="930" w:type="pct"/>
            <w:vAlign w:val="center"/>
          </w:tcPr>
          <w:p w14:paraId="6FE6E4CA">
            <w:pPr>
              <w:adjustRightInd w:val="0"/>
              <w:snapToGrid w:val="0"/>
              <w:spacing w:after="0" w:line="240" w:lineRule="auto"/>
              <w:jc w:val="center"/>
              <w:rPr>
                <w:rFonts w:ascii="Times New Roman" w:hAnsi="Times New Roman" w:eastAsia="宋体" w:cs="Times New Roman"/>
                <w:sz w:val="21"/>
                <w:szCs w:val="21"/>
                <w:highlight w:val="none"/>
                <w14:ligatures w14:val="none"/>
              </w:rPr>
            </w:pPr>
            <w:r>
              <w:rPr>
                <w:rFonts w:hint="eastAsia" w:ascii="Times New Roman" w:hAnsi="Times New Roman" w:eastAsia="宋体" w:cs="Times New Roman"/>
                <w:sz w:val="21"/>
                <w:szCs w:val="21"/>
                <w:highlight w:val="none"/>
                <w14:ligatures w14:val="none"/>
              </w:rPr>
              <w:t>安全检查表法</w:t>
            </w:r>
          </w:p>
        </w:tc>
        <w:tc>
          <w:tcPr>
            <w:tcW w:w="2528" w:type="pct"/>
            <w:vAlign w:val="center"/>
          </w:tcPr>
          <w:p w14:paraId="07E41BC3">
            <w:pPr>
              <w:adjustRightInd w:val="0"/>
              <w:snapToGrid w:val="0"/>
              <w:spacing w:after="0" w:line="240" w:lineRule="auto"/>
              <w:jc w:val="both"/>
              <w:rPr>
                <w:rFonts w:ascii="Times New Roman" w:hAnsi="Times New Roman" w:eastAsia="宋体" w:cs="Times New Roman"/>
                <w:sz w:val="21"/>
                <w:highlight w:val="none"/>
                <w14:ligatures w14:val="none"/>
              </w:rPr>
            </w:pPr>
            <w:r>
              <w:rPr>
                <w:rFonts w:ascii="Times New Roman" w:hAnsi="Times New Roman" w:eastAsia="宋体" w:cs="Times New Roman"/>
                <w:sz w:val="21"/>
                <w:szCs w:val="21"/>
                <w:highlight w:val="none"/>
                <w14:ligatures w14:val="none"/>
              </w:rPr>
              <w:t>包括经营基本条件、安全生产管理机构的设置、安全生产管理规章制度、事故应急预案与演练等</w:t>
            </w:r>
          </w:p>
        </w:tc>
      </w:tr>
      <w:tr w14:paraId="78719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8" w:type="pct"/>
            <w:vAlign w:val="center"/>
          </w:tcPr>
          <w:p w14:paraId="71B46079">
            <w:pPr>
              <w:adjustRightInd w:val="0"/>
              <w:snapToGrid w:val="0"/>
              <w:spacing w:after="0" w:line="240" w:lineRule="auto"/>
              <w:jc w:val="center"/>
              <w:rPr>
                <w:rFonts w:ascii="Times New Roman" w:hAnsi="Times New Roman" w:eastAsia="宋体" w:cs="Times New Roman"/>
                <w:sz w:val="21"/>
                <w:highlight w:val="none"/>
                <w14:ligatures w14:val="none"/>
              </w:rPr>
            </w:pPr>
            <w:r>
              <w:rPr>
                <w:rFonts w:ascii="Times New Roman" w:hAnsi="Times New Roman" w:eastAsia="宋体" w:cs="Times New Roman"/>
                <w:sz w:val="21"/>
                <w:highlight w:val="none"/>
                <w14:ligatures w14:val="none"/>
              </w:rPr>
              <w:t>2</w:t>
            </w:r>
          </w:p>
        </w:tc>
        <w:tc>
          <w:tcPr>
            <w:tcW w:w="1174" w:type="pct"/>
            <w:vAlign w:val="center"/>
          </w:tcPr>
          <w:p w14:paraId="2FE60169">
            <w:pPr>
              <w:adjustRightInd w:val="0"/>
              <w:snapToGrid w:val="0"/>
              <w:spacing w:after="0" w:line="240" w:lineRule="auto"/>
              <w:jc w:val="center"/>
              <w:rPr>
                <w:rFonts w:ascii="Times New Roman" w:hAnsi="Times New Roman" w:eastAsia="宋体" w:cs="Times New Roman"/>
                <w:sz w:val="21"/>
                <w:highlight w:val="none"/>
                <w14:ligatures w14:val="none"/>
              </w:rPr>
            </w:pPr>
            <w:r>
              <w:rPr>
                <w:rFonts w:ascii="Times New Roman" w:hAnsi="Times New Roman" w:eastAsia="宋体" w:cs="Times New Roman"/>
                <w:sz w:val="21"/>
                <w:highlight w:val="none"/>
                <w14:ligatures w14:val="none"/>
              </w:rPr>
              <w:t>周边环境及平面布置</w:t>
            </w:r>
          </w:p>
        </w:tc>
        <w:tc>
          <w:tcPr>
            <w:tcW w:w="930" w:type="pct"/>
            <w:vAlign w:val="center"/>
          </w:tcPr>
          <w:p w14:paraId="25D0F1F0">
            <w:pPr>
              <w:adjustRightInd w:val="0"/>
              <w:snapToGrid w:val="0"/>
              <w:spacing w:after="0" w:line="240" w:lineRule="auto"/>
              <w:jc w:val="center"/>
              <w:rPr>
                <w:rFonts w:ascii="Times New Roman" w:hAnsi="Times New Roman" w:eastAsia="宋体" w:cs="Times New Roman"/>
                <w:sz w:val="21"/>
                <w:highlight w:val="none"/>
                <w14:ligatures w14:val="none"/>
              </w:rPr>
            </w:pPr>
            <w:r>
              <w:rPr>
                <w:rFonts w:hint="eastAsia" w:ascii="Times New Roman" w:hAnsi="Times New Roman" w:eastAsia="宋体" w:cs="Times New Roman"/>
                <w:sz w:val="21"/>
                <w:szCs w:val="21"/>
                <w:highlight w:val="none"/>
                <w14:ligatures w14:val="none"/>
              </w:rPr>
              <w:t>安全检查表法</w:t>
            </w:r>
          </w:p>
        </w:tc>
        <w:tc>
          <w:tcPr>
            <w:tcW w:w="2528" w:type="pct"/>
            <w:vAlign w:val="center"/>
          </w:tcPr>
          <w:p w14:paraId="5BDE4107">
            <w:pPr>
              <w:adjustRightInd w:val="0"/>
              <w:snapToGrid w:val="0"/>
              <w:spacing w:after="0" w:line="240" w:lineRule="auto"/>
              <w:jc w:val="both"/>
              <w:rPr>
                <w:rFonts w:ascii="Times New Roman" w:hAnsi="Times New Roman" w:eastAsia="宋体" w:cs="Times New Roman"/>
                <w:sz w:val="21"/>
                <w:highlight w:val="none"/>
                <w14:ligatures w14:val="none"/>
              </w:rPr>
            </w:pPr>
            <w:r>
              <w:rPr>
                <w:rFonts w:ascii="Times New Roman" w:hAnsi="Times New Roman" w:eastAsia="宋体" w:cs="Times New Roman"/>
                <w:sz w:val="21"/>
                <w:highlight w:val="none"/>
                <w14:ligatures w14:val="none"/>
              </w:rPr>
              <w:t>包括厂区内、外周边设施的安全距离</w:t>
            </w:r>
          </w:p>
        </w:tc>
      </w:tr>
      <w:tr w14:paraId="34CD0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8" w:type="pct"/>
            <w:vAlign w:val="center"/>
          </w:tcPr>
          <w:p w14:paraId="389E77AF">
            <w:pPr>
              <w:adjustRightInd w:val="0"/>
              <w:snapToGrid w:val="0"/>
              <w:spacing w:after="0" w:line="240" w:lineRule="auto"/>
              <w:jc w:val="center"/>
              <w:rPr>
                <w:rFonts w:ascii="Times New Roman" w:hAnsi="Times New Roman" w:eastAsia="宋体" w:cs="Times New Roman"/>
                <w:sz w:val="21"/>
                <w:highlight w:val="none"/>
                <w14:ligatures w14:val="none"/>
              </w:rPr>
            </w:pPr>
            <w:r>
              <w:rPr>
                <w:rFonts w:ascii="Times New Roman" w:hAnsi="Times New Roman" w:eastAsia="宋体" w:cs="Times New Roman"/>
                <w:sz w:val="21"/>
                <w:highlight w:val="none"/>
                <w14:ligatures w14:val="none"/>
              </w:rPr>
              <w:t>3</w:t>
            </w:r>
          </w:p>
        </w:tc>
        <w:tc>
          <w:tcPr>
            <w:tcW w:w="1174" w:type="pct"/>
            <w:vAlign w:val="center"/>
          </w:tcPr>
          <w:p w14:paraId="32624B6B">
            <w:pPr>
              <w:adjustRightInd w:val="0"/>
              <w:snapToGrid w:val="0"/>
              <w:spacing w:after="0" w:line="240" w:lineRule="auto"/>
              <w:jc w:val="center"/>
              <w:rPr>
                <w:rFonts w:ascii="Times New Roman" w:hAnsi="Times New Roman" w:eastAsia="宋体" w:cs="Times New Roman"/>
                <w:sz w:val="21"/>
                <w:highlight w:val="none"/>
                <w14:ligatures w14:val="none"/>
              </w:rPr>
            </w:pPr>
            <w:r>
              <w:rPr>
                <w:rFonts w:hint="eastAsia" w:ascii="Times New Roman" w:hAnsi="Times New Roman" w:eastAsia="宋体" w:cs="Times New Roman"/>
                <w:sz w:val="21"/>
                <w:highlight w:val="none"/>
                <w14:ligatures w14:val="none"/>
              </w:rPr>
              <w:t>充装及储存</w:t>
            </w:r>
          </w:p>
        </w:tc>
        <w:tc>
          <w:tcPr>
            <w:tcW w:w="930" w:type="pct"/>
            <w:vAlign w:val="center"/>
          </w:tcPr>
          <w:p w14:paraId="7FF40F59">
            <w:pPr>
              <w:adjustRightInd w:val="0"/>
              <w:snapToGrid w:val="0"/>
              <w:spacing w:after="0" w:line="240" w:lineRule="auto"/>
              <w:jc w:val="center"/>
              <w:rPr>
                <w:rFonts w:ascii="Times New Roman" w:hAnsi="Times New Roman" w:eastAsia="宋体" w:cs="Times New Roman"/>
                <w:sz w:val="21"/>
                <w:highlight w:val="none"/>
                <w14:ligatures w14:val="none"/>
              </w:rPr>
            </w:pPr>
            <w:r>
              <w:rPr>
                <w:rFonts w:hint="eastAsia" w:ascii="Times New Roman" w:hAnsi="Times New Roman" w:eastAsia="宋体" w:cs="Times New Roman"/>
                <w:sz w:val="21"/>
                <w:szCs w:val="21"/>
                <w:highlight w:val="none"/>
                <w14:ligatures w14:val="none"/>
              </w:rPr>
              <w:t>安全检查表法</w:t>
            </w:r>
          </w:p>
        </w:tc>
        <w:tc>
          <w:tcPr>
            <w:tcW w:w="2528" w:type="pct"/>
            <w:vAlign w:val="center"/>
          </w:tcPr>
          <w:p w14:paraId="50FDD479">
            <w:pPr>
              <w:adjustRightInd w:val="0"/>
              <w:snapToGrid w:val="0"/>
              <w:spacing w:after="0" w:line="240" w:lineRule="auto"/>
              <w:jc w:val="both"/>
              <w:rPr>
                <w:rFonts w:ascii="Times New Roman" w:hAnsi="Times New Roman" w:eastAsia="宋体" w:cs="Times New Roman"/>
                <w:sz w:val="21"/>
                <w:highlight w:val="none"/>
                <w14:ligatures w14:val="none"/>
              </w:rPr>
            </w:pPr>
            <w:r>
              <w:rPr>
                <w:rFonts w:ascii="Times New Roman" w:hAnsi="Times New Roman" w:eastAsia="宋体" w:cs="Times New Roman"/>
                <w:sz w:val="21"/>
                <w:highlight w:val="none"/>
                <w14:ligatures w14:val="none"/>
              </w:rPr>
              <w:t>储罐区</w:t>
            </w:r>
            <w:r>
              <w:rPr>
                <w:rFonts w:ascii="Times New Roman" w:hAnsi="Times New Roman" w:eastAsia="宋体" w:cs="Times New Roman"/>
                <w:sz w:val="21"/>
                <w:szCs w:val="21"/>
                <w:highlight w:val="none"/>
                <w14:ligatures w14:val="none"/>
              </w:rPr>
              <w:t>、</w:t>
            </w:r>
            <w:r>
              <w:rPr>
                <w:rFonts w:hint="eastAsia" w:ascii="Times New Roman" w:hAnsi="Times New Roman" w:eastAsia="宋体" w:cs="Times New Roman"/>
                <w:sz w:val="21"/>
                <w:szCs w:val="21"/>
                <w:highlight w:val="none"/>
                <w14:ligatures w14:val="none"/>
              </w:rPr>
              <w:t>充装区、</w:t>
            </w:r>
            <w:r>
              <w:rPr>
                <w:rFonts w:ascii="Times New Roman" w:hAnsi="Times New Roman" w:eastAsia="宋体" w:cs="Times New Roman"/>
                <w:sz w:val="21"/>
                <w:szCs w:val="21"/>
                <w:highlight w:val="none"/>
                <w14:ligatures w14:val="none"/>
              </w:rPr>
              <w:t>工艺过程、工艺装置</w:t>
            </w:r>
            <w:r>
              <w:rPr>
                <w:rFonts w:hint="eastAsia" w:ascii="Times New Roman" w:hAnsi="Times New Roman" w:eastAsia="宋体" w:cs="Times New Roman"/>
                <w:sz w:val="21"/>
                <w:szCs w:val="21"/>
                <w:highlight w:val="none"/>
                <w14:ligatures w14:val="none"/>
              </w:rPr>
              <w:t>、建构筑物</w:t>
            </w:r>
          </w:p>
        </w:tc>
      </w:tr>
      <w:tr w14:paraId="22C3E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8" w:type="pct"/>
            <w:vAlign w:val="center"/>
          </w:tcPr>
          <w:p w14:paraId="39443259">
            <w:pPr>
              <w:adjustRightInd w:val="0"/>
              <w:snapToGrid w:val="0"/>
              <w:spacing w:after="0" w:line="240" w:lineRule="auto"/>
              <w:jc w:val="center"/>
              <w:rPr>
                <w:rFonts w:ascii="Times New Roman" w:hAnsi="Times New Roman" w:eastAsia="宋体" w:cs="Times New Roman"/>
                <w:sz w:val="21"/>
                <w:highlight w:val="none"/>
                <w14:ligatures w14:val="none"/>
              </w:rPr>
            </w:pPr>
            <w:r>
              <w:rPr>
                <w:rFonts w:ascii="Times New Roman" w:hAnsi="Times New Roman" w:eastAsia="宋体" w:cs="Times New Roman"/>
                <w:sz w:val="21"/>
                <w:highlight w:val="none"/>
                <w14:ligatures w14:val="none"/>
              </w:rPr>
              <w:t>4</w:t>
            </w:r>
          </w:p>
        </w:tc>
        <w:tc>
          <w:tcPr>
            <w:tcW w:w="1174" w:type="pct"/>
            <w:vAlign w:val="center"/>
          </w:tcPr>
          <w:p w14:paraId="084C5AC6">
            <w:pPr>
              <w:adjustRightInd w:val="0"/>
              <w:snapToGrid w:val="0"/>
              <w:spacing w:after="0" w:line="240" w:lineRule="auto"/>
              <w:jc w:val="center"/>
              <w:rPr>
                <w:rFonts w:ascii="Times New Roman" w:hAnsi="Times New Roman" w:eastAsia="宋体" w:cs="Times New Roman"/>
                <w:sz w:val="21"/>
                <w:highlight w:val="none"/>
                <w14:ligatures w14:val="none"/>
              </w:rPr>
            </w:pPr>
            <w:r>
              <w:rPr>
                <w:rFonts w:ascii="Times New Roman" w:hAnsi="Times New Roman" w:eastAsia="宋体" w:cs="Times New Roman"/>
                <w:sz w:val="21"/>
                <w:highlight w:val="none"/>
                <w14:ligatures w14:val="none"/>
              </w:rPr>
              <w:t>公辅工程及辅助设施</w:t>
            </w:r>
          </w:p>
        </w:tc>
        <w:tc>
          <w:tcPr>
            <w:tcW w:w="930" w:type="pct"/>
            <w:vAlign w:val="center"/>
          </w:tcPr>
          <w:p w14:paraId="74431A9E">
            <w:pPr>
              <w:adjustRightInd w:val="0"/>
              <w:snapToGrid w:val="0"/>
              <w:spacing w:after="0" w:line="240" w:lineRule="auto"/>
              <w:jc w:val="center"/>
              <w:rPr>
                <w:rFonts w:ascii="Times New Roman" w:hAnsi="Times New Roman" w:eastAsia="宋体" w:cs="Times New Roman"/>
                <w:sz w:val="21"/>
                <w:highlight w:val="none"/>
                <w14:ligatures w14:val="none"/>
              </w:rPr>
            </w:pPr>
            <w:r>
              <w:rPr>
                <w:rFonts w:hint="eastAsia" w:ascii="Times New Roman" w:hAnsi="Times New Roman" w:eastAsia="宋体" w:cs="Times New Roman"/>
                <w:sz w:val="21"/>
                <w:szCs w:val="21"/>
                <w:highlight w:val="none"/>
                <w14:ligatures w14:val="none"/>
              </w:rPr>
              <w:t>安全检查表法</w:t>
            </w:r>
          </w:p>
        </w:tc>
        <w:tc>
          <w:tcPr>
            <w:tcW w:w="2528" w:type="pct"/>
            <w:vAlign w:val="center"/>
          </w:tcPr>
          <w:p w14:paraId="4D61248C">
            <w:pPr>
              <w:adjustRightInd w:val="0"/>
              <w:snapToGrid w:val="0"/>
              <w:spacing w:after="0" w:line="240" w:lineRule="auto"/>
              <w:jc w:val="both"/>
              <w:rPr>
                <w:rFonts w:ascii="Times New Roman" w:hAnsi="Times New Roman" w:eastAsia="宋体" w:cs="Times New Roman"/>
                <w:sz w:val="21"/>
                <w:highlight w:val="none"/>
                <w14:ligatures w14:val="none"/>
              </w:rPr>
            </w:pPr>
            <w:r>
              <w:rPr>
                <w:rFonts w:ascii="Times New Roman" w:hAnsi="Times New Roman" w:eastAsia="宋体" w:cs="Times New Roman"/>
                <w:sz w:val="21"/>
                <w:highlight w:val="none"/>
                <w14:ligatures w14:val="none"/>
              </w:rPr>
              <w:t>包括供配电、防雷</w:t>
            </w:r>
            <w:r>
              <w:rPr>
                <w:rFonts w:hint="eastAsia" w:ascii="Times New Roman" w:hAnsi="Times New Roman" w:eastAsia="宋体" w:cs="Times New Roman"/>
                <w:sz w:val="21"/>
                <w:highlight w:val="none"/>
                <w14:ligatures w14:val="none"/>
              </w:rPr>
              <w:t>、</w:t>
            </w:r>
            <w:r>
              <w:rPr>
                <w:rFonts w:ascii="Times New Roman" w:hAnsi="Times New Roman" w:eastAsia="宋体" w:cs="Times New Roman"/>
                <w:sz w:val="21"/>
                <w:highlight w:val="none"/>
                <w14:ligatures w14:val="none"/>
              </w:rPr>
              <w:t>防静电、采暖通风、消防系统等</w:t>
            </w:r>
          </w:p>
        </w:tc>
      </w:tr>
      <w:tr w14:paraId="4276A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jc w:val="center"/>
        </w:trPr>
        <w:tc>
          <w:tcPr>
            <w:tcW w:w="368" w:type="pct"/>
            <w:vAlign w:val="center"/>
          </w:tcPr>
          <w:p w14:paraId="271470D5">
            <w:pPr>
              <w:adjustRightInd w:val="0"/>
              <w:snapToGrid w:val="0"/>
              <w:spacing w:after="0" w:line="240" w:lineRule="auto"/>
              <w:jc w:val="center"/>
              <w:rPr>
                <w:rFonts w:ascii="Times New Roman" w:hAnsi="Times New Roman" w:eastAsia="宋体" w:cs="Times New Roman"/>
                <w:sz w:val="21"/>
                <w:highlight w:val="none"/>
                <w14:ligatures w14:val="none"/>
              </w:rPr>
            </w:pPr>
            <w:r>
              <w:rPr>
                <w:rFonts w:hint="eastAsia" w:ascii="Times New Roman" w:hAnsi="Times New Roman" w:eastAsia="宋体" w:cs="Times New Roman"/>
                <w:sz w:val="21"/>
                <w:highlight w:val="none"/>
                <w14:ligatures w14:val="none"/>
              </w:rPr>
              <w:t>5</w:t>
            </w:r>
          </w:p>
        </w:tc>
        <w:tc>
          <w:tcPr>
            <w:tcW w:w="1174" w:type="pct"/>
            <w:vAlign w:val="center"/>
          </w:tcPr>
          <w:p w14:paraId="5639700C">
            <w:pPr>
              <w:adjustRightInd w:val="0"/>
              <w:snapToGrid w:val="0"/>
              <w:spacing w:after="0" w:line="240" w:lineRule="auto"/>
              <w:jc w:val="center"/>
              <w:rPr>
                <w:rFonts w:ascii="Times New Roman" w:hAnsi="Times New Roman" w:eastAsia="宋体" w:cs="Times New Roman"/>
                <w:sz w:val="21"/>
                <w:highlight w:val="none"/>
                <w14:ligatures w14:val="none"/>
              </w:rPr>
            </w:pPr>
            <w:r>
              <w:rPr>
                <w:rFonts w:hint="eastAsia" w:ascii="Times New Roman" w:hAnsi="Times New Roman" w:eastAsia="宋体" w:cs="Times New Roman"/>
                <w:sz w:val="21"/>
                <w:highlight w:val="none"/>
                <w14:ligatures w14:val="none"/>
              </w:rPr>
              <w:t>重大生产安全事故隐患</w:t>
            </w:r>
          </w:p>
        </w:tc>
        <w:tc>
          <w:tcPr>
            <w:tcW w:w="930" w:type="pct"/>
            <w:vAlign w:val="center"/>
          </w:tcPr>
          <w:p w14:paraId="748C5FF0">
            <w:pPr>
              <w:adjustRightInd w:val="0"/>
              <w:snapToGrid w:val="0"/>
              <w:spacing w:after="0" w:line="240" w:lineRule="auto"/>
              <w:jc w:val="center"/>
              <w:rPr>
                <w:rFonts w:ascii="Times New Roman" w:hAnsi="Times New Roman" w:eastAsia="宋体" w:cs="Times New Roman"/>
                <w:sz w:val="21"/>
                <w:szCs w:val="21"/>
                <w:highlight w:val="none"/>
                <w14:ligatures w14:val="none"/>
              </w:rPr>
            </w:pPr>
            <w:r>
              <w:rPr>
                <w:rFonts w:hint="eastAsia" w:ascii="Times New Roman" w:hAnsi="Times New Roman" w:eastAsia="宋体" w:cs="Times New Roman"/>
                <w:sz w:val="21"/>
                <w:szCs w:val="21"/>
                <w:highlight w:val="none"/>
                <w14:ligatures w14:val="none"/>
              </w:rPr>
              <w:t>安全检查表法</w:t>
            </w:r>
          </w:p>
        </w:tc>
        <w:tc>
          <w:tcPr>
            <w:tcW w:w="2528" w:type="pct"/>
            <w:vAlign w:val="center"/>
          </w:tcPr>
          <w:p w14:paraId="48496363">
            <w:pPr>
              <w:adjustRightInd w:val="0"/>
              <w:snapToGrid w:val="0"/>
              <w:spacing w:after="0" w:line="240" w:lineRule="auto"/>
              <w:jc w:val="both"/>
              <w:rPr>
                <w:rFonts w:ascii="Times New Roman" w:hAnsi="Times New Roman" w:eastAsia="宋体" w:cs="Times New Roman"/>
                <w:sz w:val="21"/>
                <w:highlight w:val="none"/>
                <w14:ligatures w14:val="none"/>
              </w:rPr>
            </w:pPr>
            <w:r>
              <w:rPr>
                <w:rFonts w:hint="eastAsia" w:ascii="Times New Roman" w:hAnsi="Times New Roman" w:eastAsia="宋体" w:cs="Times New Roman"/>
                <w:sz w:val="21"/>
                <w:highlight w:val="none"/>
                <w14:ligatures w14:val="none"/>
              </w:rPr>
              <w:t>判定是否为重大生产安全事故隐患</w:t>
            </w:r>
          </w:p>
        </w:tc>
      </w:tr>
    </w:tbl>
    <w:p w14:paraId="029A0F5E">
      <w:pPr>
        <w:adjustRightInd w:val="0"/>
        <w:snapToGrid w:val="0"/>
        <w:spacing w:before="312" w:beforeLines="100" w:after="312" w:afterLines="100" w:line="360" w:lineRule="auto"/>
        <w:jc w:val="center"/>
        <w:outlineLvl w:val="1"/>
        <w:rPr>
          <w:rFonts w:ascii="Times New Roman" w:hAnsi="Times New Roman" w:eastAsia="楷体" w:cs="黑体"/>
          <w:b/>
          <w:sz w:val="32"/>
          <w:szCs w:val="32"/>
          <w:highlight w:val="none"/>
          <w14:ligatures w14:val="none"/>
        </w:rPr>
      </w:pPr>
      <w:bookmarkStart w:id="149" w:name="_Toc17383"/>
      <w:r>
        <w:rPr>
          <w:rFonts w:hint="eastAsia" w:ascii="Times New Roman" w:hAnsi="Times New Roman" w:eastAsia="楷体" w:cs="黑体"/>
          <w:b/>
          <w:sz w:val="32"/>
          <w:szCs w:val="32"/>
          <w:highlight w:val="none"/>
          <w14:ligatures w14:val="none"/>
        </w:rPr>
        <w:t>4.2评价方法简介</w:t>
      </w:r>
      <w:bookmarkEnd w:id="149"/>
    </w:p>
    <w:p w14:paraId="6B4C3DBF">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安全检查表是系统安全工程的一种最基础、最简便、广泛应用的系统安全评价方法。安全检查表不仅用于查找系统中各种潜在的事故隐患，还对各检查项目给予量化，用于进行系统安全评价。</w:t>
      </w:r>
    </w:p>
    <w:p w14:paraId="66E9B5DB">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对系统进行评价时，对照安全检查表逐项检查，从而评价出系统的安全等级。编制安全检查表的主要依据为有关的安全法规、标准、规程和国内外相关的事故案例。</w:t>
      </w:r>
    </w:p>
    <w:p w14:paraId="2EF291DD">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安全检查表的编制步骤如下：</w:t>
      </w:r>
    </w:p>
    <w:p w14:paraId="2AD29611">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（1）熟悉系统。包括评价对象的结构、功能、工艺流程、操作条件、总图布置、已有的安全卫生设置等；</w:t>
      </w:r>
    </w:p>
    <w:p w14:paraId="6BD3C84A">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（2）搜集资料。搜集与评价对象有关的安全法规、标准、制度、过去发生过的事故案例，作为评价依据；</w:t>
      </w:r>
    </w:p>
    <w:p w14:paraId="36B7AEFA">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（3）划分单元。按功能或结构：将系统划分为若干子系统或单元，逐个分析潜在的危险因素；</w:t>
      </w:r>
    </w:p>
    <w:p w14:paraId="14E7E3CC">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（4）编制检查表。</w:t>
      </w:r>
      <w:r>
        <w:rPr>
          <w:rFonts w:ascii="Times New Roman" w:hAnsi="Times New Roman" w:eastAsia="宋体" w:cs="Times New Roman"/>
          <w:sz w:val="28"/>
          <w:szCs w:val="28"/>
          <w:highlight w:val="none"/>
          <w14:ligatures w14:val="none"/>
        </w:rPr>
        <w:br w:type="page"/>
      </w:r>
    </w:p>
    <w:p w14:paraId="147955D5">
      <w:pPr>
        <w:adjustRightInd w:val="0"/>
        <w:snapToGrid w:val="0"/>
        <w:spacing w:before="468" w:beforeLines="150" w:after="468" w:afterLines="150" w:line="360" w:lineRule="auto"/>
        <w:jc w:val="center"/>
        <w:outlineLvl w:val="0"/>
        <w:rPr>
          <w:rFonts w:ascii="Times New Roman" w:hAnsi="Times New Roman" w:eastAsia="黑体" w:cs="黑体"/>
          <w:b/>
          <w:kern w:val="44"/>
          <w:sz w:val="32"/>
          <w:szCs w:val="44"/>
          <w:highlight w:val="none"/>
          <w14:ligatures w14:val="none"/>
        </w:rPr>
      </w:pPr>
      <w:bookmarkStart w:id="150" w:name="_Toc14691"/>
      <w:r>
        <w:rPr>
          <w:rFonts w:hint="eastAsia" w:ascii="Times New Roman" w:hAnsi="Times New Roman" w:eastAsia="黑体" w:cs="黑体"/>
          <w:b/>
          <w:kern w:val="44"/>
          <w:sz w:val="32"/>
          <w:szCs w:val="44"/>
          <w:highlight w:val="none"/>
          <w14:ligatures w14:val="none"/>
        </w:rPr>
        <w:t>5定性、定量评价</w:t>
      </w:r>
      <w:bookmarkEnd w:id="150"/>
    </w:p>
    <w:p w14:paraId="0DDE9B48">
      <w:pPr>
        <w:adjustRightInd w:val="0"/>
        <w:snapToGrid w:val="0"/>
        <w:spacing w:before="312" w:beforeLines="100" w:after="312" w:afterLines="100" w:line="360" w:lineRule="auto"/>
        <w:jc w:val="center"/>
        <w:outlineLvl w:val="1"/>
        <w:rPr>
          <w:rFonts w:ascii="Times New Roman" w:hAnsi="Times New Roman" w:eastAsia="楷体" w:cs="黑体"/>
          <w:b/>
          <w:sz w:val="32"/>
          <w:szCs w:val="32"/>
          <w:highlight w:val="none"/>
          <w14:ligatures w14:val="none"/>
        </w:rPr>
      </w:pPr>
      <w:bookmarkStart w:id="151" w:name="_Toc3858"/>
      <w:r>
        <w:rPr>
          <w:rFonts w:hint="eastAsia" w:ascii="Times New Roman" w:hAnsi="Times New Roman" w:eastAsia="楷体" w:cs="黑体"/>
          <w:b/>
          <w:sz w:val="32"/>
          <w:szCs w:val="32"/>
          <w:highlight w:val="none"/>
          <w14:ligatures w14:val="none"/>
        </w:rPr>
        <w:t>5.1经营条件及安全管理单元</w:t>
      </w:r>
      <w:bookmarkEnd w:id="151"/>
    </w:p>
    <w:p w14:paraId="2FF7D6E6">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根据《危险化学品经营许可证管理办法》、《辽宁省危险化学品经营许可证颁发管理施细则》等行政法规、部门规章，针对</w:t>
      </w:r>
      <w:r>
        <w:rPr>
          <w:rFonts w:hint="eastAsia" w:ascii="Times New Roman" w:hAnsi="Times New Roman" w:eastAsia="宋体" w:cs="Times New Roman"/>
          <w:sz w:val="28"/>
          <w:szCs w:val="28"/>
          <w:highlight w:val="none"/>
          <w:lang w:eastAsia="zh-CN"/>
          <w14:ligatures w14:val="none"/>
        </w:rPr>
        <w:t>沈阳新春城气体有限公司</w:t>
      </w:r>
      <w:r>
        <w:rPr>
          <w:rFonts w:hint="eastAsia" w:ascii="Times New Roman" w:hAnsi="Times New Roman" w:eastAsia="宋体" w:cs="Times New Roman"/>
          <w:sz w:val="28"/>
          <w:szCs w:val="28"/>
          <w:highlight w:val="none"/>
          <w14:ligatures w14:val="none"/>
        </w:rPr>
        <w:t>经营条件及安全管理符合性进行检查，检查结果见表5.1-1。</w:t>
      </w:r>
    </w:p>
    <w:p w14:paraId="07D0AC10">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bookmarkStart w:id="158" w:name="_GoBack"/>
      <w:bookmarkEnd w:id="158"/>
      <w:r>
        <w:rPr>
          <w:rFonts w:hint="eastAsia" w:ascii="Times New Roman" w:hAnsi="Times New Roman" w:eastAsia="宋体" w:cs="Times New Roman"/>
          <w:sz w:val="28"/>
          <w:szCs w:val="28"/>
          <w:highlight w:val="none"/>
          <w14:ligatures w14:val="none"/>
        </w:rPr>
        <w:t>小结：通过对重大生产安全事故隐患单元进行安全评价，共检查53项，2</w:t>
      </w:r>
      <w:r>
        <w:rPr>
          <w:rFonts w:hint="eastAsia" w:ascii="Times New Roman" w:hAnsi="Times New Roman" w:eastAsia="宋体" w:cs="Times New Roman"/>
          <w:sz w:val="28"/>
          <w:szCs w:val="28"/>
          <w:highlight w:val="none"/>
          <w:lang w:val="en-US" w:eastAsia="zh-CN"/>
          <w14:ligatures w14:val="none"/>
        </w:rPr>
        <w:t>7</w:t>
      </w:r>
      <w:r>
        <w:rPr>
          <w:rFonts w:hint="eastAsia" w:ascii="Times New Roman" w:hAnsi="Times New Roman" w:eastAsia="宋体" w:cs="Times New Roman"/>
          <w:sz w:val="28"/>
          <w:szCs w:val="28"/>
          <w:highlight w:val="none"/>
          <w14:ligatures w14:val="none"/>
        </w:rPr>
        <w:t>项不涉及，其余2</w:t>
      </w:r>
      <w:r>
        <w:rPr>
          <w:rFonts w:hint="eastAsia" w:ascii="Times New Roman" w:hAnsi="Times New Roman" w:eastAsia="宋体" w:cs="Times New Roman"/>
          <w:sz w:val="28"/>
          <w:szCs w:val="28"/>
          <w:highlight w:val="none"/>
          <w:lang w:val="en-US" w:eastAsia="zh-CN"/>
          <w14:ligatures w14:val="none"/>
        </w:rPr>
        <w:t>6</w:t>
      </w:r>
      <w:r>
        <w:rPr>
          <w:rFonts w:hint="eastAsia" w:ascii="Times New Roman" w:hAnsi="Times New Roman" w:eastAsia="宋体" w:cs="Times New Roman"/>
          <w:sz w:val="28"/>
          <w:szCs w:val="28"/>
          <w:highlight w:val="none"/>
          <w14:ligatures w14:val="none"/>
        </w:rPr>
        <w:t>项检查内容均符合相关要求。</w:t>
      </w:r>
      <w:r>
        <w:rPr>
          <w:rFonts w:ascii="Times New Roman" w:hAnsi="Times New Roman" w:eastAsia="宋体" w:cs="Times New Roman"/>
          <w:sz w:val="28"/>
          <w:szCs w:val="28"/>
          <w:highlight w:val="none"/>
          <w14:ligatures w14:val="none"/>
        </w:rPr>
        <w:br w:type="page"/>
      </w:r>
    </w:p>
    <w:p w14:paraId="06CBF7C6">
      <w:pPr>
        <w:tabs>
          <w:tab w:val="left" w:pos="2460"/>
          <w:tab w:val="center" w:pos="4592"/>
        </w:tabs>
        <w:adjustRightInd w:val="0"/>
        <w:snapToGrid w:val="0"/>
        <w:spacing w:before="468" w:beforeLines="150" w:after="468" w:afterLines="150" w:line="360" w:lineRule="auto"/>
        <w:jc w:val="center"/>
        <w:outlineLvl w:val="0"/>
        <w:rPr>
          <w:rFonts w:ascii="Times New Roman" w:hAnsi="Times New Roman" w:eastAsia="黑体" w:cs="黑体"/>
          <w:b/>
          <w:kern w:val="44"/>
          <w:sz w:val="32"/>
          <w:szCs w:val="44"/>
          <w:highlight w:val="none"/>
          <w14:ligatures w14:val="none"/>
        </w:rPr>
      </w:pPr>
      <w:bookmarkStart w:id="152" w:name="_Toc12985"/>
      <w:r>
        <w:rPr>
          <w:rFonts w:hint="eastAsia" w:ascii="Times New Roman" w:hAnsi="Times New Roman" w:eastAsia="黑体" w:cs="黑体"/>
          <w:b/>
          <w:kern w:val="44"/>
          <w:sz w:val="32"/>
          <w:szCs w:val="44"/>
          <w:highlight w:val="none"/>
          <w14:ligatures w14:val="none"/>
        </w:rPr>
        <w:t>6安全对策措施与建议</w:t>
      </w:r>
      <w:bookmarkEnd w:id="152"/>
    </w:p>
    <w:p w14:paraId="7785602D">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安全管理是企业运行的必需投入，在安全生产中有举足轻重的地位。据事故统计，几乎所有的事故都与安全管理不当有关。因此，切实加强安全管理工作是预防事故发生的最有效途径。</w:t>
      </w:r>
    </w:p>
    <w:p w14:paraId="52C78E37">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要全面贯彻“安全发展”的重要指导原则和“安全第一、预防为主、综合管理”的安全生产方针，把安全生产工作纳入企业的发展战略和长远规划当中，同步规划、同步实施、同步考核、同步推进。</w:t>
      </w:r>
    </w:p>
    <w:p w14:paraId="4CA7B529">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从</w:t>
      </w:r>
      <w:r>
        <w:rPr>
          <w:rFonts w:hint="eastAsia" w:ascii="Times New Roman" w:hAnsi="Times New Roman" w:eastAsia="宋体" w:cs="Times New Roman"/>
          <w:sz w:val="28"/>
          <w:szCs w:val="28"/>
          <w:highlight w:val="none"/>
          <w:lang w:eastAsia="zh-CN"/>
          <w14:ligatures w14:val="none"/>
        </w:rPr>
        <w:t>沈阳新春城气体有限公司</w:t>
      </w:r>
      <w:r>
        <w:rPr>
          <w:rFonts w:hint="eastAsia" w:ascii="Times New Roman" w:hAnsi="Times New Roman" w:eastAsia="宋体" w:cs="Times New Roman"/>
          <w:sz w:val="28"/>
          <w:szCs w:val="28"/>
          <w:highlight w:val="none"/>
          <w14:ligatures w14:val="none"/>
        </w:rPr>
        <w:t>的基本情况来看，其经营现状基本具备了安全保障条件。依照国家有关法律、法规和技术标准，为更好贯彻“安全第一、预防为主、综合治理”的安全生产方针，确保长期、安全、稳定运转，预防意外事故发生，下面从完善安全经营条件和切实强化安全管理的角度提出如下安全对策措施。</w:t>
      </w:r>
    </w:p>
    <w:p w14:paraId="58DDD649">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（1）保障安全资金投入</w:t>
      </w:r>
    </w:p>
    <w:p w14:paraId="51729A0A">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中华人民共和国安全生产法》第二十三条规定：生产经营单位应当具备的安全生产条件所必需的资金投入，由生产经营单位的决策机构、主要负责人或者个人经营的投资人予以保证，并对由于安全生产所必需的资金投入不足导致的后果承担责任。</w:t>
      </w:r>
    </w:p>
    <w:p w14:paraId="348C6493">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lang w:eastAsia="zh-CN"/>
          <w14:ligatures w14:val="none"/>
        </w:rPr>
        <w:t>沈阳新春城气体有限公司</w:t>
      </w:r>
      <w:r>
        <w:rPr>
          <w:rFonts w:hint="eastAsia" w:ascii="Times New Roman" w:hAnsi="Times New Roman" w:eastAsia="宋体" w:cs="Times New Roman"/>
          <w:sz w:val="28"/>
          <w:szCs w:val="28"/>
          <w:highlight w:val="none"/>
          <w14:ligatures w14:val="none"/>
        </w:rPr>
        <w:t>在日常管理过程中应安排安全投入，用于进行安全管理方面的技术改造，增添安全设施和防护设备以及个体防护用品；根据充装、经营、储存特点，适应事故应急预案措施的需要，配备必要的训练、急救、抢险的设备、设施。</w:t>
      </w:r>
    </w:p>
    <w:p w14:paraId="08FB274F">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（2）推广标准化安全管理</w:t>
      </w:r>
    </w:p>
    <w:p w14:paraId="261FB540">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建议积极推广标准化安全管理，不断完善安全管理体系。运用安全系统工程的方法，实施安全目标控制，实现全面安全管理，有效杜绝“三违”作业，营造良好的安全氛围，将“要我安全”转变为“我要安全”，把安全管理纳入安全良性循环的轨道。</w:t>
      </w:r>
    </w:p>
    <w:p w14:paraId="297930E4">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（3）加强人员的安全教育</w:t>
      </w:r>
    </w:p>
    <w:p w14:paraId="29557019">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应当对从业人员进行安全生产教育和培训，保证从业人员具备必要的安全生产知识，熟悉有关的安全生产规章制度和安全操作规程，掌握本岗位的安全操作技能，掌握本岗位危险、危害知识和应急处理能力；有预防火灾、爆炸等事故和职业危害的知识和能力，在紧急情况下能采取正确的应急方法和果断措施，尽可能避免事故的发生和减少事故造成的损失。未经安全生产教育和培训合格的从业人员，不得上岗作业。只有严格按照有关规定从事经营销售，才能保证单位安全运营，要加强对新员工的安全教育、专业培训和考核，并经考试合格后，方可上岗。</w:t>
      </w:r>
    </w:p>
    <w:p w14:paraId="4DBA3DAE">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（4）重视危险化学品的安全技术说明</w:t>
      </w:r>
    </w:p>
    <w:p w14:paraId="7CDD2ACD">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lang w:eastAsia="zh-CN"/>
          <w14:ligatures w14:val="none"/>
        </w:rPr>
        <w:t>沈阳新春城气体有限公司</w:t>
      </w:r>
      <w:r>
        <w:rPr>
          <w:rFonts w:hint="eastAsia" w:ascii="Times New Roman" w:hAnsi="Times New Roman" w:eastAsia="宋体" w:cs="Times New Roman"/>
          <w:sz w:val="28"/>
          <w:szCs w:val="28"/>
          <w:highlight w:val="none"/>
          <w14:ligatures w14:val="none"/>
        </w:rPr>
        <w:t>经营的危险化学品的危险性并不是人人皆知，但是它们的危险程度却十分严重。因此，在经营过程中应注意向生产厂家索要销售化学产品安全技术说明书和安全标签，并向使用单位和用户提供，以便提醒用户注意该产品的危险、危害程度，避免在使用过程中出现火灾、爆炸和中毒等重大事故。</w:t>
      </w:r>
    </w:p>
    <w:p w14:paraId="4BBFFE92">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（5）加强危险化学品购买环节的安全管理</w:t>
      </w:r>
    </w:p>
    <w:p w14:paraId="1F9609DF">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在选取危险化学品供应商时，严格按照供应商管理制度执行，选取有资质、信用度高的企业，建立合格供应商档案。向供应商索取购进的危险化学品的安全技术说明书及安全标签，并主动提供给客户。</w:t>
      </w:r>
    </w:p>
    <w:p w14:paraId="5A0579E4">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（6）加强危险化学品销售环节的安全管理</w:t>
      </w:r>
    </w:p>
    <w:p w14:paraId="1F21FD6A">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lang w:eastAsia="zh-CN"/>
          <w14:ligatures w14:val="none"/>
        </w:rPr>
        <w:t>沈阳新春城气体有限公司</w:t>
      </w:r>
      <w:r>
        <w:rPr>
          <w:rFonts w:hint="eastAsia" w:ascii="Times New Roman" w:hAnsi="Times New Roman" w:eastAsia="宋体" w:cs="Times New Roman"/>
          <w:sz w:val="28"/>
          <w:szCs w:val="28"/>
          <w:highlight w:val="none"/>
          <w14:ligatures w14:val="none"/>
        </w:rPr>
        <w:t>的办公场所并不具有储存危险化学品的条件。因此，严禁在经营办公场所存储任何危险化学品。要强化批发与零售业务的日常安全管理工作，及时消除不安全隐患，杜绝“三违”，确保经营工作安全平稳运行。</w:t>
      </w:r>
    </w:p>
    <w:p w14:paraId="7603A053">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（7）加强档案管理</w:t>
      </w:r>
    </w:p>
    <w:p w14:paraId="042A81AC">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建立经营危险化学品的化学品安全技术说明书档案。在危险化学品生产企业有新的危害特性公告以及修订安全技术说明书等资料时，及时予以调整，并迅速传递给用户。</w:t>
      </w:r>
    </w:p>
    <w:p w14:paraId="6DBD5E27">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（8）实施监督和日常检查</w:t>
      </w:r>
    </w:p>
    <w:p w14:paraId="14D1E0A0">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应加强监督检查和日常管理工作，确保安全教育和培训能正常有效地进行，确保安全投入的有效实施，确保安全技术措施和管理措施能有效落实，及时消除生产安全事故隐患。</w:t>
      </w:r>
    </w:p>
    <w:p w14:paraId="52A327AD">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（9）特种设备管理</w:t>
      </w:r>
    </w:p>
    <w:p w14:paraId="5835F19C">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应建立特种设备管理台账，应对在用特种设备进行经常性日常维护保养，并定期自行检查。</w:t>
      </w:r>
    </w:p>
    <w:p w14:paraId="2882DEBE">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（10）危险化学品经营</w:t>
      </w:r>
    </w:p>
    <w:p w14:paraId="3FA7D62C">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应严格遵守《危险化学品经营许可证管理办法》（国家安全生产监督管理总局令第55号，2015年7月1日实施）中要求，在经营许可证有效期满3个月前，向</w:t>
      </w:r>
      <w:r>
        <w:rPr>
          <w:rFonts w:hint="eastAsia" w:ascii="Times New Roman" w:hAnsi="Times New Roman" w:eastAsia="宋体" w:cs="Times New Roman"/>
          <w:sz w:val="28"/>
          <w:szCs w:val="28"/>
          <w:highlight w:val="none"/>
          <w:lang w:val="en-US" w:eastAsia="zh-CN"/>
          <w14:ligatures w14:val="none"/>
        </w:rPr>
        <w:t>沈北新区</w:t>
      </w:r>
      <w:r>
        <w:rPr>
          <w:rFonts w:hint="eastAsia" w:ascii="Times New Roman" w:hAnsi="Times New Roman" w:eastAsia="宋体" w:cs="Times New Roman"/>
          <w:sz w:val="28"/>
          <w:szCs w:val="28"/>
          <w:highlight w:val="none"/>
          <w14:ligatures w14:val="none"/>
        </w:rPr>
        <w:t>应急管理局提出经营许可证的延期申请，并提交延期申请书及相关申请文件、资料。</w:t>
      </w:r>
    </w:p>
    <w:p w14:paraId="46CCF975">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br w:type="page"/>
      </w:r>
    </w:p>
    <w:p w14:paraId="7C8A2012">
      <w:pPr>
        <w:tabs>
          <w:tab w:val="left" w:pos="2460"/>
          <w:tab w:val="center" w:pos="4592"/>
        </w:tabs>
        <w:adjustRightInd w:val="0"/>
        <w:snapToGrid w:val="0"/>
        <w:spacing w:before="468" w:beforeLines="150" w:after="468" w:afterLines="150" w:line="360" w:lineRule="auto"/>
        <w:jc w:val="center"/>
        <w:outlineLvl w:val="0"/>
        <w:rPr>
          <w:rFonts w:ascii="Times New Roman" w:hAnsi="Times New Roman" w:eastAsia="黑体" w:cs="黑体"/>
          <w:b/>
          <w:kern w:val="44"/>
          <w:sz w:val="32"/>
          <w:szCs w:val="44"/>
          <w:highlight w:val="none"/>
          <w14:ligatures w14:val="none"/>
        </w:rPr>
      </w:pPr>
      <w:bookmarkStart w:id="153" w:name="_Toc3204"/>
      <w:r>
        <w:rPr>
          <w:rFonts w:hint="eastAsia" w:ascii="Times New Roman" w:hAnsi="Times New Roman" w:eastAsia="黑体" w:cs="黑体"/>
          <w:b/>
          <w:kern w:val="44"/>
          <w:sz w:val="32"/>
          <w:szCs w:val="44"/>
          <w:highlight w:val="none"/>
          <w14:ligatures w14:val="none"/>
        </w:rPr>
        <w:t>7评价结论</w:t>
      </w:r>
      <w:bookmarkEnd w:id="153"/>
    </w:p>
    <w:p w14:paraId="59FD5FDA">
      <w:pPr>
        <w:adjustRightInd w:val="0"/>
        <w:snapToGrid w:val="0"/>
        <w:spacing w:before="312" w:beforeLines="100" w:after="312" w:afterLines="100" w:line="360" w:lineRule="auto"/>
        <w:jc w:val="center"/>
        <w:outlineLvl w:val="1"/>
        <w:rPr>
          <w:rFonts w:ascii="Times New Roman" w:hAnsi="Times New Roman" w:eastAsia="楷体" w:cs="黑体"/>
          <w:b/>
          <w:sz w:val="32"/>
          <w:szCs w:val="32"/>
          <w:highlight w:val="none"/>
          <w14:ligatures w14:val="none"/>
        </w:rPr>
      </w:pPr>
      <w:bookmarkStart w:id="154" w:name="_Toc4479"/>
      <w:r>
        <w:rPr>
          <w:rFonts w:hint="eastAsia" w:ascii="Times New Roman" w:hAnsi="Times New Roman" w:eastAsia="楷体" w:cs="黑体"/>
          <w:b/>
          <w:sz w:val="32"/>
          <w:szCs w:val="32"/>
          <w:highlight w:val="none"/>
          <w14:ligatures w14:val="none"/>
        </w:rPr>
        <w:t>7.1主要危险有害因素评价结果</w:t>
      </w:r>
      <w:bookmarkEnd w:id="154"/>
    </w:p>
    <w:p w14:paraId="68531E36">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（1）依据《生产安全事故分类与编码》、《生产过程危险和有害因素分类与代码》和《职业病危害因素分类目录》，</w:t>
      </w:r>
      <w:r>
        <w:rPr>
          <w:rFonts w:hint="eastAsia" w:ascii="Times New Roman" w:hAnsi="Times New Roman" w:eastAsia="宋体" w:cs="Times New Roman"/>
          <w:sz w:val="28"/>
          <w:szCs w:val="28"/>
          <w:highlight w:val="none"/>
          <w:lang w:eastAsia="zh-CN"/>
          <w14:ligatures w14:val="none"/>
        </w:rPr>
        <w:t>沈阳新春城气体有限公司</w:t>
      </w:r>
      <w:r>
        <w:rPr>
          <w:rFonts w:hint="eastAsia" w:ascii="Times New Roman" w:hAnsi="Times New Roman" w:eastAsia="宋体" w:cs="Times New Roman"/>
          <w:sz w:val="28"/>
          <w:szCs w:val="28"/>
          <w:highlight w:val="none"/>
          <w14:ligatures w14:val="none"/>
        </w:rPr>
        <w:t>经营过程中（含充装、储存）的危险、有害因素分为：容器爆炸、管道爆炸、火灾、中毒、窒息、泄漏、触电、机械致害、高处坠落、跌落、物体打击、厂内车辆致害、淹溺、</w:t>
      </w:r>
      <w:r>
        <w:rPr>
          <w:rFonts w:hint="eastAsia" w:ascii="Times New Roman" w:hAnsi="Times New Roman" w:eastAsia="宋体" w:cs="Times New Roman"/>
          <w:sz w:val="28"/>
          <w:szCs w:val="28"/>
          <w:highlight w:val="none"/>
          <w:lang w:val="en-US" w:eastAsia="zh-CN"/>
          <w14:ligatures w14:val="none"/>
        </w:rPr>
        <w:t>其他</w:t>
      </w:r>
      <w:r>
        <w:rPr>
          <w:rFonts w:hint="eastAsia" w:ascii="Times New Roman" w:hAnsi="Times New Roman" w:eastAsia="宋体" w:cs="Times New Roman"/>
          <w:sz w:val="28"/>
          <w:szCs w:val="28"/>
          <w:highlight w:val="none"/>
          <w14:ligatures w14:val="none"/>
        </w:rPr>
        <w:t>等。</w:t>
      </w:r>
    </w:p>
    <w:p w14:paraId="57BAECA9">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（2）</w:t>
      </w:r>
      <w:r>
        <w:rPr>
          <w:rFonts w:hint="eastAsia" w:ascii="Times New Roman" w:hAnsi="Times New Roman" w:eastAsia="宋体" w:cs="Times New Roman"/>
          <w:sz w:val="28"/>
          <w:szCs w:val="28"/>
          <w:highlight w:val="none"/>
          <w:lang w:eastAsia="zh-CN"/>
          <w14:ligatures w14:val="none"/>
        </w:rPr>
        <w:t>沈阳新春城气体有限公司</w:t>
      </w:r>
      <w:r>
        <w:rPr>
          <w:rFonts w:hint="eastAsia" w:ascii="Times New Roman" w:hAnsi="Times New Roman" w:eastAsia="宋体" w:cs="Times New Roman"/>
          <w:sz w:val="28"/>
          <w:szCs w:val="28"/>
          <w:highlight w:val="none"/>
          <w14:ligatures w14:val="none"/>
        </w:rPr>
        <w:t>不构成危险化学品重大危险源。</w:t>
      </w:r>
    </w:p>
    <w:p w14:paraId="3915F094">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（3）根据《国家安全监管总局关于公布首批重点监管的危险化学品目录的通知》（安监总管三[2011]95号）、《国家安全监管总局关于公布第二批重点监管危险化学品名录的通知》（安监总管三[2013]12号），</w:t>
      </w:r>
      <w:r>
        <w:rPr>
          <w:rFonts w:hint="eastAsia" w:ascii="Times New Roman" w:hAnsi="Times New Roman" w:eastAsia="宋体" w:cs="Times New Roman"/>
          <w:sz w:val="28"/>
          <w:szCs w:val="28"/>
          <w:highlight w:val="none"/>
          <w:lang w:eastAsia="zh-CN"/>
          <w14:ligatures w14:val="none"/>
        </w:rPr>
        <w:t>沈阳新春城气体有限公司</w:t>
      </w:r>
      <w:r>
        <w:rPr>
          <w:rFonts w:hint="eastAsia" w:ascii="Times New Roman" w:hAnsi="Times New Roman" w:eastAsia="宋体" w:cs="Times New Roman"/>
          <w:sz w:val="28"/>
          <w:szCs w:val="28"/>
          <w:highlight w:val="none"/>
          <w14:ligatures w14:val="none"/>
        </w:rPr>
        <w:t>票据经营的氢气属于重点监管危险化学品。</w:t>
      </w:r>
    </w:p>
    <w:p w14:paraId="19BB27CC">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4）根据《国家安全监管总局关于公布首批重点监管的危险化工工艺目录的通知》（安监总管三[2009]116号）、《国家安全监管总局关于公布第二批重点监管、危险化工工艺目录和调整首批重点监管、危险化工工艺中部分典型工艺的通知》（安监总管三[2013]3号），该企业储存经营不涉及危险化工工艺。</w:t>
      </w:r>
    </w:p>
    <w:p w14:paraId="3BF28245">
      <w:pPr>
        <w:adjustRightInd w:val="0"/>
        <w:snapToGrid w:val="0"/>
        <w:spacing w:before="312" w:beforeLines="100" w:after="312" w:afterLines="100" w:line="360" w:lineRule="auto"/>
        <w:jc w:val="center"/>
        <w:outlineLvl w:val="1"/>
        <w:rPr>
          <w:rFonts w:ascii="Times New Roman" w:hAnsi="Times New Roman" w:eastAsia="楷体" w:cs="黑体"/>
          <w:b/>
          <w:sz w:val="32"/>
          <w:szCs w:val="32"/>
          <w:highlight w:val="none"/>
          <w14:ligatures w14:val="none"/>
        </w:rPr>
      </w:pPr>
      <w:bookmarkStart w:id="155" w:name="_Toc23916"/>
      <w:r>
        <w:rPr>
          <w:rFonts w:hint="eastAsia" w:ascii="Times New Roman" w:hAnsi="Times New Roman" w:eastAsia="楷体" w:cs="黑体"/>
          <w:b/>
          <w:sz w:val="32"/>
          <w:szCs w:val="32"/>
          <w:highlight w:val="none"/>
          <w14:ligatures w14:val="none"/>
        </w:rPr>
        <w:t>7.2定性定量分析结果</w:t>
      </w:r>
      <w:bookmarkEnd w:id="155"/>
    </w:p>
    <w:p w14:paraId="617C5DA4">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通过现场检查，采用安全检查表评价，</w:t>
      </w:r>
      <w:r>
        <w:rPr>
          <w:rFonts w:hint="eastAsia" w:ascii="Times New Roman" w:hAnsi="Times New Roman" w:eastAsia="宋体" w:cs="Times New Roman"/>
          <w:sz w:val="28"/>
          <w:szCs w:val="28"/>
          <w:highlight w:val="none"/>
          <w:lang w:eastAsia="zh-CN"/>
          <w14:ligatures w14:val="none"/>
        </w:rPr>
        <w:t>沈阳新春城气体有限公司</w:t>
      </w:r>
      <w:r>
        <w:rPr>
          <w:rFonts w:hint="eastAsia" w:ascii="Times New Roman" w:hAnsi="Times New Roman" w:eastAsia="宋体" w:cs="Times New Roman"/>
          <w:sz w:val="28"/>
          <w:szCs w:val="28"/>
          <w:highlight w:val="none"/>
          <w14:ligatures w14:val="none"/>
        </w:rPr>
        <w:t>现有基本经营条件、安全管理条件符合《危险化学品经营许可证管理办法》、《辽宁省危险化学品经营许可证颁发管理施细则》等行政法规、部门规章；企业周边环境、总平面设置、充装设施、储存设施及公辅工程情况均满足《建筑设计防火规范（2018年版）》（GB50016-2014）、《氧气站设计规范》（GB 50030-2013）、《工业企业总平面设计规范》（GB50187-2012）等标准规范。</w:t>
      </w:r>
    </w:p>
    <w:p w14:paraId="26951E3E">
      <w:pPr>
        <w:adjustRightInd w:val="0"/>
        <w:snapToGrid w:val="0"/>
        <w:spacing w:before="312" w:beforeLines="100" w:after="312" w:afterLines="100" w:line="360" w:lineRule="auto"/>
        <w:jc w:val="center"/>
        <w:outlineLvl w:val="1"/>
        <w:rPr>
          <w:rFonts w:ascii="Times New Roman" w:hAnsi="Times New Roman" w:eastAsia="楷体" w:cs="黑体"/>
          <w:b/>
          <w:sz w:val="32"/>
          <w:szCs w:val="32"/>
          <w:highlight w:val="none"/>
          <w14:ligatures w14:val="none"/>
        </w:rPr>
      </w:pPr>
      <w:bookmarkStart w:id="156" w:name="_Toc29502"/>
      <w:r>
        <w:rPr>
          <w:rFonts w:hint="eastAsia" w:ascii="Times New Roman" w:hAnsi="Times New Roman" w:eastAsia="楷体" w:cs="黑体"/>
          <w:b/>
          <w:sz w:val="32"/>
          <w:szCs w:val="32"/>
          <w:highlight w:val="none"/>
          <w14:ligatures w14:val="none"/>
        </w:rPr>
        <w:t>7.3评价结论</w:t>
      </w:r>
      <w:bookmarkEnd w:id="156"/>
    </w:p>
    <w:p w14:paraId="41B605CB">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根据对</w:t>
      </w:r>
      <w:r>
        <w:rPr>
          <w:rFonts w:hint="eastAsia" w:ascii="Times New Roman" w:hAnsi="Times New Roman" w:eastAsia="宋体" w:cs="Times New Roman"/>
          <w:sz w:val="28"/>
          <w:szCs w:val="28"/>
          <w:highlight w:val="none"/>
          <w:lang w:eastAsia="zh-CN"/>
          <w14:ligatures w14:val="none"/>
        </w:rPr>
        <w:t>沈阳新春城气体有限公司</w:t>
      </w:r>
      <w:r>
        <w:rPr>
          <w:rFonts w:hint="eastAsia" w:ascii="Times New Roman" w:hAnsi="Times New Roman" w:eastAsia="宋体" w:cs="Times New Roman"/>
          <w:sz w:val="28"/>
          <w:szCs w:val="28"/>
          <w:highlight w:val="none"/>
          <w14:ligatures w14:val="none"/>
        </w:rPr>
        <w:t>的安全作业条件等进行的综合评价，认为该企业工艺设施符合相关标准的规定，从业人员具备相应的知识和能力。只要该单位保证安全管理机构的有效性，进一步加强日常安全管理工作，严格贯彻执行气体分装的经营、销售等方面的各种安全规章制度，健全各项安全管理组织制度，就能够有效地对经营过程实现有效的安全监控，从而保证企业安全经营保障条件的落实和实施。</w:t>
      </w:r>
    </w:p>
    <w:p w14:paraId="3A616637">
      <w:pPr>
        <w:adjustRightInd w:val="0"/>
        <w:snapToGrid w:val="0"/>
        <w:spacing w:after="0" w:line="360" w:lineRule="auto"/>
        <w:ind w:firstLine="560" w:firstLineChars="200"/>
        <w:jc w:val="both"/>
        <w:rPr>
          <w:rFonts w:hint="eastAsia"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经评价，</w:t>
      </w:r>
      <w:r>
        <w:rPr>
          <w:rFonts w:hint="eastAsia" w:ascii="Times New Roman" w:hAnsi="Times New Roman" w:eastAsia="宋体" w:cs="Times New Roman"/>
          <w:sz w:val="28"/>
          <w:szCs w:val="28"/>
          <w:highlight w:val="none"/>
          <w:lang w:eastAsia="zh-CN"/>
          <w14:ligatures w14:val="none"/>
        </w:rPr>
        <w:t>沈阳新春城气体有限公司</w:t>
      </w:r>
      <w:r>
        <w:rPr>
          <w:rFonts w:hint="eastAsia" w:ascii="Times New Roman" w:hAnsi="Times New Roman" w:eastAsia="宋体" w:cs="Times New Roman"/>
          <w:sz w:val="28"/>
          <w:szCs w:val="28"/>
          <w:highlight w:val="none"/>
          <w14:ligatures w14:val="none"/>
        </w:rPr>
        <w:t>符合氧[压缩的或液化的]、氩[压缩的或液化的]、氮[压缩的或液化的]及二氧化碳[压缩的或液化的]储存经营；氨、氢气、</w:t>
      </w:r>
      <w:r>
        <w:rPr>
          <w:rFonts w:hint="eastAsia" w:ascii="Times New Roman" w:hAnsi="Times New Roman" w:eastAsia="宋体" w:cs="Times New Roman"/>
          <w:sz w:val="28"/>
          <w:szCs w:val="28"/>
          <w:highlight w:val="none"/>
          <w:lang w:val="en-US" w:eastAsia="zh-CN"/>
          <w14:ligatures w14:val="none"/>
        </w:rPr>
        <w:t>氦</w:t>
      </w:r>
      <w:r>
        <w:rPr>
          <w:rFonts w:hint="eastAsia" w:ascii="Times New Roman" w:hAnsi="Times New Roman" w:eastAsia="宋体" w:cs="Times New Roman"/>
          <w:sz w:val="28"/>
          <w:szCs w:val="28"/>
          <w:highlight w:val="none"/>
          <w14:ligatures w14:val="none"/>
        </w:rPr>
        <w:t>[压缩的或液化的]</w:t>
      </w:r>
      <w:r>
        <w:rPr>
          <w:rFonts w:hint="eastAsia" w:ascii="Times New Roman" w:hAnsi="Times New Roman" w:eastAsia="宋体" w:cs="Times New Roman"/>
          <w:sz w:val="28"/>
          <w:szCs w:val="28"/>
          <w:highlight w:val="none"/>
          <w:lang w:eastAsia="zh-CN"/>
          <w14:ligatures w14:val="none"/>
        </w:rPr>
        <w:t>、</w:t>
      </w:r>
      <w:r>
        <w:rPr>
          <w:rFonts w:hint="eastAsia" w:ascii="Times New Roman" w:hAnsi="Times New Roman" w:eastAsia="宋体" w:cs="Times New Roman"/>
          <w:sz w:val="28"/>
          <w:szCs w:val="28"/>
          <w:highlight w:val="none"/>
          <w14:ligatures w14:val="none"/>
        </w:rPr>
        <w:t>丙烷票据经营要求。</w:t>
      </w:r>
    </w:p>
    <w:p w14:paraId="7F090B58">
      <w:pPr>
        <w:adjustRightInd w:val="0"/>
        <w:snapToGrid w:val="0"/>
        <w:spacing w:after="0" w:line="360" w:lineRule="auto"/>
        <w:ind w:firstLine="560" w:firstLineChars="200"/>
        <w:jc w:val="both"/>
        <w:rPr>
          <w:rFonts w:ascii="Times New Roman" w:hAnsi="Times New Roman" w:eastAsia="宋体" w:cs="Times New Roman"/>
          <w:sz w:val="28"/>
          <w:szCs w:val="28"/>
          <w:highlight w:val="none"/>
          <w14:ligatures w14:val="none"/>
        </w:rPr>
      </w:pPr>
      <w:r>
        <w:rPr>
          <w:rFonts w:ascii="Times New Roman" w:hAnsi="Times New Roman" w:eastAsia="宋体" w:cs="Times New Roman"/>
          <w:sz w:val="28"/>
          <w:szCs w:val="28"/>
          <w:highlight w:val="none"/>
          <w14:ligatures w14:val="none"/>
        </w:rPr>
        <w:br w:type="page"/>
      </w:r>
    </w:p>
    <w:p w14:paraId="4D13BFC4">
      <w:pPr>
        <w:tabs>
          <w:tab w:val="left" w:pos="2460"/>
          <w:tab w:val="center" w:pos="4592"/>
        </w:tabs>
        <w:adjustRightInd w:val="0"/>
        <w:snapToGrid w:val="0"/>
        <w:spacing w:before="468" w:beforeLines="150" w:after="468" w:afterLines="150" w:line="360" w:lineRule="auto"/>
        <w:jc w:val="center"/>
        <w:outlineLvl w:val="0"/>
        <w:rPr>
          <w:rFonts w:ascii="Times New Roman" w:hAnsi="Times New Roman" w:eastAsia="黑体" w:cs="黑体"/>
          <w:b/>
          <w:kern w:val="44"/>
          <w:sz w:val="32"/>
          <w:szCs w:val="44"/>
          <w:highlight w:val="none"/>
          <w14:ligatures w14:val="none"/>
        </w:rPr>
      </w:pPr>
      <w:bookmarkStart w:id="157" w:name="_Toc26218"/>
      <w:r>
        <w:rPr>
          <w:rFonts w:hint="eastAsia" w:ascii="Times New Roman" w:hAnsi="Times New Roman" w:eastAsia="黑体" w:cs="黑体"/>
          <w:b/>
          <w:kern w:val="44"/>
          <w:sz w:val="32"/>
          <w:szCs w:val="44"/>
          <w:highlight w:val="none"/>
          <w14:ligatures w14:val="none"/>
        </w:rPr>
        <w:t>附件</w:t>
      </w:r>
      <w:bookmarkEnd w:id="157"/>
    </w:p>
    <w:p w14:paraId="09B09381">
      <w:pPr>
        <w:pStyle w:val="23"/>
        <w:numPr>
          <w:ilvl w:val="0"/>
          <w:numId w:val="9"/>
        </w:numPr>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营业执照</w:t>
      </w:r>
    </w:p>
    <w:p w14:paraId="0B3DC598">
      <w:pPr>
        <w:pStyle w:val="23"/>
        <w:numPr>
          <w:ilvl w:val="0"/>
          <w:numId w:val="9"/>
        </w:numPr>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lang w:val="en-US" w:eastAsia="zh-CN"/>
          <w14:ligatures w14:val="none"/>
        </w:rPr>
        <w:t>立项批复</w:t>
      </w:r>
    </w:p>
    <w:p w14:paraId="2AB37E0F">
      <w:pPr>
        <w:pStyle w:val="23"/>
        <w:numPr>
          <w:ilvl w:val="0"/>
          <w:numId w:val="9"/>
        </w:numPr>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lang w:val="en-US" w:eastAsia="zh-CN"/>
          <w14:ligatures w14:val="none"/>
        </w:rPr>
        <w:t>房屋租赁合同</w:t>
      </w:r>
    </w:p>
    <w:p w14:paraId="7C165F75">
      <w:pPr>
        <w:pStyle w:val="23"/>
        <w:numPr>
          <w:ilvl w:val="0"/>
          <w:numId w:val="9"/>
        </w:numPr>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土地证</w:t>
      </w:r>
      <w:r>
        <w:rPr>
          <w:rFonts w:hint="eastAsia" w:ascii="Times New Roman" w:hAnsi="Times New Roman" w:eastAsia="宋体" w:cs="Times New Roman"/>
          <w:sz w:val="28"/>
          <w:szCs w:val="28"/>
          <w:highlight w:val="none"/>
          <w:lang w:val="en-US" w:eastAsia="zh-CN"/>
          <w14:ligatures w14:val="none"/>
        </w:rPr>
        <w:t>使用证</w:t>
      </w:r>
    </w:p>
    <w:p w14:paraId="4599C044">
      <w:pPr>
        <w:pStyle w:val="23"/>
        <w:numPr>
          <w:ilvl w:val="0"/>
          <w:numId w:val="9"/>
        </w:numPr>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建设工程消防验收意见书</w:t>
      </w:r>
    </w:p>
    <w:p w14:paraId="5C8D08F9">
      <w:pPr>
        <w:pStyle w:val="23"/>
        <w:numPr>
          <w:ilvl w:val="0"/>
          <w:numId w:val="9"/>
        </w:numPr>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气瓶充装许可证</w:t>
      </w:r>
    </w:p>
    <w:p w14:paraId="41EFE715">
      <w:pPr>
        <w:pStyle w:val="23"/>
        <w:numPr>
          <w:ilvl w:val="0"/>
          <w:numId w:val="9"/>
        </w:numPr>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危险化学品经营许可证</w:t>
      </w:r>
    </w:p>
    <w:p w14:paraId="0A499271">
      <w:pPr>
        <w:pStyle w:val="23"/>
        <w:numPr>
          <w:ilvl w:val="0"/>
          <w:numId w:val="9"/>
        </w:numPr>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lang w:val="en-US" w:eastAsia="zh-CN"/>
          <w14:ligatures w14:val="none"/>
        </w:rPr>
        <w:t>成立安全管理机构文件</w:t>
      </w:r>
    </w:p>
    <w:p w14:paraId="44DF84F7">
      <w:pPr>
        <w:pStyle w:val="23"/>
        <w:numPr>
          <w:ilvl w:val="0"/>
          <w:numId w:val="9"/>
        </w:numPr>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主要负责人和安全管理人员任命文件</w:t>
      </w:r>
    </w:p>
    <w:p w14:paraId="0DF69AD2">
      <w:pPr>
        <w:pStyle w:val="23"/>
        <w:numPr>
          <w:ilvl w:val="0"/>
          <w:numId w:val="9"/>
        </w:numPr>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主要负责人和安全管理人员资格证</w:t>
      </w:r>
    </w:p>
    <w:p w14:paraId="16C0C63E">
      <w:pPr>
        <w:pStyle w:val="23"/>
        <w:numPr>
          <w:ilvl w:val="0"/>
          <w:numId w:val="9"/>
        </w:numPr>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lang w:val="en-US" w:eastAsia="zh-CN"/>
          <w14:ligatures w14:val="none"/>
        </w:rPr>
        <w:t>安全管理人员学历证明</w:t>
      </w:r>
    </w:p>
    <w:p w14:paraId="20C38806">
      <w:pPr>
        <w:pStyle w:val="23"/>
        <w:numPr>
          <w:ilvl w:val="0"/>
          <w:numId w:val="9"/>
        </w:numPr>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lang w:val="en-US" w:eastAsia="zh-CN"/>
          <w14:ligatures w14:val="none"/>
        </w:rPr>
        <w:t>中级注册安全工程师资质证书及注册信息</w:t>
      </w:r>
    </w:p>
    <w:p w14:paraId="68C544F0">
      <w:pPr>
        <w:pStyle w:val="23"/>
        <w:numPr>
          <w:ilvl w:val="0"/>
          <w:numId w:val="9"/>
        </w:numPr>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特种作业人员管理台账及证书</w:t>
      </w:r>
    </w:p>
    <w:p w14:paraId="75109D73">
      <w:pPr>
        <w:pStyle w:val="23"/>
        <w:numPr>
          <w:ilvl w:val="0"/>
          <w:numId w:val="9"/>
        </w:numPr>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雷电防护装置检测报告</w:t>
      </w:r>
    </w:p>
    <w:p w14:paraId="7DD8FFD9">
      <w:pPr>
        <w:pStyle w:val="23"/>
        <w:numPr>
          <w:ilvl w:val="0"/>
          <w:numId w:val="9"/>
        </w:numPr>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lang w:val="en-US" w:eastAsia="zh-CN"/>
          <w14:ligatures w14:val="none"/>
        </w:rPr>
        <w:t>特种设备</w:t>
      </w:r>
      <w:r>
        <w:rPr>
          <w:rFonts w:hint="eastAsia" w:ascii="Times New Roman" w:hAnsi="Times New Roman" w:eastAsia="宋体" w:cs="Times New Roman"/>
          <w:sz w:val="28"/>
          <w:szCs w:val="28"/>
          <w:highlight w:val="none"/>
          <w14:ligatures w14:val="none"/>
        </w:rPr>
        <w:t>检测报告及</w:t>
      </w:r>
      <w:r>
        <w:rPr>
          <w:rFonts w:hint="eastAsia" w:ascii="Times New Roman" w:hAnsi="Times New Roman" w:eastAsia="宋体" w:cs="Times New Roman"/>
          <w:sz w:val="28"/>
          <w:szCs w:val="28"/>
          <w:highlight w:val="none"/>
          <w:lang w:val="en-US" w:eastAsia="zh-CN"/>
          <w14:ligatures w14:val="none"/>
        </w:rPr>
        <w:t>台账</w:t>
      </w:r>
    </w:p>
    <w:p w14:paraId="6E60EDB2">
      <w:pPr>
        <w:pStyle w:val="23"/>
        <w:numPr>
          <w:ilvl w:val="0"/>
          <w:numId w:val="9"/>
        </w:numPr>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lang w:val="en-US" w:eastAsia="zh-CN"/>
          <w14:ligatures w14:val="none"/>
        </w:rPr>
        <w:t>氧含量</w:t>
      </w:r>
      <w:r>
        <w:rPr>
          <w:rFonts w:hint="eastAsia" w:ascii="Times New Roman" w:hAnsi="Times New Roman" w:eastAsia="宋体" w:cs="Times New Roman"/>
          <w:sz w:val="28"/>
          <w:szCs w:val="28"/>
          <w:highlight w:val="none"/>
          <w14:ligatures w14:val="none"/>
        </w:rPr>
        <w:t>探测器检测报告</w:t>
      </w:r>
      <w:r>
        <w:rPr>
          <w:rFonts w:hint="eastAsia" w:ascii="Times New Roman" w:hAnsi="Times New Roman" w:eastAsia="宋体" w:cs="Times New Roman"/>
          <w:sz w:val="28"/>
          <w:szCs w:val="28"/>
          <w:highlight w:val="none"/>
          <w:lang w:val="en-US" w:eastAsia="zh-CN"/>
          <w14:ligatures w14:val="none"/>
        </w:rPr>
        <w:t>及台账</w:t>
      </w:r>
    </w:p>
    <w:p w14:paraId="08DC251E">
      <w:pPr>
        <w:pStyle w:val="23"/>
        <w:numPr>
          <w:ilvl w:val="0"/>
          <w:numId w:val="9"/>
        </w:numPr>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压力表检定报告及台账</w:t>
      </w:r>
    </w:p>
    <w:p w14:paraId="008897FD">
      <w:pPr>
        <w:pStyle w:val="23"/>
        <w:numPr>
          <w:ilvl w:val="0"/>
          <w:numId w:val="9"/>
        </w:numPr>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安全阀校验报告及台账</w:t>
      </w:r>
    </w:p>
    <w:p w14:paraId="133B7F35">
      <w:pPr>
        <w:pStyle w:val="23"/>
        <w:numPr>
          <w:ilvl w:val="0"/>
          <w:numId w:val="9"/>
        </w:numPr>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安全生产责任制、管理制度、操作规程清单</w:t>
      </w:r>
    </w:p>
    <w:p w14:paraId="74BF9E56">
      <w:pPr>
        <w:pStyle w:val="23"/>
        <w:numPr>
          <w:ilvl w:val="0"/>
          <w:numId w:val="9"/>
        </w:numPr>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应急预案备案登记表</w:t>
      </w:r>
    </w:p>
    <w:p w14:paraId="4EF19081">
      <w:pPr>
        <w:pStyle w:val="23"/>
        <w:numPr>
          <w:ilvl w:val="0"/>
          <w:numId w:val="9"/>
        </w:numPr>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应急物资配备清单</w:t>
      </w:r>
    </w:p>
    <w:p w14:paraId="6C8BD3DE">
      <w:pPr>
        <w:pStyle w:val="23"/>
        <w:numPr>
          <w:ilvl w:val="0"/>
          <w:numId w:val="9"/>
        </w:numPr>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应急演练记录及照片</w:t>
      </w:r>
    </w:p>
    <w:p w14:paraId="1AAF13BD">
      <w:pPr>
        <w:pStyle w:val="23"/>
        <w:numPr>
          <w:ilvl w:val="0"/>
          <w:numId w:val="9"/>
        </w:numPr>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工伤保险</w:t>
      </w:r>
    </w:p>
    <w:p w14:paraId="3FBCEDA1">
      <w:pPr>
        <w:pStyle w:val="23"/>
        <w:numPr>
          <w:ilvl w:val="0"/>
          <w:numId w:val="9"/>
        </w:numPr>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安全生产责任险</w:t>
      </w:r>
    </w:p>
    <w:p w14:paraId="16AB026F">
      <w:pPr>
        <w:pStyle w:val="23"/>
        <w:numPr>
          <w:ilvl w:val="0"/>
          <w:numId w:val="9"/>
        </w:numPr>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14:ligatures w14:val="none"/>
        </w:rPr>
        <w:t>道路运输经营许可证</w:t>
      </w:r>
    </w:p>
    <w:p w14:paraId="382A0A58">
      <w:pPr>
        <w:pStyle w:val="23"/>
        <w:numPr>
          <w:ilvl w:val="0"/>
          <w:numId w:val="9"/>
        </w:numPr>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lang w:val="en-US" w:eastAsia="zh-CN"/>
          <w14:ligatures w14:val="none"/>
        </w:rPr>
        <w:t>签到表</w:t>
      </w:r>
    </w:p>
    <w:p w14:paraId="1EB750AF">
      <w:pPr>
        <w:pStyle w:val="23"/>
        <w:numPr>
          <w:ilvl w:val="0"/>
          <w:numId w:val="9"/>
        </w:numPr>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lang w:val="en-US" w:eastAsia="zh-CN"/>
          <w14:ligatures w14:val="none"/>
        </w:rPr>
        <w:t>专家评审意见</w:t>
      </w:r>
    </w:p>
    <w:p w14:paraId="5F4CC9B1">
      <w:pPr>
        <w:pStyle w:val="23"/>
        <w:numPr>
          <w:ilvl w:val="0"/>
          <w:numId w:val="9"/>
        </w:numPr>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lang w:val="en-US" w:eastAsia="zh-CN"/>
          <w14:ligatures w14:val="none"/>
        </w:rPr>
        <w:t>报告修改说明</w:t>
      </w:r>
    </w:p>
    <w:p w14:paraId="2767182D">
      <w:pPr>
        <w:pStyle w:val="23"/>
        <w:numPr>
          <w:ilvl w:val="0"/>
          <w:numId w:val="9"/>
        </w:numPr>
        <w:adjustRightInd w:val="0"/>
        <w:snapToGrid w:val="0"/>
        <w:spacing w:after="0" w:line="360" w:lineRule="auto"/>
        <w:ind w:left="0" w:firstLine="560"/>
        <w:jc w:val="both"/>
        <w:rPr>
          <w:rFonts w:ascii="Times New Roman" w:hAnsi="Times New Roman" w:eastAsia="宋体" w:cs="Times New Roman"/>
          <w:sz w:val="28"/>
          <w:szCs w:val="28"/>
          <w:highlight w:val="none"/>
          <w14:ligatures w14:val="none"/>
        </w:rPr>
      </w:pPr>
      <w:r>
        <w:rPr>
          <w:rFonts w:hint="eastAsia" w:ascii="Times New Roman" w:hAnsi="Times New Roman" w:eastAsia="宋体" w:cs="Times New Roman"/>
          <w:sz w:val="28"/>
          <w:szCs w:val="28"/>
          <w:highlight w:val="none"/>
          <w:lang w:val="en-US" w:eastAsia="zh-CN"/>
          <w14:ligatures w14:val="none"/>
        </w:rPr>
        <w:t>整改确认报告</w:t>
      </w:r>
    </w:p>
    <w:sectPr>
      <w:pgSz w:w="11906" w:h="16838"/>
      <w:pgMar w:top="1418" w:right="1134" w:bottom="1134" w:left="1588"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Cambria Math">
    <w:panose1 w:val="02040503050406030204"/>
    <w:charset w:val="00"/>
    <w:family w:val="roman"/>
    <w:pitch w:val="default"/>
    <w:sig w:usb0="E00006FF" w:usb1="420024FF" w:usb2="02000000" w:usb3="00000000" w:csb0="2000019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642B9F">
    <w:pPr>
      <w:pStyle w:val="10"/>
      <w:pBdr>
        <w:top w:val="single" w:color="auto" w:sz="4" w:space="1"/>
      </w:pBdr>
      <w:spacing w:after="0"/>
      <w:jc w:val="both"/>
      <w:rPr>
        <w:rFonts w:ascii="Times New Roman" w:hAnsi="Times New Roman" w:eastAsia="楷体"/>
        <w:sz w:val="21"/>
      </w:rPr>
    </w:pPr>
    <w:r>
      <w:rPr>
        <w:rFonts w:ascii="Times New Roman" w:hAnsi="Times New Roman" w:eastAsia="楷体" w:cs="Times New Roman"/>
        <w:sz w:val="21"/>
        <w:szCs w:val="24"/>
        <w14:ligatures w14:val="none"/>
      </w:rPr>
      <w:drawing>
        <wp:inline distT="0" distB="0" distL="0" distR="0">
          <wp:extent cx="361950" cy="133350"/>
          <wp:effectExtent l="0" t="0" r="0" b="0"/>
          <wp:docPr id="1128035203" name="图片 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035203" name="图片 3" descr="2"/>
                  <pic:cNvPicPr>
                    <a:picLocks noChangeAspect="1" noChangeArrowheads="1"/>
                  </pic:cNvPicPr>
                </pic:nvPicPr>
                <pic:blipFill>
                  <a:blip r:embed="rId1">
                    <a:extLst>
                      <a:ext uri="{28A0092B-C50C-407E-A947-70E740481C1C}">
                        <a14:useLocalDpi xmlns:a14="http://schemas.microsoft.com/office/drawing/2010/main" val="0"/>
                      </a:ext>
                    </a:extLst>
                  </a:blip>
                  <a:srcRect t="9578" b="16475"/>
                  <a:stretch>
                    <a:fillRect/>
                  </a:stretch>
                </pic:blipFill>
                <pic:spPr>
                  <a:xfrm>
                    <a:off x="0" y="0"/>
                    <a:ext cx="361950" cy="133350"/>
                  </a:xfrm>
                  <a:prstGeom prst="rect">
                    <a:avLst/>
                  </a:prstGeom>
                  <a:noFill/>
                  <a:ln>
                    <a:noFill/>
                  </a:ln>
                </pic:spPr>
              </pic:pic>
            </a:graphicData>
          </a:graphic>
        </wp:inline>
      </w:drawing>
    </w:r>
    <w:r>
      <w:rPr>
        <w:rFonts w:hint="eastAsia" w:ascii="Times New Roman" w:hAnsi="Times New Roman" w:eastAsia="楷体"/>
        <w:sz w:val="21"/>
      </w:rPr>
      <w:t>辽宁诺诚安全科技有限公司</w:t>
    </w:r>
    <w:r>
      <w:rPr>
        <w:rFonts w:ascii="Times New Roman" w:hAnsi="Times New Roman" w:eastAsia="楷体"/>
        <w:sz w:val="21"/>
      </w:rPr>
      <w:ptab w:relativeTo="margin" w:alignment="center" w:leader="none"/>
    </w:r>
    <w:r>
      <w:rPr>
        <w:rFonts w:ascii="Times New Roman" w:hAnsi="Times New Roman" w:eastAsia="楷体"/>
        <w:sz w:val="21"/>
      </w:rPr>
      <w:ptab w:relativeTo="margin" w:alignment="right" w:leader="none"/>
    </w:r>
    <w:r>
      <w:rPr>
        <w:rFonts w:ascii="Times New Roman" w:hAnsi="Times New Roman" w:eastAsia="楷体"/>
        <w:sz w:val="21"/>
      </w:rPr>
      <w:fldChar w:fldCharType="begin"/>
    </w:r>
    <w:r>
      <w:rPr>
        <w:rFonts w:ascii="Times New Roman" w:hAnsi="Times New Roman" w:eastAsia="楷体"/>
        <w:sz w:val="21"/>
      </w:rPr>
      <w:instrText xml:space="preserve">PAGE   \* MERGEFORMAT</w:instrText>
    </w:r>
    <w:r>
      <w:rPr>
        <w:rFonts w:ascii="Times New Roman" w:hAnsi="Times New Roman" w:eastAsia="楷体"/>
        <w:sz w:val="21"/>
      </w:rPr>
      <w:fldChar w:fldCharType="separate"/>
    </w:r>
    <w:r>
      <w:rPr>
        <w:rFonts w:ascii="Times New Roman" w:hAnsi="Times New Roman" w:eastAsia="楷体"/>
        <w:sz w:val="21"/>
        <w:lang w:val="zh-CN"/>
      </w:rPr>
      <w:t>1</w:t>
    </w:r>
    <w:r>
      <w:rPr>
        <w:rFonts w:ascii="Times New Roman" w:hAnsi="Times New Roman" w:eastAsia="楷体"/>
        <w:sz w:val="21"/>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4C4E88">
    <w:pPr>
      <w:pStyle w:val="11"/>
      <w:pBdr>
        <w:bottom w:val="single" w:color="auto" w:sz="4" w:space="1"/>
      </w:pBdr>
      <w:rPr>
        <w:rFonts w:hint="eastAsia" w:ascii="楷体" w:hAnsi="楷体" w:eastAsia="楷体"/>
        <w:sz w:val="21"/>
        <w:szCs w:val="21"/>
      </w:rPr>
    </w:pPr>
    <w:r>
      <w:rPr>
        <w:rFonts w:hint="eastAsia" w:ascii="楷体" w:hAnsi="楷体" w:eastAsia="楷体"/>
        <w:sz w:val="21"/>
        <w:szCs w:val="21"/>
        <w:lang w:eastAsia="zh-CN"/>
      </w:rPr>
      <w:t>沈阳新春城气体有限公司</w:t>
    </w:r>
    <w:r>
      <w:rPr>
        <w:rFonts w:hint="eastAsia" w:ascii="楷体" w:hAnsi="楷体" w:eastAsia="楷体"/>
        <w:sz w:val="21"/>
        <w:szCs w:val="21"/>
      </w:rPr>
      <w:t>经营危险化学品安全评价报告</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BC1E18"/>
    <w:multiLevelType w:val="multilevel"/>
    <w:tmpl w:val="09BC1E18"/>
    <w:lvl w:ilvl="0" w:tentative="0">
      <w:start w:val="1"/>
      <w:numFmt w:val="decimal"/>
      <w:suff w:val="nothing"/>
      <w:lvlText w:val="%1"/>
      <w:lvlJc w:val="left"/>
      <w:pPr>
        <w:ind w:left="1425" w:hanging="44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
    <w:nsid w:val="196A1C14"/>
    <w:multiLevelType w:val="multilevel"/>
    <w:tmpl w:val="196A1C14"/>
    <w:lvl w:ilvl="0" w:tentative="0">
      <w:start w:val="1"/>
      <w:numFmt w:val="decimal"/>
      <w:suff w:val="nothing"/>
      <w:lvlText w:val="（%1）"/>
      <w:lvlJc w:val="left"/>
      <w:pPr>
        <w:ind w:left="1000" w:hanging="440"/>
      </w:pPr>
      <w:rPr>
        <w:rFonts w:hint="eastAsia"/>
      </w:rPr>
    </w:lvl>
    <w:lvl w:ilvl="1" w:tentative="0">
      <w:start w:val="1"/>
      <w:numFmt w:val="lowerLetter"/>
      <w:lvlText w:val="%2)"/>
      <w:lvlJc w:val="left"/>
      <w:pPr>
        <w:ind w:left="1440" w:hanging="440"/>
      </w:pPr>
    </w:lvl>
    <w:lvl w:ilvl="2" w:tentative="0">
      <w:start w:val="1"/>
      <w:numFmt w:val="lowerRoman"/>
      <w:lvlText w:val="%3."/>
      <w:lvlJc w:val="right"/>
      <w:pPr>
        <w:ind w:left="1880" w:hanging="440"/>
      </w:pPr>
    </w:lvl>
    <w:lvl w:ilvl="3" w:tentative="0">
      <w:start w:val="1"/>
      <w:numFmt w:val="decimal"/>
      <w:lvlText w:val="%4."/>
      <w:lvlJc w:val="left"/>
      <w:pPr>
        <w:ind w:left="2320" w:hanging="440"/>
      </w:pPr>
    </w:lvl>
    <w:lvl w:ilvl="4" w:tentative="0">
      <w:start w:val="1"/>
      <w:numFmt w:val="lowerLetter"/>
      <w:lvlText w:val="%5)"/>
      <w:lvlJc w:val="left"/>
      <w:pPr>
        <w:ind w:left="2760" w:hanging="440"/>
      </w:pPr>
    </w:lvl>
    <w:lvl w:ilvl="5" w:tentative="0">
      <w:start w:val="1"/>
      <w:numFmt w:val="lowerRoman"/>
      <w:lvlText w:val="%6."/>
      <w:lvlJc w:val="right"/>
      <w:pPr>
        <w:ind w:left="3200" w:hanging="440"/>
      </w:pPr>
    </w:lvl>
    <w:lvl w:ilvl="6" w:tentative="0">
      <w:start w:val="1"/>
      <w:numFmt w:val="decimal"/>
      <w:lvlText w:val="%7."/>
      <w:lvlJc w:val="left"/>
      <w:pPr>
        <w:ind w:left="3640" w:hanging="440"/>
      </w:pPr>
    </w:lvl>
    <w:lvl w:ilvl="7" w:tentative="0">
      <w:start w:val="1"/>
      <w:numFmt w:val="lowerLetter"/>
      <w:lvlText w:val="%8)"/>
      <w:lvlJc w:val="left"/>
      <w:pPr>
        <w:ind w:left="4080" w:hanging="440"/>
      </w:pPr>
    </w:lvl>
    <w:lvl w:ilvl="8" w:tentative="0">
      <w:start w:val="1"/>
      <w:numFmt w:val="lowerRoman"/>
      <w:lvlText w:val="%9."/>
      <w:lvlJc w:val="right"/>
      <w:pPr>
        <w:ind w:left="4520" w:hanging="440"/>
      </w:pPr>
    </w:lvl>
  </w:abstractNum>
  <w:abstractNum w:abstractNumId="2">
    <w:nsid w:val="25C89159"/>
    <w:multiLevelType w:val="singleLevel"/>
    <w:tmpl w:val="25C89159"/>
    <w:lvl w:ilvl="0" w:tentative="0">
      <w:start w:val="1"/>
      <w:numFmt w:val="decimal"/>
      <w:suff w:val="nothing"/>
      <w:lvlText w:val="%1"/>
      <w:lvlJc w:val="left"/>
      <w:pPr>
        <w:ind w:left="440" w:hanging="440"/>
      </w:pPr>
      <w:rPr>
        <w:rFonts w:hint="default"/>
      </w:rPr>
    </w:lvl>
  </w:abstractNum>
  <w:abstractNum w:abstractNumId="3">
    <w:nsid w:val="31B63DD0"/>
    <w:multiLevelType w:val="multilevel"/>
    <w:tmpl w:val="31B63DD0"/>
    <w:lvl w:ilvl="0" w:tentative="0">
      <w:start w:val="1"/>
      <w:numFmt w:val="decimal"/>
      <w:suff w:val="nothing"/>
      <w:lvlText w:val="（%1）"/>
      <w:lvlJc w:val="left"/>
      <w:pPr>
        <w:ind w:left="1425" w:hanging="440"/>
      </w:pPr>
      <w:rPr>
        <w:rFonts w:hint="eastAsia"/>
      </w:rPr>
    </w:lvl>
    <w:lvl w:ilvl="1" w:tentative="0">
      <w:start w:val="1"/>
      <w:numFmt w:val="lowerLetter"/>
      <w:lvlText w:val="%2)"/>
      <w:lvlJc w:val="left"/>
      <w:pPr>
        <w:ind w:left="1865" w:hanging="440"/>
      </w:pPr>
    </w:lvl>
    <w:lvl w:ilvl="2" w:tentative="0">
      <w:start w:val="1"/>
      <w:numFmt w:val="lowerRoman"/>
      <w:lvlText w:val="%3."/>
      <w:lvlJc w:val="right"/>
      <w:pPr>
        <w:ind w:left="2305" w:hanging="440"/>
      </w:pPr>
    </w:lvl>
    <w:lvl w:ilvl="3" w:tentative="0">
      <w:start w:val="1"/>
      <w:numFmt w:val="decimal"/>
      <w:lvlText w:val="%4."/>
      <w:lvlJc w:val="left"/>
      <w:pPr>
        <w:ind w:left="2745" w:hanging="440"/>
      </w:pPr>
    </w:lvl>
    <w:lvl w:ilvl="4" w:tentative="0">
      <w:start w:val="1"/>
      <w:numFmt w:val="lowerLetter"/>
      <w:lvlText w:val="%5)"/>
      <w:lvlJc w:val="left"/>
      <w:pPr>
        <w:ind w:left="3185" w:hanging="440"/>
      </w:pPr>
    </w:lvl>
    <w:lvl w:ilvl="5" w:tentative="0">
      <w:start w:val="1"/>
      <w:numFmt w:val="lowerRoman"/>
      <w:lvlText w:val="%6."/>
      <w:lvlJc w:val="right"/>
      <w:pPr>
        <w:ind w:left="3625" w:hanging="440"/>
      </w:pPr>
    </w:lvl>
    <w:lvl w:ilvl="6" w:tentative="0">
      <w:start w:val="1"/>
      <w:numFmt w:val="decimal"/>
      <w:lvlText w:val="%7."/>
      <w:lvlJc w:val="left"/>
      <w:pPr>
        <w:ind w:left="4065" w:hanging="440"/>
      </w:pPr>
    </w:lvl>
    <w:lvl w:ilvl="7" w:tentative="0">
      <w:start w:val="1"/>
      <w:numFmt w:val="lowerLetter"/>
      <w:lvlText w:val="%8)"/>
      <w:lvlJc w:val="left"/>
      <w:pPr>
        <w:ind w:left="4505" w:hanging="440"/>
      </w:pPr>
    </w:lvl>
    <w:lvl w:ilvl="8" w:tentative="0">
      <w:start w:val="1"/>
      <w:numFmt w:val="lowerRoman"/>
      <w:lvlText w:val="%9."/>
      <w:lvlJc w:val="right"/>
      <w:pPr>
        <w:ind w:left="4945" w:hanging="440"/>
      </w:pPr>
    </w:lvl>
  </w:abstractNum>
  <w:abstractNum w:abstractNumId="4">
    <w:nsid w:val="409C58E7"/>
    <w:multiLevelType w:val="multilevel"/>
    <w:tmpl w:val="409C58E7"/>
    <w:lvl w:ilvl="0" w:tentative="0">
      <w:start w:val="1"/>
      <w:numFmt w:val="decimal"/>
      <w:suff w:val="nothing"/>
      <w:lvlText w:val="（%1）"/>
      <w:lvlJc w:val="left"/>
      <w:pPr>
        <w:ind w:left="1425" w:hanging="440"/>
      </w:pPr>
      <w:rPr>
        <w:rFonts w:hint="eastAsia"/>
      </w:rPr>
    </w:lvl>
    <w:lvl w:ilvl="1" w:tentative="0">
      <w:start w:val="1"/>
      <w:numFmt w:val="lowerLetter"/>
      <w:lvlText w:val="%2)"/>
      <w:lvlJc w:val="left"/>
      <w:pPr>
        <w:ind w:left="1865" w:hanging="440"/>
      </w:pPr>
    </w:lvl>
    <w:lvl w:ilvl="2" w:tentative="0">
      <w:start w:val="1"/>
      <w:numFmt w:val="lowerRoman"/>
      <w:lvlText w:val="%3."/>
      <w:lvlJc w:val="right"/>
      <w:pPr>
        <w:ind w:left="2305" w:hanging="440"/>
      </w:pPr>
    </w:lvl>
    <w:lvl w:ilvl="3" w:tentative="0">
      <w:start w:val="1"/>
      <w:numFmt w:val="decimal"/>
      <w:lvlText w:val="%4."/>
      <w:lvlJc w:val="left"/>
      <w:pPr>
        <w:ind w:left="2745" w:hanging="440"/>
      </w:pPr>
    </w:lvl>
    <w:lvl w:ilvl="4" w:tentative="0">
      <w:start w:val="1"/>
      <w:numFmt w:val="lowerLetter"/>
      <w:lvlText w:val="%5)"/>
      <w:lvlJc w:val="left"/>
      <w:pPr>
        <w:ind w:left="3185" w:hanging="440"/>
      </w:pPr>
    </w:lvl>
    <w:lvl w:ilvl="5" w:tentative="0">
      <w:start w:val="1"/>
      <w:numFmt w:val="lowerRoman"/>
      <w:lvlText w:val="%6."/>
      <w:lvlJc w:val="right"/>
      <w:pPr>
        <w:ind w:left="3625" w:hanging="440"/>
      </w:pPr>
    </w:lvl>
    <w:lvl w:ilvl="6" w:tentative="0">
      <w:start w:val="1"/>
      <w:numFmt w:val="decimal"/>
      <w:lvlText w:val="%7."/>
      <w:lvlJc w:val="left"/>
      <w:pPr>
        <w:ind w:left="4065" w:hanging="440"/>
      </w:pPr>
    </w:lvl>
    <w:lvl w:ilvl="7" w:tentative="0">
      <w:start w:val="1"/>
      <w:numFmt w:val="lowerLetter"/>
      <w:lvlText w:val="%8)"/>
      <w:lvlJc w:val="left"/>
      <w:pPr>
        <w:ind w:left="4505" w:hanging="440"/>
      </w:pPr>
    </w:lvl>
    <w:lvl w:ilvl="8" w:tentative="0">
      <w:start w:val="1"/>
      <w:numFmt w:val="lowerRoman"/>
      <w:lvlText w:val="%9."/>
      <w:lvlJc w:val="right"/>
      <w:pPr>
        <w:ind w:left="4945" w:hanging="440"/>
      </w:pPr>
    </w:lvl>
  </w:abstractNum>
  <w:abstractNum w:abstractNumId="5">
    <w:nsid w:val="57507230"/>
    <w:multiLevelType w:val="multilevel"/>
    <w:tmpl w:val="57507230"/>
    <w:lvl w:ilvl="0" w:tentative="0">
      <w:start w:val="1"/>
      <w:numFmt w:val="decimal"/>
      <w:suff w:val="nothing"/>
      <w:lvlText w:val="（%1）"/>
      <w:lvlJc w:val="left"/>
      <w:pPr>
        <w:ind w:left="1425" w:hanging="440"/>
      </w:pPr>
      <w:rPr>
        <w:rFonts w:hint="eastAsia"/>
      </w:rPr>
    </w:lvl>
    <w:lvl w:ilvl="1" w:tentative="0">
      <w:start w:val="1"/>
      <w:numFmt w:val="lowerLetter"/>
      <w:lvlText w:val="%2)"/>
      <w:lvlJc w:val="left"/>
      <w:pPr>
        <w:ind w:left="1865" w:hanging="440"/>
      </w:pPr>
    </w:lvl>
    <w:lvl w:ilvl="2" w:tentative="0">
      <w:start w:val="1"/>
      <w:numFmt w:val="lowerRoman"/>
      <w:lvlText w:val="%3."/>
      <w:lvlJc w:val="right"/>
      <w:pPr>
        <w:ind w:left="2305" w:hanging="440"/>
      </w:pPr>
    </w:lvl>
    <w:lvl w:ilvl="3" w:tentative="0">
      <w:start w:val="1"/>
      <w:numFmt w:val="decimal"/>
      <w:lvlText w:val="%4."/>
      <w:lvlJc w:val="left"/>
      <w:pPr>
        <w:ind w:left="2745" w:hanging="440"/>
      </w:pPr>
    </w:lvl>
    <w:lvl w:ilvl="4" w:tentative="0">
      <w:start w:val="1"/>
      <w:numFmt w:val="lowerLetter"/>
      <w:lvlText w:val="%5)"/>
      <w:lvlJc w:val="left"/>
      <w:pPr>
        <w:ind w:left="3185" w:hanging="440"/>
      </w:pPr>
    </w:lvl>
    <w:lvl w:ilvl="5" w:tentative="0">
      <w:start w:val="1"/>
      <w:numFmt w:val="lowerRoman"/>
      <w:lvlText w:val="%6."/>
      <w:lvlJc w:val="right"/>
      <w:pPr>
        <w:ind w:left="3625" w:hanging="440"/>
      </w:pPr>
    </w:lvl>
    <w:lvl w:ilvl="6" w:tentative="0">
      <w:start w:val="1"/>
      <w:numFmt w:val="decimal"/>
      <w:lvlText w:val="%7."/>
      <w:lvlJc w:val="left"/>
      <w:pPr>
        <w:ind w:left="4065" w:hanging="440"/>
      </w:pPr>
    </w:lvl>
    <w:lvl w:ilvl="7" w:tentative="0">
      <w:start w:val="1"/>
      <w:numFmt w:val="lowerLetter"/>
      <w:lvlText w:val="%8)"/>
      <w:lvlJc w:val="left"/>
      <w:pPr>
        <w:ind w:left="4505" w:hanging="440"/>
      </w:pPr>
    </w:lvl>
    <w:lvl w:ilvl="8" w:tentative="0">
      <w:start w:val="1"/>
      <w:numFmt w:val="lowerRoman"/>
      <w:lvlText w:val="%9."/>
      <w:lvlJc w:val="right"/>
      <w:pPr>
        <w:ind w:left="4945" w:hanging="440"/>
      </w:pPr>
    </w:lvl>
  </w:abstractNum>
  <w:abstractNum w:abstractNumId="6">
    <w:nsid w:val="63EB707D"/>
    <w:multiLevelType w:val="multilevel"/>
    <w:tmpl w:val="63EB707D"/>
    <w:lvl w:ilvl="0" w:tentative="0">
      <w:start w:val="1"/>
      <w:numFmt w:val="decimal"/>
      <w:suff w:val="nothing"/>
      <w:lvlText w:val="（%1）"/>
      <w:lvlJc w:val="left"/>
      <w:pPr>
        <w:ind w:left="1425" w:hanging="440"/>
      </w:pPr>
      <w:rPr>
        <w:rFonts w:hint="eastAsia"/>
      </w:rPr>
    </w:lvl>
    <w:lvl w:ilvl="1" w:tentative="0">
      <w:start w:val="1"/>
      <w:numFmt w:val="lowerLetter"/>
      <w:lvlText w:val="%2)"/>
      <w:lvlJc w:val="left"/>
      <w:pPr>
        <w:ind w:left="1865" w:hanging="440"/>
      </w:pPr>
    </w:lvl>
    <w:lvl w:ilvl="2" w:tentative="0">
      <w:start w:val="1"/>
      <w:numFmt w:val="lowerRoman"/>
      <w:lvlText w:val="%3."/>
      <w:lvlJc w:val="right"/>
      <w:pPr>
        <w:ind w:left="2305" w:hanging="440"/>
      </w:pPr>
    </w:lvl>
    <w:lvl w:ilvl="3" w:tentative="0">
      <w:start w:val="1"/>
      <w:numFmt w:val="decimal"/>
      <w:lvlText w:val="%4."/>
      <w:lvlJc w:val="left"/>
      <w:pPr>
        <w:ind w:left="2745" w:hanging="440"/>
      </w:pPr>
    </w:lvl>
    <w:lvl w:ilvl="4" w:tentative="0">
      <w:start w:val="1"/>
      <w:numFmt w:val="lowerLetter"/>
      <w:lvlText w:val="%5)"/>
      <w:lvlJc w:val="left"/>
      <w:pPr>
        <w:ind w:left="3185" w:hanging="440"/>
      </w:pPr>
    </w:lvl>
    <w:lvl w:ilvl="5" w:tentative="0">
      <w:start w:val="1"/>
      <w:numFmt w:val="lowerRoman"/>
      <w:lvlText w:val="%6."/>
      <w:lvlJc w:val="right"/>
      <w:pPr>
        <w:ind w:left="3625" w:hanging="440"/>
      </w:pPr>
    </w:lvl>
    <w:lvl w:ilvl="6" w:tentative="0">
      <w:start w:val="1"/>
      <w:numFmt w:val="decimal"/>
      <w:lvlText w:val="%7."/>
      <w:lvlJc w:val="left"/>
      <w:pPr>
        <w:ind w:left="4065" w:hanging="440"/>
      </w:pPr>
    </w:lvl>
    <w:lvl w:ilvl="7" w:tentative="0">
      <w:start w:val="1"/>
      <w:numFmt w:val="lowerLetter"/>
      <w:lvlText w:val="%8)"/>
      <w:lvlJc w:val="left"/>
      <w:pPr>
        <w:ind w:left="4505" w:hanging="440"/>
      </w:pPr>
    </w:lvl>
    <w:lvl w:ilvl="8" w:tentative="0">
      <w:start w:val="1"/>
      <w:numFmt w:val="lowerRoman"/>
      <w:lvlText w:val="%9."/>
      <w:lvlJc w:val="right"/>
      <w:pPr>
        <w:ind w:left="4945" w:hanging="440"/>
      </w:pPr>
    </w:lvl>
  </w:abstractNum>
  <w:abstractNum w:abstractNumId="7">
    <w:nsid w:val="67545328"/>
    <w:multiLevelType w:val="multilevel"/>
    <w:tmpl w:val="67545328"/>
    <w:lvl w:ilvl="0" w:tentative="0">
      <w:start w:val="1"/>
      <w:numFmt w:val="decimal"/>
      <w:suff w:val="nothing"/>
      <w:lvlText w:val="（%1）"/>
      <w:lvlJc w:val="left"/>
      <w:pPr>
        <w:ind w:left="1425" w:hanging="440"/>
      </w:pPr>
      <w:rPr>
        <w:rFonts w:hint="eastAsia"/>
      </w:rPr>
    </w:lvl>
    <w:lvl w:ilvl="1" w:tentative="0">
      <w:start w:val="1"/>
      <w:numFmt w:val="lowerLetter"/>
      <w:lvlText w:val="%2)"/>
      <w:lvlJc w:val="left"/>
      <w:pPr>
        <w:ind w:left="1865" w:hanging="440"/>
      </w:pPr>
    </w:lvl>
    <w:lvl w:ilvl="2" w:tentative="0">
      <w:start w:val="1"/>
      <w:numFmt w:val="lowerRoman"/>
      <w:lvlText w:val="%3."/>
      <w:lvlJc w:val="right"/>
      <w:pPr>
        <w:ind w:left="2305" w:hanging="440"/>
      </w:pPr>
    </w:lvl>
    <w:lvl w:ilvl="3" w:tentative="0">
      <w:start w:val="1"/>
      <w:numFmt w:val="decimal"/>
      <w:lvlText w:val="%4."/>
      <w:lvlJc w:val="left"/>
      <w:pPr>
        <w:ind w:left="2745" w:hanging="440"/>
      </w:pPr>
    </w:lvl>
    <w:lvl w:ilvl="4" w:tentative="0">
      <w:start w:val="1"/>
      <w:numFmt w:val="lowerLetter"/>
      <w:lvlText w:val="%5)"/>
      <w:lvlJc w:val="left"/>
      <w:pPr>
        <w:ind w:left="3185" w:hanging="440"/>
      </w:pPr>
    </w:lvl>
    <w:lvl w:ilvl="5" w:tentative="0">
      <w:start w:val="1"/>
      <w:numFmt w:val="lowerRoman"/>
      <w:lvlText w:val="%6."/>
      <w:lvlJc w:val="right"/>
      <w:pPr>
        <w:ind w:left="3625" w:hanging="440"/>
      </w:pPr>
    </w:lvl>
    <w:lvl w:ilvl="6" w:tentative="0">
      <w:start w:val="1"/>
      <w:numFmt w:val="decimal"/>
      <w:lvlText w:val="%7."/>
      <w:lvlJc w:val="left"/>
      <w:pPr>
        <w:ind w:left="4065" w:hanging="440"/>
      </w:pPr>
    </w:lvl>
    <w:lvl w:ilvl="7" w:tentative="0">
      <w:start w:val="1"/>
      <w:numFmt w:val="lowerLetter"/>
      <w:lvlText w:val="%8)"/>
      <w:lvlJc w:val="left"/>
      <w:pPr>
        <w:ind w:left="4505" w:hanging="440"/>
      </w:pPr>
    </w:lvl>
    <w:lvl w:ilvl="8" w:tentative="0">
      <w:start w:val="1"/>
      <w:numFmt w:val="lowerRoman"/>
      <w:lvlText w:val="%9."/>
      <w:lvlJc w:val="right"/>
      <w:pPr>
        <w:ind w:left="4945" w:hanging="440"/>
      </w:pPr>
    </w:lvl>
  </w:abstractNum>
  <w:abstractNum w:abstractNumId="8">
    <w:nsid w:val="7479168F"/>
    <w:multiLevelType w:val="multilevel"/>
    <w:tmpl w:val="7479168F"/>
    <w:lvl w:ilvl="0" w:tentative="0">
      <w:start w:val="1"/>
      <w:numFmt w:val="decimal"/>
      <w:suff w:val="nothing"/>
      <w:lvlText w:val="（%1）"/>
      <w:lvlJc w:val="left"/>
      <w:pPr>
        <w:ind w:left="1425" w:hanging="440"/>
      </w:pPr>
      <w:rPr>
        <w:rFonts w:hint="eastAsia"/>
      </w:rPr>
    </w:lvl>
    <w:lvl w:ilvl="1" w:tentative="0">
      <w:start w:val="1"/>
      <w:numFmt w:val="lowerLetter"/>
      <w:lvlText w:val="%2)"/>
      <w:lvlJc w:val="left"/>
      <w:pPr>
        <w:ind w:left="1865" w:hanging="440"/>
      </w:pPr>
    </w:lvl>
    <w:lvl w:ilvl="2" w:tentative="0">
      <w:start w:val="1"/>
      <w:numFmt w:val="lowerRoman"/>
      <w:lvlText w:val="%3."/>
      <w:lvlJc w:val="right"/>
      <w:pPr>
        <w:ind w:left="2305" w:hanging="440"/>
      </w:pPr>
    </w:lvl>
    <w:lvl w:ilvl="3" w:tentative="0">
      <w:start w:val="1"/>
      <w:numFmt w:val="decimal"/>
      <w:lvlText w:val="%4."/>
      <w:lvlJc w:val="left"/>
      <w:pPr>
        <w:ind w:left="2745" w:hanging="440"/>
      </w:pPr>
    </w:lvl>
    <w:lvl w:ilvl="4" w:tentative="0">
      <w:start w:val="1"/>
      <w:numFmt w:val="lowerLetter"/>
      <w:lvlText w:val="%5)"/>
      <w:lvlJc w:val="left"/>
      <w:pPr>
        <w:ind w:left="3185" w:hanging="440"/>
      </w:pPr>
    </w:lvl>
    <w:lvl w:ilvl="5" w:tentative="0">
      <w:start w:val="1"/>
      <w:numFmt w:val="lowerRoman"/>
      <w:lvlText w:val="%6."/>
      <w:lvlJc w:val="right"/>
      <w:pPr>
        <w:ind w:left="3625" w:hanging="440"/>
      </w:pPr>
    </w:lvl>
    <w:lvl w:ilvl="6" w:tentative="0">
      <w:start w:val="1"/>
      <w:numFmt w:val="decimal"/>
      <w:lvlText w:val="%7."/>
      <w:lvlJc w:val="left"/>
      <w:pPr>
        <w:ind w:left="4065" w:hanging="440"/>
      </w:pPr>
    </w:lvl>
    <w:lvl w:ilvl="7" w:tentative="0">
      <w:start w:val="1"/>
      <w:numFmt w:val="lowerLetter"/>
      <w:lvlText w:val="%8)"/>
      <w:lvlJc w:val="left"/>
      <w:pPr>
        <w:ind w:left="4505" w:hanging="440"/>
      </w:pPr>
    </w:lvl>
    <w:lvl w:ilvl="8" w:tentative="0">
      <w:start w:val="1"/>
      <w:numFmt w:val="lowerRoman"/>
      <w:lvlText w:val="%9."/>
      <w:lvlJc w:val="right"/>
      <w:pPr>
        <w:ind w:left="4945" w:hanging="440"/>
      </w:pPr>
    </w:lvl>
  </w:abstractNum>
  <w:num w:numId="1">
    <w:abstractNumId w:val="3"/>
  </w:num>
  <w:num w:numId="2">
    <w:abstractNumId w:val="7"/>
  </w:num>
  <w:num w:numId="3">
    <w:abstractNumId w:val="5"/>
  </w:num>
  <w:num w:numId="4">
    <w:abstractNumId w:val="6"/>
  </w:num>
  <w:num w:numId="5">
    <w:abstractNumId w:val="4"/>
  </w:num>
  <w:num w:numId="6">
    <w:abstractNumId w:val="8"/>
  </w:num>
  <w:num w:numId="7">
    <w:abstractNumId w:val="0"/>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1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58FF"/>
    <w:rsid w:val="00000305"/>
    <w:rsid w:val="00013B6A"/>
    <w:rsid w:val="00017DEA"/>
    <w:rsid w:val="000257BE"/>
    <w:rsid w:val="00030CD6"/>
    <w:rsid w:val="00035167"/>
    <w:rsid w:val="00041688"/>
    <w:rsid w:val="00045E1D"/>
    <w:rsid w:val="00047541"/>
    <w:rsid w:val="000553C6"/>
    <w:rsid w:val="000565AB"/>
    <w:rsid w:val="00061779"/>
    <w:rsid w:val="00063AE2"/>
    <w:rsid w:val="00070803"/>
    <w:rsid w:val="00071426"/>
    <w:rsid w:val="000715DB"/>
    <w:rsid w:val="00073AD5"/>
    <w:rsid w:val="00080011"/>
    <w:rsid w:val="000A1FBD"/>
    <w:rsid w:val="000A3EA8"/>
    <w:rsid w:val="000A7A21"/>
    <w:rsid w:val="000B0F71"/>
    <w:rsid w:val="000B5491"/>
    <w:rsid w:val="000B5868"/>
    <w:rsid w:val="000C1505"/>
    <w:rsid w:val="000D3046"/>
    <w:rsid w:val="000D3C60"/>
    <w:rsid w:val="000D5766"/>
    <w:rsid w:val="000D5D62"/>
    <w:rsid w:val="000D6188"/>
    <w:rsid w:val="000D7C0D"/>
    <w:rsid w:val="000E4B52"/>
    <w:rsid w:val="000E52BF"/>
    <w:rsid w:val="000E6C09"/>
    <w:rsid w:val="00111446"/>
    <w:rsid w:val="001223E0"/>
    <w:rsid w:val="001236EB"/>
    <w:rsid w:val="001240BA"/>
    <w:rsid w:val="00124FBD"/>
    <w:rsid w:val="00130337"/>
    <w:rsid w:val="001401AD"/>
    <w:rsid w:val="001402A1"/>
    <w:rsid w:val="00150FA3"/>
    <w:rsid w:val="00152772"/>
    <w:rsid w:val="00155043"/>
    <w:rsid w:val="00162F82"/>
    <w:rsid w:val="001664C7"/>
    <w:rsid w:val="00173A02"/>
    <w:rsid w:val="00175B2F"/>
    <w:rsid w:val="001869D5"/>
    <w:rsid w:val="00194629"/>
    <w:rsid w:val="001B0EE2"/>
    <w:rsid w:val="001B27C7"/>
    <w:rsid w:val="001B6AE4"/>
    <w:rsid w:val="001C6ABD"/>
    <w:rsid w:val="001D09A3"/>
    <w:rsid w:val="001D4104"/>
    <w:rsid w:val="001D42FF"/>
    <w:rsid w:val="001E4278"/>
    <w:rsid w:val="001F2341"/>
    <w:rsid w:val="001F3FFE"/>
    <w:rsid w:val="002156EC"/>
    <w:rsid w:val="00227769"/>
    <w:rsid w:val="00240E74"/>
    <w:rsid w:val="0024204C"/>
    <w:rsid w:val="002476C2"/>
    <w:rsid w:val="00255AF1"/>
    <w:rsid w:val="00260E53"/>
    <w:rsid w:val="00261C9B"/>
    <w:rsid w:val="00264510"/>
    <w:rsid w:val="00275472"/>
    <w:rsid w:val="002766BD"/>
    <w:rsid w:val="00282348"/>
    <w:rsid w:val="00282A71"/>
    <w:rsid w:val="00284C38"/>
    <w:rsid w:val="00285491"/>
    <w:rsid w:val="002863D8"/>
    <w:rsid w:val="0028777A"/>
    <w:rsid w:val="0029558C"/>
    <w:rsid w:val="002A6187"/>
    <w:rsid w:val="002B4C00"/>
    <w:rsid w:val="002B72FC"/>
    <w:rsid w:val="002B7733"/>
    <w:rsid w:val="002C1E98"/>
    <w:rsid w:val="002D1580"/>
    <w:rsid w:val="002D5DE4"/>
    <w:rsid w:val="002E218C"/>
    <w:rsid w:val="002E3B61"/>
    <w:rsid w:val="002E7140"/>
    <w:rsid w:val="00312CAA"/>
    <w:rsid w:val="003214E9"/>
    <w:rsid w:val="00332284"/>
    <w:rsid w:val="00340305"/>
    <w:rsid w:val="00341153"/>
    <w:rsid w:val="003427FF"/>
    <w:rsid w:val="00350857"/>
    <w:rsid w:val="00360623"/>
    <w:rsid w:val="00361B52"/>
    <w:rsid w:val="003633D4"/>
    <w:rsid w:val="00364139"/>
    <w:rsid w:val="00365F53"/>
    <w:rsid w:val="00366759"/>
    <w:rsid w:val="00374BA1"/>
    <w:rsid w:val="003773CA"/>
    <w:rsid w:val="003800AA"/>
    <w:rsid w:val="00380168"/>
    <w:rsid w:val="003858F7"/>
    <w:rsid w:val="00392711"/>
    <w:rsid w:val="003A154D"/>
    <w:rsid w:val="003A4055"/>
    <w:rsid w:val="003A4848"/>
    <w:rsid w:val="003A4A19"/>
    <w:rsid w:val="003A5732"/>
    <w:rsid w:val="003B077B"/>
    <w:rsid w:val="003C45D2"/>
    <w:rsid w:val="003E5E57"/>
    <w:rsid w:val="003F39EC"/>
    <w:rsid w:val="003F575B"/>
    <w:rsid w:val="00401BBB"/>
    <w:rsid w:val="00414D60"/>
    <w:rsid w:val="00420480"/>
    <w:rsid w:val="00420B97"/>
    <w:rsid w:val="004232B4"/>
    <w:rsid w:val="00441102"/>
    <w:rsid w:val="00447545"/>
    <w:rsid w:val="004532DC"/>
    <w:rsid w:val="00460734"/>
    <w:rsid w:val="00463CB6"/>
    <w:rsid w:val="00471B6D"/>
    <w:rsid w:val="0048440D"/>
    <w:rsid w:val="00484B70"/>
    <w:rsid w:val="004868C3"/>
    <w:rsid w:val="0048719F"/>
    <w:rsid w:val="00487A08"/>
    <w:rsid w:val="00487D93"/>
    <w:rsid w:val="00487E70"/>
    <w:rsid w:val="004903A5"/>
    <w:rsid w:val="004B4BCC"/>
    <w:rsid w:val="004B5B41"/>
    <w:rsid w:val="004B6296"/>
    <w:rsid w:val="004B71D3"/>
    <w:rsid w:val="004B7EA5"/>
    <w:rsid w:val="004D285F"/>
    <w:rsid w:val="004D4050"/>
    <w:rsid w:val="004D60A5"/>
    <w:rsid w:val="004E5566"/>
    <w:rsid w:val="004F0AEE"/>
    <w:rsid w:val="004F321F"/>
    <w:rsid w:val="004F619E"/>
    <w:rsid w:val="00501D74"/>
    <w:rsid w:val="00502B13"/>
    <w:rsid w:val="00512780"/>
    <w:rsid w:val="00514220"/>
    <w:rsid w:val="00531ABB"/>
    <w:rsid w:val="00535EF0"/>
    <w:rsid w:val="00540AA7"/>
    <w:rsid w:val="005570C1"/>
    <w:rsid w:val="005572E7"/>
    <w:rsid w:val="0056181D"/>
    <w:rsid w:val="00563F34"/>
    <w:rsid w:val="00570DB2"/>
    <w:rsid w:val="00576EBF"/>
    <w:rsid w:val="005810B1"/>
    <w:rsid w:val="00583830"/>
    <w:rsid w:val="00590CCB"/>
    <w:rsid w:val="0059339A"/>
    <w:rsid w:val="005A44E8"/>
    <w:rsid w:val="005A60A7"/>
    <w:rsid w:val="005B2273"/>
    <w:rsid w:val="005B33B1"/>
    <w:rsid w:val="005B7194"/>
    <w:rsid w:val="005B7DDB"/>
    <w:rsid w:val="005C2721"/>
    <w:rsid w:val="005C69FD"/>
    <w:rsid w:val="005D621C"/>
    <w:rsid w:val="005D62C6"/>
    <w:rsid w:val="005E1D61"/>
    <w:rsid w:val="005F0533"/>
    <w:rsid w:val="006047E1"/>
    <w:rsid w:val="00612E6D"/>
    <w:rsid w:val="00615F68"/>
    <w:rsid w:val="006176EA"/>
    <w:rsid w:val="00623A14"/>
    <w:rsid w:val="00625CF9"/>
    <w:rsid w:val="00631B93"/>
    <w:rsid w:val="00640480"/>
    <w:rsid w:val="00642BE1"/>
    <w:rsid w:val="00642D9C"/>
    <w:rsid w:val="006479C9"/>
    <w:rsid w:val="00661194"/>
    <w:rsid w:val="00665647"/>
    <w:rsid w:val="00670E53"/>
    <w:rsid w:val="0067138D"/>
    <w:rsid w:val="0068186E"/>
    <w:rsid w:val="0069293C"/>
    <w:rsid w:val="00695860"/>
    <w:rsid w:val="006A469B"/>
    <w:rsid w:val="006A70A6"/>
    <w:rsid w:val="006A7A1A"/>
    <w:rsid w:val="006B041E"/>
    <w:rsid w:val="006B1F70"/>
    <w:rsid w:val="006B4A83"/>
    <w:rsid w:val="006D15E0"/>
    <w:rsid w:val="006E2349"/>
    <w:rsid w:val="006E68C5"/>
    <w:rsid w:val="00705985"/>
    <w:rsid w:val="00711305"/>
    <w:rsid w:val="00711360"/>
    <w:rsid w:val="0071737D"/>
    <w:rsid w:val="00720482"/>
    <w:rsid w:val="00725CAA"/>
    <w:rsid w:val="00726DEB"/>
    <w:rsid w:val="00735A5C"/>
    <w:rsid w:val="007376F9"/>
    <w:rsid w:val="00741535"/>
    <w:rsid w:val="00742F0A"/>
    <w:rsid w:val="00745D82"/>
    <w:rsid w:val="00747A86"/>
    <w:rsid w:val="00755B79"/>
    <w:rsid w:val="007676C4"/>
    <w:rsid w:val="00767CA7"/>
    <w:rsid w:val="00777C13"/>
    <w:rsid w:val="007822D0"/>
    <w:rsid w:val="00796279"/>
    <w:rsid w:val="00797405"/>
    <w:rsid w:val="007A182E"/>
    <w:rsid w:val="007A5544"/>
    <w:rsid w:val="007B6024"/>
    <w:rsid w:val="007E27D4"/>
    <w:rsid w:val="007F2C0C"/>
    <w:rsid w:val="007F691F"/>
    <w:rsid w:val="00803DC4"/>
    <w:rsid w:val="00813708"/>
    <w:rsid w:val="008436CB"/>
    <w:rsid w:val="00846773"/>
    <w:rsid w:val="008539AA"/>
    <w:rsid w:val="008635BE"/>
    <w:rsid w:val="00863A6C"/>
    <w:rsid w:val="00886178"/>
    <w:rsid w:val="00891790"/>
    <w:rsid w:val="00893FCC"/>
    <w:rsid w:val="00894175"/>
    <w:rsid w:val="008A1FC7"/>
    <w:rsid w:val="008A2069"/>
    <w:rsid w:val="008A54CF"/>
    <w:rsid w:val="008A58B7"/>
    <w:rsid w:val="008A5D02"/>
    <w:rsid w:val="008B1104"/>
    <w:rsid w:val="008B34CA"/>
    <w:rsid w:val="008D1B9B"/>
    <w:rsid w:val="008D1E3E"/>
    <w:rsid w:val="008D2766"/>
    <w:rsid w:val="008D2EFE"/>
    <w:rsid w:val="008D71C8"/>
    <w:rsid w:val="008F5EDA"/>
    <w:rsid w:val="008F6690"/>
    <w:rsid w:val="0090469D"/>
    <w:rsid w:val="009166CB"/>
    <w:rsid w:val="009208C5"/>
    <w:rsid w:val="009224E6"/>
    <w:rsid w:val="009229C2"/>
    <w:rsid w:val="009247F3"/>
    <w:rsid w:val="00926A0D"/>
    <w:rsid w:val="00926E5A"/>
    <w:rsid w:val="00950006"/>
    <w:rsid w:val="00950056"/>
    <w:rsid w:val="009502E3"/>
    <w:rsid w:val="00950EDD"/>
    <w:rsid w:val="00954537"/>
    <w:rsid w:val="009649D7"/>
    <w:rsid w:val="009713D6"/>
    <w:rsid w:val="009812F1"/>
    <w:rsid w:val="0099034E"/>
    <w:rsid w:val="009915EE"/>
    <w:rsid w:val="00996348"/>
    <w:rsid w:val="009A173D"/>
    <w:rsid w:val="009B7AA2"/>
    <w:rsid w:val="009E3523"/>
    <w:rsid w:val="009E3CBF"/>
    <w:rsid w:val="00A000B6"/>
    <w:rsid w:val="00A02620"/>
    <w:rsid w:val="00A115A4"/>
    <w:rsid w:val="00A16335"/>
    <w:rsid w:val="00A17043"/>
    <w:rsid w:val="00A25B84"/>
    <w:rsid w:val="00A33419"/>
    <w:rsid w:val="00A348D8"/>
    <w:rsid w:val="00A4331A"/>
    <w:rsid w:val="00A46D49"/>
    <w:rsid w:val="00A649F8"/>
    <w:rsid w:val="00A81443"/>
    <w:rsid w:val="00A83CCF"/>
    <w:rsid w:val="00A840E7"/>
    <w:rsid w:val="00A91AA3"/>
    <w:rsid w:val="00A9217A"/>
    <w:rsid w:val="00A97F60"/>
    <w:rsid w:val="00AA60E8"/>
    <w:rsid w:val="00AD348B"/>
    <w:rsid w:val="00AD6D1B"/>
    <w:rsid w:val="00AE3071"/>
    <w:rsid w:val="00AE3A4D"/>
    <w:rsid w:val="00AE4C9F"/>
    <w:rsid w:val="00AF2782"/>
    <w:rsid w:val="00AF4F97"/>
    <w:rsid w:val="00B04BC4"/>
    <w:rsid w:val="00B32AA3"/>
    <w:rsid w:val="00B40CA5"/>
    <w:rsid w:val="00B534F8"/>
    <w:rsid w:val="00B7027D"/>
    <w:rsid w:val="00B72127"/>
    <w:rsid w:val="00B841B9"/>
    <w:rsid w:val="00B87AE8"/>
    <w:rsid w:val="00BA68DE"/>
    <w:rsid w:val="00BB16C2"/>
    <w:rsid w:val="00BB296E"/>
    <w:rsid w:val="00BB4DAC"/>
    <w:rsid w:val="00BC2555"/>
    <w:rsid w:val="00BE25A5"/>
    <w:rsid w:val="00BF774D"/>
    <w:rsid w:val="00C013D2"/>
    <w:rsid w:val="00C07DA9"/>
    <w:rsid w:val="00C2251A"/>
    <w:rsid w:val="00C23749"/>
    <w:rsid w:val="00C344FC"/>
    <w:rsid w:val="00C35ADC"/>
    <w:rsid w:val="00C374D7"/>
    <w:rsid w:val="00C43CF9"/>
    <w:rsid w:val="00C45A48"/>
    <w:rsid w:val="00C479B6"/>
    <w:rsid w:val="00C5246E"/>
    <w:rsid w:val="00C53422"/>
    <w:rsid w:val="00C6528C"/>
    <w:rsid w:val="00C67530"/>
    <w:rsid w:val="00C81C98"/>
    <w:rsid w:val="00CB0446"/>
    <w:rsid w:val="00CC61E4"/>
    <w:rsid w:val="00CC7756"/>
    <w:rsid w:val="00CD44A1"/>
    <w:rsid w:val="00CE0CDB"/>
    <w:rsid w:val="00CE393F"/>
    <w:rsid w:val="00CF3ABB"/>
    <w:rsid w:val="00D01551"/>
    <w:rsid w:val="00D01A65"/>
    <w:rsid w:val="00D0658F"/>
    <w:rsid w:val="00D06D6E"/>
    <w:rsid w:val="00D108BD"/>
    <w:rsid w:val="00D21249"/>
    <w:rsid w:val="00D24A38"/>
    <w:rsid w:val="00D33AA4"/>
    <w:rsid w:val="00D3652D"/>
    <w:rsid w:val="00D37DCC"/>
    <w:rsid w:val="00D37F30"/>
    <w:rsid w:val="00D47BA7"/>
    <w:rsid w:val="00D50C8C"/>
    <w:rsid w:val="00D51113"/>
    <w:rsid w:val="00D72501"/>
    <w:rsid w:val="00D75329"/>
    <w:rsid w:val="00D767B4"/>
    <w:rsid w:val="00D81BE9"/>
    <w:rsid w:val="00D85218"/>
    <w:rsid w:val="00DA450D"/>
    <w:rsid w:val="00DA4917"/>
    <w:rsid w:val="00DA58FF"/>
    <w:rsid w:val="00DB1FD9"/>
    <w:rsid w:val="00DB3176"/>
    <w:rsid w:val="00DC07A8"/>
    <w:rsid w:val="00DC7484"/>
    <w:rsid w:val="00DE1793"/>
    <w:rsid w:val="00E00A14"/>
    <w:rsid w:val="00E02FE9"/>
    <w:rsid w:val="00E0510A"/>
    <w:rsid w:val="00E06F05"/>
    <w:rsid w:val="00E22031"/>
    <w:rsid w:val="00E32C7D"/>
    <w:rsid w:val="00E33816"/>
    <w:rsid w:val="00E36392"/>
    <w:rsid w:val="00E4015F"/>
    <w:rsid w:val="00E55512"/>
    <w:rsid w:val="00E56D4C"/>
    <w:rsid w:val="00E6260B"/>
    <w:rsid w:val="00E673BF"/>
    <w:rsid w:val="00E70185"/>
    <w:rsid w:val="00E70C86"/>
    <w:rsid w:val="00E7115D"/>
    <w:rsid w:val="00E73193"/>
    <w:rsid w:val="00E750DB"/>
    <w:rsid w:val="00E82BD8"/>
    <w:rsid w:val="00E95266"/>
    <w:rsid w:val="00E96030"/>
    <w:rsid w:val="00EB1638"/>
    <w:rsid w:val="00EB2DBC"/>
    <w:rsid w:val="00EC3C91"/>
    <w:rsid w:val="00ED5991"/>
    <w:rsid w:val="00ED7D8B"/>
    <w:rsid w:val="00EE177E"/>
    <w:rsid w:val="00EE2425"/>
    <w:rsid w:val="00EE46F3"/>
    <w:rsid w:val="00EE47EF"/>
    <w:rsid w:val="00EE766A"/>
    <w:rsid w:val="00EE7E4B"/>
    <w:rsid w:val="00EF14C6"/>
    <w:rsid w:val="00EF2947"/>
    <w:rsid w:val="00F0047B"/>
    <w:rsid w:val="00F050A7"/>
    <w:rsid w:val="00F10FE0"/>
    <w:rsid w:val="00F147C7"/>
    <w:rsid w:val="00F166E3"/>
    <w:rsid w:val="00F175D2"/>
    <w:rsid w:val="00F2639A"/>
    <w:rsid w:val="00F26596"/>
    <w:rsid w:val="00F26D9B"/>
    <w:rsid w:val="00F33E14"/>
    <w:rsid w:val="00F4038D"/>
    <w:rsid w:val="00F4099D"/>
    <w:rsid w:val="00F4157D"/>
    <w:rsid w:val="00F5718F"/>
    <w:rsid w:val="00F64398"/>
    <w:rsid w:val="00F76F29"/>
    <w:rsid w:val="00F81A43"/>
    <w:rsid w:val="00F91F54"/>
    <w:rsid w:val="00F94C7D"/>
    <w:rsid w:val="00FA0C97"/>
    <w:rsid w:val="00FA5153"/>
    <w:rsid w:val="00FA62F3"/>
    <w:rsid w:val="00FA6C1E"/>
    <w:rsid w:val="00FB4AB0"/>
    <w:rsid w:val="00FB790E"/>
    <w:rsid w:val="00FD18B0"/>
    <w:rsid w:val="00FD5FAB"/>
    <w:rsid w:val="00FD7A35"/>
    <w:rsid w:val="00FD7CE8"/>
    <w:rsid w:val="00FE6B6A"/>
    <w:rsid w:val="00FF0BF4"/>
    <w:rsid w:val="01AA7D1B"/>
    <w:rsid w:val="03CF5DFB"/>
    <w:rsid w:val="06A05249"/>
    <w:rsid w:val="0908799F"/>
    <w:rsid w:val="093D6388"/>
    <w:rsid w:val="0C9F11BA"/>
    <w:rsid w:val="0DC205EE"/>
    <w:rsid w:val="11F45B9F"/>
    <w:rsid w:val="12472BAC"/>
    <w:rsid w:val="14A769B2"/>
    <w:rsid w:val="15EF3AF7"/>
    <w:rsid w:val="163F4645"/>
    <w:rsid w:val="167C4740"/>
    <w:rsid w:val="16A462D7"/>
    <w:rsid w:val="17295C97"/>
    <w:rsid w:val="17ED5C59"/>
    <w:rsid w:val="184F6E1C"/>
    <w:rsid w:val="190A51E9"/>
    <w:rsid w:val="19393A07"/>
    <w:rsid w:val="19931AF8"/>
    <w:rsid w:val="1F7A62D1"/>
    <w:rsid w:val="230773DA"/>
    <w:rsid w:val="258737A6"/>
    <w:rsid w:val="266013C0"/>
    <w:rsid w:val="26B0441D"/>
    <w:rsid w:val="2857683B"/>
    <w:rsid w:val="2B7D1495"/>
    <w:rsid w:val="2C2062A9"/>
    <w:rsid w:val="2C476A00"/>
    <w:rsid w:val="2C8C2B04"/>
    <w:rsid w:val="2CE65E26"/>
    <w:rsid w:val="2D286ACB"/>
    <w:rsid w:val="2DB708F4"/>
    <w:rsid w:val="2F73653C"/>
    <w:rsid w:val="32BC5610"/>
    <w:rsid w:val="36102E1A"/>
    <w:rsid w:val="36470ACD"/>
    <w:rsid w:val="37192DA1"/>
    <w:rsid w:val="373D070E"/>
    <w:rsid w:val="390A26E9"/>
    <w:rsid w:val="39C83653"/>
    <w:rsid w:val="3A240A4F"/>
    <w:rsid w:val="3A9F2D8C"/>
    <w:rsid w:val="3C0A151D"/>
    <w:rsid w:val="3E2A7BB3"/>
    <w:rsid w:val="43305D0F"/>
    <w:rsid w:val="44EC6238"/>
    <w:rsid w:val="465869CB"/>
    <w:rsid w:val="46EE365C"/>
    <w:rsid w:val="48295B9A"/>
    <w:rsid w:val="49296D45"/>
    <w:rsid w:val="493F6BB3"/>
    <w:rsid w:val="49981476"/>
    <w:rsid w:val="4AC2009F"/>
    <w:rsid w:val="4AE57227"/>
    <w:rsid w:val="4B571CA5"/>
    <w:rsid w:val="4D264E31"/>
    <w:rsid w:val="4F722BA3"/>
    <w:rsid w:val="500030C2"/>
    <w:rsid w:val="54313F88"/>
    <w:rsid w:val="56252000"/>
    <w:rsid w:val="568455BA"/>
    <w:rsid w:val="578C0C1D"/>
    <w:rsid w:val="58186F23"/>
    <w:rsid w:val="59C36593"/>
    <w:rsid w:val="5D2418A5"/>
    <w:rsid w:val="5E5C6A09"/>
    <w:rsid w:val="605633B3"/>
    <w:rsid w:val="60B73C04"/>
    <w:rsid w:val="621C7AA5"/>
    <w:rsid w:val="63661A52"/>
    <w:rsid w:val="63C37456"/>
    <w:rsid w:val="693B41FE"/>
    <w:rsid w:val="6D3A0D36"/>
    <w:rsid w:val="6EF52D06"/>
    <w:rsid w:val="70B9601A"/>
    <w:rsid w:val="71163EAF"/>
    <w:rsid w:val="7691082A"/>
    <w:rsid w:val="79A97169"/>
    <w:rsid w:val="7A6E3D3E"/>
    <w:rsid w:val="7D0C3A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3">
    <w:name w:val="heading 1"/>
    <w:basedOn w:val="1"/>
    <w:next w:val="1"/>
    <w:link w:val="27"/>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9"/>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22"/>
    <w:semiHidden/>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next w:val="1"/>
    <w:qFormat/>
    <w:uiPriority w:val="0"/>
    <w:pPr>
      <w:spacing w:after="120" w:line="480" w:lineRule="auto"/>
      <w:ind w:left="420" w:leftChars="200"/>
    </w:pPr>
  </w:style>
  <w:style w:type="paragraph" w:styleId="6">
    <w:name w:val="Normal Indent"/>
    <w:basedOn w:val="1"/>
    <w:qFormat/>
    <w:uiPriority w:val="0"/>
    <w:pPr>
      <w:spacing w:after="0" w:line="240" w:lineRule="auto"/>
      <w:ind w:firstLine="420" w:firstLineChars="200"/>
      <w:jc w:val="both"/>
    </w:pPr>
    <w:rPr>
      <w:rFonts w:ascii="Times New Roman" w:hAnsi="Times New Roman" w:eastAsia="宋体" w:cs="Times New Roman"/>
      <w:sz w:val="21"/>
      <w14:ligatures w14:val="none"/>
    </w:rPr>
  </w:style>
  <w:style w:type="paragraph" w:styleId="7">
    <w:name w:val="annotation text"/>
    <w:basedOn w:val="1"/>
    <w:semiHidden/>
    <w:unhideWhenUsed/>
    <w:qFormat/>
    <w:uiPriority w:val="99"/>
    <w:pPr>
      <w:jc w:val="left"/>
    </w:pPr>
  </w:style>
  <w:style w:type="paragraph" w:styleId="8">
    <w:name w:val="toc 3"/>
    <w:basedOn w:val="1"/>
    <w:next w:val="1"/>
    <w:autoRedefine/>
    <w:unhideWhenUsed/>
    <w:qFormat/>
    <w:uiPriority w:val="39"/>
    <w:pPr>
      <w:ind w:left="840" w:leftChars="400"/>
    </w:pPr>
  </w:style>
  <w:style w:type="paragraph" w:styleId="9">
    <w:name w:val="Date"/>
    <w:basedOn w:val="1"/>
    <w:next w:val="1"/>
    <w:link w:val="30"/>
    <w:qFormat/>
    <w:uiPriority w:val="0"/>
    <w:pPr>
      <w:spacing w:after="0" w:line="240" w:lineRule="auto"/>
      <w:ind w:left="2500" w:leftChars="2500"/>
      <w:jc w:val="both"/>
    </w:pPr>
    <w:rPr>
      <w:rFonts w:ascii="Times New Roman" w:hAnsi="Times New Roman" w:eastAsia="宋体" w:cs="Times New Roman"/>
      <w:sz w:val="36"/>
      <w:szCs w:val="30"/>
      <w14:ligatures w14:val="none"/>
    </w:rPr>
  </w:style>
  <w:style w:type="paragraph" w:styleId="10">
    <w:name w:val="footer"/>
    <w:basedOn w:val="1"/>
    <w:link w:val="21"/>
    <w:unhideWhenUsed/>
    <w:qFormat/>
    <w:uiPriority w:val="99"/>
    <w:pPr>
      <w:tabs>
        <w:tab w:val="center" w:pos="4153"/>
        <w:tab w:val="right" w:pos="8306"/>
      </w:tabs>
      <w:snapToGrid w:val="0"/>
      <w:spacing w:line="240" w:lineRule="auto"/>
    </w:pPr>
    <w:rPr>
      <w:sz w:val="18"/>
      <w:szCs w:val="18"/>
    </w:rPr>
  </w:style>
  <w:style w:type="paragraph" w:styleId="11">
    <w:name w:val="header"/>
    <w:basedOn w:val="1"/>
    <w:link w:val="20"/>
    <w:unhideWhenUsed/>
    <w:qFormat/>
    <w:uiPriority w:val="99"/>
    <w:pPr>
      <w:tabs>
        <w:tab w:val="center" w:pos="4153"/>
        <w:tab w:val="right" w:pos="8306"/>
      </w:tabs>
      <w:snapToGrid w:val="0"/>
      <w:spacing w:line="240" w:lineRule="auto"/>
      <w:jc w:val="center"/>
    </w:pPr>
    <w:rPr>
      <w:sz w:val="18"/>
      <w:szCs w:val="18"/>
    </w:rPr>
  </w:style>
  <w:style w:type="paragraph" w:styleId="12">
    <w:name w:val="toc 1"/>
    <w:basedOn w:val="1"/>
    <w:next w:val="1"/>
    <w:autoRedefine/>
    <w:unhideWhenUsed/>
    <w:qFormat/>
    <w:uiPriority w:val="39"/>
  </w:style>
  <w:style w:type="paragraph" w:styleId="13">
    <w:name w:val="toc 2"/>
    <w:basedOn w:val="1"/>
    <w:next w:val="1"/>
    <w:autoRedefine/>
    <w:unhideWhenUsed/>
    <w:qFormat/>
    <w:uiPriority w:val="39"/>
    <w:pPr>
      <w:tabs>
        <w:tab w:val="right" w:leader="dot" w:pos="9174"/>
      </w:tabs>
      <w:adjustRightInd w:val="0"/>
      <w:snapToGrid w:val="0"/>
      <w:spacing w:after="0" w:line="360" w:lineRule="auto"/>
      <w:ind w:left="440" w:leftChars="200"/>
      <w:jc w:val="both"/>
    </w:pPr>
    <w:rPr>
      <w:rFonts w:ascii="Times New Roman" w:hAnsi="Times New Roman" w:eastAsia="黑体" w:cs="黑体"/>
      <w:sz w:val="28"/>
      <w:szCs w:val="28"/>
      <w14:ligatures w14:val="none"/>
    </w:rPr>
  </w:style>
  <w:style w:type="paragraph" w:styleId="14">
    <w:name w:val="Normal (Web)"/>
    <w:basedOn w:val="1"/>
    <w:qFormat/>
    <w:uiPriority w:val="0"/>
    <w:pPr>
      <w:widowControl/>
      <w:spacing w:before="100" w:beforeAutospacing="1" w:after="100" w:afterAutospacing="1" w:line="240" w:lineRule="auto"/>
      <w:jc w:val="left"/>
    </w:pPr>
    <w:rPr>
      <w:rFonts w:ascii="宋体" w:hAnsi="宋体"/>
      <w:kern w:val="0"/>
    </w:rPr>
  </w:style>
  <w:style w:type="character" w:styleId="17">
    <w:name w:val="Strong"/>
    <w:qFormat/>
    <w:uiPriority w:val="22"/>
    <w:rPr>
      <w:b/>
      <w:bCs/>
    </w:rPr>
  </w:style>
  <w:style w:type="character" w:styleId="18">
    <w:name w:val="page number"/>
    <w:qFormat/>
    <w:uiPriority w:val="0"/>
  </w:style>
  <w:style w:type="character" w:styleId="19">
    <w:name w:val="Hyperlink"/>
    <w:basedOn w:val="16"/>
    <w:unhideWhenUsed/>
    <w:qFormat/>
    <w:uiPriority w:val="99"/>
    <w:rPr>
      <w:color w:val="467886" w:themeColor="hyperlink"/>
      <w:u w:val="single"/>
      <w14:textFill>
        <w14:solidFill>
          <w14:schemeClr w14:val="hlink"/>
        </w14:solidFill>
      </w14:textFill>
    </w:rPr>
  </w:style>
  <w:style w:type="character" w:customStyle="1" w:styleId="20">
    <w:name w:val="页眉 字符"/>
    <w:basedOn w:val="16"/>
    <w:link w:val="11"/>
    <w:qFormat/>
    <w:uiPriority w:val="99"/>
    <w:rPr>
      <w:sz w:val="18"/>
      <w:szCs w:val="18"/>
    </w:rPr>
  </w:style>
  <w:style w:type="character" w:customStyle="1" w:styleId="21">
    <w:name w:val="页脚 字符"/>
    <w:basedOn w:val="16"/>
    <w:link w:val="10"/>
    <w:qFormat/>
    <w:uiPriority w:val="99"/>
    <w:rPr>
      <w:sz w:val="18"/>
      <w:szCs w:val="18"/>
    </w:rPr>
  </w:style>
  <w:style w:type="character" w:customStyle="1" w:styleId="22">
    <w:name w:val="标题 3 字符"/>
    <w:basedOn w:val="16"/>
    <w:link w:val="5"/>
    <w:semiHidden/>
    <w:qFormat/>
    <w:uiPriority w:val="9"/>
    <w:rPr>
      <w:b/>
      <w:bCs/>
      <w:sz w:val="32"/>
      <w:szCs w:val="32"/>
    </w:rPr>
  </w:style>
  <w:style w:type="paragraph" w:styleId="23">
    <w:name w:val="List Paragraph"/>
    <w:basedOn w:val="1"/>
    <w:qFormat/>
    <w:uiPriority w:val="34"/>
    <w:pPr>
      <w:ind w:firstLine="420" w:firstLineChars="200"/>
    </w:pPr>
  </w:style>
  <w:style w:type="paragraph" w:customStyle="1" w:styleId="24">
    <w:name w:val="xingzhuang1"/>
    <w:basedOn w:val="1"/>
    <w:link w:val="25"/>
    <w:qFormat/>
    <w:uiPriority w:val="0"/>
    <w:pPr>
      <w:adjustRightInd w:val="0"/>
      <w:snapToGrid w:val="0"/>
      <w:spacing w:after="0" w:line="240" w:lineRule="auto"/>
      <w:jc w:val="both"/>
    </w:pPr>
    <w:rPr>
      <w:rFonts w:ascii="Times New Roman" w:hAnsi="Times New Roman" w:eastAsia="宋体" w:cs="Times New Roman"/>
      <w:sz w:val="21"/>
      <w:szCs w:val="28"/>
      <w14:ligatures w14:val="none"/>
    </w:rPr>
  </w:style>
  <w:style w:type="character" w:customStyle="1" w:styleId="25">
    <w:name w:val="xingzhuang1 字符"/>
    <w:basedOn w:val="16"/>
    <w:link w:val="24"/>
    <w:qFormat/>
    <w:uiPriority w:val="0"/>
    <w:rPr>
      <w:rFonts w:ascii="Times New Roman" w:hAnsi="Times New Roman" w:eastAsia="宋体" w:cs="Times New Roman"/>
      <w:sz w:val="21"/>
      <w:szCs w:val="28"/>
      <w14:ligatures w14:val="none"/>
    </w:rPr>
  </w:style>
  <w:style w:type="character" w:styleId="26">
    <w:name w:val="Placeholder Text"/>
    <w:basedOn w:val="16"/>
    <w:semiHidden/>
    <w:qFormat/>
    <w:uiPriority w:val="99"/>
    <w:rPr>
      <w:color w:val="666666"/>
    </w:rPr>
  </w:style>
  <w:style w:type="character" w:customStyle="1" w:styleId="27">
    <w:name w:val="标题 1 字符"/>
    <w:basedOn w:val="16"/>
    <w:link w:val="3"/>
    <w:qFormat/>
    <w:uiPriority w:val="9"/>
    <w:rPr>
      <w:b/>
      <w:bCs/>
      <w:kern w:val="44"/>
      <w:sz w:val="44"/>
      <w:szCs w:val="44"/>
    </w:rPr>
  </w:style>
  <w:style w:type="paragraph" w:customStyle="1" w:styleId="28">
    <w:name w:val="TOC Heading"/>
    <w:basedOn w:val="3"/>
    <w:next w:val="1"/>
    <w:unhideWhenUsed/>
    <w:qFormat/>
    <w:uiPriority w:val="39"/>
    <w:pPr>
      <w:widowControl/>
      <w:spacing w:before="240" w:after="0" w:line="259" w:lineRule="auto"/>
      <w:outlineLvl w:val="9"/>
    </w:pPr>
    <w:rPr>
      <w:rFonts w:asciiTheme="majorHAnsi" w:hAnsiTheme="majorHAnsi" w:eastAsiaTheme="majorEastAsia" w:cstheme="majorBidi"/>
      <w:b w:val="0"/>
      <w:bCs w:val="0"/>
      <w:color w:val="104862" w:themeColor="accent1" w:themeShade="BF"/>
      <w:kern w:val="0"/>
      <w:sz w:val="32"/>
      <w:szCs w:val="32"/>
      <w14:ligatures w14:val="none"/>
    </w:rPr>
  </w:style>
  <w:style w:type="character" w:customStyle="1" w:styleId="29">
    <w:name w:val="标题 2 字符"/>
    <w:basedOn w:val="16"/>
    <w:link w:val="4"/>
    <w:semiHidden/>
    <w:qFormat/>
    <w:uiPriority w:val="9"/>
    <w:rPr>
      <w:rFonts w:asciiTheme="majorHAnsi" w:hAnsiTheme="majorHAnsi" w:eastAsiaTheme="majorEastAsia" w:cstheme="majorBidi"/>
      <w:b/>
      <w:bCs/>
      <w:sz w:val="32"/>
      <w:szCs w:val="32"/>
    </w:rPr>
  </w:style>
  <w:style w:type="character" w:customStyle="1" w:styleId="30">
    <w:name w:val="日期 字符"/>
    <w:basedOn w:val="16"/>
    <w:link w:val="9"/>
    <w:qFormat/>
    <w:uiPriority w:val="0"/>
    <w:rPr>
      <w:rFonts w:ascii="Times New Roman" w:hAnsi="Times New Roman" w:eastAsia="宋体" w:cs="Times New Roman"/>
      <w:sz w:val="36"/>
      <w:szCs w:val="30"/>
      <w14:ligatures w14:val="none"/>
    </w:rPr>
  </w:style>
  <w:style w:type="paragraph" w:customStyle="1" w:styleId="31">
    <w:name w:val="Table Text"/>
    <w:basedOn w:val="1"/>
    <w:semiHidden/>
    <w:qFormat/>
    <w:uiPriority w:val="0"/>
    <w:rPr>
      <w:rFonts w:ascii="宋体" w:hAnsi="宋体" w:eastAsia="宋体" w:cs="宋体"/>
      <w:sz w:val="30"/>
      <w:szCs w:val="30"/>
      <w:lang w:val="en-US" w:eastAsia="en-US" w:bidi="ar-SA"/>
    </w:rPr>
  </w:style>
  <w:style w:type="table" w:customStyle="1" w:styleId="32">
    <w:name w:val="Table Normal"/>
    <w:semiHidden/>
    <w:unhideWhenUsed/>
    <w:qFormat/>
    <w:uiPriority w:val="0"/>
    <w:tblPr>
      <w:tblCellMar>
        <w:top w:w="0" w:type="dxa"/>
        <w:left w:w="0" w:type="dxa"/>
        <w:bottom w:w="0" w:type="dxa"/>
        <w:right w:w="0" w:type="dxa"/>
      </w:tblCellMar>
    </w:tblPr>
  </w:style>
  <w:style w:type="paragraph" w:customStyle="1" w:styleId="33">
    <w:name w:val="样式 样式 正文22 + 首行缩进:  2 字符 + 首行缩进:  2 字符"/>
    <w:basedOn w:val="34"/>
    <w:qFormat/>
    <w:uiPriority w:val="0"/>
    <w:rPr>
      <w:rFonts w:hAnsi="Times New Roman"/>
    </w:rPr>
  </w:style>
  <w:style w:type="paragraph" w:customStyle="1" w:styleId="34">
    <w:name w:val="样式 正文22 + 首行缩进:  2 字符"/>
    <w:basedOn w:val="35"/>
    <w:qFormat/>
    <w:uiPriority w:val="0"/>
    <w:pPr>
      <w:adjustRightInd w:val="0"/>
      <w:snapToGrid w:val="0"/>
      <w:spacing w:line="360" w:lineRule="auto"/>
      <w:ind w:firstLine="560" w:firstLineChars="200"/>
      <w:jc w:val="left"/>
    </w:pPr>
    <w:rPr>
      <w:rFonts w:ascii="宋体" w:hAnsi="宋体" w:cs="宋体"/>
      <w:kern w:val="28"/>
      <w:sz w:val="28"/>
      <w:szCs w:val="20"/>
    </w:rPr>
  </w:style>
  <w:style w:type="paragraph" w:customStyle="1" w:styleId="35">
    <w:name w:val="正文22"/>
    <w:qFormat/>
    <w:uiPriority w:val="0"/>
    <w:pPr>
      <w:widowControl w:val="0"/>
      <w:adjustRightInd w:val="0"/>
      <w:snapToGrid w:val="0"/>
      <w:spacing w:line="360" w:lineRule="auto"/>
      <w:ind w:firstLine="560" w:firstLineChars="200"/>
    </w:pPr>
    <w:rPr>
      <w:rFonts w:ascii="Times New Roman" w:hAnsi="宋体" w:eastAsia="宋体" w:cs="Times New Roman"/>
      <w:kern w:val="28"/>
      <w:sz w:val="28"/>
      <w:szCs w:val="28"/>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a:solidFill>
            <a:srgbClr val="0000FF"/>
          </a:solidFill>
          <a:headEnd type="arrow"/>
          <a:tailEnd type="arrow"/>
        </a:ln>
      </a:spPr>
      <a:bodyPr/>
      <a:lstStyle/>
      <a:style>
        <a:lnRef idx="2">
          <a:schemeClr val="accent1"/>
        </a:lnRef>
        <a:fillRef idx="0">
          <a:srgbClr val="FFFFFF"/>
        </a:fillRef>
        <a:effectRef idx="0">
          <a:srgbClr val="FFFFFF"/>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D32E673-8F22-491D-B698-F3B86A189190}">
  <ds:schemaRefs/>
</ds:datastoreItem>
</file>

<file path=docProps/app.xml><?xml version="1.0" encoding="utf-8"?>
<Properties xmlns="http://schemas.openxmlformats.org/officeDocument/2006/extended-properties" xmlns:vt="http://schemas.openxmlformats.org/officeDocument/2006/docPropsVTypes">
  <Template>Normal</Template>
  <Pages>38</Pages>
  <Words>14318</Words>
  <Characters>16531</Characters>
  <Lines>538</Lines>
  <Paragraphs>151</Paragraphs>
  <TotalTime>20</TotalTime>
  <ScaleCrop>false</ScaleCrop>
  <LinksUpToDate>false</LinksUpToDate>
  <CharactersWithSpaces>16909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2024-12-31T06:06:00Z</dcterms:created>
  <dc:creator>Administrator</dc:creator>
  <cp:lastModifiedBy>佟城城</cp:lastModifiedBy>
  <cp:lastPrinted>2026-07-27T02:11:00Z</cp:lastPrinted>
  <dcterms:modified xsi:type="dcterms:W3CDTF">2026-10-14T05:20:45Z</dcterms:modified>
  <cp:revision>112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eyJoZGlkIjoiM2ZiODdlZDVjYThlNDAzOWZjMmQyOTg5ZWY1NDUzZWQiLCJ1c2VySWQiOiIzMzAyMzY3NjIifQ==</vt:lpwstr>
  </property>
  <property fmtid="{D5CDD505-2E9C-101B-9397-08002B2CF9AE}" pid="3" name="KSOProductBuildVer">
    <vt:lpwstr>2052-12.1.0.28505</vt:lpwstr>
  </property>
  <property fmtid="{D5CDD505-2E9C-101B-9397-08002B2CF9AE}" pid="4" name="ICV">
    <vt:lpwstr>7A094BE5C70342A1B8C34D1531E857EC_12</vt:lpwstr>
  </property>
</Properties>
</file>