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985C4">
      <w:pPr>
        <w:pStyle w:val="2"/>
        <w:keepNext/>
        <w:keepLines/>
        <w:pageBreakBefore w:val="0"/>
        <w:widowControl w:val="0"/>
        <w:kinsoku/>
        <w:wordWrap/>
        <w:overflowPunct/>
        <w:topLinePunct w:val="0"/>
        <w:autoSpaceDE/>
        <w:autoSpaceDN/>
        <w:bidi w:val="0"/>
        <w:adjustRightInd w:val="0"/>
        <w:snapToGrid w:val="0"/>
        <w:spacing w:before="490" w:beforeLines="150" w:after="490" w:afterLines="150" w:line="360" w:lineRule="auto"/>
        <w:textAlignment w:val="auto"/>
        <w:rPr>
          <w:rFonts w:hint="default"/>
          <w:b/>
          <w:bCs w:val="0"/>
        </w:rPr>
      </w:pPr>
      <w:bookmarkStart w:id="0" w:name="_Toc10549"/>
      <w:bookmarkStart w:id="1" w:name="_Toc146488822"/>
      <w:bookmarkStart w:id="2" w:name="_Toc3564"/>
      <w:bookmarkStart w:id="3" w:name="_Toc8040"/>
      <w:bookmarkStart w:id="4" w:name="_Toc11251"/>
      <w:r>
        <w:rPr>
          <w:rFonts w:hint="default"/>
          <w:b/>
          <w:bCs w:val="0"/>
        </w:rPr>
        <w:t>前  言</w:t>
      </w:r>
      <w:bookmarkEnd w:id="0"/>
      <w:bookmarkEnd w:id="1"/>
      <w:bookmarkEnd w:id="2"/>
      <w:bookmarkEnd w:id="3"/>
      <w:bookmarkEnd w:id="4"/>
    </w:p>
    <w:p w14:paraId="4AC4111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color w:val="000000" w:themeColor="text1"/>
          <w:kern w:val="0"/>
          <w:sz w:val="28"/>
          <w:szCs w:val="28"/>
          <w:lang w:val="en-US" w:eastAsia="zh-CN"/>
          <w14:textFill>
            <w14:solidFill>
              <w14:schemeClr w14:val="tx1"/>
            </w14:solidFill>
          </w14:textFill>
        </w:rPr>
      </w:pPr>
      <w:r>
        <w:rPr>
          <w:rFonts w:hint="eastAsia" w:cs="Times New Roman"/>
          <w:bCs/>
          <w:kern w:val="0"/>
          <w:sz w:val="28"/>
          <w:szCs w:val="28"/>
          <w:lang w:eastAsia="zh-CN"/>
        </w:rPr>
        <w:t>中国石化销售股份有限公司辽宁葫芦岛海飞路加能站</w:t>
      </w:r>
      <w:r>
        <w:rPr>
          <w:rFonts w:hint="default" w:ascii="Times New Roman" w:hAnsi="Times New Roman" w:cs="Times New Roman"/>
          <w:bCs/>
          <w:kern w:val="0"/>
          <w:sz w:val="28"/>
          <w:szCs w:val="28"/>
          <w:lang w:eastAsia="zh-CN"/>
        </w:rPr>
        <w:t>成立于20</w:t>
      </w:r>
      <w:r>
        <w:rPr>
          <w:rFonts w:hint="eastAsia" w:cs="Times New Roman"/>
          <w:bCs/>
          <w:kern w:val="0"/>
          <w:sz w:val="28"/>
          <w:szCs w:val="28"/>
          <w:lang w:val="en-US" w:eastAsia="zh-CN"/>
        </w:rPr>
        <w:t>26</w:t>
      </w:r>
      <w:r>
        <w:rPr>
          <w:rFonts w:hint="default" w:ascii="Times New Roman" w:hAnsi="Times New Roman" w:cs="Times New Roman"/>
          <w:bCs/>
          <w:kern w:val="0"/>
          <w:sz w:val="28"/>
          <w:szCs w:val="28"/>
          <w:lang w:eastAsia="zh-CN"/>
        </w:rPr>
        <w:t>年</w:t>
      </w:r>
      <w:r>
        <w:rPr>
          <w:rFonts w:hint="eastAsia" w:cs="Times New Roman"/>
          <w:bCs/>
          <w:kern w:val="0"/>
          <w:sz w:val="28"/>
          <w:szCs w:val="28"/>
          <w:lang w:val="en-US" w:eastAsia="zh-CN"/>
        </w:rPr>
        <w:t>01</w:t>
      </w:r>
      <w:r>
        <w:rPr>
          <w:rFonts w:hint="default" w:ascii="Times New Roman" w:hAnsi="Times New Roman" w:cs="Times New Roman"/>
          <w:bCs/>
          <w:kern w:val="0"/>
          <w:sz w:val="28"/>
          <w:szCs w:val="28"/>
          <w:lang w:eastAsia="zh-CN"/>
        </w:rPr>
        <w:t>月</w:t>
      </w:r>
      <w:r>
        <w:rPr>
          <w:rFonts w:hint="eastAsia" w:cs="Times New Roman"/>
          <w:bCs/>
          <w:kern w:val="0"/>
          <w:sz w:val="28"/>
          <w:szCs w:val="28"/>
          <w:lang w:val="en-US" w:eastAsia="zh-CN"/>
        </w:rPr>
        <w:t>30</w:t>
      </w:r>
      <w:r>
        <w:rPr>
          <w:rFonts w:hint="default" w:ascii="Times New Roman" w:hAnsi="Times New Roman" w:cs="Times New Roman"/>
          <w:bCs/>
          <w:kern w:val="0"/>
          <w:sz w:val="28"/>
          <w:szCs w:val="28"/>
          <w:lang w:eastAsia="zh-CN"/>
        </w:rPr>
        <w:t>日，</w:t>
      </w:r>
      <w:r>
        <w:rPr>
          <w:rFonts w:hint="eastAsia" w:cs="Times New Roman"/>
          <w:bCs/>
          <w:kern w:val="0"/>
          <w:sz w:val="28"/>
          <w:szCs w:val="28"/>
          <w:lang w:val="en-US" w:eastAsia="zh-CN"/>
        </w:rPr>
        <w:t>经营场所</w:t>
      </w:r>
      <w:r>
        <w:rPr>
          <w:rFonts w:hint="default" w:ascii="Times New Roman" w:hAnsi="Times New Roman" w:cs="Times New Roman"/>
          <w:bCs/>
          <w:kern w:val="0"/>
          <w:sz w:val="28"/>
          <w:szCs w:val="28"/>
          <w:lang w:eastAsia="zh-CN"/>
        </w:rPr>
        <w:t>位于辽宁省葫芦岛市龙港区龙锦街以东，海飞路以西，</w:t>
      </w:r>
      <w:r>
        <w:rPr>
          <w:rFonts w:hint="default" w:ascii="Times New Roman" w:hAnsi="Times New Roman" w:eastAsia="宋体" w:cs="Times New Roman"/>
          <w:color w:val="auto"/>
          <w:sz w:val="28"/>
          <w:szCs w:val="28"/>
          <w:highlight w:val="none"/>
          <w:lang w:val="en-US" w:eastAsia="zh-CN"/>
        </w:rPr>
        <w:t>类型为</w:t>
      </w:r>
      <w:r>
        <w:rPr>
          <w:rFonts w:hint="eastAsia" w:cs="Times New Roman"/>
          <w:color w:val="auto"/>
          <w:sz w:val="28"/>
          <w:szCs w:val="28"/>
          <w:highlight w:val="none"/>
          <w:lang w:val="en-US" w:eastAsia="zh-CN"/>
        </w:rPr>
        <w:t>股份有限公司分公司（外商投资、未上市）</w:t>
      </w:r>
      <w:r>
        <w:rPr>
          <w:rFonts w:hint="default" w:ascii="Times New Roman" w:hAnsi="Times New Roman" w:eastAsia="宋体" w:cs="Times New Roman"/>
          <w:color w:val="auto"/>
          <w:sz w:val="28"/>
          <w:szCs w:val="28"/>
          <w:highlight w:val="none"/>
          <w:lang w:val="en-US" w:eastAsia="zh-CN"/>
        </w:rPr>
        <w:t>，</w:t>
      </w:r>
      <w:r>
        <w:rPr>
          <w:rFonts w:hint="eastAsia" w:cs="Times New Roman"/>
          <w:bCs/>
          <w:kern w:val="0"/>
          <w:sz w:val="28"/>
          <w:szCs w:val="28"/>
          <w:lang w:val="en-US" w:eastAsia="zh-CN"/>
        </w:rPr>
        <w:t>负责</w:t>
      </w:r>
      <w:r>
        <w:rPr>
          <w:rFonts w:hint="default" w:ascii="Times New Roman" w:hAnsi="Times New Roman" w:cs="Times New Roman"/>
          <w:bCs/>
          <w:kern w:val="0"/>
          <w:sz w:val="28"/>
          <w:szCs w:val="28"/>
          <w:lang w:eastAsia="zh-CN"/>
        </w:rPr>
        <w:t>人为</w:t>
      </w:r>
      <w:r>
        <w:rPr>
          <w:rFonts w:hint="eastAsia" w:cs="Times New Roman"/>
          <w:bCs/>
          <w:kern w:val="0"/>
          <w:sz w:val="28"/>
          <w:szCs w:val="28"/>
          <w:lang w:val="en-US" w:eastAsia="zh-CN"/>
        </w:rPr>
        <w:t>李阳春</w:t>
      </w:r>
      <w:r>
        <w:rPr>
          <w:rFonts w:hint="default" w:ascii="Times New Roman" w:hAnsi="Times New Roman" w:cs="Times New Roman"/>
          <w:bCs/>
          <w:color w:val="000000" w:themeColor="text1"/>
          <w:kern w:val="0"/>
          <w:sz w:val="28"/>
          <w:szCs w:val="28"/>
          <w:lang w:eastAsia="zh-CN"/>
          <w14:textFill>
            <w14:solidFill>
              <w14:schemeClr w14:val="tx1"/>
            </w14:solidFill>
          </w14:textFill>
        </w:rPr>
        <w:t>。</w:t>
      </w:r>
    </w:p>
    <w:p w14:paraId="4C858E5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cs="宋体"/>
          <w:b w:val="0"/>
          <w:bCs w:val="0"/>
          <w:color w:val="000000" w:themeColor="text1"/>
          <w:spacing w:val="0"/>
          <w:sz w:val="28"/>
          <w:szCs w:val="28"/>
          <w:highlight w:val="yellow"/>
          <w:lang w:val="en-US" w:eastAsia="zh-CN"/>
          <w14:textFill>
            <w14:solidFill>
              <w14:schemeClr w14:val="tx1"/>
            </w14:solidFill>
          </w14:textFill>
        </w:rPr>
      </w:pPr>
      <w:r>
        <w:rPr>
          <w:rFonts w:hint="eastAsia" w:cs="Times New Roman"/>
          <w:bCs/>
          <w:color w:val="000000" w:themeColor="text1"/>
          <w:kern w:val="0"/>
          <w:sz w:val="28"/>
          <w:szCs w:val="28"/>
          <w:highlight w:val="none"/>
          <w:lang w:val="en-US" w:eastAsia="zh-CN"/>
          <w14:textFill>
            <w14:solidFill>
              <w14:schemeClr w14:val="tx1"/>
            </w14:solidFill>
          </w14:textFill>
        </w:rPr>
        <w:t>中国石化销售股份有限公司辽宁葫芦岛石油分公司</w:t>
      </w:r>
      <w:r>
        <w:rPr>
          <w:rFonts w:hint="default" w:ascii="Times New Roman" w:hAnsi="Times New Roman" w:cs="Times New Roman"/>
          <w:bCs/>
          <w:color w:val="000000" w:themeColor="text1"/>
          <w:kern w:val="0"/>
          <w:sz w:val="28"/>
          <w:szCs w:val="28"/>
          <w:highlight w:val="none"/>
          <w:lang w:val="en-US" w:eastAsia="zh-CN"/>
          <w14:textFill>
            <w14:solidFill>
              <w14:schemeClr w14:val="tx1"/>
            </w14:solidFill>
          </w14:textFill>
        </w:rPr>
        <w:t>于202</w:t>
      </w:r>
      <w:r>
        <w:rPr>
          <w:rFonts w:hint="eastAsia" w:cs="Times New Roman"/>
          <w:bCs/>
          <w:color w:val="000000" w:themeColor="text1"/>
          <w:kern w:val="0"/>
          <w:sz w:val="28"/>
          <w:szCs w:val="28"/>
          <w:highlight w:val="none"/>
          <w:lang w:val="en-US" w:eastAsia="zh-CN"/>
          <w14:textFill>
            <w14:solidFill>
              <w14:schemeClr w14:val="tx1"/>
            </w14:solidFill>
          </w14:textFill>
        </w:rPr>
        <w:t>6</w:t>
      </w:r>
      <w:r>
        <w:rPr>
          <w:rFonts w:hint="default" w:ascii="Times New Roman" w:hAnsi="Times New Roman" w:cs="Times New Roman"/>
          <w:bCs/>
          <w:color w:val="000000" w:themeColor="text1"/>
          <w:kern w:val="0"/>
          <w:sz w:val="28"/>
          <w:szCs w:val="28"/>
          <w:highlight w:val="none"/>
          <w:lang w:val="en-US" w:eastAsia="zh-CN"/>
          <w14:textFill>
            <w14:solidFill>
              <w14:schemeClr w14:val="tx1"/>
            </w14:solidFill>
          </w14:textFill>
        </w:rPr>
        <w:t>年</w:t>
      </w:r>
      <w:r>
        <w:rPr>
          <w:rFonts w:hint="eastAsia" w:cs="Times New Roman"/>
          <w:bCs/>
          <w:color w:val="000000" w:themeColor="text1"/>
          <w:kern w:val="0"/>
          <w:sz w:val="28"/>
          <w:szCs w:val="28"/>
          <w:highlight w:val="none"/>
          <w:lang w:val="en-US" w:eastAsia="zh-CN"/>
          <w14:textFill>
            <w14:solidFill>
              <w14:schemeClr w14:val="tx1"/>
            </w14:solidFill>
          </w14:textFill>
        </w:rPr>
        <w:t>02</w:t>
      </w:r>
      <w:r>
        <w:rPr>
          <w:rFonts w:hint="default" w:ascii="Times New Roman" w:hAnsi="Times New Roman" w:cs="Times New Roman"/>
          <w:bCs/>
          <w:color w:val="000000" w:themeColor="text1"/>
          <w:kern w:val="0"/>
          <w:sz w:val="28"/>
          <w:szCs w:val="28"/>
          <w:highlight w:val="none"/>
          <w:lang w:val="en-US" w:eastAsia="zh-CN"/>
          <w14:textFill>
            <w14:solidFill>
              <w14:schemeClr w14:val="tx1"/>
            </w14:solidFill>
          </w14:textFill>
        </w:rPr>
        <w:t>月</w:t>
      </w:r>
      <w:r>
        <w:rPr>
          <w:rFonts w:hint="eastAsia" w:cs="Times New Roman"/>
          <w:bCs/>
          <w:color w:val="000000" w:themeColor="text1"/>
          <w:kern w:val="0"/>
          <w:sz w:val="28"/>
          <w:szCs w:val="28"/>
          <w:highlight w:val="none"/>
          <w:lang w:val="en-US" w:eastAsia="zh-CN"/>
          <w14:textFill>
            <w14:solidFill>
              <w14:schemeClr w14:val="tx1"/>
            </w14:solidFill>
          </w14:textFill>
        </w:rPr>
        <w:t>12</w:t>
      </w:r>
      <w:r>
        <w:rPr>
          <w:rFonts w:hint="default" w:ascii="Times New Roman" w:hAnsi="Times New Roman" w:cs="Times New Roman"/>
          <w:bCs/>
          <w:color w:val="000000" w:themeColor="text1"/>
          <w:kern w:val="0"/>
          <w:sz w:val="28"/>
          <w:szCs w:val="28"/>
          <w:highlight w:val="none"/>
          <w:lang w:val="en-US" w:eastAsia="zh-CN"/>
          <w14:textFill>
            <w14:solidFill>
              <w14:schemeClr w14:val="tx1"/>
            </w14:solidFill>
          </w14:textFill>
        </w:rPr>
        <w:t>日</w:t>
      </w:r>
      <w:r>
        <w:rPr>
          <w:rFonts w:hint="eastAsia" w:cs="Times New Roman"/>
          <w:bCs/>
          <w:color w:val="000000" w:themeColor="text1"/>
          <w:kern w:val="0"/>
          <w:sz w:val="28"/>
          <w:szCs w:val="28"/>
          <w:highlight w:val="none"/>
          <w:lang w:val="en-US" w:eastAsia="zh-CN"/>
          <w14:textFill>
            <w14:solidFill>
              <w14:schemeClr w14:val="tx1"/>
            </w14:solidFill>
          </w14:textFill>
        </w:rPr>
        <w:t>取得了葫芦岛市商务局为其下发的《市商务局关于同意在龙港区龙锦街以东海飞路以西新建加油站的批复》项目备案证明（文件号：葫商发[2026]4号）以及于2026年07月01日取得了葫芦岛市龙港区发展和改革局为其下发的关于《中国石化销售股份有限公司辽宁葫芦岛海飞路加能站（附属设施）项目》项目备案证明（文件号：龙发改备[2026]42号）。</w:t>
      </w:r>
      <w:r>
        <w:rPr>
          <w:rFonts w:hint="eastAsia" w:cs="宋体"/>
          <w:b w:val="0"/>
          <w:bCs w:val="0"/>
          <w:color w:val="000000" w:themeColor="text1"/>
          <w:spacing w:val="0"/>
          <w:sz w:val="28"/>
          <w:szCs w:val="28"/>
          <w:highlight w:val="none"/>
          <w:lang w:val="en-US" w:eastAsia="zh-CN"/>
          <w14:textFill>
            <w14:solidFill>
              <w14:schemeClr w14:val="tx1"/>
            </w14:solidFill>
          </w14:textFill>
        </w:rPr>
        <w:t>建设规模及内容：①新建4座SF双层油罐，其中1座30m</w:t>
      </w:r>
      <w:r>
        <w:rPr>
          <w:rFonts w:hint="eastAsia" w:cs="宋体"/>
          <w:b w:val="0"/>
          <w:bCs w:val="0"/>
          <w:color w:val="000000" w:themeColor="text1"/>
          <w:spacing w:val="0"/>
          <w:sz w:val="28"/>
          <w:szCs w:val="28"/>
          <w:highlight w:val="none"/>
          <w:vertAlign w:val="superscript"/>
          <w:lang w:val="en-US" w:eastAsia="zh-CN"/>
          <w14:textFill>
            <w14:solidFill>
              <w14:schemeClr w14:val="tx1"/>
            </w14:solidFill>
          </w14:textFill>
        </w:rPr>
        <w:t>3</w:t>
      </w:r>
      <w:r>
        <w:rPr>
          <w:rFonts w:hint="eastAsia" w:cs="宋体"/>
          <w:b w:val="0"/>
          <w:bCs w:val="0"/>
          <w:color w:val="000000" w:themeColor="text1"/>
          <w:spacing w:val="0"/>
          <w:sz w:val="28"/>
          <w:szCs w:val="28"/>
          <w:highlight w:val="none"/>
          <w:lang w:val="en-US" w:eastAsia="zh-CN"/>
          <w14:textFill>
            <w14:solidFill>
              <w14:schemeClr w14:val="tx1"/>
            </w14:solidFill>
          </w14:textFill>
        </w:rPr>
        <w:t>柴油罐、3座30m</w:t>
      </w:r>
      <w:r>
        <w:rPr>
          <w:rFonts w:hint="eastAsia" w:cs="宋体"/>
          <w:b w:val="0"/>
          <w:bCs w:val="0"/>
          <w:color w:val="000000" w:themeColor="text1"/>
          <w:spacing w:val="0"/>
          <w:sz w:val="28"/>
          <w:szCs w:val="28"/>
          <w:highlight w:val="none"/>
          <w:vertAlign w:val="superscript"/>
          <w:lang w:val="en-US" w:eastAsia="zh-CN"/>
          <w14:textFill>
            <w14:solidFill>
              <w14:schemeClr w14:val="tx1"/>
            </w14:solidFill>
          </w14:textFill>
        </w:rPr>
        <w:t>3</w:t>
      </w:r>
      <w:r>
        <w:rPr>
          <w:rFonts w:hint="eastAsia" w:cs="宋体"/>
          <w:b w:val="0"/>
          <w:bCs w:val="0"/>
          <w:color w:val="000000" w:themeColor="text1"/>
          <w:spacing w:val="0"/>
          <w:sz w:val="28"/>
          <w:szCs w:val="28"/>
          <w:highlight w:val="none"/>
          <w:vertAlign w:val="baseline"/>
          <w:lang w:val="en-US" w:eastAsia="zh-CN"/>
          <w14:textFill>
            <w14:solidFill>
              <w14:schemeClr w14:val="tx1"/>
            </w14:solidFill>
          </w14:textFill>
        </w:rPr>
        <w:t>乙醇</w:t>
      </w:r>
      <w:r>
        <w:rPr>
          <w:rFonts w:hint="eastAsia" w:cs="宋体"/>
          <w:b w:val="0"/>
          <w:bCs w:val="0"/>
          <w:color w:val="000000" w:themeColor="text1"/>
          <w:spacing w:val="0"/>
          <w:sz w:val="28"/>
          <w:szCs w:val="28"/>
          <w:highlight w:val="none"/>
          <w:lang w:val="en-US" w:eastAsia="zh-CN"/>
          <w14:textFill>
            <w14:solidFill>
              <w14:schemeClr w14:val="tx1"/>
            </w14:solidFill>
          </w14:textFill>
        </w:rPr>
        <w:t>汽油罐（其中一个罐带隔仓）；②新建1座站房；③新建1座罩棚，罩棚下新建4台加油机（2台四枪双油品潜油泵式乙醇汽油加油机、1台双枪双油品潜油泵式乙醇汽油加油机、1台双枪双油品乙醇汽油、柴油加油机）④新建充电区，设置5台充电桩及10个充电车位、2台变压器、光伏设备一套。</w:t>
      </w:r>
    </w:p>
    <w:p w14:paraId="5EDB84A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根据《危险化学品目录（2015版）》（原国家安全生产监督管理总局等十部门公告[2015]第5号，2015年5月1日起实施）及《关于调整危险化学品目录（2015版）的公告》（中华人民共和国应急管理部等十部门公告2022年第8号，2023年01月01日实施），本项目</w:t>
      </w:r>
      <w:r>
        <w:rPr>
          <w:rFonts w:hint="default" w:ascii="Times New Roman" w:hAnsi="Times New Roman" w:cs="Times New Roman"/>
          <w:sz w:val="28"/>
          <w:szCs w:val="28"/>
          <w:highlight w:val="none"/>
        </w:rPr>
        <w:t>涉及的</w:t>
      </w:r>
      <w:r>
        <w:rPr>
          <w:rFonts w:hint="eastAsia" w:cs="Times New Roman"/>
          <w:sz w:val="28"/>
          <w:szCs w:val="28"/>
          <w:highlight w:val="none"/>
          <w:lang w:eastAsia="zh-CN"/>
        </w:rPr>
        <w:t>乙醇汽油</w:t>
      </w:r>
      <w:r>
        <w:rPr>
          <w:rFonts w:hint="default" w:ascii="Times New Roman" w:hAnsi="Times New Roman" w:cs="Times New Roman"/>
          <w:sz w:val="28"/>
          <w:szCs w:val="28"/>
          <w:highlight w:val="none"/>
        </w:rPr>
        <w:t>、</w:t>
      </w:r>
      <w:r>
        <w:rPr>
          <w:rFonts w:hint="default" w:ascii="Times New Roman" w:hAnsi="Times New Roman" w:cs="Times New Roman"/>
          <w:sz w:val="28"/>
          <w:szCs w:val="28"/>
        </w:rPr>
        <w:t>柴油均属于危险化学品。因此，本项目属于危险化学品</w:t>
      </w:r>
      <w:r>
        <w:rPr>
          <w:rFonts w:hint="eastAsia" w:cs="Times New Roman"/>
          <w:sz w:val="28"/>
          <w:szCs w:val="28"/>
          <w:lang w:val="en-US" w:eastAsia="zh-CN"/>
        </w:rPr>
        <w:t>新</w:t>
      </w:r>
      <w:r>
        <w:rPr>
          <w:rFonts w:hint="default" w:ascii="Times New Roman" w:hAnsi="Times New Roman" w:cs="Times New Roman"/>
          <w:sz w:val="28"/>
          <w:szCs w:val="28"/>
          <w:lang w:eastAsia="zh-CN"/>
        </w:rPr>
        <w:t>建</w:t>
      </w:r>
      <w:r>
        <w:rPr>
          <w:rFonts w:hint="default" w:ascii="Times New Roman" w:hAnsi="Times New Roman" w:cs="Times New Roman"/>
          <w:sz w:val="28"/>
          <w:szCs w:val="28"/>
        </w:rPr>
        <w:t>项目。</w:t>
      </w:r>
    </w:p>
    <w:p w14:paraId="689744B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sz w:val="28"/>
          <w:szCs w:val="28"/>
        </w:rPr>
        <w:t>根据《中华人民共和国安全生产法》（中华人民共和国主席令[2021]第八十八号，2021年09月01日施行）第三十一条：生产经营单位新建、改建、扩建工程项目的安全设施，必须与主体工程同时设计、同时施工、同时投入生产和使用。</w:t>
      </w:r>
      <w:r>
        <w:rPr>
          <w:rFonts w:hint="eastAsia" w:cs="Times New Roman"/>
          <w:sz w:val="28"/>
          <w:szCs w:val="28"/>
          <w:lang w:val="en-US" w:eastAsia="zh-CN"/>
        </w:rPr>
        <w:t>根据</w:t>
      </w:r>
      <w:r>
        <w:rPr>
          <w:rFonts w:hint="default" w:ascii="Times New Roman" w:hAnsi="Times New Roman" w:cs="Times New Roman"/>
          <w:sz w:val="28"/>
          <w:szCs w:val="28"/>
        </w:rPr>
        <w:t>《危险化学品建设项目安全监督管理办法》（原安监总局令[2012] 第45号，根据原国家安全生产监督管理总局令[2015]第79号修正）第八条：建设单位应当在建设项目的可行性研究阶段，委托具备相应资质的安全评价机构对建设项目进行安全评价。为此，</w:t>
      </w:r>
      <w:r>
        <w:rPr>
          <w:rFonts w:hint="eastAsia" w:cs="Times New Roman"/>
          <w:sz w:val="28"/>
          <w:szCs w:val="28"/>
          <w:lang w:eastAsia="zh-CN"/>
        </w:rPr>
        <w:t>中国石化销售股份有限公司辽宁葫芦岛</w:t>
      </w:r>
      <w:r>
        <w:rPr>
          <w:rFonts w:hint="eastAsia" w:cs="Times New Roman"/>
          <w:sz w:val="28"/>
          <w:szCs w:val="28"/>
          <w:lang w:val="en-US" w:eastAsia="zh-CN"/>
        </w:rPr>
        <w:t>石油分公司</w:t>
      </w:r>
      <w:r>
        <w:rPr>
          <w:rFonts w:hint="default" w:ascii="Times New Roman" w:hAnsi="Times New Roman" w:cs="Times New Roman"/>
          <w:color w:val="000000" w:themeColor="text1"/>
          <w:sz w:val="28"/>
          <w:szCs w:val="28"/>
          <w14:textFill>
            <w14:solidFill>
              <w14:schemeClr w14:val="tx1"/>
            </w14:solidFill>
          </w14:textFill>
        </w:rPr>
        <w:t>委托</w:t>
      </w:r>
      <w:r>
        <w:rPr>
          <w:rFonts w:hint="default" w:ascii="Times New Roman" w:hAnsi="Times New Roman" w:cs="Times New Roman"/>
          <w:color w:val="000000" w:themeColor="text1"/>
          <w:sz w:val="28"/>
          <w:szCs w:val="28"/>
          <w:lang w:val="en-US" w:eastAsia="zh-CN"/>
          <w14:textFill>
            <w14:solidFill>
              <w14:schemeClr w14:val="tx1"/>
            </w14:solidFill>
          </w14:textFill>
        </w:rPr>
        <w:t>辽宁诺诚安全科技有限公司</w:t>
      </w:r>
      <w:r>
        <w:rPr>
          <w:rFonts w:hint="default" w:ascii="Times New Roman" w:hAnsi="Times New Roman" w:cs="Times New Roman"/>
          <w:color w:val="000000" w:themeColor="text1"/>
          <w:sz w:val="28"/>
          <w:szCs w:val="28"/>
          <w14:textFill>
            <w14:solidFill>
              <w14:schemeClr w14:val="tx1"/>
            </w14:solidFill>
          </w14:textFill>
        </w:rPr>
        <w:t>对建</w:t>
      </w:r>
      <w:r>
        <w:rPr>
          <w:rFonts w:hint="default" w:ascii="Times New Roman" w:hAnsi="Times New Roman" w:cs="Times New Roman"/>
          <w:color w:val="000000" w:themeColor="text1"/>
          <w:sz w:val="28"/>
          <w:szCs w:val="28"/>
          <w:lang w:val="en-US" w:eastAsia="zh-CN"/>
          <w14:textFill>
            <w14:solidFill>
              <w14:schemeClr w14:val="tx1"/>
            </w14:solidFill>
          </w14:textFill>
        </w:rPr>
        <w:t>设</w:t>
      </w:r>
      <w:r>
        <w:rPr>
          <w:rFonts w:hint="default" w:ascii="Times New Roman" w:hAnsi="Times New Roman" w:cs="Times New Roman"/>
          <w:color w:val="000000" w:themeColor="text1"/>
          <w:sz w:val="28"/>
          <w:szCs w:val="28"/>
          <w14:textFill>
            <w14:solidFill>
              <w14:schemeClr w14:val="tx1"/>
            </w14:solidFill>
          </w14:textFill>
        </w:rPr>
        <w:t>项目进行安全评价</w:t>
      </w:r>
      <w:r>
        <w:rPr>
          <w:rFonts w:hint="default"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并编制本次设立安全评价报告。</w:t>
      </w:r>
    </w:p>
    <w:p w14:paraId="31D51D1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本评价报告主要由前言</w:t>
      </w:r>
      <w:r>
        <w:rPr>
          <w:rFonts w:hint="default" w:ascii="Times New Roman" w:hAnsi="Times New Roman" w:cs="Times New Roman"/>
          <w:color w:val="auto"/>
          <w:sz w:val="28"/>
          <w:szCs w:val="28"/>
          <w:highlight w:val="none"/>
          <w:lang w:val="en-US" w:eastAsia="zh-CN"/>
        </w:rPr>
        <w:t>、安全评价工作经过、建设项目概况、危险化学品的理化性能指标、危险化学品包装、储存、运输的技术要求、建设项目的危险、有害因素和危险、有害程度、建设项目的安全条件、主要技术、工艺和装置、设备、设施及其安全可靠性、建设项目设立安全评价结论、与建设单位交换意见以及附件</w:t>
      </w:r>
      <w:r>
        <w:rPr>
          <w:rFonts w:hint="default" w:ascii="Times New Roman" w:hAnsi="Times New Roman" w:eastAsia="宋体" w:cs="Times New Roman"/>
          <w:color w:val="auto"/>
          <w:sz w:val="28"/>
          <w:szCs w:val="28"/>
          <w:highlight w:val="none"/>
          <w:lang w:val="en-US" w:eastAsia="zh-CN"/>
        </w:rPr>
        <w:t>等内容组成。</w:t>
      </w:r>
    </w:p>
    <w:p w14:paraId="0D2E57C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sectPr>
          <w:footerReference r:id="rId3" w:type="default"/>
          <w:pgSz w:w="11906" w:h="16838"/>
          <w:pgMar w:top="1418" w:right="1134" w:bottom="1134" w:left="1588" w:header="851" w:footer="992" w:gutter="0"/>
          <w:pgBorders>
            <w:top w:val="none" w:sz="0" w:space="0"/>
            <w:left w:val="none" w:sz="0" w:space="0"/>
            <w:bottom w:val="none" w:sz="0" w:space="0"/>
            <w:right w:val="none" w:sz="0" w:space="0"/>
          </w:pgBorders>
          <w:pgNumType w:fmt="decimal"/>
          <w:cols w:space="720" w:num="1"/>
          <w:titlePg/>
          <w:docGrid w:type="lines" w:linePitch="326" w:charSpace="6144"/>
        </w:sect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本安全评价报告在编制过程中</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得到了</w:t>
      </w:r>
      <w:r>
        <w:rPr>
          <w:rFonts w:hint="default" w:ascii="Times New Roman" w:hAnsi="Times New Roman" w:cs="Times New Roman"/>
          <w:color w:val="000000" w:themeColor="text1"/>
          <w:sz w:val="28"/>
          <w:szCs w:val="28"/>
          <w14:textFill>
            <w14:solidFill>
              <w14:schemeClr w14:val="tx1"/>
            </w14:solidFill>
          </w14:textFill>
        </w:rPr>
        <w:t>的领导及相关人员的大力支持配合，</w:t>
      </w:r>
      <w:r>
        <w:rPr>
          <w:rFonts w:hint="default" w:ascii="Times New Roman" w:hAnsi="Times New Roman" w:cs="Times New Roman"/>
          <w:color w:val="000000" w:themeColor="text1"/>
          <w:sz w:val="28"/>
          <w:szCs w:val="28"/>
          <w:lang w:val="en-US" w:eastAsia="zh-CN"/>
          <w14:textFill>
            <w14:solidFill>
              <w14:schemeClr w14:val="tx1"/>
            </w14:solidFill>
          </w14:textFill>
        </w:rPr>
        <w:t>在此一并表示感谢</w:t>
      </w:r>
      <w:r>
        <w:rPr>
          <w:rFonts w:hint="eastAsia" w:cs="Times New Roman"/>
          <w:color w:val="000000" w:themeColor="text1"/>
          <w:sz w:val="28"/>
          <w:szCs w:val="28"/>
          <w:lang w:val="en-US" w:eastAsia="zh-CN"/>
          <w14:textFill>
            <w14:solidFill>
              <w14:schemeClr w14:val="tx1"/>
            </w14:solidFill>
          </w14:textFill>
        </w:rPr>
        <w:t>。</w:t>
      </w:r>
    </w:p>
    <w:sdt>
      <w:sdtPr>
        <w:rPr>
          <w:rFonts w:ascii="宋体" w:hAnsi="宋体" w:eastAsia="宋体" w:cs="Times New Roman"/>
          <w:kern w:val="2"/>
          <w:sz w:val="21"/>
          <w:szCs w:val="24"/>
          <w:lang w:val="en-US" w:eastAsia="zh-CN" w:bidi="ar-SA"/>
        </w:rPr>
        <w:id w:val="147474203"/>
        <w15:color w:val="DBDBDB"/>
        <w:docPartObj>
          <w:docPartGallery w:val="Table of Contents"/>
          <w:docPartUnique/>
        </w:docPartObj>
      </w:sdtPr>
      <w:sdtEndPr>
        <w:rPr>
          <w:rFonts w:hint="default" w:ascii="Times New Roman" w:hAnsi="Times New Roman" w:eastAsia="宋体" w:cs="Times New Roman"/>
          <w:b/>
          <w:color w:val="000000" w:themeColor="text1"/>
          <w:kern w:val="2"/>
          <w:sz w:val="21"/>
          <w:szCs w:val="28"/>
          <w:lang w:val="en-US" w:eastAsia="zh-CN" w:bidi="ar-SA"/>
          <w14:textFill>
            <w14:solidFill>
              <w14:schemeClr w14:val="tx1"/>
            </w14:solidFill>
          </w14:textFill>
        </w:rPr>
      </w:sdtEndPr>
      <w:sdtContent>
        <w:p w14:paraId="35DB270A">
          <w:pPr>
            <w:keepNext w:val="0"/>
            <w:keepLines w:val="0"/>
            <w:pageBreakBefore w:val="0"/>
            <w:widowControl w:val="0"/>
            <w:kinsoku/>
            <w:wordWrap/>
            <w:overflowPunct/>
            <w:topLinePunct w:val="0"/>
            <w:autoSpaceDE/>
            <w:autoSpaceDN/>
            <w:bidi w:val="0"/>
            <w:adjustRightInd w:val="0"/>
            <w:snapToGrid w:val="0"/>
            <w:spacing w:before="164" w:beforeLines="50" w:after="164" w:afterLines="50" w:line="360" w:lineRule="auto"/>
            <w:ind w:left="0" w:leftChars="0" w:right="0" w:rightChars="0" w:firstLine="0" w:firstLineChars="0"/>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目</w:t>
          </w: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rPr>
            <w:t>录</w:t>
          </w:r>
        </w:p>
        <w:p w14:paraId="08D32D39">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instrText xml:space="preserve">TOC \o "1-2" \h \u </w:instrText>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_Toc26956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snapToGrid w:val="0"/>
              <w:sz w:val="28"/>
              <w:szCs w:val="28"/>
            </w:rPr>
            <w:t>1安全评价工作经过</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_Toc26956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1</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35DE65C6">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sz w:val="28"/>
              <w:szCs w:val="28"/>
              <w:lang w:val="en-US" w:eastAsia="zh-CN"/>
            </w:rPr>
            <w:instrText xml:space="preserve"> HYPERLINK \l _Toc6525 </w:instrText>
          </w:r>
          <w:r>
            <w:rPr>
              <w:rFonts w:hint="default" w:ascii="Times New Roman" w:hAnsi="Times New Roman" w:eastAsia="黑体" w:cs="Times New Roman"/>
              <w:b w:val="0"/>
              <w:bCs w:val="0"/>
              <w:sz w:val="28"/>
              <w:szCs w:val="28"/>
              <w:lang w:val="en-US" w:eastAsia="zh-CN"/>
            </w:rPr>
            <w:fldChar w:fldCharType="separate"/>
          </w:r>
          <w:r>
            <w:rPr>
              <w:rFonts w:hint="default" w:ascii="Times New Roman" w:hAnsi="Times New Roman" w:eastAsia="黑体" w:cs="Times New Roman"/>
              <w:b w:val="0"/>
              <w:bCs w:val="0"/>
              <w:sz w:val="28"/>
              <w:szCs w:val="28"/>
            </w:rPr>
            <w:t>1.1前期准备情况</w:t>
          </w:r>
          <w:r>
            <w:rPr>
              <w:rFonts w:hint="default" w:ascii="Times New Roman" w:hAnsi="Times New Roman" w:eastAsia="黑体" w:cs="Times New Roman"/>
              <w:b w:val="0"/>
              <w:bCs w:val="0"/>
              <w:sz w:val="28"/>
              <w:szCs w:val="28"/>
            </w:rPr>
            <w:tab/>
          </w:r>
          <w:r>
            <w:rPr>
              <w:rFonts w:hint="default" w:ascii="Times New Roman" w:hAnsi="Times New Roman" w:eastAsia="黑体" w:cs="Times New Roman"/>
              <w:b w:val="0"/>
              <w:bCs w:val="0"/>
              <w:sz w:val="28"/>
              <w:szCs w:val="28"/>
            </w:rPr>
            <w:fldChar w:fldCharType="begin"/>
          </w:r>
          <w:r>
            <w:rPr>
              <w:rFonts w:hint="default" w:ascii="Times New Roman" w:hAnsi="Times New Roman" w:eastAsia="黑体" w:cs="Times New Roman"/>
              <w:b w:val="0"/>
              <w:bCs w:val="0"/>
              <w:sz w:val="28"/>
              <w:szCs w:val="28"/>
            </w:rPr>
            <w:instrText xml:space="preserve"> PAGEREF _Toc6525 \h </w:instrText>
          </w:r>
          <w:r>
            <w:rPr>
              <w:rFonts w:hint="default" w:ascii="Times New Roman" w:hAnsi="Times New Roman" w:eastAsia="黑体" w:cs="Times New Roman"/>
              <w:b w:val="0"/>
              <w:bCs w:val="0"/>
              <w:sz w:val="28"/>
              <w:szCs w:val="28"/>
            </w:rPr>
            <w:fldChar w:fldCharType="separate"/>
          </w:r>
          <w:r>
            <w:rPr>
              <w:rFonts w:hint="default" w:ascii="Times New Roman" w:hAnsi="Times New Roman" w:eastAsia="黑体" w:cs="Times New Roman"/>
              <w:b w:val="0"/>
              <w:bCs w:val="0"/>
              <w:sz w:val="28"/>
              <w:szCs w:val="28"/>
            </w:rPr>
            <w:t>1</w:t>
          </w:r>
          <w:r>
            <w:rPr>
              <w:rFonts w:hint="default" w:ascii="Times New Roman" w:hAnsi="Times New Roman" w:eastAsia="黑体" w:cs="Times New Roman"/>
              <w:b w:val="0"/>
              <w:bCs w:val="0"/>
              <w:sz w:val="28"/>
              <w:szCs w:val="28"/>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0D5224E7">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sz w:val="28"/>
              <w:szCs w:val="28"/>
              <w:lang w:val="en-US" w:eastAsia="zh-CN"/>
            </w:rPr>
            <w:instrText xml:space="preserve"> HYPERLINK \l _Toc5631 </w:instrText>
          </w:r>
          <w:r>
            <w:rPr>
              <w:rFonts w:hint="default" w:ascii="Times New Roman" w:hAnsi="Times New Roman" w:eastAsia="黑体" w:cs="Times New Roman"/>
              <w:b w:val="0"/>
              <w:bCs w:val="0"/>
              <w:sz w:val="28"/>
              <w:szCs w:val="28"/>
              <w:lang w:val="en-US" w:eastAsia="zh-CN"/>
            </w:rPr>
            <w:fldChar w:fldCharType="separate"/>
          </w:r>
          <w:r>
            <w:rPr>
              <w:rFonts w:hint="default" w:ascii="Times New Roman" w:hAnsi="Times New Roman" w:eastAsia="黑体" w:cs="Times New Roman"/>
              <w:b w:val="0"/>
              <w:bCs w:val="0"/>
              <w:sz w:val="28"/>
              <w:szCs w:val="28"/>
            </w:rPr>
            <w:t>1.2安全评价目的</w:t>
          </w:r>
          <w:r>
            <w:rPr>
              <w:rFonts w:hint="default" w:ascii="Times New Roman" w:hAnsi="Times New Roman" w:eastAsia="黑体" w:cs="Times New Roman"/>
              <w:b w:val="0"/>
              <w:bCs w:val="0"/>
              <w:sz w:val="28"/>
              <w:szCs w:val="28"/>
            </w:rPr>
            <w:tab/>
          </w:r>
          <w:r>
            <w:rPr>
              <w:rFonts w:hint="default" w:ascii="Times New Roman" w:hAnsi="Times New Roman" w:eastAsia="黑体" w:cs="Times New Roman"/>
              <w:b w:val="0"/>
              <w:bCs w:val="0"/>
              <w:sz w:val="28"/>
              <w:szCs w:val="28"/>
            </w:rPr>
            <w:fldChar w:fldCharType="begin"/>
          </w:r>
          <w:r>
            <w:rPr>
              <w:rFonts w:hint="default" w:ascii="Times New Roman" w:hAnsi="Times New Roman" w:eastAsia="黑体" w:cs="Times New Roman"/>
              <w:b w:val="0"/>
              <w:bCs w:val="0"/>
              <w:sz w:val="28"/>
              <w:szCs w:val="28"/>
            </w:rPr>
            <w:instrText xml:space="preserve"> PAGEREF _Toc5631 \h </w:instrText>
          </w:r>
          <w:r>
            <w:rPr>
              <w:rFonts w:hint="default" w:ascii="Times New Roman" w:hAnsi="Times New Roman" w:eastAsia="黑体" w:cs="Times New Roman"/>
              <w:b w:val="0"/>
              <w:bCs w:val="0"/>
              <w:sz w:val="28"/>
              <w:szCs w:val="28"/>
            </w:rPr>
            <w:fldChar w:fldCharType="separate"/>
          </w:r>
          <w:r>
            <w:rPr>
              <w:rFonts w:hint="default" w:ascii="Times New Roman" w:hAnsi="Times New Roman" w:eastAsia="黑体" w:cs="Times New Roman"/>
              <w:b w:val="0"/>
              <w:bCs w:val="0"/>
              <w:sz w:val="28"/>
              <w:szCs w:val="28"/>
            </w:rPr>
            <w:t>1</w:t>
          </w:r>
          <w:r>
            <w:rPr>
              <w:rFonts w:hint="default" w:ascii="Times New Roman" w:hAnsi="Times New Roman" w:eastAsia="黑体" w:cs="Times New Roman"/>
              <w:b w:val="0"/>
              <w:bCs w:val="0"/>
              <w:sz w:val="28"/>
              <w:szCs w:val="28"/>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4589A1AE">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sz w:val="28"/>
              <w:szCs w:val="28"/>
              <w:lang w:val="en-US" w:eastAsia="zh-CN"/>
            </w:rPr>
            <w:instrText xml:space="preserve"> HYPERLINK \l _Toc5415 </w:instrText>
          </w:r>
          <w:r>
            <w:rPr>
              <w:rFonts w:hint="default" w:ascii="Times New Roman" w:hAnsi="Times New Roman" w:eastAsia="黑体" w:cs="Times New Roman"/>
              <w:b w:val="0"/>
              <w:bCs w:val="0"/>
              <w:sz w:val="28"/>
              <w:szCs w:val="28"/>
              <w:lang w:val="en-US" w:eastAsia="zh-CN"/>
            </w:rPr>
            <w:fldChar w:fldCharType="separate"/>
          </w:r>
          <w:r>
            <w:rPr>
              <w:rFonts w:hint="default" w:ascii="Times New Roman" w:hAnsi="Times New Roman" w:eastAsia="黑体" w:cs="Times New Roman"/>
              <w:b w:val="0"/>
              <w:bCs w:val="0"/>
              <w:sz w:val="28"/>
              <w:szCs w:val="28"/>
            </w:rPr>
            <w:t>1.3评价对象和范围</w:t>
          </w:r>
          <w:r>
            <w:rPr>
              <w:rFonts w:hint="default" w:ascii="Times New Roman" w:hAnsi="Times New Roman" w:eastAsia="黑体" w:cs="Times New Roman"/>
              <w:b w:val="0"/>
              <w:bCs w:val="0"/>
              <w:sz w:val="28"/>
              <w:szCs w:val="28"/>
            </w:rPr>
            <w:tab/>
          </w:r>
          <w:r>
            <w:rPr>
              <w:rFonts w:hint="default" w:ascii="Times New Roman" w:hAnsi="Times New Roman" w:eastAsia="黑体" w:cs="Times New Roman"/>
              <w:b w:val="0"/>
              <w:bCs w:val="0"/>
              <w:sz w:val="28"/>
              <w:szCs w:val="28"/>
            </w:rPr>
            <w:fldChar w:fldCharType="begin"/>
          </w:r>
          <w:r>
            <w:rPr>
              <w:rFonts w:hint="default" w:ascii="Times New Roman" w:hAnsi="Times New Roman" w:eastAsia="黑体" w:cs="Times New Roman"/>
              <w:b w:val="0"/>
              <w:bCs w:val="0"/>
              <w:sz w:val="28"/>
              <w:szCs w:val="28"/>
            </w:rPr>
            <w:instrText xml:space="preserve"> PAGEREF _Toc5415 \h </w:instrText>
          </w:r>
          <w:r>
            <w:rPr>
              <w:rFonts w:hint="default" w:ascii="Times New Roman" w:hAnsi="Times New Roman" w:eastAsia="黑体" w:cs="Times New Roman"/>
              <w:b w:val="0"/>
              <w:bCs w:val="0"/>
              <w:sz w:val="28"/>
              <w:szCs w:val="28"/>
            </w:rPr>
            <w:fldChar w:fldCharType="separate"/>
          </w:r>
          <w:r>
            <w:rPr>
              <w:rFonts w:hint="default" w:ascii="Times New Roman" w:hAnsi="Times New Roman" w:eastAsia="黑体" w:cs="Times New Roman"/>
              <w:b w:val="0"/>
              <w:bCs w:val="0"/>
              <w:sz w:val="28"/>
              <w:szCs w:val="28"/>
            </w:rPr>
            <w:t>1</w:t>
          </w:r>
          <w:r>
            <w:rPr>
              <w:rFonts w:hint="default" w:ascii="Times New Roman" w:hAnsi="Times New Roman" w:eastAsia="黑体" w:cs="Times New Roman"/>
              <w:b w:val="0"/>
              <w:bCs w:val="0"/>
              <w:sz w:val="28"/>
              <w:szCs w:val="28"/>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26A5112B">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sz w:val="28"/>
              <w:szCs w:val="28"/>
              <w:lang w:val="en-US" w:eastAsia="zh-CN"/>
            </w:rPr>
            <w:instrText xml:space="preserve"> HYPERLINK \l _Toc9687 </w:instrText>
          </w:r>
          <w:r>
            <w:rPr>
              <w:rFonts w:hint="default" w:ascii="Times New Roman" w:hAnsi="Times New Roman" w:eastAsia="黑体" w:cs="Times New Roman"/>
              <w:b w:val="0"/>
              <w:bCs w:val="0"/>
              <w:sz w:val="28"/>
              <w:szCs w:val="28"/>
              <w:lang w:val="en-US" w:eastAsia="zh-CN"/>
            </w:rPr>
            <w:fldChar w:fldCharType="separate"/>
          </w:r>
          <w:r>
            <w:rPr>
              <w:rFonts w:hint="default" w:ascii="Times New Roman" w:hAnsi="Times New Roman" w:eastAsia="黑体" w:cs="Times New Roman"/>
              <w:b w:val="0"/>
              <w:bCs w:val="0"/>
              <w:sz w:val="28"/>
              <w:szCs w:val="28"/>
            </w:rPr>
            <w:t>1.4工作经过和程序</w:t>
          </w:r>
          <w:r>
            <w:rPr>
              <w:rFonts w:hint="default" w:ascii="Times New Roman" w:hAnsi="Times New Roman" w:eastAsia="黑体" w:cs="Times New Roman"/>
              <w:b w:val="0"/>
              <w:bCs w:val="0"/>
              <w:sz w:val="28"/>
              <w:szCs w:val="28"/>
            </w:rPr>
            <w:tab/>
          </w:r>
          <w:r>
            <w:rPr>
              <w:rFonts w:hint="default" w:ascii="Times New Roman" w:hAnsi="Times New Roman" w:eastAsia="黑体" w:cs="Times New Roman"/>
              <w:b w:val="0"/>
              <w:bCs w:val="0"/>
              <w:sz w:val="28"/>
              <w:szCs w:val="28"/>
            </w:rPr>
            <w:fldChar w:fldCharType="begin"/>
          </w:r>
          <w:r>
            <w:rPr>
              <w:rFonts w:hint="default" w:ascii="Times New Roman" w:hAnsi="Times New Roman" w:eastAsia="黑体" w:cs="Times New Roman"/>
              <w:b w:val="0"/>
              <w:bCs w:val="0"/>
              <w:sz w:val="28"/>
              <w:szCs w:val="28"/>
            </w:rPr>
            <w:instrText xml:space="preserve"> PAGEREF _Toc9687 \h </w:instrText>
          </w:r>
          <w:r>
            <w:rPr>
              <w:rFonts w:hint="default" w:ascii="Times New Roman" w:hAnsi="Times New Roman" w:eastAsia="黑体" w:cs="Times New Roman"/>
              <w:b w:val="0"/>
              <w:bCs w:val="0"/>
              <w:sz w:val="28"/>
              <w:szCs w:val="28"/>
            </w:rPr>
            <w:fldChar w:fldCharType="separate"/>
          </w:r>
          <w:r>
            <w:rPr>
              <w:rFonts w:hint="default" w:ascii="Times New Roman" w:hAnsi="Times New Roman" w:eastAsia="黑体" w:cs="Times New Roman"/>
              <w:b w:val="0"/>
              <w:bCs w:val="0"/>
              <w:sz w:val="28"/>
              <w:szCs w:val="28"/>
            </w:rPr>
            <w:t>2</w:t>
          </w:r>
          <w:r>
            <w:rPr>
              <w:rFonts w:hint="default" w:ascii="Times New Roman" w:hAnsi="Times New Roman" w:eastAsia="黑体" w:cs="Times New Roman"/>
              <w:b w:val="0"/>
              <w:bCs w:val="0"/>
              <w:sz w:val="28"/>
              <w:szCs w:val="28"/>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54BC70AA">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_Toc17597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bidi="ar-SA"/>
            </w:rPr>
            <w:t>2建设项目概况</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_Toc17597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3</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1B65DDA9">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_Toc17109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2.1建设单位概况</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_Toc17109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3</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19C8862F">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_Toc3875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2.2建设项目概况</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_Toc3875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3</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2B6D58D8">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_Toc4522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2.3采用的主要技术、工艺和同类项目水平对比情况</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_Toc4522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4</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3F391394">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_Toc25139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2.4建设项目所在地理位置、用地面积、生产或者储存规模</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_Toc25139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40EF2F39">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_Toc31983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2.5工艺流程和主要设备及设施的布局及其上下游生产装置的关系</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_Toc31983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8</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069A65F7">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_Toc2468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2.6配套和辅助工程名称、能力、介质来源</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_Toc2468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12</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78CF31C6">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_Toc1785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2.7主要装置（设备）设施和特种设备</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_Toc1785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17</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66750D5B">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_Toc13835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2.8劳动定员</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_Toc13835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18</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640B4614">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_Toc16214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rPr>
            <w:t>3危险化学品的理化性能指标</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_Toc16214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19</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43305E74">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_Toc31965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rPr>
            <w:t>4危险化学品包装、储存、运输的技术要求</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_Toc31965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22</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4B68CCAD">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_Toc8511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sz w:val="28"/>
              <w:szCs w:val="28"/>
            </w:rPr>
            <w:t>5建设项目的危险、有害因素和危险、有害程度</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_Toc8511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24</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48D68249">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_Toc8613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5.1危险、有害因素</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_Toc8613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24</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01C6E87D">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_Toc2684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5.2危险、有害程度</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_Toc2684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25</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08E4ABF4">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_Toc14796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5.3“两重点一重大”辨识</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_Toc14796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30</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5AE61E83">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_Toc13969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5.4本项目爆炸危险区域划分</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_Toc13969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31</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4D3D11E3">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_Toc1945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bidi="ar-SA"/>
            </w:rPr>
            <w:t>6 建设项目的安全条件</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_Toc1945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35</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1A841DB6">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_Toc18475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6.1建设项目的外部情况</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_Toc18475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35</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3DB136E5">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_Toc3681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6.2建设项目的安全条件</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_Toc3681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36</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12A0E0D2">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_Toc31531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bidi="ar-SA"/>
            </w:rPr>
            <w:t>7主要技术、工艺和装置、设备、设施及其安全可靠性</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_Toc31531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39</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22ACAE6C">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_Toc12537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7.1主要技术、工艺或者方式和装置、设备、设施的安全可靠性</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_Toc12537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39</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23CB91D5">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_Toc11196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7.2主要装置、设备或者设施与危险化学品生产或者储存过程的匹配情况</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_Toc11196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39</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1814F191">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_Toc29922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7.3生产或者储存过程配套和辅助工程分析</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_Toc29922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40</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7C419084">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_Toc848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bidi="ar-SA"/>
            </w:rPr>
            <w:t>8安全对策与建议</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_Toc848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42</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421494E4">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_Toc6102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8.1建设项目的选址</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_Toc6102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42</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52AC974B">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_Toc25225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8.2主要技术、工艺或者方式和装置、设备、设施</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_Toc25225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42</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23948E96">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_Toc21134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8.3配套和辅助工程</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_Toc21134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50</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38357C16">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_Toc5969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8.4主要装置、设备、设施的布局</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_Toc5969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56</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6DB44043">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_Toc15109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8.5安全管理</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_Toc15109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57</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0237C141">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_Toc10405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rPr>
            <w:t>9评价结论</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_Toc10405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60</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4295A191">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_Toc2433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9.1主要危险、有害因素分析结果</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_Toc2433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60</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1BB1068B">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_Toc3563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9.2评价结果</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_Toc3563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60</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7D9C23D5">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_Toc24354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9.3设立安全评价结论</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_Toc24354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60</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0822822D">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_Toc5578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rPr>
            <w:t>10与建设单位交换意见</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_Toc5578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63</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3AEA96B7">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_Toc25047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rPr>
            <w:t>附录1评价依据</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_Toc25047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64</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13D25346">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_Toc8405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F1.1法律</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_Toc8405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64</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70937162">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_Toc24790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F1.2法规、地方法规</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_Toc24790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65</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1DA007D7">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_Toc13970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F1.3部门规章、地方规章</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_Toc13970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66</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73ABBBB7">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_Toc3604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F1.4规范性文件</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_Toc3604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67</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4C3BDB65">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_Toc28570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F1.5国家标准</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_Toc28570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69</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5FEB389C">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_Toc31830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F1.6其它资料或文件</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_Toc31830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72</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6771777C">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_Toc17898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rPr>
            <w:t>附录2选用的安全评价方法简介</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_Toc17898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73</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25D2D337">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_Toc20164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F2.1安全检查表法</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_Toc20164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73</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3A7734D0">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_Toc9381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F2.2预先危险性分析评价法</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_Toc9381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73</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3FEB3621">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_Toc11820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F2.3蒸汽云爆炸灾害模型</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_Toc11820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74</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0D41CA35">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_Toc6852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rPr>
            <w:t>附录F3危险、有害因素分析</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_Toc6852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76</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1AD4C2F8">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_Toc31070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F3.1主要物料危险、有害因素</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_Toc31070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76</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202AC4BF">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_Toc28826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F3.2经营、储存的危险、有害因素分析</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_Toc28826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78</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4D90652C">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_Toc4410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F3.3检维修过程的危险、有害因素分析</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_Toc4410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84</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4AF83121">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_Toc7693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F3.4自然灾害</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_Toc7693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86</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1F7B73B2">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_Toc26222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F3.5重大危险源辨识</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_Toc26222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86</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41D4C336">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_Toc20461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rPr>
            <w:t>附录F4定性、定量分析危险、有害程度的过程</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_Toc20461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89</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6B095B95">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_Toc24060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F4.1安全检查表法</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_Toc24060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89</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1E828702">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_Toc23775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F4.2预先危险性分析</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_Toc23775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92</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1FC730C9">
          <w:pPr>
            <w:pStyle w:val="11"/>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ind w:left="0" w:firstLine="280" w:firstLineChars="100"/>
            <w:textAlignment w:val="auto"/>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HYPERLINK \l _Toc2803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F4.3蒸汽云爆炸模拟</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ab/>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instrText xml:space="preserve"> PAGEREF _Toc2803 \h </w:instrTex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separate"/>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t>101</w:t>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r>
            <w:rPr>
              <w:rFonts w:hint="default" w:ascii="Times New Roman" w:hAnsi="Times New Roman" w:eastAsia="黑体" w:cs="Times New Roman"/>
              <w:b w:val="0"/>
              <w:bCs w:val="0"/>
              <w:color w:val="000000" w:themeColor="text1"/>
              <w:sz w:val="28"/>
              <w:szCs w:val="28"/>
              <w:lang w:val="en-US" w:eastAsia="zh-CN"/>
              <w14:textFill>
                <w14:solidFill>
                  <w14:schemeClr w14:val="tx1"/>
                </w14:solidFill>
              </w14:textFill>
            </w:rPr>
            <w:fldChar w:fldCharType="end"/>
          </w:r>
        </w:p>
        <w:p w14:paraId="62B0C9E4">
          <w:pPr>
            <w:pStyle w:val="10"/>
            <w:keepNext w:val="0"/>
            <w:keepLines w:val="0"/>
            <w:pageBreakBefore w:val="0"/>
            <w:widowControl w:val="0"/>
            <w:tabs>
              <w:tab w:val="right" w:leader="dot" w:pos="9184"/>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bCs/>
              <w:sz w:val="28"/>
              <w:szCs w:val="28"/>
            </w:r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begin"/>
          </w:r>
          <w:r>
            <w:rPr>
              <w:rFonts w:hint="default" w:ascii="Times New Roman" w:hAnsi="Times New Roman" w:eastAsia="黑体" w:cs="Times New Roman"/>
              <w:b/>
              <w:bCs/>
              <w:sz w:val="28"/>
              <w:szCs w:val="28"/>
              <w:lang w:val="en-US" w:eastAsia="zh-CN"/>
            </w:rPr>
            <w:instrText xml:space="preserve"> HYPERLINK \l _Toc20141 </w:instrText>
          </w:r>
          <w:r>
            <w:rPr>
              <w:rFonts w:hint="default" w:ascii="Times New Roman" w:hAnsi="Times New Roman" w:eastAsia="黑体" w:cs="Times New Roman"/>
              <w:b/>
              <w:bCs/>
              <w:sz w:val="28"/>
              <w:szCs w:val="28"/>
              <w:lang w:val="en-US" w:eastAsia="zh-CN"/>
            </w:rPr>
            <w:fldChar w:fldCharType="separate"/>
          </w:r>
          <w:r>
            <w:rPr>
              <w:rFonts w:hint="default" w:ascii="Times New Roman" w:hAnsi="Times New Roman" w:eastAsia="黑体" w:cs="Times New Roman"/>
              <w:b/>
              <w:bCs/>
              <w:kern w:val="32"/>
              <w:sz w:val="28"/>
              <w:szCs w:val="28"/>
              <w:lang w:val="en-US" w:eastAsia="zh-CN" w:bidi="ar-SA"/>
            </w:rPr>
            <w:t>附录F5报告附件目录</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fldChar w:fldCharType="begin"/>
          </w:r>
          <w:r>
            <w:rPr>
              <w:rFonts w:hint="default" w:ascii="Times New Roman" w:hAnsi="Times New Roman" w:eastAsia="黑体" w:cs="Times New Roman"/>
              <w:b/>
              <w:bCs/>
              <w:sz w:val="28"/>
              <w:szCs w:val="28"/>
            </w:rPr>
            <w:instrText xml:space="preserve"> PAGEREF _Toc20141 \h </w:instrText>
          </w:r>
          <w:r>
            <w:rPr>
              <w:rFonts w:hint="default" w:ascii="Times New Roman" w:hAnsi="Times New Roman" w:eastAsia="黑体" w:cs="Times New Roman"/>
              <w:b/>
              <w:bCs/>
              <w:sz w:val="28"/>
              <w:szCs w:val="28"/>
            </w:rPr>
            <w:fldChar w:fldCharType="separate"/>
          </w:r>
          <w:r>
            <w:rPr>
              <w:rFonts w:hint="default" w:ascii="Times New Roman" w:hAnsi="Times New Roman" w:eastAsia="黑体" w:cs="Times New Roman"/>
              <w:b/>
              <w:bCs/>
              <w:sz w:val="28"/>
              <w:szCs w:val="28"/>
            </w:rPr>
            <w:t>102</w:t>
          </w:r>
          <w:r>
            <w:rPr>
              <w:rFonts w:hint="default" w:ascii="Times New Roman" w:hAnsi="Times New Roman" w:eastAsia="黑体" w:cs="Times New Roman"/>
              <w:b/>
              <w:bCs/>
              <w:sz w:val="28"/>
              <w:szCs w:val="28"/>
            </w:rPr>
            <w:fldChar w:fldCharType="end"/>
          </w: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p w14:paraId="12796E1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color w:val="000000" w:themeColor="text1"/>
              <w:kern w:val="2"/>
              <w:sz w:val="21"/>
              <w:szCs w:val="28"/>
              <w:lang w:val="en-US" w:eastAsia="zh-CN" w:bidi="ar-SA"/>
              <w14:textFill>
                <w14:solidFill>
                  <w14:schemeClr w14:val="tx1"/>
                </w14:solidFill>
              </w14:textFill>
            </w:rPr>
            <w:sectPr>
              <w:pgSz w:w="11906" w:h="16838"/>
              <w:pgMar w:top="1418" w:right="1134" w:bottom="1134" w:left="1588" w:header="851" w:footer="992" w:gutter="0"/>
              <w:pgBorders>
                <w:top w:val="none" w:sz="0" w:space="0"/>
                <w:left w:val="none" w:sz="0" w:space="0"/>
                <w:bottom w:val="none" w:sz="0" w:space="0"/>
                <w:right w:val="none" w:sz="0" w:space="0"/>
              </w:pgBorders>
              <w:pgNumType w:fmt="decimal"/>
              <w:cols w:space="720" w:num="1"/>
              <w:titlePg/>
              <w:docGrid w:type="lines" w:linePitch="326" w:charSpace="6144"/>
            </w:sectPr>
          </w:pPr>
          <w:r>
            <w:rPr>
              <w:rFonts w:hint="default" w:ascii="Times New Roman" w:hAnsi="Times New Roman" w:eastAsia="黑体" w:cs="Times New Roman"/>
              <w:b/>
              <w:bCs/>
              <w:color w:val="000000" w:themeColor="text1"/>
              <w:sz w:val="28"/>
              <w:szCs w:val="28"/>
              <w:lang w:val="en-US" w:eastAsia="zh-CN"/>
              <w14:textFill>
                <w14:solidFill>
                  <w14:schemeClr w14:val="tx1"/>
                </w14:solidFill>
              </w14:textFill>
            </w:rPr>
            <w:fldChar w:fldCharType="end"/>
          </w:r>
        </w:p>
      </w:sdtContent>
    </w:sdt>
    <w:p w14:paraId="4F586737">
      <w:pPr>
        <w:ind w:firstLine="320"/>
        <w:jc w:val="center"/>
        <w:rPr>
          <w:color w:val="auto"/>
          <w:sz w:val="32"/>
          <w:szCs w:val="32"/>
          <w:highlight w:val="none"/>
        </w:rPr>
      </w:pPr>
      <w:bookmarkStart w:id="5" w:name="_Toc30062"/>
      <w:bookmarkStart w:id="6" w:name="_Toc26956"/>
      <w:bookmarkStart w:id="7" w:name="_Toc41246655"/>
      <w:bookmarkStart w:id="8" w:name="_Toc410311946"/>
      <w:bookmarkStart w:id="9" w:name="_Toc410311869"/>
      <w:r>
        <w:rPr>
          <w:color w:val="auto"/>
          <w:sz w:val="32"/>
          <w:szCs w:val="32"/>
          <w:highlight w:val="none"/>
        </w:rPr>
        <w:t>术语和定义</w:t>
      </w:r>
    </w:p>
    <w:p w14:paraId="1665220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bookmarkStart w:id="10" w:name="_Toc14794"/>
      <w:r>
        <w:rPr>
          <w:bCs/>
          <w:color w:val="auto"/>
          <w:kern w:val="0"/>
          <w:sz w:val="28"/>
          <w:szCs w:val="28"/>
          <w:highlight w:val="none"/>
        </w:rPr>
        <w:t>（1）化学品</w:t>
      </w:r>
      <w:bookmarkEnd w:id="10"/>
    </w:p>
    <w:p w14:paraId="286D692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r>
        <w:rPr>
          <w:bCs/>
          <w:color w:val="auto"/>
          <w:kern w:val="0"/>
          <w:sz w:val="28"/>
          <w:szCs w:val="28"/>
          <w:highlight w:val="none"/>
        </w:rPr>
        <w:t>指各种化学元素、由元素组成的化合物及其混合物，包括天然的或者人造的。</w:t>
      </w:r>
    </w:p>
    <w:p w14:paraId="5511355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bookmarkStart w:id="11" w:name="_Toc29487"/>
      <w:r>
        <w:rPr>
          <w:bCs/>
          <w:color w:val="auto"/>
          <w:kern w:val="0"/>
          <w:sz w:val="28"/>
          <w:szCs w:val="28"/>
          <w:highlight w:val="none"/>
        </w:rPr>
        <w:t>（2）危险化学品</w:t>
      </w:r>
      <w:bookmarkEnd w:id="11"/>
    </w:p>
    <w:p w14:paraId="049DA7C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r>
        <w:rPr>
          <w:bCs/>
          <w:color w:val="auto"/>
          <w:kern w:val="0"/>
          <w:sz w:val="28"/>
          <w:szCs w:val="28"/>
          <w:highlight w:val="none"/>
        </w:rPr>
        <w:t>指具有爆炸、燃烧、助燃、毒害、腐蚀等性质且对接触的人员、设施、环境可能造成伤害或者损害的化学品。</w:t>
      </w:r>
    </w:p>
    <w:p w14:paraId="0425D51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bookmarkStart w:id="12" w:name="_Toc28391"/>
      <w:r>
        <w:rPr>
          <w:bCs/>
          <w:color w:val="auto"/>
          <w:kern w:val="0"/>
          <w:sz w:val="28"/>
          <w:szCs w:val="28"/>
          <w:highlight w:val="none"/>
        </w:rPr>
        <w:t>（3）新建项目</w:t>
      </w:r>
      <w:bookmarkEnd w:id="12"/>
    </w:p>
    <w:p w14:paraId="02F32C4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r>
        <w:rPr>
          <w:bCs/>
          <w:color w:val="auto"/>
          <w:kern w:val="0"/>
          <w:sz w:val="28"/>
          <w:szCs w:val="28"/>
          <w:highlight w:val="none"/>
        </w:rPr>
        <w:t>指拟依法设立的企业建设伴有危险化学品产生的化学品或者危险化学品生产、储存装置（设施）和现有企业（单位）拟建与现有生产、储存活动不同的伴有危险化学品产生的化学品或者危险化学品生产、储存装置（设施）的建设项目。</w:t>
      </w:r>
    </w:p>
    <w:p w14:paraId="0C46C1B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bookmarkStart w:id="13" w:name="_Toc507"/>
      <w:r>
        <w:rPr>
          <w:bCs/>
          <w:color w:val="auto"/>
          <w:kern w:val="0"/>
          <w:sz w:val="28"/>
          <w:szCs w:val="28"/>
          <w:highlight w:val="none"/>
        </w:rPr>
        <w:t>（4）改建项目</w:t>
      </w:r>
      <w:bookmarkEnd w:id="13"/>
    </w:p>
    <w:p w14:paraId="2042A14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r>
        <w:rPr>
          <w:bCs/>
          <w:color w:val="auto"/>
          <w:kern w:val="0"/>
          <w:sz w:val="28"/>
          <w:szCs w:val="28"/>
          <w:highlight w:val="none"/>
        </w:rPr>
        <w:t>指企业对在役伴有危险化学品产生的化学品或者危险化学品生产、储存装置（设施），在原址或者易地更新技术、工艺和改变原设计的生产、储存危险化学品种类及主要装置（设施、设备）、危险化学品作业场所的建设项目。</w:t>
      </w:r>
    </w:p>
    <w:p w14:paraId="591AB2D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bookmarkStart w:id="14" w:name="_Toc31803"/>
      <w:r>
        <w:rPr>
          <w:bCs/>
          <w:color w:val="auto"/>
          <w:kern w:val="0"/>
          <w:sz w:val="28"/>
          <w:szCs w:val="28"/>
          <w:highlight w:val="none"/>
        </w:rPr>
        <w:t>（5）扩建项目</w:t>
      </w:r>
      <w:bookmarkEnd w:id="14"/>
    </w:p>
    <w:p w14:paraId="6C62BDE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r>
        <w:rPr>
          <w:bCs/>
          <w:color w:val="auto"/>
          <w:kern w:val="0"/>
          <w:sz w:val="28"/>
          <w:szCs w:val="28"/>
          <w:highlight w:val="none"/>
        </w:rPr>
        <w:t>指企业（单位）拟建与现有伴有危险化学品产生的化学品或者危险化学品品种相同且生产、储存装置（设施）相对独立的建设项目。</w:t>
      </w:r>
    </w:p>
    <w:p w14:paraId="0475A56F">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bookmarkStart w:id="15" w:name="_Toc24692"/>
      <w:r>
        <w:rPr>
          <w:bCs/>
          <w:color w:val="auto"/>
          <w:kern w:val="0"/>
          <w:sz w:val="28"/>
          <w:szCs w:val="28"/>
          <w:highlight w:val="none"/>
        </w:rPr>
        <w:t>安全设施</w:t>
      </w:r>
      <w:bookmarkEnd w:id="15"/>
    </w:p>
    <w:p w14:paraId="181FD73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r>
        <w:rPr>
          <w:bCs/>
          <w:color w:val="auto"/>
          <w:kern w:val="0"/>
          <w:sz w:val="28"/>
          <w:szCs w:val="28"/>
          <w:highlight w:val="none"/>
        </w:rPr>
        <w:t>指企业（单位）在生产经营活动中将危险因素、有害因素控制在安全范围内以及预防、减少、消除危害所配备的装置（设备）和采取的措施。</w:t>
      </w:r>
    </w:p>
    <w:p w14:paraId="780C3C7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bookmarkStart w:id="16" w:name="_Toc12938"/>
      <w:r>
        <w:rPr>
          <w:bCs/>
          <w:color w:val="auto"/>
          <w:kern w:val="0"/>
          <w:sz w:val="28"/>
          <w:szCs w:val="28"/>
          <w:highlight w:val="none"/>
        </w:rPr>
        <w:t>（7）作业场所</w:t>
      </w:r>
      <w:bookmarkEnd w:id="16"/>
    </w:p>
    <w:p w14:paraId="020639E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r>
        <w:rPr>
          <w:bCs/>
          <w:color w:val="auto"/>
          <w:kern w:val="0"/>
          <w:sz w:val="28"/>
          <w:szCs w:val="28"/>
          <w:highlight w:val="none"/>
        </w:rPr>
        <w:t>指可能使从业人员接触危险化学品的任何作业活动场所，包括从事危险化学品的生产、操作、处置、储存、搬运、运输、废弃危险化学品的处置或者处理等场所。</w:t>
      </w:r>
    </w:p>
    <w:p w14:paraId="520A6B3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bookmarkStart w:id="17" w:name="_Toc6389"/>
      <w:r>
        <w:rPr>
          <w:bCs/>
          <w:color w:val="auto"/>
          <w:kern w:val="0"/>
          <w:sz w:val="28"/>
          <w:szCs w:val="28"/>
          <w:highlight w:val="none"/>
        </w:rPr>
        <w:t>（8）安全评价单元</w:t>
      </w:r>
      <w:bookmarkEnd w:id="17"/>
    </w:p>
    <w:p w14:paraId="3AD5E30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pPr>
      <w:r>
        <w:rPr>
          <w:bCs/>
          <w:color w:val="auto"/>
          <w:kern w:val="0"/>
          <w:sz w:val="28"/>
          <w:szCs w:val="28"/>
          <w:highlight w:val="none"/>
        </w:rPr>
        <w:t>根据建设项目安全评价的需要，将建设项目划分为一些相对独立部分,其中每个相对独立部分称为评价单元。</w:t>
      </w:r>
    </w:p>
    <w:p w14:paraId="3E1C4C36">
      <w:pPr>
        <w:rPr>
          <w:bCs/>
          <w:color w:val="auto"/>
          <w:kern w:val="0"/>
          <w:sz w:val="28"/>
          <w:szCs w:val="28"/>
          <w:highlight w:val="none"/>
        </w:rPr>
      </w:pPr>
      <w:r>
        <w:rPr>
          <w:bCs/>
          <w:color w:val="auto"/>
          <w:kern w:val="0"/>
          <w:sz w:val="28"/>
          <w:szCs w:val="28"/>
          <w:highlight w:val="none"/>
        </w:rPr>
        <w:br w:type="page"/>
      </w:r>
    </w:p>
    <w:p w14:paraId="70AFDB3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bCs/>
          <w:color w:val="auto"/>
          <w:kern w:val="0"/>
          <w:sz w:val="28"/>
          <w:szCs w:val="28"/>
          <w:highlight w:val="none"/>
        </w:rPr>
        <w:sectPr>
          <w:headerReference r:id="rId4" w:type="default"/>
          <w:footerReference r:id="rId5" w:type="default"/>
          <w:pgSz w:w="11906" w:h="16838"/>
          <w:pgMar w:top="1418" w:right="1134" w:bottom="1134" w:left="1588" w:header="851" w:footer="992" w:gutter="0"/>
          <w:pgBorders>
            <w:top w:val="none" w:sz="0" w:space="0"/>
            <w:left w:val="none" w:sz="0" w:space="0"/>
            <w:bottom w:val="none" w:sz="0" w:space="0"/>
            <w:right w:val="none" w:sz="0" w:space="0"/>
          </w:pgBorders>
          <w:pgNumType w:fmt="decimal" w:start="1"/>
          <w:cols w:space="720" w:num="1"/>
          <w:docGrid w:type="lines" w:linePitch="326" w:charSpace="6144"/>
        </w:sectPr>
      </w:pPr>
    </w:p>
    <w:p w14:paraId="0F33FC90">
      <w:pPr>
        <w:pStyle w:val="2"/>
        <w:keepNext/>
        <w:keepLines/>
        <w:pageBreakBefore w:val="0"/>
        <w:widowControl w:val="0"/>
        <w:tabs>
          <w:tab w:val="left" w:pos="0"/>
        </w:tabs>
        <w:kinsoku/>
        <w:wordWrap/>
        <w:overflowPunct/>
        <w:topLinePunct w:val="0"/>
        <w:autoSpaceDE/>
        <w:autoSpaceDN/>
        <w:bidi w:val="0"/>
        <w:adjustRightInd w:val="0"/>
        <w:snapToGrid w:val="0"/>
        <w:spacing w:before="469" w:beforeLines="150" w:after="469" w:afterLines="150" w:line="360" w:lineRule="auto"/>
        <w:textAlignment w:val="auto"/>
        <w:rPr>
          <w:rFonts w:hint="default" w:ascii="Times New Roman" w:hAnsi="Times New Roman" w:cs="Times New Roman"/>
          <w:b/>
          <w:bCs/>
          <w:snapToGrid w:val="0"/>
          <w:color w:val="auto"/>
        </w:rPr>
      </w:pPr>
      <w:r>
        <w:rPr>
          <w:rFonts w:hint="default" w:ascii="Times New Roman" w:hAnsi="Times New Roman" w:cs="Times New Roman"/>
          <w:b/>
          <w:bCs/>
          <w:snapToGrid w:val="0"/>
          <w:color w:val="auto"/>
        </w:rPr>
        <w:t>1</w:t>
      </w:r>
      <w:bookmarkStart w:id="18" w:name="_Toc410311922"/>
      <w:bookmarkStart w:id="19" w:name="_Toc410311999"/>
      <w:r>
        <w:rPr>
          <w:rFonts w:hint="default" w:ascii="Times New Roman" w:hAnsi="Times New Roman" w:cs="Times New Roman"/>
          <w:b/>
          <w:bCs/>
          <w:snapToGrid w:val="0"/>
          <w:color w:val="auto"/>
        </w:rPr>
        <w:t>安全评价工作经过</w:t>
      </w:r>
      <w:bookmarkEnd w:id="5"/>
      <w:bookmarkEnd w:id="6"/>
      <w:bookmarkEnd w:id="7"/>
      <w:bookmarkEnd w:id="18"/>
      <w:bookmarkEnd w:id="19"/>
    </w:p>
    <w:p w14:paraId="2CB9B470">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rPr>
      </w:pPr>
      <w:bookmarkStart w:id="20" w:name="_Toc410311924"/>
      <w:bookmarkStart w:id="21" w:name="_Toc6525"/>
      <w:bookmarkStart w:id="22" w:name="_Toc41246656"/>
      <w:bookmarkStart w:id="23" w:name="_Toc28104"/>
      <w:bookmarkStart w:id="24" w:name="_Toc410312001"/>
      <w:r>
        <w:rPr>
          <w:rFonts w:hint="default" w:ascii="Times New Roman" w:hAnsi="Times New Roman" w:eastAsia="楷体" w:cs="Times New Roman"/>
          <w:color w:val="auto"/>
          <w:sz w:val="32"/>
          <w:szCs w:val="32"/>
        </w:rPr>
        <w:t>1.1前期准备情况</w:t>
      </w:r>
      <w:bookmarkEnd w:id="20"/>
      <w:bookmarkEnd w:id="21"/>
      <w:bookmarkEnd w:id="22"/>
      <w:bookmarkEnd w:id="23"/>
      <w:bookmarkEnd w:id="24"/>
    </w:p>
    <w:p w14:paraId="77B53B3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bookmarkStart w:id="25" w:name="_Toc30770"/>
      <w:bookmarkStart w:id="26" w:name="_Toc41246657"/>
      <w:bookmarkStart w:id="27" w:name="_Toc473675682"/>
      <w:r>
        <w:rPr>
          <w:rFonts w:hint="default" w:ascii="Times New Roman" w:hAnsi="Times New Roman" w:cs="Times New Roman"/>
          <w:sz w:val="28"/>
          <w:szCs w:val="28"/>
        </w:rPr>
        <w:t>为了做好评价工作，我们在开展工作之前，首先根据建设项目的实际情况，与建设单位共同协商确定安全评价对象和范围。在此基础上成立了评价小组、专家小组；确定了评价组负责人；编制了评价大纲；收集了评价工作所需法律、法规及标准规范；进行了项目风险分析等。在充分熟悉企业提供资料基础上，对建设项目的选址进行了现场勘察，为做好安全评价工作进行了较为充分的前期准备。</w:t>
      </w:r>
    </w:p>
    <w:p w14:paraId="4DEEA1F7">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rPr>
      </w:pPr>
      <w:bookmarkStart w:id="28" w:name="_Toc1033"/>
      <w:bookmarkStart w:id="29" w:name="_Toc5631"/>
      <w:r>
        <w:rPr>
          <w:rFonts w:hint="default" w:ascii="Times New Roman" w:hAnsi="Times New Roman" w:eastAsia="楷体" w:cs="Times New Roman"/>
          <w:color w:val="auto"/>
          <w:sz w:val="32"/>
          <w:szCs w:val="32"/>
        </w:rPr>
        <w:t>1.2安全评价目的</w:t>
      </w:r>
      <w:bookmarkEnd w:id="28"/>
      <w:bookmarkEnd w:id="29"/>
    </w:p>
    <w:p w14:paraId="5EB9FEF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（1）明确本项目存在的主要危险、有害因素及其产生危险、有害后果；</w:t>
      </w:r>
      <w:r>
        <w:rPr>
          <w:rFonts w:hint="default" w:ascii="Times New Roman" w:hAnsi="Times New Roman" w:cs="Times New Roman"/>
          <w:sz w:val="28"/>
          <w:szCs w:val="28"/>
          <w:lang w:val="zh-CN"/>
        </w:rPr>
        <w:t>对本项目在经营、储存危险化学品过程中固有危险、有害因素进行定性或定量的分析，对其控制措施进行评价；</w:t>
      </w:r>
    </w:p>
    <w:p w14:paraId="2907051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zh-CN"/>
        </w:rPr>
      </w:pPr>
      <w:r>
        <w:rPr>
          <w:rFonts w:hint="default" w:ascii="Times New Roman" w:hAnsi="Times New Roman" w:cs="Times New Roman"/>
          <w:sz w:val="28"/>
          <w:szCs w:val="28"/>
          <w:lang w:val="zh-CN"/>
        </w:rPr>
        <w:t>（2）提出消除、预防或减弱装置危险性、提高装置安全运行等级的对策措施，为本项目安全设施的设计提供依据，并使之在施工阶段得以实施，以最终实现本项目的本质安全化；</w:t>
      </w:r>
    </w:p>
    <w:p w14:paraId="228572B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zh-CN"/>
        </w:rPr>
      </w:pPr>
      <w:r>
        <w:rPr>
          <w:rFonts w:hint="default" w:ascii="Times New Roman" w:hAnsi="Times New Roman" w:cs="Times New Roman"/>
          <w:sz w:val="28"/>
          <w:szCs w:val="28"/>
          <w:lang w:val="zh-CN"/>
        </w:rPr>
        <w:t>（3）为本项目的安全运行及日常安全管理提供依据；</w:t>
      </w:r>
    </w:p>
    <w:p w14:paraId="366C97E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zh-CN"/>
        </w:rPr>
      </w:pPr>
      <w:r>
        <w:rPr>
          <w:rFonts w:hint="default" w:ascii="Times New Roman" w:hAnsi="Times New Roman" w:cs="Times New Roman"/>
          <w:sz w:val="28"/>
          <w:szCs w:val="28"/>
          <w:lang w:val="zh-CN"/>
        </w:rPr>
        <w:t>（4）为当地政府管理部门实施监督、管理提供技术支撑。</w:t>
      </w:r>
    </w:p>
    <w:bookmarkEnd w:id="25"/>
    <w:bookmarkEnd w:id="26"/>
    <w:bookmarkEnd w:id="27"/>
    <w:p w14:paraId="51134399">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rPr>
      </w:pPr>
      <w:bookmarkStart w:id="30" w:name="_Toc41246658"/>
      <w:bookmarkStart w:id="31" w:name="_Toc2883"/>
      <w:bookmarkStart w:id="32" w:name="_Toc5415"/>
      <w:bookmarkStart w:id="33" w:name="_Toc3815"/>
      <w:bookmarkStart w:id="34" w:name="_Toc473675683"/>
      <w:r>
        <w:rPr>
          <w:rFonts w:hint="default" w:ascii="Times New Roman" w:hAnsi="Times New Roman" w:eastAsia="楷体" w:cs="Times New Roman"/>
          <w:color w:val="auto"/>
          <w:sz w:val="32"/>
          <w:szCs w:val="32"/>
        </w:rPr>
        <w:t>1.3评价对象和范围</w:t>
      </w:r>
      <w:bookmarkEnd w:id="30"/>
      <w:bookmarkEnd w:id="31"/>
      <w:bookmarkEnd w:id="32"/>
      <w:bookmarkEnd w:id="33"/>
      <w:bookmarkEnd w:id="34"/>
    </w:p>
    <w:p w14:paraId="302EF3A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eastAsia="zh-CN"/>
        </w:rPr>
      </w:pPr>
      <w:bookmarkStart w:id="35" w:name="_Toc410311925"/>
      <w:bookmarkStart w:id="36" w:name="_Toc410312002"/>
      <w:bookmarkStart w:id="37" w:name="_Toc41246659"/>
      <w:r>
        <w:rPr>
          <w:rFonts w:hint="default" w:ascii="Times New Roman" w:hAnsi="Times New Roman" w:cs="Times New Roman"/>
          <w:sz w:val="28"/>
          <w:szCs w:val="28"/>
        </w:rPr>
        <w:t>本次安全评价的对象为</w:t>
      </w:r>
      <w:r>
        <w:rPr>
          <w:rFonts w:hint="eastAsia" w:cs="Times New Roman"/>
          <w:sz w:val="28"/>
          <w:szCs w:val="28"/>
          <w:lang w:eastAsia="zh-CN"/>
        </w:rPr>
        <w:t>中国石化销售股份有限公司辽宁葫芦岛海飞路加能站</w:t>
      </w:r>
      <w:r>
        <w:rPr>
          <w:rFonts w:hint="default" w:ascii="Times New Roman" w:hAnsi="Times New Roman" w:cs="Times New Roman"/>
          <w:sz w:val="28"/>
          <w:szCs w:val="28"/>
          <w:lang w:eastAsia="zh-CN"/>
        </w:rPr>
        <w:t>。</w:t>
      </w:r>
    </w:p>
    <w:p w14:paraId="330F28E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lang w:val="en-US" w:eastAsia="zh-CN"/>
        </w:rPr>
      </w:pPr>
      <w:r>
        <w:rPr>
          <w:rFonts w:hint="default" w:ascii="Times New Roman" w:hAnsi="Times New Roman" w:cs="Times New Roman"/>
          <w:sz w:val="28"/>
          <w:szCs w:val="28"/>
        </w:rPr>
        <w:t>本次评价范围主要包括：该项目</w:t>
      </w:r>
      <w:r>
        <w:rPr>
          <w:rFonts w:hint="eastAsia" w:cs="Times New Roman"/>
          <w:sz w:val="28"/>
          <w:szCs w:val="28"/>
          <w:lang w:val="en-US" w:eastAsia="zh-CN"/>
        </w:rPr>
        <w:t>加油</w:t>
      </w:r>
      <w:r>
        <w:rPr>
          <w:rFonts w:hint="default" w:ascii="Times New Roman" w:hAnsi="Times New Roman" w:cs="Times New Roman"/>
          <w:sz w:val="28"/>
          <w:szCs w:val="28"/>
        </w:rPr>
        <w:t>所涉及的选址及总平面布置、加油工艺</w:t>
      </w:r>
      <w:r>
        <w:rPr>
          <w:rFonts w:hint="eastAsia" w:cs="Times New Roman"/>
          <w:sz w:val="28"/>
          <w:szCs w:val="28"/>
          <w:lang w:val="en-US" w:eastAsia="zh-CN"/>
        </w:rPr>
        <w:t>及</w:t>
      </w:r>
      <w:r>
        <w:rPr>
          <w:rFonts w:hint="default" w:ascii="Times New Roman" w:hAnsi="Times New Roman" w:cs="Times New Roman"/>
          <w:sz w:val="28"/>
          <w:szCs w:val="28"/>
        </w:rPr>
        <w:t>设备、设施、与之配套的公用工程和辅助设施以</w:t>
      </w:r>
      <w:r>
        <w:rPr>
          <w:rFonts w:hint="default" w:ascii="Times New Roman" w:hAnsi="Times New Roman" w:cs="Times New Roman"/>
          <w:sz w:val="28"/>
          <w:szCs w:val="28"/>
          <w:highlight w:val="none"/>
        </w:rPr>
        <w:t>及安全管理等</w:t>
      </w:r>
      <w:r>
        <w:rPr>
          <w:rFonts w:hint="eastAsia" w:cs="Times New Roman"/>
          <w:sz w:val="28"/>
          <w:szCs w:val="28"/>
          <w:highlight w:val="none"/>
          <w:lang w:eastAsia="zh-CN"/>
        </w:rPr>
        <w:t>。站内充电</w:t>
      </w:r>
      <w:r>
        <w:rPr>
          <w:rFonts w:hint="eastAsia" w:cs="Times New Roman"/>
          <w:sz w:val="28"/>
          <w:szCs w:val="28"/>
          <w:highlight w:val="none"/>
          <w:lang w:val="en-US" w:eastAsia="zh-CN"/>
        </w:rPr>
        <w:t>部分</w:t>
      </w:r>
      <w:r>
        <w:rPr>
          <w:rFonts w:hint="eastAsia" w:cs="Times New Roman"/>
          <w:sz w:val="28"/>
          <w:szCs w:val="28"/>
          <w:highlight w:val="none"/>
          <w:lang w:eastAsia="zh-CN"/>
        </w:rPr>
        <w:t>的设备、设施不在本次评价范围内，</w:t>
      </w:r>
      <w:r>
        <w:rPr>
          <w:rFonts w:hint="eastAsia" w:cs="Times New Roman"/>
          <w:sz w:val="28"/>
          <w:szCs w:val="28"/>
          <w:highlight w:val="none"/>
          <w:lang w:val="en-US" w:eastAsia="zh-CN"/>
        </w:rPr>
        <w:t>仅对其符合性进行评价。</w:t>
      </w:r>
    </w:p>
    <w:p w14:paraId="4E11F51C">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rPr>
      </w:pPr>
      <w:bookmarkStart w:id="38" w:name="_Toc32721"/>
      <w:bookmarkStart w:id="39" w:name="_Toc9687"/>
      <w:r>
        <w:rPr>
          <w:rFonts w:hint="default" w:ascii="Times New Roman" w:hAnsi="Times New Roman" w:eastAsia="楷体" w:cs="Times New Roman"/>
          <w:color w:val="auto"/>
          <w:sz w:val="32"/>
          <w:szCs w:val="32"/>
        </w:rPr>
        <w:t>1.4工作经过和程序</w:t>
      </w:r>
      <w:bookmarkEnd w:id="35"/>
      <w:bookmarkEnd w:id="36"/>
      <w:bookmarkEnd w:id="37"/>
      <w:bookmarkEnd w:id="38"/>
      <w:bookmarkEnd w:id="39"/>
    </w:p>
    <w:p w14:paraId="13ADDFF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前期准备工作完成后，我公司项目组对本项目进行了安全评价，具体的评价程序如图1</w:t>
      </w:r>
      <w:r>
        <w:rPr>
          <w:rFonts w:hint="default" w:ascii="Times New Roman" w:hAnsi="Times New Roman" w:cs="Times New Roman"/>
          <w:sz w:val="28"/>
          <w:szCs w:val="28"/>
          <w:lang w:val="en-US" w:eastAsia="zh-CN"/>
        </w:rPr>
        <w:t>.4</w:t>
      </w:r>
      <w:r>
        <w:rPr>
          <w:rFonts w:hint="default" w:ascii="Times New Roman" w:hAnsi="Times New Roman" w:cs="Times New Roman"/>
          <w:sz w:val="28"/>
          <w:szCs w:val="28"/>
        </w:rPr>
        <w:t>-1所示：</w:t>
      </w:r>
    </w:p>
    <w:p w14:paraId="441BCC2F">
      <w:pPr>
        <w:jc w:val="center"/>
        <w:rPr>
          <w:rFonts w:hint="default" w:ascii="Times New Roman" w:hAnsi="Times New Roman" w:cs="Times New Roman"/>
          <w:sz w:val="24"/>
        </w:rPr>
      </w:pPr>
      <w:r>
        <w:drawing>
          <wp:inline distT="0" distB="0" distL="114300" distR="114300">
            <wp:extent cx="4560570" cy="5550535"/>
            <wp:effectExtent l="0" t="0" r="11430" b="1206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1"/>
                    <a:stretch>
                      <a:fillRect/>
                    </a:stretch>
                  </pic:blipFill>
                  <pic:spPr>
                    <a:xfrm>
                      <a:off x="0" y="0"/>
                      <a:ext cx="4560570" cy="5550535"/>
                    </a:xfrm>
                    <a:prstGeom prst="rect">
                      <a:avLst/>
                    </a:prstGeom>
                    <a:noFill/>
                    <a:ln>
                      <a:noFill/>
                    </a:ln>
                  </pic:spPr>
                </pic:pic>
              </a:graphicData>
            </a:graphic>
          </wp:inline>
        </w:drawing>
      </w:r>
    </w:p>
    <w:p w14:paraId="00B657E7">
      <w:pPr>
        <w:keepNext w:val="0"/>
        <w:keepLines w:val="0"/>
        <w:pageBreakBefore w:val="0"/>
        <w:widowControl w:val="0"/>
        <w:kinsoku/>
        <w:wordWrap/>
        <w:overflowPunct/>
        <w:topLinePunct w:val="0"/>
        <w:autoSpaceDE/>
        <w:autoSpaceDN/>
        <w:bidi w:val="0"/>
        <w:adjustRightInd w:val="0"/>
        <w:snapToGrid/>
        <w:spacing w:before="157" w:beforeLines="50" w:after="157" w:afterLines="50" w:line="240" w:lineRule="auto"/>
        <w:jc w:val="center"/>
        <w:textAlignment w:val="auto"/>
        <w:rPr>
          <w:rFonts w:hint="default" w:ascii="Times New Roman" w:hAnsi="Times New Roman" w:eastAsia="黑体" w:cs="Times New Roman"/>
          <w:b w:val="0"/>
          <w:bCs w:val="0"/>
          <w:spacing w:val="0"/>
          <w:sz w:val="24"/>
          <w:szCs w:val="24"/>
        </w:rPr>
      </w:pPr>
      <w:r>
        <w:rPr>
          <w:rFonts w:hint="default" w:ascii="Times New Roman" w:hAnsi="Times New Roman" w:eastAsia="黑体" w:cs="Times New Roman"/>
          <w:b w:val="0"/>
          <w:bCs w:val="0"/>
          <w:spacing w:val="0"/>
          <w:sz w:val="24"/>
          <w:szCs w:val="24"/>
        </w:rPr>
        <w:t>图1</w:t>
      </w:r>
      <w:r>
        <w:rPr>
          <w:rFonts w:hint="default" w:ascii="Times New Roman" w:hAnsi="Times New Roman" w:eastAsia="黑体" w:cs="Times New Roman"/>
          <w:b w:val="0"/>
          <w:bCs w:val="0"/>
          <w:spacing w:val="0"/>
          <w:sz w:val="24"/>
          <w:szCs w:val="24"/>
          <w:lang w:val="en-US" w:eastAsia="zh-CN"/>
        </w:rPr>
        <w:t>.4</w:t>
      </w:r>
      <w:r>
        <w:rPr>
          <w:rFonts w:hint="default" w:ascii="Times New Roman" w:hAnsi="Times New Roman" w:eastAsia="黑体" w:cs="Times New Roman"/>
          <w:b w:val="0"/>
          <w:bCs w:val="0"/>
          <w:spacing w:val="0"/>
          <w:sz w:val="24"/>
          <w:szCs w:val="24"/>
        </w:rPr>
        <w:t>-1 评价程序图</w:t>
      </w:r>
    </w:p>
    <w:p w14:paraId="248DE10E">
      <w:pPr>
        <w:keepNext w:val="0"/>
        <w:keepLines w:val="0"/>
        <w:pageBreakBefore w:val="0"/>
        <w:widowControl w:val="0"/>
        <w:kinsoku/>
        <w:wordWrap/>
        <w:overflowPunct/>
        <w:topLinePunct w:val="0"/>
        <w:autoSpaceDE/>
        <w:autoSpaceDN/>
        <w:bidi w:val="0"/>
        <w:adjustRightInd/>
        <w:snapToGrid/>
        <w:spacing w:before="490" w:beforeLines="150" w:after="490" w:afterLines="150" w:line="360" w:lineRule="auto"/>
        <w:ind w:firstLine="0"/>
        <w:jc w:val="center"/>
        <w:textAlignment w:val="auto"/>
        <w:outlineLvl w:val="0"/>
        <w:rPr>
          <w:rFonts w:hint="default" w:ascii="Times New Roman" w:hAnsi="Times New Roman" w:eastAsia="黑体" w:cs="Times New Roman"/>
          <w:b/>
          <w:bCs/>
          <w:sz w:val="32"/>
          <w:szCs w:val="32"/>
        </w:rPr>
      </w:pPr>
      <w:r>
        <w:rPr>
          <w:rFonts w:hint="default" w:ascii="Times New Roman" w:hAnsi="Times New Roman" w:cs="Times New Roman"/>
          <w:sz w:val="28"/>
          <w:szCs w:val="28"/>
        </w:rPr>
        <w:br w:type="page"/>
      </w:r>
      <w:bookmarkStart w:id="40" w:name="_Toc2790"/>
      <w:bookmarkStart w:id="41" w:name="_Toc41246660"/>
      <w:bookmarkStart w:id="42" w:name="_Toc17597"/>
      <w:r>
        <w:rPr>
          <w:rFonts w:hint="default" w:ascii="Times New Roman" w:hAnsi="Times New Roman" w:eastAsia="黑体" w:cs="Times New Roman"/>
          <w:b/>
          <w:bCs w:val="0"/>
          <w:kern w:val="32"/>
          <w:sz w:val="32"/>
          <w:szCs w:val="32"/>
          <w:lang w:val="en-US" w:eastAsia="zh-CN" w:bidi="ar-SA"/>
        </w:rPr>
        <w:t>2建设项目概况</w:t>
      </w:r>
      <w:bookmarkEnd w:id="8"/>
      <w:bookmarkEnd w:id="9"/>
      <w:bookmarkEnd w:id="40"/>
      <w:bookmarkEnd w:id="41"/>
      <w:bookmarkEnd w:id="42"/>
    </w:p>
    <w:p w14:paraId="4A7E715F">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rPr>
      </w:pPr>
      <w:bookmarkStart w:id="43" w:name="_Toc29278"/>
      <w:bookmarkStart w:id="44" w:name="_Toc17109"/>
      <w:r>
        <w:rPr>
          <w:rFonts w:hint="default" w:ascii="Times New Roman" w:hAnsi="Times New Roman" w:eastAsia="楷体" w:cs="Times New Roman"/>
          <w:color w:val="auto"/>
          <w:sz w:val="32"/>
          <w:szCs w:val="32"/>
          <w:lang w:val="en-US" w:eastAsia="zh-CN"/>
        </w:rPr>
        <w:t>2.1</w:t>
      </w:r>
      <w:r>
        <w:rPr>
          <w:rFonts w:hint="default" w:ascii="Times New Roman" w:hAnsi="Times New Roman" w:eastAsia="楷体" w:cs="Times New Roman"/>
          <w:color w:val="auto"/>
          <w:sz w:val="32"/>
          <w:szCs w:val="32"/>
        </w:rPr>
        <w:t>建设单位概况</w:t>
      </w:r>
      <w:bookmarkEnd w:id="43"/>
      <w:bookmarkEnd w:id="44"/>
    </w:p>
    <w:p w14:paraId="779184B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cs="Times New Roman"/>
          <w:bCs/>
          <w:kern w:val="0"/>
          <w:sz w:val="28"/>
          <w:szCs w:val="28"/>
          <w:lang w:eastAsia="zh-CN"/>
        </w:rPr>
      </w:pPr>
      <w:r>
        <w:rPr>
          <w:rFonts w:hint="eastAsia" w:cs="Times New Roman"/>
          <w:bCs/>
          <w:kern w:val="0"/>
          <w:sz w:val="28"/>
          <w:szCs w:val="28"/>
          <w:lang w:eastAsia="zh-CN"/>
        </w:rPr>
        <w:t>中国石化销售股份有限公司辽宁葫芦岛海飞路加能站成立于20</w:t>
      </w:r>
      <w:r>
        <w:rPr>
          <w:rFonts w:hint="eastAsia" w:cs="Times New Roman"/>
          <w:bCs/>
          <w:kern w:val="0"/>
          <w:sz w:val="28"/>
          <w:szCs w:val="28"/>
          <w:lang w:val="en-US" w:eastAsia="zh-CN"/>
        </w:rPr>
        <w:t>26</w:t>
      </w:r>
      <w:r>
        <w:rPr>
          <w:rFonts w:hint="eastAsia" w:cs="Times New Roman"/>
          <w:bCs/>
          <w:kern w:val="0"/>
          <w:sz w:val="28"/>
          <w:szCs w:val="28"/>
          <w:lang w:eastAsia="zh-CN"/>
        </w:rPr>
        <w:t>年</w:t>
      </w:r>
      <w:r>
        <w:rPr>
          <w:rFonts w:hint="eastAsia" w:cs="Times New Roman"/>
          <w:bCs/>
          <w:kern w:val="0"/>
          <w:sz w:val="28"/>
          <w:szCs w:val="28"/>
          <w:lang w:val="en-US" w:eastAsia="zh-CN"/>
        </w:rPr>
        <w:t>01</w:t>
      </w:r>
      <w:r>
        <w:rPr>
          <w:rFonts w:hint="eastAsia" w:cs="Times New Roman"/>
          <w:bCs/>
          <w:kern w:val="0"/>
          <w:sz w:val="28"/>
          <w:szCs w:val="28"/>
          <w:lang w:eastAsia="zh-CN"/>
        </w:rPr>
        <w:t>月30日，</w:t>
      </w:r>
      <w:r>
        <w:rPr>
          <w:rFonts w:hint="eastAsia" w:cs="Times New Roman"/>
          <w:bCs/>
          <w:kern w:val="0"/>
          <w:sz w:val="28"/>
          <w:szCs w:val="28"/>
          <w:lang w:val="en-US" w:eastAsia="zh-CN"/>
        </w:rPr>
        <w:t>经营场所位于辽宁省葫芦岛市龙港区龙锦街以东，海飞路以西</w:t>
      </w:r>
      <w:r>
        <w:rPr>
          <w:rFonts w:hint="eastAsia" w:cs="Times New Roman"/>
          <w:bCs/>
          <w:kern w:val="0"/>
          <w:sz w:val="28"/>
          <w:szCs w:val="28"/>
          <w:lang w:eastAsia="zh-CN"/>
        </w:rPr>
        <w:t>，负责人为李阳春。</w:t>
      </w:r>
    </w:p>
    <w:p w14:paraId="4479E23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color w:val="000000" w:themeColor="text1"/>
          <w:kern w:val="0"/>
          <w:sz w:val="28"/>
          <w:szCs w:val="28"/>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8"/>
          <w:szCs w:val="28"/>
          <w:lang w:val="en-US" w:eastAsia="zh-CN"/>
          <w14:textFill>
            <w14:solidFill>
              <w14:schemeClr w14:val="tx1"/>
            </w14:solidFill>
          </w14:textFill>
        </w:rPr>
        <w:t>为深入贯彻国家</w:t>
      </w:r>
      <w:r>
        <w:rPr>
          <w:rFonts w:hint="eastAsia" w:cs="Times New Roman"/>
          <w:bCs/>
          <w:color w:val="000000" w:themeColor="text1"/>
          <w:kern w:val="0"/>
          <w:sz w:val="28"/>
          <w:szCs w:val="28"/>
          <w:lang w:val="en-US" w:eastAsia="zh-CN"/>
          <w14:textFill>
            <w14:solidFill>
              <w14:schemeClr w14:val="tx1"/>
            </w14:solidFill>
          </w14:textFill>
        </w:rPr>
        <w:t>“</w:t>
      </w:r>
      <w:r>
        <w:rPr>
          <w:rFonts w:hint="default" w:ascii="Times New Roman" w:hAnsi="Times New Roman" w:cs="Times New Roman"/>
          <w:bCs/>
          <w:color w:val="000000" w:themeColor="text1"/>
          <w:kern w:val="0"/>
          <w:sz w:val="28"/>
          <w:szCs w:val="28"/>
          <w:lang w:val="en-US" w:eastAsia="zh-CN"/>
          <w14:textFill>
            <w14:solidFill>
              <w14:schemeClr w14:val="tx1"/>
            </w14:solidFill>
          </w14:textFill>
        </w:rPr>
        <w:t>双碳</w:t>
      </w:r>
      <w:r>
        <w:rPr>
          <w:rFonts w:hint="eastAsia" w:cs="Times New Roman"/>
          <w:bCs/>
          <w:color w:val="000000" w:themeColor="text1"/>
          <w:kern w:val="0"/>
          <w:sz w:val="28"/>
          <w:szCs w:val="28"/>
          <w:lang w:val="en-US" w:eastAsia="zh-CN"/>
          <w14:textFill>
            <w14:solidFill>
              <w14:schemeClr w14:val="tx1"/>
            </w14:solidFill>
          </w14:textFill>
        </w:rPr>
        <w:t>”</w:t>
      </w:r>
      <w:r>
        <w:rPr>
          <w:rFonts w:hint="default" w:ascii="Times New Roman" w:hAnsi="Times New Roman" w:cs="Times New Roman"/>
          <w:bCs/>
          <w:color w:val="000000" w:themeColor="text1"/>
          <w:kern w:val="0"/>
          <w:sz w:val="28"/>
          <w:szCs w:val="28"/>
          <w:lang w:val="en-US" w:eastAsia="zh-CN"/>
          <w14:textFill>
            <w14:solidFill>
              <w14:schemeClr w14:val="tx1"/>
            </w14:solidFill>
          </w14:textFill>
        </w:rPr>
        <w:t>战略与能源安全保供要求，落实中国石化综合能源服务转型部署，补齐葫芦岛市龙港区海飞路片区成品</w:t>
      </w:r>
      <w:r>
        <w:rPr>
          <w:rFonts w:hint="default" w:ascii="Times New Roman" w:hAnsi="Times New Roman" w:cs="Times New Roman"/>
          <w:bCs/>
          <w:color w:val="000000" w:themeColor="text1"/>
          <w:kern w:val="0"/>
          <w:sz w:val="28"/>
          <w:szCs w:val="28"/>
          <w:highlight w:val="none"/>
          <w:lang w:val="en-US" w:eastAsia="zh-CN"/>
          <w14:textFill>
            <w14:solidFill>
              <w14:schemeClr w14:val="tx1"/>
            </w14:solidFill>
          </w14:textFill>
        </w:rPr>
        <w:t>油与充电基础设施短板，满足区域交通出行、产业发展与新能源汽车快速增长的能源服务需求，中国石化销售股份有限公司辽宁葫芦岛石油分公司拟投资建设海飞路加油站、充电站项目。</w:t>
      </w:r>
    </w:p>
    <w:p w14:paraId="52337BA4">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45" w:name="_Toc3875"/>
      <w:bookmarkStart w:id="46" w:name="_Toc6771"/>
      <w:bookmarkStart w:id="47" w:name="_Toc22456"/>
      <w:bookmarkStart w:id="48" w:name="_Toc10669"/>
      <w:bookmarkStart w:id="49" w:name="_Toc41246662"/>
      <w:bookmarkStart w:id="50" w:name="_Toc41246663"/>
      <w:bookmarkStart w:id="51" w:name="_Toc415147565"/>
      <w:bookmarkStart w:id="52" w:name="_Toc495931467"/>
      <w:bookmarkStart w:id="53" w:name="_Toc495931425"/>
      <w:r>
        <w:rPr>
          <w:rFonts w:hint="default" w:ascii="Times New Roman" w:hAnsi="Times New Roman" w:eastAsia="楷体" w:cs="Times New Roman"/>
          <w:color w:val="auto"/>
          <w:sz w:val="32"/>
          <w:szCs w:val="32"/>
          <w:lang w:val="en-US" w:eastAsia="zh-CN"/>
        </w:rPr>
        <w:t>2.2建设项目概况</w:t>
      </w:r>
      <w:bookmarkEnd w:id="45"/>
      <w:bookmarkEnd w:id="46"/>
    </w:p>
    <w:p w14:paraId="67A5361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val="en-US" w:eastAsia="zh-CN"/>
        </w:rPr>
      </w:pPr>
      <w:r>
        <w:rPr>
          <w:rFonts w:hint="default" w:ascii="Times New Roman" w:hAnsi="Times New Roman" w:cs="Times New Roman"/>
          <w:bCs/>
          <w:kern w:val="0"/>
          <w:sz w:val="28"/>
          <w:szCs w:val="28"/>
          <w:lang w:eastAsia="zh-CN"/>
        </w:rPr>
        <w:t>项目名称：海飞路加能站新建项目</w:t>
      </w:r>
    </w:p>
    <w:p w14:paraId="2398544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val="en-US" w:eastAsia="zh-CN"/>
        </w:rPr>
      </w:pPr>
      <w:r>
        <w:rPr>
          <w:rFonts w:hint="default" w:ascii="Times New Roman" w:hAnsi="Times New Roman" w:cs="Times New Roman"/>
          <w:bCs/>
          <w:kern w:val="0"/>
          <w:sz w:val="28"/>
          <w:szCs w:val="28"/>
          <w:lang w:eastAsia="zh-CN"/>
        </w:rPr>
        <w:t>建设</w:t>
      </w:r>
      <w:r>
        <w:rPr>
          <w:rFonts w:hint="eastAsia" w:cs="Times New Roman"/>
          <w:bCs/>
          <w:kern w:val="0"/>
          <w:sz w:val="28"/>
          <w:szCs w:val="28"/>
          <w:lang w:val="en-US" w:eastAsia="zh-CN"/>
        </w:rPr>
        <w:t>项目</w:t>
      </w:r>
      <w:r>
        <w:rPr>
          <w:rFonts w:hint="default" w:ascii="Times New Roman" w:hAnsi="Times New Roman" w:cs="Times New Roman"/>
          <w:bCs/>
          <w:kern w:val="0"/>
          <w:sz w:val="28"/>
          <w:szCs w:val="28"/>
          <w:lang w:eastAsia="zh-CN"/>
        </w:rPr>
        <w:t>单位：</w:t>
      </w:r>
      <w:r>
        <w:rPr>
          <w:rFonts w:hint="eastAsia" w:cs="Times New Roman"/>
          <w:bCs/>
          <w:kern w:val="0"/>
          <w:sz w:val="28"/>
          <w:szCs w:val="28"/>
          <w:lang w:eastAsia="zh-CN"/>
        </w:rPr>
        <w:t>中国石化销售股份有限公司辽宁葫芦岛</w:t>
      </w:r>
      <w:r>
        <w:rPr>
          <w:rFonts w:hint="eastAsia" w:cs="Times New Roman"/>
          <w:bCs/>
          <w:kern w:val="0"/>
          <w:sz w:val="28"/>
          <w:szCs w:val="28"/>
          <w:lang w:val="en-US" w:eastAsia="zh-CN"/>
        </w:rPr>
        <w:t>石油分公司</w:t>
      </w:r>
    </w:p>
    <w:p w14:paraId="117C949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eastAsia="zh-CN"/>
        </w:rPr>
      </w:pPr>
      <w:r>
        <w:rPr>
          <w:rFonts w:hint="default" w:ascii="Times New Roman" w:hAnsi="Times New Roman" w:cs="Times New Roman"/>
          <w:bCs/>
          <w:kern w:val="0"/>
          <w:sz w:val="28"/>
          <w:szCs w:val="28"/>
          <w:lang w:eastAsia="zh-CN"/>
        </w:rPr>
        <w:t>项目地点：辽宁省葫芦岛市龙港区龙锦街以东，海飞路以西</w:t>
      </w:r>
    </w:p>
    <w:p w14:paraId="7CAB6D1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eastAsia="zh-CN"/>
        </w:rPr>
      </w:pPr>
      <w:r>
        <w:rPr>
          <w:rFonts w:hint="default" w:ascii="Times New Roman" w:hAnsi="Times New Roman" w:cs="Times New Roman"/>
          <w:bCs/>
          <w:kern w:val="0"/>
          <w:sz w:val="28"/>
          <w:szCs w:val="28"/>
          <w:lang w:eastAsia="zh-CN"/>
        </w:rPr>
        <w:t>建设性质：</w:t>
      </w:r>
      <w:r>
        <w:rPr>
          <w:rFonts w:hint="eastAsia" w:cs="Times New Roman"/>
          <w:bCs/>
          <w:kern w:val="0"/>
          <w:sz w:val="28"/>
          <w:szCs w:val="28"/>
          <w:lang w:val="en-US" w:eastAsia="zh-CN"/>
        </w:rPr>
        <w:t>新</w:t>
      </w:r>
      <w:r>
        <w:rPr>
          <w:rFonts w:hint="default" w:ascii="Times New Roman" w:hAnsi="Times New Roman" w:cs="Times New Roman"/>
          <w:bCs/>
          <w:kern w:val="0"/>
          <w:sz w:val="28"/>
          <w:szCs w:val="28"/>
          <w:lang w:eastAsia="zh-CN"/>
        </w:rPr>
        <w:t>建项目</w:t>
      </w:r>
    </w:p>
    <w:p w14:paraId="4BFB7CF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highlight w:val="none"/>
          <w:lang w:val="en-US" w:eastAsia="zh-CN"/>
        </w:rPr>
      </w:pPr>
      <w:r>
        <w:rPr>
          <w:rFonts w:hint="default" w:ascii="Times New Roman" w:hAnsi="Times New Roman" w:cs="Times New Roman"/>
          <w:bCs/>
          <w:kern w:val="0"/>
          <w:sz w:val="28"/>
          <w:szCs w:val="28"/>
          <w:highlight w:val="none"/>
          <w:lang w:eastAsia="zh-CN"/>
        </w:rPr>
        <w:t>项目总投资：</w:t>
      </w:r>
      <w:r>
        <w:rPr>
          <w:rFonts w:hint="eastAsia" w:cs="Times New Roman"/>
          <w:bCs/>
          <w:kern w:val="0"/>
          <w:sz w:val="28"/>
          <w:szCs w:val="28"/>
          <w:highlight w:val="none"/>
          <w:lang w:val="en-US" w:eastAsia="zh-CN"/>
        </w:rPr>
        <w:t>1100</w:t>
      </w:r>
      <w:r>
        <w:rPr>
          <w:rFonts w:hint="default" w:ascii="Times New Roman" w:hAnsi="Times New Roman" w:cs="Times New Roman"/>
          <w:bCs/>
          <w:kern w:val="0"/>
          <w:sz w:val="28"/>
          <w:szCs w:val="28"/>
          <w:highlight w:val="none"/>
          <w:lang w:eastAsia="zh-CN"/>
        </w:rPr>
        <w:t>万元</w:t>
      </w:r>
      <w:r>
        <w:rPr>
          <w:rFonts w:hint="eastAsia" w:cs="Times New Roman"/>
          <w:bCs/>
          <w:kern w:val="0"/>
          <w:sz w:val="28"/>
          <w:szCs w:val="28"/>
          <w:highlight w:val="none"/>
          <w:lang w:eastAsia="zh-CN"/>
        </w:rPr>
        <w:t>；</w:t>
      </w:r>
      <w:r>
        <w:rPr>
          <w:rFonts w:hint="eastAsia" w:cs="Times New Roman"/>
          <w:bCs/>
          <w:kern w:val="0"/>
          <w:sz w:val="28"/>
          <w:szCs w:val="28"/>
          <w:highlight w:val="none"/>
          <w:lang w:val="en-US" w:eastAsia="zh-CN"/>
        </w:rPr>
        <w:t>安全投入约33万元。</w:t>
      </w:r>
    </w:p>
    <w:p w14:paraId="7F94A5B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highlight w:val="none"/>
          <w:lang w:val="en-US" w:eastAsia="zh-CN"/>
        </w:rPr>
      </w:pPr>
      <w:r>
        <w:rPr>
          <w:rFonts w:hint="eastAsia" w:cs="Times New Roman"/>
          <w:bCs/>
          <w:kern w:val="0"/>
          <w:sz w:val="28"/>
          <w:szCs w:val="28"/>
          <w:highlight w:val="none"/>
          <w:lang w:val="en-US" w:eastAsia="zh-CN"/>
        </w:rPr>
        <w:t>总用地</w:t>
      </w:r>
      <w:r>
        <w:rPr>
          <w:rFonts w:hint="default" w:ascii="Times New Roman" w:hAnsi="Times New Roman" w:cs="Times New Roman"/>
          <w:bCs/>
          <w:kern w:val="0"/>
          <w:sz w:val="28"/>
          <w:szCs w:val="28"/>
          <w:highlight w:val="none"/>
          <w:lang w:eastAsia="zh-CN"/>
        </w:rPr>
        <w:t>面积：</w:t>
      </w:r>
      <w:r>
        <w:rPr>
          <w:rFonts w:hint="eastAsia" w:cs="Times New Roman"/>
          <w:bCs/>
          <w:kern w:val="0"/>
          <w:sz w:val="28"/>
          <w:szCs w:val="28"/>
          <w:highlight w:val="none"/>
          <w:lang w:val="en-US" w:eastAsia="zh-CN"/>
        </w:rPr>
        <w:t>8834.93m</w:t>
      </w:r>
      <w:r>
        <w:rPr>
          <w:rFonts w:hint="eastAsia" w:cs="Times New Roman"/>
          <w:bCs/>
          <w:kern w:val="0"/>
          <w:sz w:val="28"/>
          <w:szCs w:val="28"/>
          <w:highlight w:val="none"/>
          <w:vertAlign w:val="superscript"/>
          <w:lang w:val="en-US" w:eastAsia="zh-CN"/>
        </w:rPr>
        <w:t>2</w:t>
      </w:r>
    </w:p>
    <w:p w14:paraId="504F21D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cs="宋体"/>
          <w:b w:val="0"/>
          <w:bCs w:val="0"/>
          <w:color w:val="000000" w:themeColor="text1"/>
          <w:spacing w:val="0"/>
          <w:sz w:val="28"/>
          <w:szCs w:val="28"/>
          <w:highlight w:val="yellow"/>
          <w:lang w:val="en-US" w:eastAsia="zh-CN"/>
          <w14:textFill>
            <w14:solidFill>
              <w14:schemeClr w14:val="tx1"/>
            </w14:solidFill>
          </w14:textFill>
        </w:rPr>
      </w:pPr>
      <w:r>
        <w:rPr>
          <w:rFonts w:hint="default" w:ascii="Times New Roman" w:hAnsi="Times New Roman" w:cs="Times New Roman"/>
          <w:bCs/>
          <w:kern w:val="0"/>
          <w:sz w:val="28"/>
          <w:szCs w:val="28"/>
          <w:lang w:eastAsia="zh-CN"/>
        </w:rPr>
        <w:t>建设内容：①新建4座SF双层油罐，其中1座30m</w:t>
      </w:r>
      <w:r>
        <w:rPr>
          <w:rFonts w:hint="default" w:ascii="Times New Roman" w:hAnsi="Times New Roman" w:cs="Times New Roman"/>
          <w:bCs/>
          <w:kern w:val="0"/>
          <w:sz w:val="28"/>
          <w:szCs w:val="28"/>
          <w:vertAlign w:val="superscript"/>
          <w:lang w:eastAsia="zh-CN"/>
        </w:rPr>
        <w:t>3</w:t>
      </w:r>
      <w:r>
        <w:rPr>
          <w:rFonts w:hint="default" w:ascii="Times New Roman" w:hAnsi="Times New Roman" w:cs="Times New Roman"/>
          <w:bCs/>
          <w:kern w:val="0"/>
          <w:sz w:val="28"/>
          <w:szCs w:val="28"/>
          <w:lang w:eastAsia="zh-CN"/>
        </w:rPr>
        <w:t>柴油</w:t>
      </w:r>
      <w:r>
        <w:rPr>
          <w:rFonts w:hint="eastAsia" w:cs="Times New Roman"/>
          <w:bCs/>
          <w:kern w:val="0"/>
          <w:sz w:val="28"/>
          <w:szCs w:val="28"/>
          <w:lang w:val="en-US" w:eastAsia="zh-CN"/>
        </w:rPr>
        <w:t>储</w:t>
      </w:r>
      <w:r>
        <w:rPr>
          <w:rFonts w:hint="default" w:ascii="Times New Roman" w:hAnsi="Times New Roman" w:cs="Times New Roman"/>
          <w:bCs/>
          <w:kern w:val="0"/>
          <w:sz w:val="28"/>
          <w:szCs w:val="28"/>
          <w:lang w:eastAsia="zh-CN"/>
        </w:rPr>
        <w:t>罐、3座30m</w:t>
      </w:r>
      <w:r>
        <w:rPr>
          <w:rFonts w:hint="default" w:ascii="Times New Roman" w:hAnsi="Times New Roman" w:cs="Times New Roman"/>
          <w:bCs/>
          <w:kern w:val="0"/>
          <w:sz w:val="28"/>
          <w:szCs w:val="28"/>
          <w:vertAlign w:val="superscript"/>
          <w:lang w:eastAsia="zh-CN"/>
        </w:rPr>
        <w:t>3</w:t>
      </w:r>
      <w:r>
        <w:rPr>
          <w:rFonts w:hint="default" w:ascii="Times New Roman" w:hAnsi="Times New Roman" w:cs="Times New Roman"/>
          <w:bCs/>
          <w:kern w:val="0"/>
          <w:sz w:val="28"/>
          <w:szCs w:val="28"/>
          <w:lang w:eastAsia="zh-CN"/>
        </w:rPr>
        <w:t>乙醇汽油</w:t>
      </w:r>
      <w:r>
        <w:rPr>
          <w:rFonts w:hint="eastAsia" w:cs="Times New Roman"/>
          <w:bCs/>
          <w:kern w:val="0"/>
          <w:sz w:val="28"/>
          <w:szCs w:val="28"/>
          <w:lang w:val="en-US" w:eastAsia="zh-CN"/>
        </w:rPr>
        <w:t>储</w:t>
      </w:r>
      <w:r>
        <w:rPr>
          <w:rFonts w:hint="default" w:ascii="Times New Roman" w:hAnsi="Times New Roman" w:cs="Times New Roman"/>
          <w:bCs/>
          <w:kern w:val="0"/>
          <w:sz w:val="28"/>
          <w:szCs w:val="28"/>
          <w:lang w:eastAsia="zh-CN"/>
        </w:rPr>
        <w:t>罐</w:t>
      </w:r>
      <w:r>
        <w:rPr>
          <w:rFonts w:hint="eastAsia" w:cs="Times New Roman"/>
          <w:bCs/>
          <w:kern w:val="0"/>
          <w:sz w:val="28"/>
          <w:szCs w:val="28"/>
          <w:lang w:eastAsia="zh-CN"/>
        </w:rPr>
        <w:t>（</w:t>
      </w:r>
      <w:r>
        <w:rPr>
          <w:rFonts w:hint="eastAsia" w:cs="Times New Roman"/>
          <w:bCs/>
          <w:kern w:val="0"/>
          <w:sz w:val="28"/>
          <w:szCs w:val="28"/>
          <w:lang w:val="en-US" w:eastAsia="zh-CN"/>
        </w:rPr>
        <w:t>其中一个罐带隔仓</w:t>
      </w:r>
      <w:r>
        <w:rPr>
          <w:rFonts w:hint="eastAsia" w:cs="Times New Roman"/>
          <w:bCs/>
          <w:kern w:val="0"/>
          <w:sz w:val="28"/>
          <w:szCs w:val="28"/>
          <w:lang w:eastAsia="zh-CN"/>
        </w:rPr>
        <w:t>）</w:t>
      </w:r>
      <w:r>
        <w:rPr>
          <w:rFonts w:hint="default" w:ascii="Times New Roman" w:hAnsi="Times New Roman" w:cs="Times New Roman"/>
          <w:bCs/>
          <w:kern w:val="0"/>
          <w:sz w:val="28"/>
          <w:szCs w:val="28"/>
          <w:lang w:eastAsia="zh-CN"/>
        </w:rPr>
        <w:t>；②新建1座站房；③新建1座罩棚，罩棚下新建4台加油机（2台四枪双油品潜油泵式乙醇汽油加油机、1台双枪双油品潜油泵式乙醇汽油加油机、</w:t>
      </w:r>
      <w:r>
        <w:rPr>
          <w:rFonts w:hint="eastAsia" w:cs="宋体"/>
          <w:b w:val="0"/>
          <w:bCs w:val="0"/>
          <w:color w:val="000000" w:themeColor="text1"/>
          <w:spacing w:val="0"/>
          <w:sz w:val="28"/>
          <w:szCs w:val="28"/>
          <w:highlight w:val="none"/>
          <w:lang w:val="en-US" w:eastAsia="zh-CN"/>
          <w14:textFill>
            <w14:solidFill>
              <w14:schemeClr w14:val="tx1"/>
            </w14:solidFill>
          </w14:textFill>
        </w:rPr>
        <w:t>1台双枪双油品乙醇汽油、柴油加油机</w:t>
      </w:r>
      <w:r>
        <w:rPr>
          <w:rFonts w:hint="default" w:ascii="Times New Roman" w:hAnsi="Times New Roman" w:cs="Times New Roman"/>
          <w:bCs/>
          <w:kern w:val="0"/>
          <w:sz w:val="28"/>
          <w:szCs w:val="28"/>
          <w:lang w:eastAsia="zh-CN"/>
        </w:rPr>
        <w:t>）</w:t>
      </w:r>
      <w:r>
        <w:rPr>
          <w:rFonts w:hint="eastAsia" w:cs="宋体"/>
          <w:b w:val="0"/>
          <w:bCs w:val="0"/>
          <w:color w:val="000000" w:themeColor="text1"/>
          <w:spacing w:val="0"/>
          <w:sz w:val="28"/>
          <w:szCs w:val="28"/>
          <w:highlight w:val="none"/>
          <w:lang w:val="en-US" w:eastAsia="zh-CN"/>
          <w14:textFill>
            <w14:solidFill>
              <w14:schemeClr w14:val="tx1"/>
            </w14:solidFill>
          </w14:textFill>
        </w:rPr>
        <w:t>④新建充电区（不在本次评价范围内），设置5台充电桩及10个充电车位、2台变压器、光伏设备一套。</w:t>
      </w:r>
    </w:p>
    <w:p w14:paraId="06D9EFA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cs="Times New Roman"/>
          <w:sz w:val="28"/>
          <w:szCs w:val="28"/>
          <w:vertAlign w:val="baseline"/>
          <w:lang w:val="en-US" w:eastAsia="zh-CN"/>
        </w:rPr>
      </w:pPr>
      <w:r>
        <w:rPr>
          <w:rFonts w:hint="eastAsia" w:cs="Times New Roman"/>
          <w:sz w:val="28"/>
          <w:szCs w:val="28"/>
          <w:vertAlign w:val="baseline"/>
          <w:lang w:val="en-US" w:eastAsia="zh-CN"/>
        </w:rPr>
        <w:t>根据《汽车加油加气加氢站技术标准》（GB50156-2021）3.0.9中规定，则该加油站油罐总容积为105m³（柴油罐容积折半计入），故</w:t>
      </w:r>
      <w:r>
        <w:rPr>
          <w:rFonts w:hint="eastAsia" w:cs="Times New Roman"/>
          <w:bCs/>
          <w:kern w:val="0"/>
          <w:sz w:val="28"/>
          <w:szCs w:val="28"/>
          <w:lang w:eastAsia="zh-CN"/>
        </w:rPr>
        <w:t>海飞路加</w:t>
      </w:r>
      <w:r>
        <w:rPr>
          <w:rFonts w:hint="eastAsia" w:cs="Times New Roman"/>
          <w:bCs/>
          <w:kern w:val="0"/>
          <w:sz w:val="28"/>
          <w:szCs w:val="28"/>
          <w:lang w:val="en-US" w:eastAsia="zh-CN"/>
        </w:rPr>
        <w:t>能</w:t>
      </w:r>
      <w:r>
        <w:rPr>
          <w:rFonts w:hint="eastAsia" w:cs="Times New Roman"/>
          <w:bCs/>
          <w:kern w:val="0"/>
          <w:sz w:val="28"/>
          <w:szCs w:val="28"/>
          <w:lang w:eastAsia="zh-CN"/>
        </w:rPr>
        <w:t>站</w:t>
      </w:r>
      <w:r>
        <w:rPr>
          <w:rFonts w:hint="eastAsia" w:cs="Times New Roman"/>
          <w:bCs/>
          <w:kern w:val="0"/>
          <w:sz w:val="28"/>
          <w:szCs w:val="28"/>
          <w:lang w:val="en-US" w:eastAsia="zh-CN"/>
        </w:rPr>
        <w:t>加油部分</w:t>
      </w:r>
      <w:r>
        <w:rPr>
          <w:rFonts w:hint="eastAsia" w:cs="Times New Roman"/>
          <w:sz w:val="28"/>
          <w:szCs w:val="28"/>
          <w:vertAlign w:val="baseline"/>
          <w:lang w:val="en-US" w:eastAsia="zh-CN"/>
        </w:rPr>
        <w:t>为二级加油站。该站拟设置手机支付功能，但不设置自助加油功能。</w:t>
      </w:r>
    </w:p>
    <w:bookmarkEnd w:id="47"/>
    <w:bookmarkEnd w:id="48"/>
    <w:bookmarkEnd w:id="49"/>
    <w:p w14:paraId="27990224">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54" w:name="_Toc22811"/>
      <w:bookmarkStart w:id="55" w:name="_Toc4522"/>
      <w:r>
        <w:rPr>
          <w:rFonts w:hint="default" w:ascii="Times New Roman" w:hAnsi="Times New Roman" w:eastAsia="楷体" w:cs="Times New Roman"/>
          <w:color w:val="auto"/>
          <w:sz w:val="32"/>
          <w:szCs w:val="32"/>
          <w:lang w:val="en-US" w:eastAsia="zh-CN"/>
        </w:rPr>
        <w:t>2.3采用的主要技术、工艺和同类项目水平对比情况</w:t>
      </w:r>
      <w:bookmarkEnd w:id="50"/>
      <w:bookmarkEnd w:id="51"/>
      <w:bookmarkEnd w:id="52"/>
      <w:bookmarkEnd w:id="53"/>
      <w:bookmarkEnd w:id="54"/>
      <w:bookmarkEnd w:id="55"/>
    </w:p>
    <w:p w14:paraId="122C7F45">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rPr>
      </w:pPr>
      <w:bookmarkStart w:id="56" w:name="_Toc410311871"/>
      <w:bookmarkStart w:id="57" w:name="_Toc410311948"/>
      <w:bookmarkStart w:id="58" w:name="_Toc41246667"/>
      <w:bookmarkStart w:id="59" w:name="_Toc25360"/>
      <w:r>
        <w:rPr>
          <w:rFonts w:hint="default" w:ascii="Times New Roman" w:hAnsi="Times New Roman" w:eastAsia="黑体" w:cs="Times New Roman"/>
          <w:b/>
          <w:bCs/>
          <w:color w:val="auto"/>
          <w:sz w:val="28"/>
          <w:szCs w:val="32"/>
          <w:lang w:val="en-US" w:eastAsia="zh-CN"/>
        </w:rPr>
        <w:t>2.3.1</w:t>
      </w:r>
      <w:r>
        <w:rPr>
          <w:rFonts w:hint="default" w:ascii="Times New Roman" w:hAnsi="Times New Roman" w:eastAsia="黑体" w:cs="Times New Roman"/>
          <w:b/>
          <w:bCs/>
          <w:color w:val="auto"/>
          <w:sz w:val="28"/>
          <w:szCs w:val="32"/>
        </w:rPr>
        <w:t>国内、外同类建设项目水平对比情况</w:t>
      </w:r>
    </w:p>
    <w:p w14:paraId="30898A4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eastAsia="zh-CN"/>
        </w:rPr>
      </w:pPr>
      <w:r>
        <w:rPr>
          <w:rFonts w:hint="default" w:ascii="Times New Roman" w:hAnsi="Times New Roman" w:cs="Times New Roman"/>
          <w:bCs/>
          <w:kern w:val="0"/>
          <w:sz w:val="28"/>
          <w:szCs w:val="28"/>
          <w:lang w:eastAsia="zh-CN"/>
        </w:rPr>
        <w:t>加油站主要为车辆提供加油服务，核心设备为加油机和油罐，主要工艺由油品卸车、油品储存及输送、油品付出等环节组成。目前，国内外加油站在油品卸车环节中均采用自流密闭卸油方式，并设置液位监测报警系统，当油罐容量达到90％的液位时触动声光报警器，同时储罐设置防溢满措施，当油料达到油罐容量的95％时，应能自动停止油料继续进罐，目前采用较多的是一种机械装置——防溢流阀，安装在卸油管中，当油料达到油罐容量的95％时，防溢流阀自动关闭，阻止油品继续进罐；在油品储存及输送环节，储罐和输送管道均采用埋地方式设置。</w:t>
      </w:r>
    </w:p>
    <w:p w14:paraId="4CF6767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eastAsia="zh-CN"/>
        </w:rPr>
      </w:pPr>
      <w:r>
        <w:rPr>
          <w:rFonts w:hint="default" w:ascii="Times New Roman" w:hAnsi="Times New Roman" w:cs="Times New Roman"/>
          <w:bCs/>
          <w:kern w:val="0"/>
          <w:sz w:val="28"/>
          <w:szCs w:val="28"/>
          <w:lang w:eastAsia="zh-CN"/>
        </w:rPr>
        <w:t>本项目拟采用的潜泵式工艺技术为国内、外通用的油品储存、装卸及加油技术，在国内外均有大量成熟工艺。同时，为贯彻落实国务院《水污染防治行动计划》（国发[2015]17号，2015年04月02日施行）第八条二十四款中关于“加油站地下油罐应于2017年底前全部更新为双层罐或完成防渗池设置”的相关要求，本项目的储罐采用双层油罐，管道采用双层管道，其中双层罐拟选用内钢外玻璃纤维增强塑料储罐，双层管道拟选用双层导静电热塑性管道，在防止油罐和管道出现渗漏方面具有双保险作用，并可实施在线监测和人工检测，无论是内层还是外层发生渗漏，都能在贯通间隙内被发现，从而可有效地避免渗漏油品进入环境，污染环境和地下水。此外，由于外层玻璃纤维增强塑料罐体、双层导静电热塑性管道的抗土壤和化学腐蚀方面远远优于钢制油罐和钢制管道，故其使用年限比直接接触土壤的钢制油罐和钢制管道要长。</w:t>
      </w:r>
    </w:p>
    <w:p w14:paraId="6DD0219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eastAsia="zh-CN"/>
        </w:rPr>
      </w:pPr>
      <w:r>
        <w:rPr>
          <w:rFonts w:hint="default" w:ascii="Times New Roman" w:hAnsi="Times New Roman" w:cs="Times New Roman"/>
          <w:bCs/>
          <w:kern w:val="0"/>
          <w:sz w:val="28"/>
          <w:szCs w:val="28"/>
          <w:lang w:eastAsia="zh-CN"/>
        </w:rPr>
        <w:t>目前，大多数加油站均采用上述油品储存、装卸及加油技术，并采用埋地双层油罐和双层管道，设置了油气回收系统，至今未发生过任何安全生产事故和油品泄漏、渗漏事故，各系统运行正常。故本项目拟采用的工艺、设备成熟可靠，从本质安全和环境保护均具有一定的先进性。</w:t>
      </w:r>
    </w:p>
    <w:p w14:paraId="174D531C">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60" w:name="_Toc41246665"/>
      <w:bookmarkStart w:id="61" w:name="_Toc796"/>
      <w:r>
        <w:rPr>
          <w:rFonts w:hint="default" w:ascii="Times New Roman" w:hAnsi="Times New Roman" w:eastAsia="黑体" w:cs="Times New Roman"/>
          <w:b/>
          <w:bCs/>
          <w:color w:val="auto"/>
          <w:sz w:val="28"/>
          <w:szCs w:val="32"/>
          <w:lang w:val="en-US" w:eastAsia="zh-CN"/>
        </w:rPr>
        <w:t>2.3.2本项目采用的工艺路线及特点</w:t>
      </w:r>
      <w:bookmarkEnd w:id="60"/>
      <w:bookmarkEnd w:id="61"/>
    </w:p>
    <w:p w14:paraId="4B49CAE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cs="Times New Roman"/>
          <w:bCs/>
          <w:kern w:val="0"/>
          <w:sz w:val="28"/>
          <w:szCs w:val="28"/>
          <w:lang w:val="zh-CN" w:eastAsia="zh-CN"/>
        </w:rPr>
      </w:pPr>
      <w:r>
        <w:rPr>
          <w:rFonts w:hint="default" w:ascii="Times New Roman" w:hAnsi="Times New Roman" w:cs="Times New Roman"/>
          <w:bCs/>
          <w:kern w:val="0"/>
          <w:sz w:val="28"/>
          <w:szCs w:val="28"/>
          <w:lang w:eastAsia="zh-CN"/>
        </w:rPr>
        <w:t>本项目拟采用国内常用的加油工艺和卸油工艺，并设置油气回收系统。采用的</w:t>
      </w:r>
      <w:r>
        <w:rPr>
          <w:rFonts w:hint="default" w:ascii="Times New Roman" w:hAnsi="Times New Roman" w:cs="Times New Roman"/>
          <w:bCs/>
          <w:kern w:val="0"/>
          <w:sz w:val="28"/>
          <w:szCs w:val="28"/>
          <w:lang w:val="zh-CN" w:eastAsia="zh-CN"/>
        </w:rPr>
        <w:t>油气回收系统为一次油气回收、二次油气回收。一次油气回收即汽油卸油油气回收，二次油气回收即汽油加油油气回收</w:t>
      </w:r>
      <w:r>
        <w:rPr>
          <w:rFonts w:hint="eastAsia" w:cs="Times New Roman"/>
          <w:bCs/>
          <w:kern w:val="0"/>
          <w:sz w:val="28"/>
          <w:szCs w:val="28"/>
          <w:lang w:val="zh-CN" w:eastAsia="zh-CN"/>
        </w:rPr>
        <w:t>。</w:t>
      </w:r>
    </w:p>
    <w:p w14:paraId="30FBFC2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eastAsia="zh-CN"/>
        </w:rPr>
      </w:pPr>
      <w:r>
        <w:rPr>
          <w:rFonts w:hint="default" w:ascii="Times New Roman" w:hAnsi="Times New Roman" w:cs="Times New Roman"/>
          <w:bCs/>
          <w:kern w:val="0"/>
          <w:sz w:val="28"/>
          <w:szCs w:val="28"/>
          <w:lang w:eastAsia="zh-CN"/>
        </w:rPr>
        <w:t>加油工艺拟采用潜泵式加油，通过油罐操作井内的潜油泵将埋地油罐内的油品提升至加油机计量及供油，再经加油枪加到汽车油箱中。</w:t>
      </w:r>
    </w:p>
    <w:p w14:paraId="235CB4D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eastAsia="zh-CN"/>
        </w:rPr>
      </w:pPr>
      <w:r>
        <w:rPr>
          <w:rFonts w:hint="default" w:ascii="Times New Roman" w:hAnsi="Times New Roman" w:cs="Times New Roman"/>
          <w:bCs/>
          <w:kern w:val="0"/>
          <w:sz w:val="28"/>
          <w:szCs w:val="28"/>
          <w:lang w:eastAsia="zh-CN"/>
        </w:rPr>
        <w:t>卸油工艺拟采用油罐车经连通软管与油罐卸油孔连通后自流密闭卸油，并设置液位监测报警系统，当油罐容量达到90％的液位时触动声光报警器，同时储罐拟设置防溢满措施，即一种机械装置——防溢流阀，安装在卸油管中，当油料达到油罐容量的95％时，防溢流阀自动关闭，阻止油品继续进罐。</w:t>
      </w:r>
    </w:p>
    <w:p w14:paraId="417915C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eastAsia="zh-CN"/>
        </w:rPr>
      </w:pPr>
      <w:r>
        <w:rPr>
          <w:rFonts w:hint="default" w:ascii="Times New Roman" w:hAnsi="Times New Roman" w:cs="Times New Roman"/>
          <w:bCs/>
          <w:kern w:val="0"/>
          <w:sz w:val="28"/>
          <w:szCs w:val="28"/>
          <w:lang w:eastAsia="zh-CN"/>
        </w:rPr>
        <w:t>一次油气回收阶段是通过压力平衡原理，将在卸油过程中挥发的油气收集到油罐车内，运回储油库进行油气回收处理的过程。</w:t>
      </w:r>
    </w:p>
    <w:p w14:paraId="39926B6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eastAsia="zh-CN"/>
        </w:rPr>
      </w:pPr>
      <w:r>
        <w:rPr>
          <w:rFonts w:hint="default" w:ascii="Times New Roman" w:hAnsi="Times New Roman" w:cs="Times New Roman"/>
          <w:bCs/>
          <w:kern w:val="0"/>
          <w:sz w:val="28"/>
          <w:szCs w:val="28"/>
          <w:lang w:eastAsia="zh-CN"/>
        </w:rPr>
        <w:t>二次油气回收阶段是采用真空辅助式油气回收设备，将在加油过程中挥发的油气通过地下油气回收管线收集到地下储罐的油气回收过程。</w:t>
      </w:r>
    </w:p>
    <w:p w14:paraId="2DF7BA45">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62" w:name="_Toc41246666"/>
      <w:bookmarkStart w:id="63" w:name="_Toc17404"/>
      <w:r>
        <w:rPr>
          <w:rFonts w:hint="default" w:ascii="Times New Roman" w:hAnsi="Times New Roman" w:eastAsia="黑体" w:cs="Times New Roman"/>
          <w:b/>
          <w:bCs/>
          <w:color w:val="auto"/>
          <w:sz w:val="28"/>
          <w:szCs w:val="32"/>
          <w:lang w:val="en-US" w:eastAsia="zh-CN"/>
        </w:rPr>
        <w:t>2.3.3分析结果</w:t>
      </w:r>
      <w:bookmarkEnd w:id="62"/>
      <w:bookmarkEnd w:id="63"/>
    </w:p>
    <w:p w14:paraId="39FADD9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val="en-US" w:eastAsia="zh-CN"/>
        </w:rPr>
      </w:pPr>
      <w:r>
        <w:rPr>
          <w:rFonts w:hint="default" w:ascii="Times New Roman" w:hAnsi="Times New Roman" w:cs="Times New Roman"/>
          <w:bCs/>
          <w:kern w:val="0"/>
          <w:sz w:val="28"/>
          <w:szCs w:val="28"/>
          <w:lang w:eastAsia="zh-CN"/>
        </w:rPr>
        <w:t>本项目拟采用的工艺技术属于国、内外较为成熟、可靠的工艺技术，在国内同行业中已被广泛采用。根据《产业结构调整指导目录（2024年本）》（国家发展和改革委员会令第7号，2024年02月01日施行）、《应急管理部办公厅关于印发&lt;淘汰落后危险化学品安全生产工艺技术设备目录（第一批）&gt;的通知》（应急厅〔2020〕38号，2020年10月23日施行）</w:t>
      </w:r>
      <w:r>
        <w:rPr>
          <w:rFonts w:hint="default" w:ascii="Times New Roman" w:hAnsi="Times New Roman" w:cs="Times New Roman"/>
          <w:bCs/>
          <w:kern w:val="0"/>
          <w:sz w:val="28"/>
          <w:szCs w:val="28"/>
          <w:lang w:val="en-US" w:eastAsia="zh-CN"/>
        </w:rPr>
        <w:t>和《应急管理部办公厅关于印发&lt;淘汰落后危险化学品安全生产工艺技术设备目录（第二批）&gt;的通知》（应急厅〔2024〕86号，2024年03月08日施行）</w:t>
      </w:r>
      <w:r>
        <w:rPr>
          <w:rFonts w:hint="default" w:ascii="Times New Roman" w:hAnsi="Times New Roman" w:cs="Times New Roman"/>
          <w:bCs/>
          <w:kern w:val="0"/>
          <w:sz w:val="28"/>
          <w:szCs w:val="28"/>
          <w:lang w:eastAsia="zh-CN"/>
        </w:rPr>
        <w:t>，拟采用的工艺不属于国家限制类或淘汰类</w:t>
      </w:r>
      <w:r>
        <w:rPr>
          <w:rFonts w:hint="default" w:ascii="Times New Roman" w:hAnsi="Times New Roman" w:cs="Times New Roman"/>
          <w:bCs/>
          <w:kern w:val="0"/>
          <w:sz w:val="28"/>
          <w:szCs w:val="28"/>
          <w:lang w:val="en-US" w:eastAsia="zh-CN"/>
        </w:rPr>
        <w:t>工艺</w:t>
      </w:r>
      <w:r>
        <w:rPr>
          <w:rFonts w:hint="default" w:ascii="Times New Roman" w:hAnsi="Times New Roman" w:cs="Times New Roman"/>
          <w:bCs/>
          <w:kern w:val="0"/>
          <w:sz w:val="28"/>
          <w:szCs w:val="28"/>
          <w:lang w:eastAsia="zh-CN"/>
        </w:rPr>
        <w:t>，拟选用的设备也不属于淘汰落后设备。</w:t>
      </w:r>
    </w:p>
    <w:p w14:paraId="489F0372">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64" w:name="_Toc25139"/>
      <w:r>
        <w:rPr>
          <w:rFonts w:hint="default" w:ascii="Times New Roman" w:hAnsi="Times New Roman" w:eastAsia="楷体" w:cs="Times New Roman"/>
          <w:color w:val="auto"/>
          <w:sz w:val="32"/>
          <w:szCs w:val="32"/>
          <w:lang w:val="en-US" w:eastAsia="zh-CN"/>
        </w:rPr>
        <w:t>2.4建设项目所在地理位置、用地面积、生产</w:t>
      </w:r>
      <w:bookmarkEnd w:id="56"/>
      <w:bookmarkEnd w:id="57"/>
      <w:r>
        <w:rPr>
          <w:rFonts w:hint="default" w:ascii="Times New Roman" w:hAnsi="Times New Roman" w:eastAsia="楷体" w:cs="Times New Roman"/>
          <w:color w:val="auto"/>
          <w:sz w:val="32"/>
          <w:szCs w:val="32"/>
          <w:lang w:val="en-US" w:eastAsia="zh-CN"/>
        </w:rPr>
        <w:t>或者储存规模</w:t>
      </w:r>
      <w:bookmarkEnd w:id="58"/>
      <w:bookmarkEnd w:id="59"/>
      <w:bookmarkEnd w:id="64"/>
    </w:p>
    <w:p w14:paraId="0C5AF8E2">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65" w:name="_Toc41246668"/>
      <w:bookmarkStart w:id="66" w:name="_Toc146488831"/>
      <w:bookmarkStart w:id="67" w:name="_Toc2832"/>
      <w:bookmarkStart w:id="68" w:name="_Toc24229"/>
      <w:r>
        <w:rPr>
          <w:rFonts w:hint="default" w:ascii="Times New Roman" w:hAnsi="Times New Roman" w:eastAsia="黑体" w:cs="Times New Roman"/>
          <w:b/>
          <w:bCs/>
          <w:color w:val="auto"/>
          <w:sz w:val="28"/>
          <w:szCs w:val="32"/>
          <w:lang w:val="en-US" w:eastAsia="zh-CN"/>
        </w:rPr>
        <w:t>2.4.1地理位置</w:t>
      </w:r>
      <w:bookmarkEnd w:id="65"/>
      <w:bookmarkEnd w:id="66"/>
      <w:bookmarkEnd w:id="67"/>
      <w:bookmarkEnd w:id="68"/>
    </w:p>
    <w:p w14:paraId="598ABF7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val="en-US" w:eastAsia="zh-CN"/>
        </w:rPr>
      </w:pPr>
      <w:r>
        <w:rPr>
          <w:rFonts w:hint="eastAsia" w:ascii="Times New Roman" w:hAnsi="Times New Roman" w:cs="Times New Roman"/>
          <w:bCs/>
          <w:kern w:val="0"/>
          <w:sz w:val="28"/>
          <w:szCs w:val="28"/>
          <w:lang w:val="en-US" w:eastAsia="zh-CN"/>
        </w:rPr>
        <w:t>该项目</w:t>
      </w:r>
      <w:r>
        <w:rPr>
          <w:rFonts w:hint="default" w:ascii="Times New Roman" w:hAnsi="Times New Roman" w:cs="Times New Roman"/>
          <w:bCs/>
          <w:kern w:val="0"/>
          <w:sz w:val="28"/>
          <w:szCs w:val="28"/>
          <w:lang w:eastAsia="zh-CN"/>
        </w:rPr>
        <w:t>位于辽宁省葫芦岛市龙港区龙锦街以东，海飞路以西，站区</w:t>
      </w:r>
      <w:r>
        <w:rPr>
          <w:rFonts w:hint="default" w:ascii="Times New Roman" w:hAnsi="Times New Roman" w:cs="Times New Roman"/>
          <w:bCs/>
          <w:kern w:val="0"/>
          <w:sz w:val="28"/>
          <w:szCs w:val="28"/>
          <w:lang w:val="en-US" w:eastAsia="zh-CN"/>
        </w:rPr>
        <w:t>北侧</w:t>
      </w:r>
      <w:r>
        <w:rPr>
          <w:rFonts w:hint="eastAsia" w:cs="Times New Roman"/>
          <w:bCs/>
          <w:kern w:val="0"/>
          <w:sz w:val="28"/>
          <w:szCs w:val="28"/>
          <w:lang w:val="en-US" w:eastAsia="zh-CN"/>
        </w:rPr>
        <w:t>为空地；南侧为1#居民楼住宅（</w:t>
      </w:r>
      <w:r>
        <w:rPr>
          <w:rFonts w:hint="eastAsia" w:cs="Times New Roman"/>
          <w:bCs/>
          <w:kern w:val="0"/>
          <w:sz w:val="28"/>
          <w:szCs w:val="28"/>
          <w:highlight w:val="none"/>
          <w:lang w:val="en-US" w:eastAsia="zh-CN"/>
        </w:rPr>
        <w:t>建筑面积约为6500m</w:t>
      </w:r>
      <w:r>
        <w:rPr>
          <w:rFonts w:hint="eastAsia" w:cs="Times New Roman"/>
          <w:bCs/>
          <w:kern w:val="0"/>
          <w:sz w:val="28"/>
          <w:szCs w:val="28"/>
          <w:highlight w:val="none"/>
          <w:vertAlign w:val="superscript"/>
          <w:lang w:val="en-US" w:eastAsia="zh-CN"/>
        </w:rPr>
        <w:t>2</w:t>
      </w:r>
      <w:r>
        <w:rPr>
          <w:rFonts w:hint="eastAsia" w:cs="Times New Roman"/>
          <w:bCs/>
          <w:kern w:val="0"/>
          <w:sz w:val="28"/>
          <w:szCs w:val="28"/>
          <w:highlight w:val="none"/>
          <w:vertAlign w:val="baseline"/>
          <w:lang w:val="en-US" w:eastAsia="zh-CN"/>
        </w:rPr>
        <w:t>，为二类保护物</w:t>
      </w:r>
      <w:r>
        <w:rPr>
          <w:rFonts w:hint="eastAsia" w:cs="Times New Roman"/>
          <w:bCs/>
          <w:kern w:val="0"/>
          <w:sz w:val="28"/>
          <w:szCs w:val="28"/>
          <w:highlight w:val="none"/>
          <w:lang w:val="en-US" w:eastAsia="zh-CN"/>
        </w:rPr>
        <w:t>）及2#居民楼住宅（建筑面积约为6500m</w:t>
      </w:r>
      <w:r>
        <w:rPr>
          <w:rFonts w:hint="eastAsia" w:cs="Times New Roman"/>
          <w:bCs/>
          <w:kern w:val="0"/>
          <w:sz w:val="28"/>
          <w:szCs w:val="28"/>
          <w:highlight w:val="none"/>
          <w:vertAlign w:val="superscript"/>
          <w:lang w:val="en-US" w:eastAsia="zh-CN"/>
        </w:rPr>
        <w:t>2</w:t>
      </w:r>
      <w:r>
        <w:rPr>
          <w:rFonts w:hint="eastAsia" w:cs="Times New Roman"/>
          <w:bCs/>
          <w:kern w:val="0"/>
          <w:sz w:val="28"/>
          <w:szCs w:val="28"/>
          <w:highlight w:val="none"/>
          <w:lang w:val="en-US" w:eastAsia="zh-CN"/>
        </w:rPr>
        <w:t>，为二类保护物）；西</w:t>
      </w:r>
      <w:r>
        <w:rPr>
          <w:rFonts w:hint="eastAsia" w:cs="Times New Roman"/>
          <w:bCs/>
          <w:kern w:val="0"/>
          <w:sz w:val="28"/>
          <w:szCs w:val="28"/>
          <w:lang w:val="en-US" w:eastAsia="zh-CN"/>
        </w:rPr>
        <w:t>侧为龙锦街（主干路）；东侧为海飞路（主干路）</w:t>
      </w:r>
      <w:r>
        <w:rPr>
          <w:rFonts w:hint="default" w:ascii="Times New Roman" w:hAnsi="Times New Roman" w:cs="Times New Roman"/>
          <w:bCs/>
          <w:kern w:val="0"/>
          <w:sz w:val="28"/>
          <w:szCs w:val="28"/>
          <w:lang w:val="en-US" w:eastAsia="zh-CN"/>
        </w:rPr>
        <w:t>。</w:t>
      </w:r>
    </w:p>
    <w:p w14:paraId="387A210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eastAsia="zh-CN"/>
        </w:rPr>
      </w:pPr>
      <w:r>
        <w:rPr>
          <w:rFonts w:hint="default" w:ascii="Times New Roman" w:hAnsi="Times New Roman" w:cs="Times New Roman"/>
          <w:bCs/>
          <w:kern w:val="0"/>
          <w:sz w:val="28"/>
          <w:szCs w:val="28"/>
          <w:lang w:eastAsia="zh-CN"/>
        </w:rPr>
        <w:t>该站周边无自然保护区、风景名胜区、水源保护区等需要特殊保护的用地。项目地理位置见图2</w:t>
      </w:r>
      <w:r>
        <w:rPr>
          <w:rFonts w:hint="default" w:ascii="Times New Roman" w:hAnsi="Times New Roman" w:cs="Times New Roman"/>
          <w:bCs/>
          <w:kern w:val="0"/>
          <w:sz w:val="28"/>
          <w:szCs w:val="28"/>
          <w:lang w:val="en-US" w:eastAsia="zh-CN"/>
        </w:rPr>
        <w:t>.4</w:t>
      </w:r>
      <w:r>
        <w:rPr>
          <w:rFonts w:hint="default" w:ascii="Times New Roman" w:hAnsi="Times New Roman" w:cs="Times New Roman"/>
          <w:bCs/>
          <w:kern w:val="0"/>
          <w:sz w:val="28"/>
          <w:szCs w:val="28"/>
          <w:lang w:eastAsia="zh-CN"/>
        </w:rPr>
        <w:t>-1</w:t>
      </w:r>
      <w:r>
        <w:rPr>
          <w:rFonts w:hint="eastAsia" w:cs="Times New Roman"/>
          <w:bCs/>
          <w:kern w:val="0"/>
          <w:sz w:val="28"/>
          <w:szCs w:val="28"/>
          <w:lang w:eastAsia="zh-CN"/>
        </w:rPr>
        <w:t>，</w:t>
      </w:r>
      <w:r>
        <w:rPr>
          <w:rFonts w:hint="eastAsia" w:cs="Times New Roman"/>
          <w:bCs/>
          <w:kern w:val="0"/>
          <w:sz w:val="28"/>
          <w:szCs w:val="28"/>
          <w:lang w:val="en-US" w:eastAsia="zh-CN"/>
        </w:rPr>
        <w:t>周边环境及总平面布置见</w:t>
      </w:r>
      <w:r>
        <w:rPr>
          <w:rFonts w:hint="default" w:ascii="Times New Roman" w:hAnsi="Times New Roman" w:cs="Times New Roman"/>
          <w:bCs/>
          <w:kern w:val="0"/>
          <w:sz w:val="28"/>
          <w:szCs w:val="28"/>
          <w:lang w:val="en-US" w:eastAsia="zh-CN"/>
        </w:rPr>
        <w:t>图2.4-2</w:t>
      </w:r>
      <w:r>
        <w:rPr>
          <w:rFonts w:hint="default" w:ascii="Times New Roman" w:hAnsi="Times New Roman" w:cs="Times New Roman"/>
          <w:bCs/>
          <w:kern w:val="0"/>
          <w:sz w:val="28"/>
          <w:szCs w:val="28"/>
          <w:lang w:eastAsia="zh-CN"/>
        </w:rPr>
        <w:t>。</w:t>
      </w:r>
    </w:p>
    <w:p w14:paraId="28623219">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69" w:name="_Toc146488832"/>
      <w:bookmarkStart w:id="70" w:name="_Toc41246669"/>
      <w:bookmarkStart w:id="71" w:name="_Toc1076"/>
      <w:bookmarkStart w:id="72" w:name="_Toc31225"/>
      <w:r>
        <w:rPr>
          <w:rFonts w:hint="default" w:ascii="Times New Roman" w:hAnsi="Times New Roman" w:eastAsia="黑体" w:cs="Times New Roman"/>
          <w:b/>
          <w:bCs/>
          <w:color w:val="auto"/>
          <w:sz w:val="28"/>
          <w:szCs w:val="32"/>
          <w:lang w:val="en-US" w:eastAsia="zh-CN"/>
        </w:rPr>
        <w:t>2.4.2用地面积</w:t>
      </w:r>
      <w:bookmarkEnd w:id="69"/>
      <w:bookmarkEnd w:id="70"/>
      <w:bookmarkEnd w:id="71"/>
      <w:bookmarkEnd w:id="72"/>
    </w:p>
    <w:p w14:paraId="3981FE1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highlight w:val="none"/>
          <w:lang w:val="en-US" w:eastAsia="zh-CN"/>
        </w:rPr>
      </w:pPr>
      <w:r>
        <w:rPr>
          <w:rFonts w:hint="default" w:ascii="Times New Roman" w:hAnsi="Times New Roman" w:cs="Times New Roman"/>
          <w:bCs/>
          <w:kern w:val="0"/>
          <w:sz w:val="28"/>
          <w:szCs w:val="28"/>
          <w:highlight w:val="none"/>
          <w:lang w:val="en-US" w:eastAsia="zh-CN"/>
        </w:rPr>
        <w:t>项目</w:t>
      </w:r>
      <w:r>
        <w:rPr>
          <w:rFonts w:hint="eastAsia" w:cs="Times New Roman"/>
          <w:bCs/>
          <w:kern w:val="0"/>
          <w:sz w:val="28"/>
          <w:szCs w:val="28"/>
          <w:highlight w:val="none"/>
          <w:lang w:val="en-US" w:eastAsia="zh-CN"/>
        </w:rPr>
        <w:t>总用地</w:t>
      </w:r>
      <w:r>
        <w:rPr>
          <w:rFonts w:hint="default" w:ascii="Times New Roman" w:hAnsi="Times New Roman" w:cs="Times New Roman"/>
          <w:bCs/>
          <w:kern w:val="0"/>
          <w:sz w:val="28"/>
          <w:szCs w:val="28"/>
          <w:highlight w:val="none"/>
          <w:lang w:val="en-US" w:eastAsia="zh-CN"/>
        </w:rPr>
        <w:t>面积为</w:t>
      </w:r>
      <w:r>
        <w:rPr>
          <w:rFonts w:hint="eastAsia" w:cs="Times New Roman"/>
          <w:bCs/>
          <w:kern w:val="0"/>
          <w:sz w:val="28"/>
          <w:szCs w:val="28"/>
          <w:highlight w:val="none"/>
          <w:lang w:val="en-US" w:eastAsia="zh-CN"/>
        </w:rPr>
        <w:t>8834.93m</w:t>
      </w:r>
      <w:r>
        <w:rPr>
          <w:rFonts w:hint="eastAsia" w:cs="Times New Roman"/>
          <w:bCs/>
          <w:kern w:val="0"/>
          <w:sz w:val="28"/>
          <w:szCs w:val="28"/>
          <w:highlight w:val="none"/>
          <w:vertAlign w:val="superscript"/>
          <w:lang w:val="en-US" w:eastAsia="zh-CN"/>
        </w:rPr>
        <w:t>2</w:t>
      </w:r>
      <w:r>
        <w:rPr>
          <w:rFonts w:hint="default" w:ascii="Times New Roman" w:hAnsi="Times New Roman" w:cs="Times New Roman"/>
          <w:bCs/>
          <w:kern w:val="0"/>
          <w:sz w:val="28"/>
          <w:szCs w:val="28"/>
          <w:highlight w:val="none"/>
          <w:lang w:val="en-US" w:eastAsia="zh-CN"/>
        </w:rPr>
        <w:t>。</w:t>
      </w:r>
    </w:p>
    <w:p w14:paraId="712BD473">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73" w:name="_Toc41246670"/>
      <w:bookmarkStart w:id="74" w:name="_Toc11890"/>
      <w:bookmarkStart w:id="75" w:name="_Toc736"/>
      <w:bookmarkStart w:id="76" w:name="_Toc146488833"/>
      <w:bookmarkStart w:id="77" w:name="_Toc41246671"/>
      <w:r>
        <w:rPr>
          <w:rFonts w:hint="default" w:ascii="Times New Roman" w:hAnsi="Times New Roman" w:eastAsia="黑体" w:cs="Times New Roman"/>
          <w:b/>
          <w:bCs/>
          <w:color w:val="auto"/>
          <w:sz w:val="28"/>
          <w:szCs w:val="32"/>
          <w:lang w:val="en-US" w:eastAsia="zh-CN"/>
        </w:rPr>
        <w:t>2.4.3储存规模</w:t>
      </w:r>
      <w:bookmarkEnd w:id="73"/>
      <w:bookmarkEnd w:id="74"/>
      <w:bookmarkEnd w:id="75"/>
      <w:bookmarkEnd w:id="76"/>
    </w:p>
    <w:p w14:paraId="064BCB7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val="en-US" w:eastAsia="zh-CN"/>
        </w:rPr>
      </w:pPr>
      <w:r>
        <w:rPr>
          <w:rFonts w:hint="default" w:ascii="Times New Roman" w:hAnsi="Times New Roman" w:cs="Times New Roman"/>
          <w:bCs/>
          <w:kern w:val="0"/>
          <w:sz w:val="28"/>
          <w:szCs w:val="28"/>
          <w:lang w:val="en-US" w:eastAsia="zh-CN"/>
        </w:rPr>
        <w:t>储存规模：4座埋地</w:t>
      </w:r>
      <w:r>
        <w:rPr>
          <w:rFonts w:hint="eastAsia" w:cs="Times New Roman"/>
          <w:bCs/>
          <w:kern w:val="0"/>
          <w:sz w:val="28"/>
          <w:szCs w:val="28"/>
          <w:lang w:val="en-US" w:eastAsia="zh-CN"/>
        </w:rPr>
        <w:t>S</w:t>
      </w:r>
      <w:r>
        <w:rPr>
          <w:rFonts w:hint="default" w:ascii="Times New Roman" w:hAnsi="Times New Roman" w:cs="Times New Roman"/>
          <w:bCs/>
          <w:kern w:val="0"/>
          <w:sz w:val="28"/>
          <w:szCs w:val="28"/>
          <w:lang w:val="en-US" w:eastAsia="zh-CN"/>
        </w:rPr>
        <w:t>F双层储罐，其中</w:t>
      </w:r>
      <w:r>
        <w:rPr>
          <w:rFonts w:hint="eastAsia" w:cs="Times New Roman"/>
          <w:bCs/>
          <w:kern w:val="0"/>
          <w:sz w:val="28"/>
          <w:szCs w:val="28"/>
          <w:lang w:val="en-US" w:eastAsia="zh-CN"/>
        </w:rPr>
        <w:t>3</w:t>
      </w:r>
      <w:r>
        <w:rPr>
          <w:rFonts w:hint="default" w:ascii="Times New Roman" w:hAnsi="Times New Roman" w:cs="Times New Roman"/>
          <w:bCs/>
          <w:kern w:val="0"/>
          <w:sz w:val="28"/>
          <w:szCs w:val="28"/>
          <w:lang w:val="en-US" w:eastAsia="zh-CN"/>
        </w:rPr>
        <w:t>座</w:t>
      </w:r>
      <w:r>
        <w:rPr>
          <w:rFonts w:hint="eastAsia" w:cs="Times New Roman"/>
          <w:bCs/>
          <w:kern w:val="0"/>
          <w:sz w:val="28"/>
          <w:szCs w:val="28"/>
          <w:lang w:val="en-US" w:eastAsia="zh-CN"/>
        </w:rPr>
        <w:t>乙醇汽油</w:t>
      </w:r>
      <w:r>
        <w:rPr>
          <w:rFonts w:hint="default" w:ascii="Times New Roman" w:hAnsi="Times New Roman" w:cs="Times New Roman"/>
          <w:bCs/>
          <w:kern w:val="0"/>
          <w:sz w:val="28"/>
          <w:szCs w:val="28"/>
          <w:lang w:val="en-US" w:eastAsia="zh-CN"/>
        </w:rPr>
        <w:t>储罐，储量均为</w:t>
      </w:r>
      <w:r>
        <w:rPr>
          <w:rFonts w:hint="eastAsia" w:cs="Times New Roman"/>
          <w:bCs/>
          <w:kern w:val="0"/>
          <w:sz w:val="28"/>
          <w:szCs w:val="28"/>
          <w:lang w:val="en-US" w:eastAsia="zh-CN"/>
        </w:rPr>
        <w:t>3</w:t>
      </w:r>
      <w:r>
        <w:rPr>
          <w:rFonts w:hint="default" w:ascii="Times New Roman" w:hAnsi="Times New Roman" w:cs="Times New Roman"/>
          <w:bCs/>
          <w:kern w:val="0"/>
          <w:sz w:val="28"/>
          <w:szCs w:val="28"/>
          <w:lang w:val="en-US" w:eastAsia="zh-CN"/>
        </w:rPr>
        <w:t>0m³，即</w:t>
      </w:r>
      <w:r>
        <w:rPr>
          <w:rFonts w:hint="eastAsia" w:cs="Times New Roman"/>
          <w:bCs/>
          <w:kern w:val="0"/>
          <w:sz w:val="28"/>
          <w:szCs w:val="28"/>
          <w:lang w:val="en-US" w:eastAsia="zh-CN"/>
        </w:rPr>
        <w:t>乙醇汽油</w:t>
      </w:r>
      <w:r>
        <w:rPr>
          <w:rFonts w:hint="default" w:ascii="Times New Roman" w:hAnsi="Times New Roman" w:cs="Times New Roman"/>
          <w:bCs/>
          <w:kern w:val="0"/>
          <w:sz w:val="28"/>
          <w:szCs w:val="28"/>
          <w:lang w:val="en-US" w:eastAsia="zh-CN"/>
        </w:rPr>
        <w:t>储罐总容积为</w:t>
      </w:r>
      <w:r>
        <w:rPr>
          <w:rFonts w:hint="eastAsia" w:cs="Times New Roman"/>
          <w:bCs/>
          <w:kern w:val="0"/>
          <w:sz w:val="28"/>
          <w:szCs w:val="28"/>
          <w:lang w:val="en-US" w:eastAsia="zh-CN"/>
        </w:rPr>
        <w:t>9</w:t>
      </w:r>
      <w:r>
        <w:rPr>
          <w:rFonts w:hint="default" w:ascii="Times New Roman" w:hAnsi="Times New Roman" w:cs="Times New Roman"/>
          <w:bCs/>
          <w:kern w:val="0"/>
          <w:sz w:val="28"/>
          <w:szCs w:val="28"/>
          <w:lang w:val="en-US" w:eastAsia="zh-CN"/>
        </w:rPr>
        <w:t>0m³，</w:t>
      </w:r>
      <w:r>
        <w:rPr>
          <w:rFonts w:hint="eastAsia" w:cs="Times New Roman"/>
          <w:bCs/>
          <w:kern w:val="0"/>
          <w:sz w:val="28"/>
          <w:szCs w:val="28"/>
          <w:lang w:val="en-US" w:eastAsia="zh-CN"/>
        </w:rPr>
        <w:t>乙醇汽油密度为0.74t</w:t>
      </w:r>
      <w:r>
        <w:rPr>
          <w:rFonts w:hint="default" w:ascii="Times New Roman" w:hAnsi="Times New Roman" w:eastAsia="宋体" w:cs="Times New Roman"/>
          <w:kern w:val="2"/>
          <w:sz w:val="28"/>
          <w:szCs w:val="28"/>
          <w:lang w:val="en-US" w:eastAsia="zh-CN"/>
        </w:rPr>
        <w:t>/m</w:t>
      </w:r>
      <w:r>
        <w:rPr>
          <w:rFonts w:hint="default" w:ascii="Times New Roman" w:hAnsi="Times New Roman" w:eastAsia="宋体" w:cs="Times New Roman"/>
          <w:kern w:val="2"/>
          <w:vertAlign w:val="superscript"/>
          <w:lang w:val="en-US" w:eastAsia="zh-CN"/>
        </w:rPr>
        <w:t>3</w:t>
      </w:r>
      <w:r>
        <w:rPr>
          <w:rFonts w:hint="eastAsia" w:cs="Times New Roman"/>
          <w:bCs/>
          <w:kern w:val="0"/>
          <w:sz w:val="28"/>
          <w:szCs w:val="28"/>
          <w:lang w:val="en-US" w:eastAsia="zh-CN"/>
        </w:rPr>
        <w:t>，</w:t>
      </w:r>
      <w:r>
        <w:rPr>
          <w:rFonts w:hint="default" w:ascii="Times New Roman" w:hAnsi="Times New Roman" w:cs="Times New Roman"/>
          <w:bCs/>
          <w:kern w:val="0"/>
          <w:sz w:val="28"/>
          <w:szCs w:val="28"/>
          <w:lang w:val="en-US" w:eastAsia="zh-CN"/>
        </w:rPr>
        <w:t>折合质量为</w:t>
      </w:r>
      <w:r>
        <w:rPr>
          <w:rFonts w:hint="eastAsia" w:cs="Times New Roman"/>
          <w:bCs/>
          <w:kern w:val="0"/>
          <w:sz w:val="28"/>
          <w:szCs w:val="28"/>
          <w:lang w:val="en-US" w:eastAsia="zh-CN"/>
        </w:rPr>
        <w:t>66.6</w:t>
      </w:r>
      <w:r>
        <w:rPr>
          <w:rFonts w:hint="default" w:ascii="Times New Roman" w:hAnsi="Times New Roman" w:cs="Times New Roman"/>
          <w:bCs/>
          <w:kern w:val="0"/>
          <w:sz w:val="28"/>
          <w:szCs w:val="28"/>
          <w:lang w:val="en-US" w:eastAsia="zh-CN"/>
        </w:rPr>
        <w:t>t；</w:t>
      </w:r>
      <w:r>
        <w:rPr>
          <w:rFonts w:hint="eastAsia" w:cs="Times New Roman"/>
          <w:bCs/>
          <w:kern w:val="0"/>
          <w:sz w:val="28"/>
          <w:szCs w:val="28"/>
          <w:lang w:val="en-US" w:eastAsia="zh-CN"/>
        </w:rPr>
        <w:t>1</w:t>
      </w:r>
      <w:r>
        <w:rPr>
          <w:rFonts w:hint="default" w:ascii="Times New Roman" w:hAnsi="Times New Roman" w:cs="Times New Roman"/>
          <w:bCs/>
          <w:kern w:val="0"/>
          <w:sz w:val="28"/>
          <w:szCs w:val="28"/>
          <w:lang w:val="en-US" w:eastAsia="zh-CN"/>
        </w:rPr>
        <w:t>座柴油储罐，储量均为</w:t>
      </w:r>
      <w:r>
        <w:rPr>
          <w:rFonts w:hint="eastAsia" w:cs="Times New Roman"/>
          <w:bCs/>
          <w:kern w:val="0"/>
          <w:sz w:val="28"/>
          <w:szCs w:val="28"/>
          <w:lang w:val="en-US" w:eastAsia="zh-CN"/>
        </w:rPr>
        <w:t>30</w:t>
      </w:r>
      <w:r>
        <w:rPr>
          <w:rFonts w:hint="default" w:ascii="Times New Roman" w:hAnsi="Times New Roman" w:cs="Times New Roman"/>
          <w:bCs/>
          <w:kern w:val="0"/>
          <w:sz w:val="28"/>
          <w:szCs w:val="28"/>
          <w:lang w:val="en-US" w:eastAsia="zh-CN"/>
        </w:rPr>
        <w:t>m³，</w:t>
      </w:r>
      <w:r>
        <w:rPr>
          <w:rFonts w:hint="eastAsia" w:cs="Times New Roman"/>
          <w:bCs/>
          <w:kern w:val="0"/>
          <w:sz w:val="28"/>
          <w:szCs w:val="28"/>
          <w:lang w:val="en-US" w:eastAsia="zh-CN"/>
        </w:rPr>
        <w:t>柴油密度为0.85</w:t>
      </w:r>
      <w:r>
        <w:rPr>
          <w:rFonts w:hint="default" w:ascii="Times New Roman" w:hAnsi="Times New Roman" w:eastAsia="宋体" w:cs="Times New Roman"/>
          <w:kern w:val="2"/>
          <w:sz w:val="28"/>
          <w:szCs w:val="28"/>
          <w:lang w:val="en-US" w:eastAsia="zh-CN"/>
        </w:rPr>
        <w:t>t/m</w:t>
      </w:r>
      <w:r>
        <w:rPr>
          <w:rFonts w:hint="default" w:ascii="Times New Roman" w:hAnsi="Times New Roman" w:eastAsia="宋体" w:cs="Times New Roman"/>
          <w:kern w:val="2"/>
          <w:sz w:val="28"/>
          <w:szCs w:val="28"/>
          <w:vertAlign w:val="superscript"/>
          <w:lang w:val="en-US" w:eastAsia="zh-CN"/>
        </w:rPr>
        <w:t>3</w:t>
      </w:r>
      <w:r>
        <w:rPr>
          <w:rFonts w:hint="eastAsia" w:cs="Times New Roman"/>
          <w:bCs/>
          <w:kern w:val="0"/>
          <w:sz w:val="28"/>
          <w:szCs w:val="28"/>
          <w:lang w:val="en-US" w:eastAsia="zh-CN"/>
        </w:rPr>
        <w:t>，</w:t>
      </w:r>
      <w:r>
        <w:rPr>
          <w:rFonts w:hint="default" w:ascii="Times New Roman" w:hAnsi="Times New Roman" w:cs="Times New Roman"/>
          <w:bCs/>
          <w:kern w:val="0"/>
          <w:sz w:val="28"/>
          <w:szCs w:val="28"/>
          <w:lang w:val="en-US" w:eastAsia="zh-CN"/>
        </w:rPr>
        <w:t>即柴油储罐总容积为</w:t>
      </w:r>
      <w:r>
        <w:rPr>
          <w:rFonts w:hint="eastAsia" w:cs="Times New Roman"/>
          <w:bCs/>
          <w:kern w:val="0"/>
          <w:sz w:val="28"/>
          <w:szCs w:val="28"/>
          <w:lang w:val="en-US" w:eastAsia="zh-CN"/>
        </w:rPr>
        <w:t>30</w:t>
      </w:r>
      <w:r>
        <w:rPr>
          <w:rFonts w:hint="default" w:ascii="Times New Roman" w:hAnsi="Times New Roman" w:cs="Times New Roman"/>
          <w:bCs/>
          <w:kern w:val="0"/>
          <w:sz w:val="28"/>
          <w:szCs w:val="28"/>
          <w:lang w:val="en-US" w:eastAsia="zh-CN"/>
        </w:rPr>
        <w:t>m³，折合质量为</w:t>
      </w:r>
      <w:r>
        <w:rPr>
          <w:rFonts w:hint="eastAsia" w:cs="Times New Roman"/>
          <w:bCs/>
          <w:kern w:val="0"/>
          <w:sz w:val="28"/>
          <w:szCs w:val="28"/>
          <w:lang w:val="en-US" w:eastAsia="zh-CN"/>
        </w:rPr>
        <w:t>25.5</w:t>
      </w:r>
      <w:r>
        <w:rPr>
          <w:rFonts w:hint="default" w:ascii="Times New Roman" w:hAnsi="Times New Roman" w:cs="Times New Roman"/>
          <w:bCs/>
          <w:kern w:val="0"/>
          <w:sz w:val="28"/>
          <w:szCs w:val="28"/>
          <w:lang w:val="en-US" w:eastAsia="zh-CN"/>
        </w:rPr>
        <w:t>t。</w:t>
      </w:r>
    </w:p>
    <w:bookmarkEnd w:id="77"/>
    <w:p w14:paraId="3922F435">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78" w:name="_Toc11166"/>
      <w:bookmarkStart w:id="79" w:name="_Toc146488834"/>
      <w:bookmarkStart w:id="80" w:name="_Toc6787"/>
      <w:bookmarkStart w:id="81" w:name="_Toc410311949"/>
      <w:bookmarkStart w:id="82" w:name="_Toc41246672"/>
      <w:bookmarkStart w:id="83" w:name="_Toc410311872"/>
      <w:r>
        <w:rPr>
          <w:rFonts w:hint="default" w:ascii="Times New Roman" w:hAnsi="Times New Roman" w:eastAsia="黑体" w:cs="Times New Roman"/>
          <w:b/>
          <w:bCs/>
          <w:color w:val="auto"/>
          <w:sz w:val="28"/>
          <w:szCs w:val="32"/>
          <w:lang w:val="en-US" w:eastAsia="zh-CN"/>
        </w:rPr>
        <w:t>2.4.4主要物料名称、数量和储存</w:t>
      </w:r>
      <w:bookmarkEnd w:id="78"/>
      <w:bookmarkEnd w:id="79"/>
    </w:p>
    <w:p w14:paraId="6BD76AD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kern w:val="0"/>
          <w:sz w:val="28"/>
          <w:szCs w:val="28"/>
          <w:lang w:val="en-US" w:eastAsia="zh-CN"/>
        </w:rPr>
      </w:pPr>
      <w:r>
        <w:rPr>
          <w:rFonts w:hint="default" w:ascii="Times New Roman" w:hAnsi="Times New Roman" w:cs="Times New Roman"/>
          <w:bCs/>
          <w:kern w:val="0"/>
          <w:sz w:val="28"/>
          <w:szCs w:val="28"/>
          <w:lang w:val="en-US" w:eastAsia="zh-CN"/>
        </w:rPr>
        <w:t>该站涉及的主要物料名称、数量，储存情况，见表2.4-1。</w:t>
      </w:r>
    </w:p>
    <w:p w14:paraId="16528772">
      <w:pPr>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jc w:val="center"/>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表2</w:t>
      </w:r>
      <w:r>
        <w:rPr>
          <w:rFonts w:hint="default" w:ascii="Times New Roman" w:hAnsi="Times New Roman" w:eastAsia="黑体" w:cs="Times New Roman"/>
          <w:sz w:val="24"/>
          <w:szCs w:val="24"/>
          <w:lang w:val="en-US" w:eastAsia="zh-CN"/>
        </w:rPr>
        <w:t xml:space="preserve">.4-1  </w:t>
      </w:r>
      <w:r>
        <w:rPr>
          <w:rFonts w:hint="default" w:ascii="Times New Roman" w:hAnsi="Times New Roman" w:eastAsia="黑体" w:cs="Times New Roman"/>
          <w:sz w:val="24"/>
          <w:szCs w:val="24"/>
        </w:rPr>
        <w:t>主要物料名称、数量和储存情况一览表</w:t>
      </w:r>
    </w:p>
    <w:tbl>
      <w:tblPr>
        <w:tblStyle w:val="1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750"/>
        <w:gridCol w:w="1506"/>
        <w:gridCol w:w="1257"/>
        <w:gridCol w:w="1669"/>
        <w:gridCol w:w="1534"/>
        <w:gridCol w:w="1258"/>
        <w:gridCol w:w="1259"/>
      </w:tblGrid>
      <w:tr w14:paraId="5768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06" w:type="pct"/>
            <w:shd w:val="clear" w:color="auto" w:fill="auto"/>
            <w:vAlign w:val="center"/>
          </w:tcPr>
          <w:p w14:paraId="3E8AE461">
            <w:pPr>
              <w:pStyle w:val="19"/>
              <w:adjustRightInd/>
              <w:spacing w:line="240" w:lineRule="auto"/>
              <w:ind w:firstLine="211"/>
              <w:rPr>
                <w:rFonts w:hint="default" w:ascii="Times New Roman" w:hAnsi="Times New Roman" w:cs="Times New Roman"/>
                <w:b w:val="0"/>
                <w:bCs/>
                <w:color w:val="auto"/>
                <w:sz w:val="21"/>
                <w:szCs w:val="21"/>
              </w:rPr>
            </w:pPr>
            <w:r>
              <w:rPr>
                <w:rFonts w:hint="default" w:ascii="Times New Roman" w:hAnsi="Times New Roman" w:cs="Times New Roman"/>
                <w:b w:val="0"/>
                <w:bCs/>
                <w:color w:val="auto"/>
                <w:kern w:val="0"/>
                <w:sz w:val="21"/>
                <w:szCs w:val="21"/>
              </w:rPr>
              <w:t>序号</w:t>
            </w:r>
          </w:p>
        </w:tc>
        <w:tc>
          <w:tcPr>
            <w:tcW w:w="815" w:type="pct"/>
            <w:shd w:val="clear" w:color="auto" w:fill="auto"/>
            <w:vAlign w:val="center"/>
          </w:tcPr>
          <w:p w14:paraId="7DEE747E">
            <w:pPr>
              <w:pStyle w:val="19"/>
              <w:adjustRightInd/>
              <w:spacing w:line="240" w:lineRule="auto"/>
              <w:ind w:firstLine="211"/>
              <w:rPr>
                <w:rFonts w:hint="default" w:ascii="Times New Roman" w:hAnsi="Times New Roman" w:cs="Times New Roman"/>
                <w:b w:val="0"/>
                <w:bCs/>
                <w:color w:val="auto"/>
                <w:sz w:val="21"/>
                <w:szCs w:val="21"/>
              </w:rPr>
            </w:pPr>
            <w:r>
              <w:rPr>
                <w:rFonts w:hint="default" w:ascii="Times New Roman" w:hAnsi="Times New Roman" w:cs="Times New Roman"/>
                <w:b w:val="0"/>
                <w:bCs/>
                <w:color w:val="auto"/>
                <w:kern w:val="0"/>
                <w:sz w:val="21"/>
                <w:szCs w:val="21"/>
              </w:rPr>
              <w:t>物料名称</w:t>
            </w:r>
          </w:p>
        </w:tc>
        <w:tc>
          <w:tcPr>
            <w:tcW w:w="680" w:type="pct"/>
            <w:shd w:val="clear" w:color="auto" w:fill="auto"/>
            <w:vAlign w:val="center"/>
          </w:tcPr>
          <w:p w14:paraId="2B1B3A9F">
            <w:pPr>
              <w:pStyle w:val="19"/>
              <w:adjustRightInd/>
              <w:spacing w:line="240" w:lineRule="auto"/>
              <w:ind w:firstLine="211"/>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储存场所</w:t>
            </w:r>
          </w:p>
        </w:tc>
        <w:tc>
          <w:tcPr>
            <w:tcW w:w="903" w:type="pct"/>
            <w:shd w:val="clear" w:color="auto" w:fill="auto"/>
            <w:vAlign w:val="center"/>
          </w:tcPr>
          <w:p w14:paraId="1E3127E0">
            <w:pPr>
              <w:pStyle w:val="19"/>
              <w:adjustRightInd/>
              <w:spacing w:line="240" w:lineRule="auto"/>
              <w:ind w:firstLine="211"/>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储存量（t）</w:t>
            </w:r>
          </w:p>
        </w:tc>
        <w:tc>
          <w:tcPr>
            <w:tcW w:w="830" w:type="pct"/>
            <w:shd w:val="clear" w:color="auto" w:fill="auto"/>
            <w:vAlign w:val="center"/>
          </w:tcPr>
          <w:p w14:paraId="2289BF66">
            <w:pPr>
              <w:pStyle w:val="19"/>
              <w:adjustRightInd/>
              <w:spacing w:line="240" w:lineRule="auto"/>
              <w:ind w:firstLine="211"/>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火灾危险性</w:t>
            </w:r>
          </w:p>
        </w:tc>
        <w:tc>
          <w:tcPr>
            <w:tcW w:w="681" w:type="pct"/>
          </w:tcPr>
          <w:p w14:paraId="3DF8415B">
            <w:pPr>
              <w:pStyle w:val="19"/>
              <w:adjustRightInd/>
              <w:spacing w:line="240" w:lineRule="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密 度（g/ml）</w:t>
            </w:r>
          </w:p>
        </w:tc>
        <w:tc>
          <w:tcPr>
            <w:tcW w:w="681" w:type="pct"/>
            <w:vAlign w:val="center"/>
          </w:tcPr>
          <w:p w14:paraId="7135C6B6">
            <w:pPr>
              <w:pStyle w:val="19"/>
              <w:adjustRightInd/>
              <w:spacing w:line="240" w:lineRule="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备 注</w:t>
            </w:r>
          </w:p>
        </w:tc>
      </w:tr>
      <w:tr w14:paraId="48B1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08" w:hRule="atLeast"/>
          <w:jc w:val="center"/>
        </w:trPr>
        <w:tc>
          <w:tcPr>
            <w:tcW w:w="406" w:type="pct"/>
            <w:vAlign w:val="center"/>
          </w:tcPr>
          <w:p w14:paraId="43F6CA34">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815" w:type="pct"/>
            <w:vAlign w:val="center"/>
          </w:tcPr>
          <w:p w14:paraId="33AB078B">
            <w:pPr>
              <w:widowControl/>
              <w:jc w:val="center"/>
              <w:rPr>
                <w:rFonts w:hint="eastAsia" w:ascii="Times New Roman" w:hAnsi="Times New Roman" w:eastAsia="宋体" w:cs="Times New Roman"/>
                <w:kern w:val="0"/>
                <w:szCs w:val="21"/>
                <w:lang w:eastAsia="zh-CN"/>
              </w:rPr>
            </w:pPr>
            <w:r>
              <w:rPr>
                <w:rFonts w:hint="eastAsia" w:cs="Times New Roman"/>
                <w:kern w:val="0"/>
                <w:szCs w:val="21"/>
                <w:lang w:eastAsia="zh-CN"/>
              </w:rPr>
              <w:t>乙醇汽油</w:t>
            </w:r>
          </w:p>
        </w:tc>
        <w:tc>
          <w:tcPr>
            <w:tcW w:w="680" w:type="pct"/>
            <w:vAlign w:val="center"/>
          </w:tcPr>
          <w:p w14:paraId="0DAAEF93">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埋地储罐</w:t>
            </w:r>
          </w:p>
        </w:tc>
        <w:tc>
          <w:tcPr>
            <w:tcW w:w="903" w:type="pct"/>
            <w:vAlign w:val="center"/>
          </w:tcPr>
          <w:p w14:paraId="21F3674F">
            <w:pPr>
              <w:jc w:val="center"/>
              <w:rPr>
                <w:rFonts w:hint="default" w:ascii="Times New Roman" w:hAnsi="Times New Roman" w:cs="Times New Roman"/>
                <w:szCs w:val="21"/>
                <w:lang w:val="en-US"/>
              </w:rPr>
            </w:pPr>
            <w:r>
              <w:rPr>
                <w:rFonts w:hint="eastAsia" w:cs="Times New Roman"/>
                <w:szCs w:val="21"/>
                <w:lang w:val="en-US" w:eastAsia="zh-CN"/>
              </w:rPr>
              <w:t>66.6t</w:t>
            </w:r>
          </w:p>
        </w:tc>
        <w:tc>
          <w:tcPr>
            <w:tcW w:w="830" w:type="pct"/>
            <w:vAlign w:val="center"/>
          </w:tcPr>
          <w:p w14:paraId="223B9946">
            <w:pPr>
              <w:jc w:val="center"/>
              <w:rPr>
                <w:rFonts w:hint="default" w:ascii="Times New Roman" w:hAnsi="Times New Roman" w:cs="Times New Roman"/>
                <w:szCs w:val="21"/>
              </w:rPr>
            </w:pPr>
            <w:r>
              <w:rPr>
                <w:rFonts w:hint="default" w:ascii="Times New Roman" w:hAnsi="Times New Roman" w:cs="Times New Roman"/>
                <w:szCs w:val="21"/>
              </w:rPr>
              <w:t>甲类</w:t>
            </w:r>
          </w:p>
        </w:tc>
        <w:tc>
          <w:tcPr>
            <w:tcW w:w="681" w:type="pct"/>
          </w:tcPr>
          <w:p w14:paraId="05876673">
            <w:pPr>
              <w:jc w:val="center"/>
              <w:rPr>
                <w:rFonts w:hint="default" w:ascii="Times New Roman" w:hAnsi="Times New Roman" w:cs="Times New Roman"/>
                <w:szCs w:val="21"/>
              </w:rPr>
            </w:pPr>
            <w:r>
              <w:rPr>
                <w:rFonts w:hint="default" w:ascii="Times New Roman" w:hAnsi="Times New Roman" w:cs="Times New Roman"/>
                <w:kern w:val="0"/>
                <w:sz w:val="22"/>
                <w:szCs w:val="22"/>
              </w:rPr>
              <w:t>0.70～0.80</w:t>
            </w:r>
          </w:p>
        </w:tc>
        <w:tc>
          <w:tcPr>
            <w:tcW w:w="681" w:type="pct"/>
          </w:tcPr>
          <w:p w14:paraId="759C1805">
            <w:pPr>
              <w:jc w:val="center"/>
              <w:rPr>
                <w:rFonts w:hint="default" w:ascii="Times New Roman" w:hAnsi="Times New Roman" w:cs="Times New Roman"/>
                <w:szCs w:val="21"/>
              </w:rPr>
            </w:pPr>
          </w:p>
        </w:tc>
      </w:tr>
      <w:tr w14:paraId="375B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58" w:hRule="atLeast"/>
          <w:jc w:val="center"/>
        </w:trPr>
        <w:tc>
          <w:tcPr>
            <w:tcW w:w="406" w:type="pct"/>
            <w:vAlign w:val="center"/>
          </w:tcPr>
          <w:p w14:paraId="3504CF2C">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815" w:type="pct"/>
            <w:vAlign w:val="center"/>
          </w:tcPr>
          <w:p w14:paraId="5200F9EC">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柴油</w:t>
            </w:r>
          </w:p>
        </w:tc>
        <w:tc>
          <w:tcPr>
            <w:tcW w:w="680" w:type="pct"/>
            <w:vAlign w:val="center"/>
          </w:tcPr>
          <w:p w14:paraId="7BE78939">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埋地储罐</w:t>
            </w:r>
          </w:p>
        </w:tc>
        <w:tc>
          <w:tcPr>
            <w:tcW w:w="903" w:type="pct"/>
            <w:vAlign w:val="center"/>
          </w:tcPr>
          <w:p w14:paraId="12FA8C51">
            <w:pPr>
              <w:jc w:val="center"/>
              <w:rPr>
                <w:rFonts w:hint="default" w:ascii="Times New Roman" w:hAnsi="Times New Roman" w:cs="Times New Roman"/>
                <w:szCs w:val="21"/>
                <w:lang w:val="en-US"/>
              </w:rPr>
            </w:pPr>
            <w:r>
              <w:rPr>
                <w:rFonts w:hint="eastAsia" w:cs="Times New Roman"/>
                <w:szCs w:val="21"/>
                <w:lang w:val="en-US" w:eastAsia="zh-CN"/>
              </w:rPr>
              <w:t>25.5t</w:t>
            </w:r>
          </w:p>
        </w:tc>
        <w:tc>
          <w:tcPr>
            <w:tcW w:w="830" w:type="pct"/>
            <w:vAlign w:val="center"/>
          </w:tcPr>
          <w:p w14:paraId="59B2E07F">
            <w:pPr>
              <w:jc w:val="center"/>
              <w:rPr>
                <w:rFonts w:hint="default" w:ascii="Times New Roman" w:hAnsi="Times New Roman" w:cs="Times New Roman"/>
                <w:szCs w:val="21"/>
              </w:rPr>
            </w:pPr>
            <w:r>
              <w:rPr>
                <w:rFonts w:hint="default" w:ascii="Times New Roman" w:hAnsi="Times New Roman" w:cs="Times New Roman"/>
                <w:szCs w:val="21"/>
              </w:rPr>
              <w:t>乙类/丙类</w:t>
            </w:r>
          </w:p>
        </w:tc>
        <w:tc>
          <w:tcPr>
            <w:tcW w:w="681" w:type="pct"/>
          </w:tcPr>
          <w:p w14:paraId="17A06C3F">
            <w:pPr>
              <w:jc w:val="center"/>
              <w:rPr>
                <w:rFonts w:hint="default" w:ascii="Times New Roman" w:hAnsi="Times New Roman" w:cs="Times New Roman"/>
                <w:szCs w:val="21"/>
              </w:rPr>
            </w:pPr>
            <w:r>
              <w:rPr>
                <w:rFonts w:hint="default" w:ascii="Times New Roman" w:hAnsi="Times New Roman" w:cs="Times New Roman"/>
                <w:kern w:val="0"/>
                <w:sz w:val="22"/>
                <w:szCs w:val="22"/>
              </w:rPr>
              <w:t>0.79～0.85</w:t>
            </w:r>
          </w:p>
        </w:tc>
        <w:tc>
          <w:tcPr>
            <w:tcW w:w="681" w:type="pct"/>
          </w:tcPr>
          <w:p w14:paraId="1E7E9E8C">
            <w:pPr>
              <w:jc w:val="center"/>
              <w:rPr>
                <w:rFonts w:hint="default" w:ascii="Times New Roman" w:hAnsi="Times New Roman" w:cs="Times New Roman"/>
                <w:szCs w:val="21"/>
              </w:rPr>
            </w:pPr>
          </w:p>
        </w:tc>
      </w:tr>
    </w:tbl>
    <w:p w14:paraId="4CED06AC">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84" w:name="_Toc31983"/>
      <w:r>
        <w:rPr>
          <w:rFonts w:hint="default" w:ascii="Times New Roman" w:hAnsi="Times New Roman" w:eastAsia="楷体" w:cs="Times New Roman"/>
          <w:color w:val="auto"/>
          <w:sz w:val="32"/>
          <w:szCs w:val="32"/>
          <w:lang w:val="en-US" w:eastAsia="zh-CN"/>
        </w:rPr>
        <w:t>2.5工艺流程和主要设备及设施的布局及</w:t>
      </w:r>
      <w:bookmarkEnd w:id="80"/>
      <w:bookmarkStart w:id="85" w:name="_Toc14346"/>
      <w:r>
        <w:rPr>
          <w:rFonts w:hint="default" w:ascii="Times New Roman" w:hAnsi="Times New Roman" w:eastAsia="楷体" w:cs="Times New Roman"/>
          <w:color w:val="auto"/>
          <w:sz w:val="32"/>
          <w:szCs w:val="32"/>
          <w:lang w:val="en-US" w:eastAsia="zh-CN"/>
        </w:rPr>
        <w:t>其上下游生产装置的关系</w:t>
      </w:r>
      <w:bookmarkEnd w:id="81"/>
      <w:bookmarkEnd w:id="82"/>
      <w:bookmarkEnd w:id="83"/>
      <w:bookmarkEnd w:id="84"/>
      <w:bookmarkEnd w:id="85"/>
    </w:p>
    <w:p w14:paraId="2985EBA3">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86" w:name="_Toc41246673"/>
      <w:bookmarkStart w:id="87" w:name="_Toc9897"/>
      <w:bookmarkStart w:id="88" w:name="_Toc2177"/>
      <w:bookmarkStart w:id="89" w:name="_Toc146488836"/>
      <w:r>
        <w:rPr>
          <w:rFonts w:hint="default" w:ascii="Times New Roman" w:hAnsi="Times New Roman" w:eastAsia="黑体" w:cs="Times New Roman"/>
          <w:b/>
          <w:bCs/>
          <w:color w:val="auto"/>
          <w:sz w:val="28"/>
          <w:szCs w:val="32"/>
          <w:lang w:val="en-US" w:eastAsia="zh-CN"/>
        </w:rPr>
        <w:t>2.5.1</w:t>
      </w:r>
      <w:r>
        <w:rPr>
          <w:rFonts w:hint="eastAsia" w:eastAsia="黑体" w:cs="Times New Roman"/>
          <w:b/>
          <w:bCs/>
          <w:color w:val="auto"/>
          <w:sz w:val="28"/>
          <w:szCs w:val="32"/>
          <w:lang w:val="en-US" w:eastAsia="zh-CN"/>
        </w:rPr>
        <w:t>加油</w:t>
      </w:r>
      <w:r>
        <w:rPr>
          <w:rFonts w:hint="default" w:ascii="Times New Roman" w:hAnsi="Times New Roman" w:eastAsia="黑体" w:cs="Times New Roman"/>
          <w:b/>
          <w:bCs/>
          <w:color w:val="auto"/>
          <w:sz w:val="28"/>
          <w:szCs w:val="32"/>
          <w:lang w:val="en-US" w:eastAsia="zh-CN"/>
        </w:rPr>
        <w:t>工艺流程</w:t>
      </w:r>
      <w:bookmarkEnd w:id="86"/>
      <w:bookmarkEnd w:id="87"/>
      <w:bookmarkEnd w:id="88"/>
      <w:bookmarkEnd w:id="89"/>
    </w:p>
    <w:p w14:paraId="35C2BC44">
      <w:pPr>
        <w:pStyle w:val="20"/>
        <w:rPr>
          <w:rFonts w:hint="default" w:ascii="Times New Roman" w:hAnsi="Times New Roman" w:cs="Times New Roman"/>
        </w:rPr>
      </w:pPr>
      <w:bookmarkStart w:id="90" w:name="_Toc41246674"/>
      <w:bookmarkStart w:id="91" w:name="_Toc9105"/>
      <w:r>
        <w:rPr>
          <w:rFonts w:hint="default" w:ascii="Times New Roman" w:hAnsi="Times New Roman" w:cs="Times New Roman"/>
        </w:rPr>
        <w:t>加油站工艺过程主要指完成油品卸入（埋地储油罐）和油品付出（经营销售）的整个过程，其工艺过程见图2</w:t>
      </w:r>
      <w:r>
        <w:rPr>
          <w:rFonts w:hint="default" w:ascii="Times New Roman" w:hAnsi="Times New Roman" w:cs="Times New Roman"/>
          <w:lang w:val="en-US" w:eastAsia="zh-CN"/>
        </w:rPr>
        <w:t>.5-1</w:t>
      </w:r>
      <w:r>
        <w:rPr>
          <w:rFonts w:hint="default" w:ascii="Times New Roman" w:hAnsi="Times New Roman" w:cs="Times New Roman"/>
        </w:rPr>
        <w:t>、图2</w:t>
      </w:r>
      <w:r>
        <w:rPr>
          <w:rFonts w:hint="default" w:ascii="Times New Roman" w:hAnsi="Times New Roman" w:cs="Times New Roman"/>
          <w:lang w:val="en-US" w:eastAsia="zh-CN"/>
        </w:rPr>
        <w:t>.5-2</w:t>
      </w:r>
      <w:r>
        <w:rPr>
          <w:rFonts w:hint="default" w:ascii="Times New Roman" w:hAnsi="Times New Roman" w:cs="Times New Roman"/>
        </w:rPr>
        <w:t>、图2</w:t>
      </w:r>
      <w:r>
        <w:rPr>
          <w:rFonts w:hint="default" w:ascii="Times New Roman" w:hAnsi="Times New Roman" w:cs="Times New Roman"/>
          <w:lang w:val="en-US" w:eastAsia="zh-CN"/>
        </w:rPr>
        <w:t>.5-3</w:t>
      </w:r>
      <w:r>
        <w:rPr>
          <w:rFonts w:hint="default" w:ascii="Times New Roman" w:hAnsi="Times New Roman" w:cs="Times New Roman"/>
        </w:rPr>
        <w:t>和图2</w:t>
      </w:r>
      <w:r>
        <w:rPr>
          <w:rFonts w:hint="default" w:ascii="Times New Roman" w:hAnsi="Times New Roman" w:cs="Times New Roman"/>
          <w:lang w:val="en-US" w:eastAsia="zh-CN"/>
        </w:rPr>
        <w:t>.5-4</w:t>
      </w:r>
      <w:r>
        <w:rPr>
          <w:rFonts w:hint="default" w:ascii="Times New Roman" w:hAnsi="Times New Roman" w:cs="Times New Roman"/>
        </w:rPr>
        <w:t>。</w:t>
      </w:r>
    </w:p>
    <w:p w14:paraId="0B92D3E1">
      <w:pPr>
        <w:pStyle w:val="20"/>
        <w:rPr>
          <w:rFonts w:hint="default" w:ascii="Times New Roman" w:hAnsi="Times New Roman" w:cs="Times New Roman"/>
        </w:rPr>
      </w:pPr>
      <w:bookmarkStart w:id="92" w:name="_Toc27177"/>
      <w:bookmarkStart w:id="93" w:name="_Toc3620"/>
      <w:r>
        <w:rPr>
          <w:rFonts w:hint="default" w:ascii="Times New Roman" w:hAnsi="Times New Roman" w:cs="Times New Roman"/>
        </w:rPr>
        <w:t>（1）</w:t>
      </w:r>
      <w:bookmarkEnd w:id="92"/>
      <w:bookmarkEnd w:id="93"/>
      <w:r>
        <w:rPr>
          <w:rFonts w:hint="default" w:ascii="Times New Roman" w:hAnsi="Times New Roman" w:cs="Times New Roman"/>
        </w:rPr>
        <w:t>卸油及卸油油气回收</w:t>
      </w:r>
    </w:p>
    <w:p w14:paraId="27F82CD5">
      <w:pPr>
        <w:pStyle w:val="20"/>
        <w:rPr>
          <w:rFonts w:hint="default" w:ascii="Times New Roman" w:hAnsi="Times New Roman" w:cs="Times New Roman"/>
        </w:rPr>
      </w:pPr>
      <w:bookmarkStart w:id="94" w:name="_Toc853"/>
      <w:bookmarkStart w:id="95" w:name="_Toc24544"/>
      <w:r>
        <w:rPr>
          <w:rFonts w:hint="default" w:ascii="Times New Roman" w:hAnsi="Times New Roman" w:cs="Times New Roman"/>
        </w:rPr>
        <w:t>卸油：加油站人员在确认油罐车（</w:t>
      </w:r>
      <w:r>
        <w:rPr>
          <w:rFonts w:hint="eastAsia" w:hAnsi="Times New Roman" w:cs="Times New Roman"/>
          <w:lang w:eastAsia="zh-CN"/>
        </w:rPr>
        <w:t>乙醇汽油</w:t>
      </w:r>
      <w:r>
        <w:rPr>
          <w:rFonts w:hint="default" w:ascii="Times New Roman" w:hAnsi="Times New Roman" w:cs="Times New Roman"/>
        </w:rPr>
        <w:t>、柴油）无油品泄漏后，引导油罐车进入卸油作业区，油罐车在站内车速不应大于5km/h。油罐车停于卸油停车位，熄火并拉上手刹，车轮处宜放置与最大允许总质量和车轮尺寸相匹配的轮挡，车钥匙放置指定位置管控。卸油人员将防静电跨接线连接到油罐车专用接地端，并确认接触良好。油罐车静置进行静电释放5min后，在进行卸油作业。</w:t>
      </w:r>
    </w:p>
    <w:p w14:paraId="6863DE64">
      <w:pPr>
        <w:pStyle w:val="20"/>
        <w:rPr>
          <w:rFonts w:hint="default" w:ascii="Times New Roman" w:hAnsi="Times New Roman" w:cs="Times New Roman"/>
        </w:rPr>
      </w:pPr>
      <w:r>
        <w:rPr>
          <w:rFonts w:hint="default" w:ascii="Times New Roman" w:hAnsi="Times New Roman" w:cs="Times New Roman"/>
        </w:rPr>
        <w:t>卸油作业现场设隔离警示标识。手提式灭火器摆放在距卸油口2-3m处。</w:t>
      </w:r>
    </w:p>
    <w:p w14:paraId="0AA964D4">
      <w:pPr>
        <w:pStyle w:val="20"/>
        <w:rPr>
          <w:rFonts w:hint="default" w:ascii="Times New Roman" w:hAnsi="Times New Roman" w:cs="Times New Roman"/>
        </w:rPr>
      </w:pPr>
      <w:r>
        <w:rPr>
          <w:rFonts w:hint="default" w:ascii="Times New Roman" w:hAnsi="Times New Roman" w:cs="Times New Roman"/>
        </w:rPr>
        <w:t>检查确认油罐计量孔密闭良好，</w:t>
      </w:r>
      <w:r>
        <w:rPr>
          <w:rFonts w:hint="eastAsia" w:hAnsi="Times New Roman" w:cs="Times New Roman"/>
          <w:lang w:eastAsia="zh-CN"/>
        </w:rPr>
        <w:t>乙醇汽油</w:t>
      </w:r>
      <w:r>
        <w:rPr>
          <w:rFonts w:hint="default" w:ascii="Times New Roman" w:hAnsi="Times New Roman" w:cs="Times New Roman"/>
        </w:rPr>
        <w:t>罐通气管上阀门处于关闭状态，关闭呼吸阀的通气管上阀门处于开启状态。卸油前，计量油罐的存油量，确认有足够的剩余容量，并核对罐车单据与油罐中油品的名称、牌号是否一致。卸油人员按工艺流程将卸油软管和汽油油气回收软管与油罐车和埋地油罐紧密连接，保持卸油软管自然弯曲。</w:t>
      </w:r>
    </w:p>
    <w:p w14:paraId="7435C728">
      <w:pPr>
        <w:pStyle w:val="20"/>
        <w:rPr>
          <w:rFonts w:hint="default" w:ascii="Times New Roman" w:hAnsi="Times New Roman" w:cs="Times New Roman"/>
        </w:rPr>
      </w:pPr>
      <w:r>
        <w:rPr>
          <w:rFonts w:hint="default" w:ascii="Times New Roman" w:hAnsi="Times New Roman" w:cs="Times New Roman"/>
        </w:rPr>
        <w:t>经双方检查确认具备开阀卸油条件后，将卸油口对应油罐进油阀门打开（卸</w:t>
      </w:r>
      <w:r>
        <w:rPr>
          <w:rFonts w:hint="eastAsia" w:hAnsi="Times New Roman" w:cs="Times New Roman"/>
          <w:lang w:eastAsia="zh-CN"/>
        </w:rPr>
        <w:t>乙醇汽油</w:t>
      </w:r>
      <w:r>
        <w:rPr>
          <w:rFonts w:hint="default" w:ascii="Times New Roman" w:hAnsi="Times New Roman" w:cs="Times New Roman"/>
        </w:rPr>
        <w:t>时先打开气路阀门），再缓慢开启油罐车卸油阀门。通过采取调节阀门开度等措施控制卸油流速不大于4.5m/s。</w:t>
      </w:r>
    </w:p>
    <w:p w14:paraId="5C36FB49">
      <w:pPr>
        <w:pStyle w:val="20"/>
        <w:rPr>
          <w:rFonts w:hint="default" w:ascii="Times New Roman" w:hAnsi="Times New Roman" w:cs="Times New Roman"/>
        </w:rPr>
      </w:pPr>
      <w:r>
        <w:rPr>
          <w:rFonts w:hint="default" w:ascii="Times New Roman" w:hAnsi="Times New Roman" w:cs="Times New Roman"/>
        </w:rPr>
        <w:t>油罐采取卸油时的防满溢措施。油料达到油罐容量的90%时，能触动高液位报警装置；油料达到油罐容量95%时，能自动停止油料继续进罐。</w:t>
      </w:r>
    </w:p>
    <w:p w14:paraId="7E8291AA">
      <w:pPr>
        <w:pStyle w:val="20"/>
        <w:rPr>
          <w:rFonts w:hint="default" w:ascii="Times New Roman" w:hAnsi="Times New Roman" w:cs="Times New Roman"/>
        </w:rPr>
      </w:pPr>
      <w:r>
        <w:rPr>
          <w:rFonts w:hint="default" w:ascii="Times New Roman" w:hAnsi="Times New Roman" w:cs="Times New Roman"/>
        </w:rPr>
        <w:t>卸油结束后，卸油员应全面检查并确认状态正常，方可引导油罐车启动车辆、离站，并清理卸油现场，将应急器材放回原位。</w:t>
      </w:r>
    </w:p>
    <w:p w14:paraId="3E28BDA9">
      <w:pPr>
        <w:pStyle w:val="20"/>
        <w:rPr>
          <w:rFonts w:hint="default" w:ascii="Times New Roman" w:hAnsi="Times New Roman" w:cs="Times New Roman"/>
        </w:rPr>
      </w:pPr>
      <w:r>
        <w:rPr>
          <w:rFonts w:hint="default" w:ascii="Times New Roman" w:hAnsi="Times New Roman" w:cs="Times New Roman"/>
        </w:rPr>
        <w:t>卸油作业过程中有专人监护，油罐车驾驶员和押运员不应同时离开作业现场。无人监护时，应停止作业。</w:t>
      </w:r>
    </w:p>
    <w:p w14:paraId="3437D30E">
      <w:pPr>
        <w:pStyle w:val="20"/>
        <w:rPr>
          <w:rFonts w:hint="default" w:ascii="Times New Roman" w:hAnsi="Times New Roman" w:cs="Times New Roman"/>
        </w:rPr>
      </w:pPr>
      <w:r>
        <w:rPr>
          <w:rFonts w:hint="default" w:ascii="Times New Roman" w:hAnsi="Times New Roman" w:cs="Times New Roman"/>
        </w:rPr>
        <w:t>卸油时若发生油料溅溢或其他影响卸油安全情况时，应立</w:t>
      </w:r>
      <w:r>
        <w:rPr>
          <w:rFonts w:hint="eastAsia" w:hAnsi="Times New Roman" w:cs="Times New Roman"/>
          <w:lang w:val="en-US" w:eastAsia="zh-CN"/>
        </w:rPr>
        <w:t>即</w:t>
      </w:r>
      <w:r>
        <w:rPr>
          <w:rFonts w:hint="default" w:ascii="Times New Roman" w:hAnsi="Times New Roman" w:cs="Times New Roman"/>
        </w:rPr>
        <w:t>停止作业并及时处理。若发生事故，立即停止作业，并按应急预案进行应急处置。卸油时，不应开启计量孔，不应修理、擦洗油罐车，不应鸣笛；使用器具时要轻拿轻放；与该罐连接且无防水杂措施的加油机停止加油作业。</w:t>
      </w:r>
    </w:p>
    <w:p w14:paraId="3E385A4F">
      <w:pPr>
        <w:pStyle w:val="20"/>
        <w:rPr>
          <w:rFonts w:hint="default" w:ascii="Times New Roman" w:hAnsi="Times New Roman" w:cs="Times New Roman"/>
        </w:rPr>
      </w:pPr>
      <w:r>
        <w:rPr>
          <w:rFonts w:hint="default" w:ascii="Times New Roman" w:hAnsi="Times New Roman" w:cs="Times New Roman"/>
        </w:rPr>
        <w:t>卸油油气回收：</w:t>
      </w:r>
      <w:r>
        <w:rPr>
          <w:rFonts w:hint="eastAsia" w:hAnsi="Times New Roman" w:cs="Times New Roman"/>
          <w:lang w:eastAsia="zh-CN"/>
        </w:rPr>
        <w:t>乙醇汽油</w:t>
      </w:r>
      <w:r>
        <w:rPr>
          <w:rFonts w:hint="default" w:ascii="Times New Roman" w:hAnsi="Times New Roman" w:cs="Times New Roman"/>
        </w:rPr>
        <w:t>油罐车卸下一定数量的油品，就需吸入大致相等的气体补充到槽车内部，加油站内的埋地油罐也因注入油品而向外排出相当数量的油气。通过安装一根气相管线，将油槽车与</w:t>
      </w:r>
      <w:r>
        <w:rPr>
          <w:rFonts w:hint="eastAsia" w:hAnsi="Times New Roman" w:cs="Times New Roman"/>
          <w:lang w:eastAsia="zh-CN"/>
        </w:rPr>
        <w:t>乙醇汽油</w:t>
      </w:r>
      <w:r>
        <w:rPr>
          <w:rFonts w:hint="default" w:ascii="Times New Roman" w:hAnsi="Times New Roman" w:cs="Times New Roman"/>
        </w:rPr>
        <w:t>储罐连通，卸车过程中，油槽车内部的</w:t>
      </w:r>
      <w:r>
        <w:rPr>
          <w:rFonts w:hint="eastAsia" w:hAnsi="Times New Roman" w:cs="Times New Roman"/>
          <w:lang w:eastAsia="zh-CN"/>
        </w:rPr>
        <w:t>乙醇汽油</w:t>
      </w:r>
      <w:r>
        <w:rPr>
          <w:rFonts w:hint="default" w:ascii="Times New Roman" w:hAnsi="Times New Roman" w:cs="Times New Roman"/>
        </w:rPr>
        <w:t>通过卸车管线进入储罐，储罐的油气经过气相管线输回油罐车内，完成密闭式卸油过程。油罐车密闭卸油及卸油油气回收工艺流程见图2</w:t>
      </w:r>
      <w:r>
        <w:rPr>
          <w:rFonts w:hint="default" w:ascii="Times New Roman" w:hAnsi="Times New Roman" w:cs="Times New Roman"/>
          <w:lang w:val="en-US" w:eastAsia="zh-CN"/>
        </w:rPr>
        <w:t>.5-1</w:t>
      </w:r>
      <w:r>
        <w:rPr>
          <w:rFonts w:hint="default" w:ascii="Times New Roman" w:hAnsi="Times New Roman" w:cs="Times New Roman"/>
        </w:rPr>
        <w:t>、图2</w:t>
      </w:r>
      <w:r>
        <w:rPr>
          <w:rFonts w:hint="default" w:ascii="Times New Roman" w:hAnsi="Times New Roman" w:cs="Times New Roman"/>
          <w:lang w:val="en-US" w:eastAsia="zh-CN"/>
        </w:rPr>
        <w:t>.5-2</w:t>
      </w:r>
      <w:r>
        <w:rPr>
          <w:rFonts w:hint="default" w:ascii="Times New Roman" w:hAnsi="Times New Roman" w:cs="Times New Roman"/>
        </w:rPr>
        <w:t>：</w:t>
      </w:r>
    </w:p>
    <w:bookmarkEnd w:id="94"/>
    <w:bookmarkEnd w:id="95"/>
    <w:p w14:paraId="3CBF351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bookmarkStart w:id="96" w:name="_Toc28196"/>
      <w:bookmarkStart w:id="97" w:name="_Toc5911"/>
      <w:r>
        <w:rPr>
          <w:rFonts w:hint="default" w:ascii="Times New Roman" w:hAnsi="Times New Roman" w:cs="Times New Roman"/>
          <w:sz w:val="28"/>
          <w:szCs w:val="28"/>
        </w:rPr>
        <w:t>（2）加油及加油油气回收工艺</w:t>
      </w:r>
    </w:p>
    <w:p w14:paraId="52D73EE7">
      <w:pPr>
        <w:pStyle w:val="2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cs="Times New Roman"/>
        </w:rPr>
        <w:t>加油：社会车辆驶入加油站时，加油员主动引导车辆进入加油位置。</w:t>
      </w:r>
    </w:p>
    <w:p w14:paraId="198BB6B2">
      <w:pPr>
        <w:pStyle w:val="2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cs="Times New Roman"/>
        </w:rPr>
        <w:t>加油作业前，加油员确认车辆停稳、熄火；摩托车驾驶人和乘坐人员应离开座位，并将车辆熄火、放置平稳；加油员与客户确认油品的名称和牌号等信息，并提示客户在靠近油箱口前先释放人体静电。</w:t>
      </w:r>
    </w:p>
    <w:p w14:paraId="52582FC6">
      <w:pPr>
        <w:pStyle w:val="2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cs="Times New Roman"/>
        </w:rPr>
        <w:t>通过带有计量、计价和税控装置的潜油式加油机将储罐内的油料吸出，实现为汽车油箱充装乙醇汽油或柴油的付出（经营销售）作业。</w:t>
      </w:r>
    </w:p>
    <w:p w14:paraId="311B25CB">
      <w:pPr>
        <w:pStyle w:val="2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cs="Times New Roman"/>
        </w:rPr>
        <w:t>加完油后，立即将加油枪复位于加油机。</w:t>
      </w:r>
    </w:p>
    <w:p w14:paraId="66157749">
      <w:pPr>
        <w:pStyle w:val="2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rPr>
      </w:pPr>
      <w:r>
        <w:rPr>
          <w:rFonts w:hint="eastAsia" w:hAnsi="Times New Roman" w:cs="Times New Roman"/>
          <w:lang w:eastAsia="zh-CN"/>
        </w:rPr>
        <w:t>乙醇汽油</w:t>
      </w:r>
      <w:r>
        <w:rPr>
          <w:rFonts w:hint="default" w:ascii="Times New Roman" w:hAnsi="Times New Roman" w:cs="Times New Roman"/>
        </w:rPr>
        <w:t>加油油气回收：汽车加油过程中，将原来油箱口散溢的油气，通过油气回收专用加油枪收集，利用动力设备（如真空泵）经油气回收管线输送至</w:t>
      </w:r>
      <w:r>
        <w:rPr>
          <w:rFonts w:hint="eastAsia" w:hAnsi="Times New Roman" w:cs="Times New Roman"/>
          <w:lang w:eastAsia="zh-CN"/>
        </w:rPr>
        <w:t>乙醇汽油</w:t>
      </w:r>
      <w:r>
        <w:rPr>
          <w:rFonts w:hint="default" w:ascii="Times New Roman" w:hAnsi="Times New Roman" w:cs="Times New Roman"/>
        </w:rPr>
        <w:t>储罐，实现加油与油气等体积置换。</w:t>
      </w:r>
    </w:p>
    <w:p w14:paraId="5A61EF2F">
      <w:pPr>
        <w:pStyle w:val="2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cs="Times New Roman"/>
        </w:rPr>
        <w:t>加油及加油油气回收工艺流程见图2</w:t>
      </w:r>
      <w:r>
        <w:rPr>
          <w:rFonts w:hint="default" w:ascii="Times New Roman" w:hAnsi="Times New Roman" w:cs="Times New Roman"/>
          <w:lang w:val="en-US" w:eastAsia="zh-CN"/>
        </w:rPr>
        <w:t>.5-3</w:t>
      </w:r>
      <w:r>
        <w:rPr>
          <w:rFonts w:hint="default" w:ascii="Times New Roman" w:hAnsi="Times New Roman" w:cs="Times New Roman"/>
        </w:rPr>
        <w:t>、2</w:t>
      </w:r>
      <w:r>
        <w:rPr>
          <w:rFonts w:hint="default" w:ascii="Times New Roman" w:hAnsi="Times New Roman" w:cs="Times New Roman"/>
          <w:lang w:val="en-US" w:eastAsia="zh-CN"/>
        </w:rPr>
        <w:t>.5-4</w:t>
      </w:r>
      <w:r>
        <w:rPr>
          <w:rFonts w:hint="default" w:ascii="Times New Roman" w:hAnsi="Times New Roman" w:cs="Times New Roman"/>
        </w:rPr>
        <w:t>：</w:t>
      </w:r>
    </w:p>
    <w:bookmarkEnd w:id="96"/>
    <w:bookmarkEnd w:id="97"/>
    <w:p w14:paraId="79E1EDCB">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98" w:name="_Toc9444"/>
      <w:bookmarkStart w:id="99" w:name="_Toc146488837"/>
      <w:r>
        <w:rPr>
          <w:rFonts w:hint="default" w:ascii="Times New Roman" w:hAnsi="Times New Roman" w:eastAsia="黑体" w:cs="Times New Roman"/>
          <w:b/>
          <w:bCs/>
          <w:color w:val="auto"/>
          <w:sz w:val="28"/>
          <w:szCs w:val="32"/>
          <w:lang w:val="en-US" w:eastAsia="zh-CN"/>
        </w:rPr>
        <w:t>2.5.</w:t>
      </w:r>
      <w:r>
        <w:rPr>
          <w:rFonts w:hint="eastAsia" w:eastAsia="黑体" w:cs="Times New Roman"/>
          <w:b/>
          <w:bCs/>
          <w:color w:val="auto"/>
          <w:sz w:val="28"/>
          <w:szCs w:val="32"/>
          <w:lang w:val="en-US" w:eastAsia="zh-CN"/>
        </w:rPr>
        <w:t>2</w:t>
      </w:r>
      <w:r>
        <w:rPr>
          <w:rFonts w:hint="default" w:ascii="Times New Roman" w:hAnsi="Times New Roman" w:eastAsia="黑体" w:cs="Times New Roman"/>
          <w:b/>
          <w:bCs/>
          <w:color w:val="auto"/>
          <w:sz w:val="28"/>
          <w:szCs w:val="32"/>
          <w:lang w:val="en-US" w:eastAsia="zh-CN"/>
        </w:rPr>
        <w:t>主要建（构）筑物</w:t>
      </w:r>
      <w:bookmarkEnd w:id="98"/>
      <w:bookmarkEnd w:id="99"/>
    </w:p>
    <w:p w14:paraId="74AD5641">
      <w:pPr>
        <w:adjustRightInd w:val="0"/>
        <w:snapToGrid w:val="0"/>
        <w:spacing w:line="360" w:lineRule="auto"/>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主要建（构）筑物情况详见下表。</w:t>
      </w:r>
    </w:p>
    <w:p w14:paraId="614DD95E">
      <w:pPr>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jc w:val="center"/>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default" w:ascii="Times New Roman" w:hAnsi="Times New Roman" w:eastAsia="黑体" w:cs="Times New Roman"/>
          <w:sz w:val="24"/>
          <w:szCs w:val="24"/>
          <w:lang w:val="en-US" w:eastAsia="zh-CN"/>
        </w:rPr>
        <w:t xml:space="preserve">2.5-1  </w:t>
      </w:r>
      <w:r>
        <w:rPr>
          <w:rFonts w:hint="default" w:ascii="Times New Roman" w:hAnsi="Times New Roman" w:eastAsia="黑体" w:cs="Times New Roman"/>
          <w:sz w:val="24"/>
          <w:szCs w:val="24"/>
        </w:rPr>
        <w:t>主要建（构）筑物情况一览表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
        <w:gridCol w:w="1073"/>
        <w:gridCol w:w="709"/>
        <w:gridCol w:w="662"/>
        <w:gridCol w:w="1263"/>
        <w:gridCol w:w="870"/>
        <w:gridCol w:w="974"/>
        <w:gridCol w:w="1163"/>
        <w:gridCol w:w="994"/>
        <w:gridCol w:w="1218"/>
      </w:tblGrid>
      <w:tr w14:paraId="72C5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2" w:type="pct"/>
            <w:vAlign w:val="center"/>
          </w:tcPr>
          <w:p w14:paraId="402F566C">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序号</w:t>
            </w:r>
          </w:p>
        </w:tc>
        <w:tc>
          <w:tcPr>
            <w:tcW w:w="570" w:type="pct"/>
            <w:vAlign w:val="center"/>
          </w:tcPr>
          <w:p w14:paraId="1A980DB4">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建（构）筑物名称</w:t>
            </w:r>
          </w:p>
        </w:tc>
        <w:tc>
          <w:tcPr>
            <w:tcW w:w="377" w:type="pct"/>
            <w:vAlign w:val="center"/>
          </w:tcPr>
          <w:p w14:paraId="7F2CD4D2">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层数</w:t>
            </w:r>
          </w:p>
        </w:tc>
        <w:tc>
          <w:tcPr>
            <w:tcW w:w="352" w:type="pct"/>
            <w:vAlign w:val="center"/>
          </w:tcPr>
          <w:p w14:paraId="5CAA768C">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结构</w:t>
            </w:r>
          </w:p>
          <w:p w14:paraId="71CD3CCE">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型式</w:t>
            </w:r>
          </w:p>
        </w:tc>
        <w:tc>
          <w:tcPr>
            <w:tcW w:w="671" w:type="pct"/>
            <w:vAlign w:val="center"/>
          </w:tcPr>
          <w:p w14:paraId="169622AA">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高度</w:t>
            </w:r>
          </w:p>
          <w:p w14:paraId="7389D04D">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（m）</w:t>
            </w:r>
          </w:p>
        </w:tc>
        <w:tc>
          <w:tcPr>
            <w:tcW w:w="462" w:type="pct"/>
            <w:vAlign w:val="center"/>
          </w:tcPr>
          <w:p w14:paraId="4C4BB772">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建筑</w:t>
            </w:r>
          </w:p>
          <w:p w14:paraId="0DC6DE8B">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面积</w:t>
            </w:r>
          </w:p>
          <w:p w14:paraId="651399B0">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（m</w:t>
            </w:r>
            <w:r>
              <w:rPr>
                <w:rFonts w:hint="default" w:ascii="Times New Roman" w:hAnsi="Times New Roman" w:cs="Times New Roman"/>
                <w:b w:val="0"/>
                <w:bCs w:val="0"/>
                <w:szCs w:val="21"/>
                <w:vertAlign w:val="superscript"/>
              </w:rPr>
              <w:t>2</w:t>
            </w:r>
            <w:r>
              <w:rPr>
                <w:rFonts w:hint="default" w:ascii="Times New Roman" w:hAnsi="Times New Roman" w:cs="Times New Roman"/>
                <w:b w:val="0"/>
                <w:bCs w:val="0"/>
                <w:szCs w:val="21"/>
              </w:rPr>
              <w:t>）</w:t>
            </w:r>
          </w:p>
        </w:tc>
        <w:tc>
          <w:tcPr>
            <w:tcW w:w="518" w:type="pct"/>
            <w:vAlign w:val="center"/>
          </w:tcPr>
          <w:p w14:paraId="087B034B">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占地</w:t>
            </w:r>
          </w:p>
          <w:p w14:paraId="56C3A89B">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面积</w:t>
            </w:r>
          </w:p>
          <w:p w14:paraId="1EE5572B">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（m</w:t>
            </w:r>
            <w:r>
              <w:rPr>
                <w:rFonts w:hint="default" w:ascii="Times New Roman" w:hAnsi="Times New Roman" w:cs="Times New Roman"/>
                <w:b w:val="0"/>
                <w:bCs w:val="0"/>
                <w:szCs w:val="21"/>
                <w:vertAlign w:val="superscript"/>
              </w:rPr>
              <w:t>2</w:t>
            </w:r>
            <w:r>
              <w:rPr>
                <w:rFonts w:hint="default" w:ascii="Times New Roman" w:hAnsi="Times New Roman" w:cs="Times New Roman"/>
                <w:b w:val="0"/>
                <w:bCs w:val="0"/>
                <w:szCs w:val="21"/>
              </w:rPr>
              <w:t>）</w:t>
            </w:r>
          </w:p>
        </w:tc>
        <w:tc>
          <w:tcPr>
            <w:tcW w:w="618" w:type="pct"/>
            <w:vAlign w:val="center"/>
          </w:tcPr>
          <w:p w14:paraId="42B79BA4">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耐火</w:t>
            </w:r>
          </w:p>
          <w:p w14:paraId="3E291D6A">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等级</w:t>
            </w:r>
          </w:p>
        </w:tc>
        <w:tc>
          <w:tcPr>
            <w:tcW w:w="528" w:type="pct"/>
            <w:vAlign w:val="center"/>
          </w:tcPr>
          <w:p w14:paraId="0AB4BC78">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火灾</w:t>
            </w:r>
          </w:p>
          <w:p w14:paraId="0AC0DBBC">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危险性</w:t>
            </w:r>
          </w:p>
        </w:tc>
        <w:tc>
          <w:tcPr>
            <w:tcW w:w="647" w:type="pct"/>
            <w:vAlign w:val="center"/>
          </w:tcPr>
          <w:p w14:paraId="220DC64B">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备注</w:t>
            </w:r>
          </w:p>
        </w:tc>
      </w:tr>
      <w:tr w14:paraId="114E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blHeader/>
          <w:jc w:val="center"/>
        </w:trPr>
        <w:tc>
          <w:tcPr>
            <w:tcW w:w="252" w:type="pct"/>
            <w:vAlign w:val="center"/>
          </w:tcPr>
          <w:p w14:paraId="3773A279">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1</w:t>
            </w:r>
          </w:p>
        </w:tc>
        <w:tc>
          <w:tcPr>
            <w:tcW w:w="570" w:type="pct"/>
            <w:vAlign w:val="center"/>
          </w:tcPr>
          <w:p w14:paraId="1C1872AE">
            <w:pPr>
              <w:ind w:firstLine="220"/>
              <w:rPr>
                <w:rFonts w:hint="default" w:ascii="Times New Roman" w:hAnsi="Times New Roman" w:cs="Times New Roman"/>
                <w:b w:val="0"/>
                <w:bCs w:val="0"/>
                <w:sz w:val="22"/>
                <w:szCs w:val="22"/>
              </w:rPr>
            </w:pPr>
            <w:r>
              <w:rPr>
                <w:rFonts w:hint="default" w:ascii="Times New Roman" w:hAnsi="Times New Roman" w:cs="Times New Roman"/>
                <w:b w:val="0"/>
                <w:bCs w:val="0"/>
                <w:szCs w:val="21"/>
              </w:rPr>
              <w:t>站房</w:t>
            </w:r>
          </w:p>
        </w:tc>
        <w:tc>
          <w:tcPr>
            <w:tcW w:w="377" w:type="pct"/>
            <w:vAlign w:val="center"/>
          </w:tcPr>
          <w:p w14:paraId="288DF706">
            <w:pPr>
              <w:jc w:val="both"/>
              <w:rPr>
                <w:rFonts w:hint="default" w:ascii="Times New Roman" w:hAnsi="Times New Roman" w:eastAsia="宋体" w:cs="Times New Roman"/>
                <w:b w:val="0"/>
                <w:bCs w:val="0"/>
                <w:sz w:val="22"/>
                <w:szCs w:val="22"/>
                <w:lang w:val="en-US" w:eastAsia="zh-CN"/>
              </w:rPr>
            </w:pPr>
            <w:r>
              <w:rPr>
                <w:rFonts w:hint="eastAsia" w:cs="Times New Roman"/>
                <w:b w:val="0"/>
                <w:bCs w:val="0"/>
                <w:sz w:val="22"/>
                <w:szCs w:val="22"/>
                <w:lang w:val="en-US" w:eastAsia="zh-CN"/>
              </w:rPr>
              <w:t>单层</w:t>
            </w:r>
          </w:p>
        </w:tc>
        <w:tc>
          <w:tcPr>
            <w:tcW w:w="352" w:type="pct"/>
            <w:vAlign w:val="center"/>
          </w:tcPr>
          <w:p w14:paraId="2CFFA613">
            <w:pPr>
              <w:jc w:val="center"/>
              <w:rPr>
                <w:rFonts w:hint="default" w:ascii="Times New Roman" w:hAnsi="Times New Roman" w:eastAsia="宋体" w:cs="Times New Roman"/>
                <w:b w:val="0"/>
                <w:bCs w:val="0"/>
                <w:szCs w:val="21"/>
                <w:lang w:val="en-US" w:eastAsia="zh-CN"/>
              </w:rPr>
            </w:pPr>
            <w:r>
              <w:rPr>
                <w:rFonts w:hint="default" w:ascii="Times New Roman" w:hAnsi="Times New Roman" w:cs="Times New Roman"/>
                <w:b w:val="0"/>
                <w:bCs w:val="0"/>
                <w:szCs w:val="21"/>
                <w:lang w:val="en-US" w:eastAsia="zh-CN"/>
              </w:rPr>
              <w:t>框架</w:t>
            </w:r>
          </w:p>
        </w:tc>
        <w:tc>
          <w:tcPr>
            <w:tcW w:w="671" w:type="pct"/>
            <w:vAlign w:val="center"/>
          </w:tcPr>
          <w:p w14:paraId="3CDF26BF">
            <w:pPr>
              <w:jc w:val="center"/>
              <w:rPr>
                <w:rFonts w:hint="default" w:ascii="Times New Roman" w:hAnsi="Times New Roman" w:eastAsia="宋体" w:cs="Times New Roman"/>
                <w:b w:val="0"/>
                <w:bCs w:val="0"/>
                <w:szCs w:val="21"/>
                <w:lang w:val="en-US" w:eastAsia="zh-CN"/>
              </w:rPr>
            </w:pPr>
            <w:r>
              <w:rPr>
                <w:rFonts w:hint="eastAsia" w:cs="Times New Roman"/>
                <w:b w:val="0"/>
                <w:bCs w:val="0"/>
                <w:szCs w:val="21"/>
                <w:lang w:val="en-US" w:eastAsia="zh-CN"/>
              </w:rPr>
              <w:t>4.65</w:t>
            </w:r>
          </w:p>
        </w:tc>
        <w:tc>
          <w:tcPr>
            <w:tcW w:w="462" w:type="pct"/>
            <w:vAlign w:val="center"/>
          </w:tcPr>
          <w:p w14:paraId="64634EAA">
            <w:pPr>
              <w:jc w:val="center"/>
              <w:rPr>
                <w:rFonts w:hint="default" w:ascii="Times New Roman" w:hAnsi="Times New Roman" w:eastAsia="宋体" w:cs="Times New Roman"/>
                <w:b w:val="0"/>
                <w:bCs w:val="0"/>
                <w:szCs w:val="21"/>
                <w:lang w:val="en-US" w:eastAsia="zh-CN"/>
              </w:rPr>
            </w:pPr>
            <w:r>
              <w:rPr>
                <w:rFonts w:hint="eastAsia" w:cs="Times New Roman"/>
                <w:b w:val="0"/>
                <w:bCs w:val="0"/>
                <w:szCs w:val="21"/>
                <w:lang w:val="en-US" w:eastAsia="zh-CN"/>
              </w:rPr>
              <w:t>252</w:t>
            </w:r>
          </w:p>
        </w:tc>
        <w:tc>
          <w:tcPr>
            <w:tcW w:w="518" w:type="pct"/>
            <w:vAlign w:val="center"/>
          </w:tcPr>
          <w:p w14:paraId="2916931F">
            <w:pPr>
              <w:jc w:val="cente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cs="Times New Roman"/>
                <w:b w:val="0"/>
                <w:bCs w:val="0"/>
                <w:color w:val="000000" w:themeColor="text1"/>
                <w:szCs w:val="21"/>
                <w:lang w:val="en-US" w:eastAsia="zh-CN"/>
                <w14:textFill>
                  <w14:solidFill>
                    <w14:schemeClr w14:val="tx1"/>
                  </w14:solidFill>
                </w14:textFill>
              </w:rPr>
              <w:t>252</w:t>
            </w:r>
          </w:p>
        </w:tc>
        <w:tc>
          <w:tcPr>
            <w:tcW w:w="618" w:type="pct"/>
            <w:vAlign w:val="center"/>
          </w:tcPr>
          <w:p w14:paraId="4CC9D5EF">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二级</w:t>
            </w:r>
          </w:p>
        </w:tc>
        <w:tc>
          <w:tcPr>
            <w:tcW w:w="528" w:type="pct"/>
            <w:vAlign w:val="center"/>
          </w:tcPr>
          <w:p w14:paraId="74470BDC">
            <w:pPr>
              <w:jc w:val="center"/>
              <w:rPr>
                <w:rFonts w:hint="default" w:ascii="Times New Roman" w:hAnsi="Times New Roman" w:eastAsia="宋体" w:cs="Times New Roman"/>
                <w:b w:val="0"/>
                <w:bCs w:val="0"/>
                <w:szCs w:val="21"/>
                <w:lang w:val="en-US" w:eastAsia="zh-CN"/>
              </w:rPr>
            </w:pPr>
            <w:r>
              <w:rPr>
                <w:rFonts w:hint="eastAsia" w:cs="Times New Roman"/>
                <w:b w:val="0"/>
                <w:bCs w:val="0"/>
                <w:szCs w:val="21"/>
                <w:lang w:val="en-US" w:eastAsia="zh-CN"/>
              </w:rPr>
              <w:t>丙类</w:t>
            </w:r>
          </w:p>
        </w:tc>
        <w:tc>
          <w:tcPr>
            <w:tcW w:w="647" w:type="pct"/>
            <w:vAlign w:val="center"/>
          </w:tcPr>
          <w:p w14:paraId="316D8E8A">
            <w:pPr>
              <w:jc w:val="center"/>
              <w:rPr>
                <w:rFonts w:hint="default" w:ascii="Times New Roman" w:hAnsi="Times New Roman" w:eastAsia="宋体" w:cs="Times New Roman"/>
                <w:b w:val="0"/>
                <w:bCs w:val="0"/>
                <w:szCs w:val="21"/>
                <w:lang w:val="en-US" w:eastAsia="zh-CN"/>
              </w:rPr>
            </w:pPr>
            <w:r>
              <w:rPr>
                <w:rFonts w:hint="default" w:ascii="Times New Roman" w:hAnsi="Times New Roman" w:cs="Times New Roman"/>
                <w:b w:val="0"/>
                <w:bCs w:val="0"/>
                <w:szCs w:val="21"/>
                <w:lang w:val="en-US" w:eastAsia="zh-CN"/>
              </w:rPr>
              <w:t>新建</w:t>
            </w:r>
          </w:p>
        </w:tc>
      </w:tr>
      <w:tr w14:paraId="117E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52" w:type="pct"/>
            <w:vAlign w:val="center"/>
          </w:tcPr>
          <w:p w14:paraId="6D9CFC13">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2</w:t>
            </w:r>
          </w:p>
        </w:tc>
        <w:tc>
          <w:tcPr>
            <w:tcW w:w="570" w:type="pct"/>
            <w:vAlign w:val="center"/>
          </w:tcPr>
          <w:p w14:paraId="1DEFFC4B">
            <w:pPr>
              <w:jc w:val="center"/>
              <w:rPr>
                <w:rFonts w:hint="default" w:ascii="Times New Roman" w:hAnsi="Times New Roman" w:eastAsia="宋体" w:cs="Times New Roman"/>
                <w:b w:val="0"/>
                <w:bCs w:val="0"/>
                <w:szCs w:val="21"/>
                <w:lang w:val="en-US" w:eastAsia="zh-CN"/>
              </w:rPr>
            </w:pPr>
            <w:r>
              <w:rPr>
                <w:rFonts w:hint="default" w:ascii="Times New Roman" w:hAnsi="Times New Roman" w:cs="Times New Roman"/>
                <w:b w:val="0"/>
                <w:bCs w:val="0"/>
                <w:szCs w:val="21"/>
              </w:rPr>
              <w:t>罩棚</w:t>
            </w:r>
          </w:p>
        </w:tc>
        <w:tc>
          <w:tcPr>
            <w:tcW w:w="377" w:type="pct"/>
            <w:vAlign w:val="center"/>
          </w:tcPr>
          <w:p w14:paraId="17133761">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w:t>
            </w:r>
          </w:p>
        </w:tc>
        <w:tc>
          <w:tcPr>
            <w:tcW w:w="352" w:type="pct"/>
            <w:vAlign w:val="center"/>
          </w:tcPr>
          <w:p w14:paraId="4B7ED0D9">
            <w:pPr>
              <w:jc w:val="center"/>
              <w:rPr>
                <w:rFonts w:hint="default" w:ascii="Times New Roman" w:hAnsi="Times New Roman" w:eastAsia="宋体" w:cs="Times New Roman"/>
                <w:b w:val="0"/>
                <w:bCs w:val="0"/>
                <w:szCs w:val="21"/>
                <w:lang w:val="en-US" w:eastAsia="zh-CN"/>
              </w:rPr>
            </w:pPr>
            <w:r>
              <w:rPr>
                <w:rFonts w:hint="default" w:ascii="Times New Roman" w:hAnsi="Times New Roman" w:cs="Times New Roman"/>
                <w:b w:val="0"/>
                <w:bCs w:val="0"/>
                <w:szCs w:val="21"/>
                <w:lang w:val="en-US" w:eastAsia="zh-CN"/>
              </w:rPr>
              <w:t>钢框架</w:t>
            </w:r>
          </w:p>
        </w:tc>
        <w:tc>
          <w:tcPr>
            <w:tcW w:w="671" w:type="pct"/>
            <w:vAlign w:val="center"/>
          </w:tcPr>
          <w:p w14:paraId="7613C26A">
            <w:pPr>
              <w:jc w:val="center"/>
              <w:rPr>
                <w:rFonts w:hint="eastAsia" w:cs="Times New Roman"/>
                <w:b w:val="0"/>
                <w:bCs w:val="0"/>
                <w:szCs w:val="21"/>
                <w:lang w:val="en-US" w:eastAsia="zh-CN"/>
              </w:rPr>
            </w:pPr>
            <w:r>
              <w:rPr>
                <w:rFonts w:hint="eastAsia" w:cs="Times New Roman"/>
                <w:b w:val="0"/>
                <w:bCs w:val="0"/>
                <w:szCs w:val="21"/>
                <w:lang w:val="en-US" w:eastAsia="zh-CN"/>
              </w:rPr>
              <w:t>7.75</w:t>
            </w:r>
          </w:p>
          <w:p w14:paraId="597A5AB0">
            <w:pPr>
              <w:jc w:val="center"/>
              <w:rPr>
                <w:rFonts w:hint="default" w:ascii="Times New Roman" w:hAnsi="Times New Roman" w:eastAsia="宋体" w:cs="Times New Roman"/>
                <w:b w:val="0"/>
                <w:bCs w:val="0"/>
                <w:szCs w:val="21"/>
                <w:lang w:val="en-US" w:eastAsia="zh-CN"/>
              </w:rPr>
            </w:pPr>
            <w:r>
              <w:rPr>
                <w:rFonts w:hint="eastAsia" w:cs="Times New Roman"/>
                <w:b w:val="0"/>
                <w:bCs w:val="0"/>
                <w:szCs w:val="21"/>
                <w:lang w:val="en-US" w:eastAsia="zh-CN"/>
              </w:rPr>
              <w:t>（净高6.4）</w:t>
            </w:r>
          </w:p>
        </w:tc>
        <w:tc>
          <w:tcPr>
            <w:tcW w:w="462" w:type="pct"/>
            <w:vAlign w:val="center"/>
          </w:tcPr>
          <w:p w14:paraId="44607BFD">
            <w:pPr>
              <w:jc w:val="center"/>
              <w:rPr>
                <w:rFonts w:hint="default" w:ascii="Times New Roman" w:hAnsi="Times New Roman" w:eastAsia="宋体" w:cs="Times New Roman"/>
                <w:b w:val="0"/>
                <w:bCs w:val="0"/>
                <w:szCs w:val="21"/>
                <w:highlight w:val="none"/>
                <w:lang w:val="en-US" w:eastAsia="zh-CN"/>
              </w:rPr>
            </w:pPr>
            <w:r>
              <w:rPr>
                <w:rFonts w:hint="eastAsia" w:cs="Times New Roman"/>
                <w:b w:val="0"/>
                <w:bCs w:val="0"/>
                <w:szCs w:val="21"/>
                <w:highlight w:val="none"/>
                <w:lang w:val="en-US" w:eastAsia="zh-CN"/>
              </w:rPr>
              <w:t>257.3</w:t>
            </w:r>
          </w:p>
        </w:tc>
        <w:tc>
          <w:tcPr>
            <w:tcW w:w="518" w:type="pct"/>
            <w:vAlign w:val="center"/>
          </w:tcPr>
          <w:p w14:paraId="28696601">
            <w:pPr>
              <w:jc w:val="center"/>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514.6</w:t>
            </w:r>
          </w:p>
        </w:tc>
        <w:tc>
          <w:tcPr>
            <w:tcW w:w="618" w:type="pct"/>
            <w:vAlign w:val="center"/>
          </w:tcPr>
          <w:p w14:paraId="070CE21F">
            <w:pPr>
              <w:jc w:val="center"/>
              <w:rPr>
                <w:rFonts w:hint="default" w:ascii="Times New Roman" w:hAnsi="Times New Roman" w:eastAsia="宋体" w:cs="Times New Roman"/>
                <w:b w:val="0"/>
                <w:bCs w:val="0"/>
                <w:szCs w:val="21"/>
                <w:lang w:val="en-US" w:eastAsia="zh-CN"/>
              </w:rPr>
            </w:pPr>
            <w:r>
              <w:rPr>
                <w:rFonts w:hint="eastAsia" w:cs="Times New Roman"/>
                <w:b w:val="0"/>
                <w:bCs w:val="0"/>
                <w:szCs w:val="21"/>
                <w:lang w:val="en-US" w:eastAsia="zh-CN"/>
              </w:rPr>
              <w:t>不燃烧体</w:t>
            </w:r>
          </w:p>
        </w:tc>
        <w:tc>
          <w:tcPr>
            <w:tcW w:w="528" w:type="pct"/>
            <w:vAlign w:val="center"/>
          </w:tcPr>
          <w:p w14:paraId="1CFF793C">
            <w:pPr>
              <w:jc w:val="center"/>
              <w:rPr>
                <w:rFonts w:hint="default" w:ascii="Times New Roman" w:hAnsi="Times New Roman" w:eastAsia="宋体" w:cs="Times New Roman"/>
                <w:b w:val="0"/>
                <w:bCs w:val="0"/>
                <w:szCs w:val="21"/>
                <w:lang w:val="en-US" w:eastAsia="zh-CN"/>
              </w:rPr>
            </w:pPr>
            <w:r>
              <w:rPr>
                <w:rFonts w:hint="eastAsia" w:cs="Times New Roman"/>
                <w:b w:val="0"/>
                <w:bCs w:val="0"/>
                <w:szCs w:val="21"/>
                <w:lang w:val="en-US" w:eastAsia="zh-CN"/>
              </w:rPr>
              <w:t>-</w:t>
            </w:r>
          </w:p>
        </w:tc>
        <w:tc>
          <w:tcPr>
            <w:tcW w:w="647" w:type="pct"/>
            <w:vAlign w:val="center"/>
          </w:tcPr>
          <w:p w14:paraId="2CB0D971">
            <w:pPr>
              <w:jc w:val="center"/>
              <w:rPr>
                <w:rFonts w:hint="default" w:ascii="Times New Roman" w:hAnsi="Times New Roman" w:eastAsia="宋体" w:cs="Times New Roman"/>
                <w:b w:val="0"/>
                <w:bCs w:val="0"/>
                <w:szCs w:val="21"/>
                <w:lang w:val="en-US" w:eastAsia="zh-CN"/>
              </w:rPr>
            </w:pPr>
            <w:r>
              <w:rPr>
                <w:rFonts w:hint="default" w:ascii="Times New Roman" w:hAnsi="Times New Roman" w:cs="Times New Roman"/>
                <w:b w:val="0"/>
                <w:bCs w:val="0"/>
                <w:szCs w:val="21"/>
                <w:lang w:val="en-US" w:eastAsia="zh-CN"/>
              </w:rPr>
              <w:t>新建</w:t>
            </w:r>
          </w:p>
        </w:tc>
      </w:tr>
      <w:tr w14:paraId="2170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52" w:type="pct"/>
            <w:vAlign w:val="center"/>
          </w:tcPr>
          <w:p w14:paraId="2DE11957">
            <w:pPr>
              <w:jc w:val="center"/>
              <w:rPr>
                <w:rFonts w:hint="eastAsia" w:ascii="Times New Roman" w:hAnsi="Times New Roman" w:eastAsia="宋体" w:cs="Times New Roman"/>
                <w:b w:val="0"/>
                <w:bCs w:val="0"/>
                <w:szCs w:val="21"/>
                <w:lang w:val="en-US" w:eastAsia="zh-CN"/>
              </w:rPr>
            </w:pPr>
            <w:r>
              <w:rPr>
                <w:rFonts w:hint="eastAsia" w:cs="Times New Roman"/>
                <w:b w:val="0"/>
                <w:bCs w:val="0"/>
                <w:szCs w:val="21"/>
                <w:lang w:val="en-US" w:eastAsia="zh-CN"/>
              </w:rPr>
              <w:t>3</w:t>
            </w:r>
          </w:p>
        </w:tc>
        <w:tc>
          <w:tcPr>
            <w:tcW w:w="570" w:type="pct"/>
            <w:vAlign w:val="center"/>
          </w:tcPr>
          <w:p w14:paraId="71B5FABC">
            <w:pPr>
              <w:jc w:val="center"/>
              <w:rPr>
                <w:rFonts w:hint="default" w:ascii="Times New Roman" w:hAnsi="Times New Roman" w:eastAsia="宋体" w:cs="Times New Roman"/>
                <w:b w:val="0"/>
                <w:bCs w:val="0"/>
                <w:szCs w:val="21"/>
                <w:lang w:val="en-US" w:eastAsia="zh-CN"/>
              </w:rPr>
            </w:pPr>
            <w:r>
              <w:rPr>
                <w:rFonts w:hint="eastAsia" w:cs="Times New Roman"/>
                <w:b w:val="0"/>
                <w:bCs w:val="0"/>
                <w:szCs w:val="21"/>
                <w:lang w:val="en-US" w:eastAsia="zh-CN"/>
              </w:rPr>
              <w:t>综合办公楼</w:t>
            </w:r>
          </w:p>
        </w:tc>
        <w:tc>
          <w:tcPr>
            <w:tcW w:w="377" w:type="pct"/>
            <w:vAlign w:val="center"/>
          </w:tcPr>
          <w:p w14:paraId="63E338C3">
            <w:pPr>
              <w:jc w:val="center"/>
              <w:rPr>
                <w:rFonts w:hint="eastAsia" w:ascii="Times New Roman" w:hAnsi="Times New Roman" w:eastAsia="宋体" w:cs="Times New Roman"/>
                <w:b w:val="0"/>
                <w:bCs w:val="0"/>
                <w:szCs w:val="21"/>
                <w:lang w:val="en-US" w:eastAsia="zh-CN"/>
              </w:rPr>
            </w:pPr>
            <w:r>
              <w:rPr>
                <w:rFonts w:hint="eastAsia" w:cs="Times New Roman"/>
                <w:b w:val="0"/>
                <w:bCs w:val="0"/>
                <w:szCs w:val="21"/>
                <w:lang w:val="en-US" w:eastAsia="zh-CN"/>
              </w:rPr>
              <w:t>双层</w:t>
            </w:r>
          </w:p>
        </w:tc>
        <w:tc>
          <w:tcPr>
            <w:tcW w:w="352" w:type="pct"/>
            <w:vAlign w:val="center"/>
          </w:tcPr>
          <w:p w14:paraId="3647C589">
            <w:pPr>
              <w:jc w:val="center"/>
              <w:rPr>
                <w:rFonts w:hint="default" w:ascii="Times New Roman" w:hAnsi="Times New Roman" w:cs="Times New Roman"/>
                <w:b w:val="0"/>
                <w:bCs w:val="0"/>
                <w:szCs w:val="21"/>
                <w:lang w:val="en-US" w:eastAsia="zh-CN"/>
              </w:rPr>
            </w:pPr>
            <w:r>
              <w:rPr>
                <w:rFonts w:hint="eastAsia" w:cs="Times New Roman"/>
                <w:b w:val="0"/>
                <w:bCs w:val="0"/>
                <w:szCs w:val="21"/>
                <w:lang w:val="en-US" w:eastAsia="zh-CN"/>
              </w:rPr>
              <w:t>框架</w:t>
            </w:r>
          </w:p>
        </w:tc>
        <w:tc>
          <w:tcPr>
            <w:tcW w:w="671" w:type="pct"/>
            <w:vAlign w:val="center"/>
          </w:tcPr>
          <w:p w14:paraId="462B317C">
            <w:pPr>
              <w:jc w:val="center"/>
              <w:rPr>
                <w:rFonts w:hint="default" w:cs="Times New Roman"/>
                <w:b w:val="0"/>
                <w:bCs w:val="0"/>
                <w:szCs w:val="21"/>
                <w:lang w:val="en-US" w:eastAsia="zh-CN"/>
              </w:rPr>
            </w:pPr>
            <w:r>
              <w:rPr>
                <w:rFonts w:hint="eastAsia" w:cs="Times New Roman"/>
                <w:b w:val="0"/>
                <w:bCs w:val="0"/>
                <w:szCs w:val="21"/>
                <w:lang w:val="en-US" w:eastAsia="zh-CN"/>
              </w:rPr>
              <w:t>11.0</w:t>
            </w:r>
          </w:p>
        </w:tc>
        <w:tc>
          <w:tcPr>
            <w:tcW w:w="462" w:type="pct"/>
            <w:vAlign w:val="center"/>
          </w:tcPr>
          <w:p w14:paraId="67F11BD5">
            <w:pPr>
              <w:jc w:val="center"/>
              <w:rPr>
                <w:rFonts w:hint="default" w:cs="Times New Roman"/>
                <w:b w:val="0"/>
                <w:bCs w:val="0"/>
                <w:szCs w:val="21"/>
                <w:highlight w:val="none"/>
                <w:lang w:val="en-US" w:eastAsia="zh-CN"/>
              </w:rPr>
            </w:pPr>
            <w:r>
              <w:rPr>
                <w:rFonts w:hint="eastAsia" w:cs="Times New Roman"/>
                <w:b w:val="0"/>
                <w:bCs w:val="0"/>
                <w:szCs w:val="21"/>
                <w:highlight w:val="none"/>
                <w:lang w:val="en-US" w:eastAsia="zh-CN"/>
              </w:rPr>
              <w:t>1529</w:t>
            </w:r>
          </w:p>
        </w:tc>
        <w:tc>
          <w:tcPr>
            <w:tcW w:w="518" w:type="pct"/>
            <w:vAlign w:val="center"/>
          </w:tcPr>
          <w:p w14:paraId="447E4C90">
            <w:pPr>
              <w:jc w:val="center"/>
              <w:rPr>
                <w:rFonts w:hint="eastAsia"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szCs w:val="21"/>
                <w:lang w:val="en-US" w:eastAsia="zh-CN"/>
              </w:rPr>
              <w:t>751.5</w:t>
            </w:r>
          </w:p>
        </w:tc>
        <w:tc>
          <w:tcPr>
            <w:tcW w:w="618" w:type="pct"/>
            <w:vAlign w:val="center"/>
          </w:tcPr>
          <w:p w14:paraId="499C7C45">
            <w:pPr>
              <w:jc w:val="center"/>
              <w:rPr>
                <w:rFonts w:hint="default" w:cs="Times New Roman"/>
                <w:b w:val="0"/>
                <w:bCs w:val="0"/>
                <w:szCs w:val="21"/>
                <w:lang w:val="en-US" w:eastAsia="zh-CN"/>
              </w:rPr>
            </w:pPr>
            <w:r>
              <w:rPr>
                <w:rFonts w:hint="eastAsia" w:cs="Times New Roman"/>
                <w:b w:val="0"/>
                <w:bCs w:val="0"/>
                <w:szCs w:val="21"/>
                <w:lang w:val="en-US" w:eastAsia="zh-CN"/>
              </w:rPr>
              <w:t>二级</w:t>
            </w:r>
          </w:p>
        </w:tc>
        <w:tc>
          <w:tcPr>
            <w:tcW w:w="528" w:type="pct"/>
            <w:vAlign w:val="center"/>
          </w:tcPr>
          <w:p w14:paraId="7B0ABD0A">
            <w:pPr>
              <w:jc w:val="center"/>
              <w:rPr>
                <w:rFonts w:hint="default" w:cs="Times New Roman"/>
                <w:b w:val="0"/>
                <w:bCs w:val="0"/>
                <w:szCs w:val="21"/>
                <w:lang w:val="en-US" w:eastAsia="zh-CN"/>
              </w:rPr>
            </w:pPr>
            <w:r>
              <w:rPr>
                <w:rFonts w:hint="eastAsia" w:cs="Times New Roman"/>
                <w:b w:val="0"/>
                <w:bCs w:val="0"/>
                <w:szCs w:val="21"/>
                <w:lang w:val="en-US" w:eastAsia="zh-CN"/>
              </w:rPr>
              <w:t>丙类</w:t>
            </w:r>
          </w:p>
        </w:tc>
        <w:tc>
          <w:tcPr>
            <w:tcW w:w="647" w:type="pct"/>
            <w:vAlign w:val="center"/>
          </w:tcPr>
          <w:p w14:paraId="5F161104">
            <w:pPr>
              <w:jc w:val="center"/>
              <w:rPr>
                <w:rFonts w:hint="default" w:ascii="Times New Roman" w:hAnsi="Times New Roman" w:cs="Times New Roman"/>
                <w:b w:val="0"/>
                <w:bCs w:val="0"/>
                <w:szCs w:val="21"/>
                <w:lang w:val="en-US" w:eastAsia="zh-CN"/>
              </w:rPr>
            </w:pPr>
            <w:r>
              <w:rPr>
                <w:rFonts w:hint="eastAsia" w:cs="Times New Roman"/>
                <w:b w:val="0"/>
                <w:bCs w:val="0"/>
                <w:szCs w:val="21"/>
                <w:lang w:val="en-US" w:eastAsia="zh-CN"/>
              </w:rPr>
              <w:t>新建</w:t>
            </w:r>
          </w:p>
        </w:tc>
      </w:tr>
      <w:tr w14:paraId="1838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blHeader/>
          <w:jc w:val="center"/>
        </w:trPr>
        <w:tc>
          <w:tcPr>
            <w:tcW w:w="252" w:type="pct"/>
            <w:vAlign w:val="center"/>
          </w:tcPr>
          <w:p w14:paraId="4340B8AE">
            <w:pPr>
              <w:jc w:val="center"/>
              <w:rPr>
                <w:rFonts w:hint="default" w:ascii="Times New Roman" w:hAnsi="Times New Roman" w:eastAsia="宋体" w:cs="Times New Roman"/>
                <w:b w:val="0"/>
                <w:bCs w:val="0"/>
                <w:szCs w:val="21"/>
                <w:lang w:val="en-US" w:eastAsia="zh-CN"/>
              </w:rPr>
            </w:pPr>
            <w:r>
              <w:rPr>
                <w:rFonts w:hint="eastAsia" w:cs="Times New Roman"/>
                <w:b w:val="0"/>
                <w:bCs w:val="0"/>
                <w:szCs w:val="21"/>
                <w:lang w:val="en-US" w:eastAsia="zh-CN"/>
              </w:rPr>
              <w:t>4</w:t>
            </w:r>
          </w:p>
        </w:tc>
        <w:tc>
          <w:tcPr>
            <w:tcW w:w="570" w:type="pct"/>
            <w:vAlign w:val="center"/>
          </w:tcPr>
          <w:p w14:paraId="384934A7">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承重埋地罐区</w:t>
            </w:r>
          </w:p>
        </w:tc>
        <w:tc>
          <w:tcPr>
            <w:tcW w:w="377" w:type="pct"/>
            <w:vAlign w:val="center"/>
          </w:tcPr>
          <w:p w14:paraId="17BC7C72">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w:t>
            </w:r>
          </w:p>
        </w:tc>
        <w:tc>
          <w:tcPr>
            <w:tcW w:w="352" w:type="pct"/>
            <w:vAlign w:val="center"/>
          </w:tcPr>
          <w:p w14:paraId="6FB2613D">
            <w:pPr>
              <w:jc w:val="center"/>
              <w:rPr>
                <w:rFonts w:hint="default" w:ascii="Times New Roman" w:hAnsi="Times New Roman" w:eastAsia="宋体" w:cs="Times New Roman"/>
                <w:b w:val="0"/>
                <w:bCs w:val="0"/>
                <w:szCs w:val="21"/>
                <w:lang w:val="en-US" w:eastAsia="zh-CN"/>
              </w:rPr>
            </w:pPr>
            <w:r>
              <w:rPr>
                <w:rFonts w:hint="default" w:ascii="Times New Roman" w:hAnsi="Times New Roman" w:cs="Times New Roman"/>
                <w:b w:val="0"/>
                <w:bCs w:val="0"/>
                <w:szCs w:val="21"/>
                <w:lang w:val="en-US" w:eastAsia="zh-CN"/>
              </w:rPr>
              <w:t>地埋</w:t>
            </w:r>
          </w:p>
        </w:tc>
        <w:tc>
          <w:tcPr>
            <w:tcW w:w="671" w:type="pct"/>
            <w:vAlign w:val="center"/>
          </w:tcPr>
          <w:p w14:paraId="7704B159">
            <w:pPr>
              <w:jc w:val="center"/>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w:t>
            </w:r>
          </w:p>
        </w:tc>
        <w:tc>
          <w:tcPr>
            <w:tcW w:w="462" w:type="pct"/>
            <w:vAlign w:val="center"/>
          </w:tcPr>
          <w:p w14:paraId="39A9777D">
            <w:pPr>
              <w:jc w:val="center"/>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w:t>
            </w:r>
          </w:p>
        </w:tc>
        <w:tc>
          <w:tcPr>
            <w:tcW w:w="518" w:type="pct"/>
            <w:vAlign w:val="center"/>
          </w:tcPr>
          <w:p w14:paraId="2177110A">
            <w:pPr>
              <w:jc w:val="center"/>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72.96</w:t>
            </w:r>
          </w:p>
        </w:tc>
        <w:tc>
          <w:tcPr>
            <w:tcW w:w="618" w:type="pct"/>
            <w:vAlign w:val="center"/>
          </w:tcPr>
          <w:p w14:paraId="7078B2A6">
            <w:pPr>
              <w:jc w:val="center"/>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w:t>
            </w:r>
          </w:p>
        </w:tc>
        <w:tc>
          <w:tcPr>
            <w:tcW w:w="528" w:type="pct"/>
            <w:vAlign w:val="center"/>
          </w:tcPr>
          <w:p w14:paraId="05EF44E4">
            <w:pPr>
              <w:jc w:val="center"/>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甲类</w:t>
            </w:r>
          </w:p>
        </w:tc>
        <w:tc>
          <w:tcPr>
            <w:tcW w:w="647" w:type="pct"/>
            <w:vAlign w:val="center"/>
          </w:tcPr>
          <w:p w14:paraId="52AF5073">
            <w:pPr>
              <w:jc w:val="center"/>
              <w:rPr>
                <w:rFonts w:hint="default" w:ascii="Times New Roman" w:hAnsi="Times New Roman" w:eastAsia="宋体" w:cs="Times New Roman"/>
                <w:b w:val="0"/>
                <w:bCs w:val="0"/>
                <w:szCs w:val="21"/>
                <w:lang w:val="en-US" w:eastAsia="zh-CN"/>
              </w:rPr>
            </w:pPr>
            <w:r>
              <w:rPr>
                <w:rFonts w:hint="default" w:ascii="Times New Roman" w:hAnsi="Times New Roman" w:cs="Times New Roman"/>
                <w:b w:val="0"/>
                <w:bCs w:val="0"/>
                <w:szCs w:val="21"/>
                <w:lang w:val="en-US" w:eastAsia="zh-CN"/>
              </w:rPr>
              <w:t>新建</w:t>
            </w:r>
          </w:p>
        </w:tc>
      </w:tr>
    </w:tbl>
    <w:p w14:paraId="4512B7AA">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00" w:name="_Toc19348"/>
      <w:bookmarkStart w:id="101" w:name="_Toc146488838"/>
      <w:r>
        <w:rPr>
          <w:rFonts w:hint="default" w:ascii="Times New Roman" w:hAnsi="Times New Roman" w:eastAsia="黑体" w:cs="Times New Roman"/>
          <w:b/>
          <w:bCs/>
          <w:color w:val="auto"/>
          <w:sz w:val="28"/>
          <w:szCs w:val="32"/>
          <w:lang w:val="en-US" w:eastAsia="zh-CN"/>
        </w:rPr>
        <w:t>2.5.</w:t>
      </w:r>
      <w:bookmarkStart w:id="102" w:name="_Toc410311874"/>
      <w:bookmarkStart w:id="103" w:name="_Toc410311951"/>
      <w:r>
        <w:rPr>
          <w:rFonts w:hint="eastAsia" w:eastAsia="黑体" w:cs="Times New Roman"/>
          <w:b/>
          <w:bCs/>
          <w:color w:val="auto"/>
          <w:sz w:val="28"/>
          <w:szCs w:val="32"/>
          <w:lang w:val="en-US" w:eastAsia="zh-CN"/>
        </w:rPr>
        <w:t>3</w:t>
      </w:r>
      <w:r>
        <w:rPr>
          <w:rFonts w:hint="default" w:ascii="Times New Roman" w:hAnsi="Times New Roman" w:eastAsia="黑体" w:cs="Times New Roman"/>
          <w:b/>
          <w:bCs/>
          <w:color w:val="auto"/>
          <w:sz w:val="28"/>
          <w:szCs w:val="32"/>
          <w:lang w:val="en-US" w:eastAsia="zh-CN"/>
        </w:rPr>
        <w:t>主要设备及设施的布局及其上下游生产装置的关系</w:t>
      </w:r>
      <w:bookmarkEnd w:id="90"/>
      <w:bookmarkEnd w:id="91"/>
      <w:bookmarkEnd w:id="100"/>
      <w:bookmarkEnd w:id="101"/>
      <w:bookmarkEnd w:id="102"/>
      <w:bookmarkEnd w:id="103"/>
    </w:p>
    <w:p w14:paraId="4FA94CE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bookmarkStart w:id="104" w:name="_Toc27804"/>
      <w:r>
        <w:rPr>
          <w:rFonts w:hint="default" w:ascii="Times New Roman" w:hAnsi="Times New Roman" w:cs="Times New Roman"/>
          <w:sz w:val="28"/>
          <w:szCs w:val="28"/>
          <w:lang w:val="en-US" w:eastAsia="zh-CN"/>
        </w:rPr>
        <w:t>本站位于</w:t>
      </w:r>
      <w:r>
        <w:rPr>
          <w:rFonts w:hint="eastAsia" w:cs="Times New Roman"/>
          <w:sz w:val="28"/>
          <w:szCs w:val="28"/>
          <w:lang w:val="en-US" w:eastAsia="zh-CN"/>
        </w:rPr>
        <w:t>辽宁省葫芦岛市龙港区龙锦街以东，海飞路以西</w:t>
      </w:r>
      <w:r>
        <w:rPr>
          <w:rFonts w:hint="default" w:ascii="Times New Roman" w:hAnsi="Times New Roman" w:cs="Times New Roman"/>
          <w:sz w:val="28"/>
          <w:szCs w:val="28"/>
          <w:lang w:val="en-US" w:eastAsia="zh-CN"/>
        </w:rPr>
        <w:t>，加油站罩棚位于加油站中部，储罐区位于罩棚下，站房位于罩棚</w:t>
      </w:r>
      <w:r>
        <w:rPr>
          <w:rFonts w:hint="eastAsia" w:cs="Times New Roman"/>
          <w:sz w:val="28"/>
          <w:szCs w:val="28"/>
          <w:lang w:val="en-US" w:eastAsia="zh-CN"/>
        </w:rPr>
        <w:t>南</w:t>
      </w:r>
      <w:r>
        <w:rPr>
          <w:rFonts w:hint="default" w:ascii="Times New Roman" w:hAnsi="Times New Roman" w:cs="Times New Roman"/>
          <w:sz w:val="28"/>
          <w:szCs w:val="28"/>
          <w:lang w:val="en-US" w:eastAsia="zh-CN"/>
        </w:rPr>
        <w:t>侧。</w:t>
      </w:r>
      <w:r>
        <w:rPr>
          <w:rFonts w:hint="eastAsia" w:cs="Times New Roman"/>
          <w:sz w:val="28"/>
          <w:szCs w:val="28"/>
          <w:lang w:val="en-US" w:eastAsia="zh-CN"/>
        </w:rPr>
        <w:t>南</w:t>
      </w:r>
      <w:r>
        <w:rPr>
          <w:rFonts w:hint="default" w:ascii="Times New Roman" w:hAnsi="Times New Roman" w:cs="Times New Roman"/>
          <w:sz w:val="28"/>
          <w:szCs w:val="28"/>
          <w:lang w:val="en-US" w:eastAsia="zh-CN"/>
        </w:rPr>
        <w:t>侧设置</w:t>
      </w:r>
      <w:r>
        <w:rPr>
          <w:rFonts w:hint="eastAsia" w:cs="Times New Roman"/>
          <w:sz w:val="28"/>
          <w:szCs w:val="28"/>
          <w:lang w:val="en-US" w:eastAsia="zh-CN"/>
        </w:rPr>
        <w:t>实体</w:t>
      </w:r>
      <w:r>
        <w:rPr>
          <w:rFonts w:hint="default" w:ascii="Times New Roman" w:hAnsi="Times New Roman" w:cs="Times New Roman"/>
          <w:sz w:val="28"/>
          <w:szCs w:val="28"/>
          <w:lang w:val="en-US" w:eastAsia="zh-CN"/>
        </w:rPr>
        <w:t>围墙</w:t>
      </w:r>
      <w:r>
        <w:rPr>
          <w:rFonts w:hint="eastAsia" w:cs="Times New Roman"/>
          <w:sz w:val="28"/>
          <w:szCs w:val="28"/>
          <w:lang w:val="en-US" w:eastAsia="zh-CN"/>
        </w:rPr>
        <w:t>，</w:t>
      </w:r>
      <w:r>
        <w:rPr>
          <w:rFonts w:hint="default" w:ascii="Times New Roman" w:hAnsi="Times New Roman" w:cs="Times New Roman"/>
          <w:sz w:val="28"/>
          <w:szCs w:val="28"/>
          <w:lang w:val="en-US" w:eastAsia="zh-CN"/>
        </w:rPr>
        <w:t>面向</w:t>
      </w:r>
      <w:r>
        <w:rPr>
          <w:rFonts w:hint="eastAsia" w:cs="Times New Roman"/>
          <w:sz w:val="28"/>
          <w:szCs w:val="28"/>
          <w:lang w:val="en-US" w:eastAsia="zh-CN"/>
        </w:rPr>
        <w:t>海飞路及龙锦街</w:t>
      </w:r>
      <w:r>
        <w:rPr>
          <w:rFonts w:hint="default" w:ascii="Times New Roman" w:hAnsi="Times New Roman" w:cs="Times New Roman"/>
          <w:sz w:val="28"/>
          <w:szCs w:val="28"/>
          <w:lang w:val="en-US" w:eastAsia="zh-CN"/>
        </w:rPr>
        <w:t>设置出入口。</w:t>
      </w:r>
      <w:r>
        <w:rPr>
          <w:color w:val="auto"/>
          <w:sz w:val="28"/>
          <w:szCs w:val="28"/>
          <w:highlight w:val="none"/>
          <w:lang w:val="zh-CN"/>
        </w:rPr>
        <w:t>站区内部形成顺畅的加油车辆作业通道，道路为贯通式</w:t>
      </w:r>
      <w:r>
        <w:rPr>
          <w:rFonts w:hint="default" w:ascii="Times New Roman" w:hAnsi="Times New Roman" w:cs="Times New Roman"/>
          <w:sz w:val="28"/>
          <w:szCs w:val="28"/>
          <w:lang w:val="en-US" w:eastAsia="zh-CN"/>
        </w:rPr>
        <w:t>。</w:t>
      </w:r>
    </w:p>
    <w:bookmarkEnd w:id="104"/>
    <w:p w14:paraId="031CC0B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危险化学品专用罐车将</w:t>
      </w:r>
      <w:r>
        <w:rPr>
          <w:rFonts w:hint="eastAsia" w:cs="Times New Roman"/>
          <w:sz w:val="28"/>
          <w:szCs w:val="28"/>
          <w:lang w:eastAsia="zh-CN"/>
        </w:rPr>
        <w:t>乙醇汽油</w:t>
      </w:r>
      <w:r>
        <w:rPr>
          <w:rFonts w:hint="default" w:ascii="Times New Roman" w:hAnsi="Times New Roman" w:cs="Times New Roman"/>
          <w:sz w:val="28"/>
          <w:szCs w:val="28"/>
        </w:rPr>
        <w:t>、柴油运送至站内，采用密闭卸油方式按油品品种分别存放在站内储罐中，再经加油机计量加入进站加油车辆的油箱内。不涉及上下游生产装置关系。</w:t>
      </w:r>
    </w:p>
    <w:p w14:paraId="094C8BC9">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105" w:name="_Toc410311952"/>
      <w:bookmarkStart w:id="106" w:name="_Toc410311875"/>
      <w:bookmarkStart w:id="107" w:name="_Toc41246675"/>
      <w:bookmarkStart w:id="108" w:name="_Toc13416"/>
      <w:bookmarkStart w:id="109" w:name="_Toc2468"/>
      <w:r>
        <w:rPr>
          <w:rFonts w:hint="default" w:ascii="Times New Roman" w:hAnsi="Times New Roman" w:eastAsia="楷体" w:cs="Times New Roman"/>
          <w:color w:val="auto"/>
          <w:sz w:val="32"/>
          <w:szCs w:val="32"/>
          <w:lang w:val="en-US" w:eastAsia="zh-CN"/>
        </w:rPr>
        <w:t>2.</w:t>
      </w:r>
      <w:bookmarkEnd w:id="105"/>
      <w:bookmarkEnd w:id="106"/>
      <w:r>
        <w:rPr>
          <w:rFonts w:hint="default" w:ascii="Times New Roman" w:hAnsi="Times New Roman" w:eastAsia="楷体" w:cs="Times New Roman"/>
          <w:color w:val="auto"/>
          <w:sz w:val="32"/>
          <w:szCs w:val="32"/>
          <w:lang w:val="en-US" w:eastAsia="zh-CN"/>
        </w:rPr>
        <w:t>6配套和辅助工程名称、能力、介质来源</w:t>
      </w:r>
      <w:bookmarkEnd w:id="107"/>
      <w:bookmarkEnd w:id="108"/>
      <w:bookmarkEnd w:id="109"/>
    </w:p>
    <w:p w14:paraId="01C2F71D">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10" w:name="_Toc146488840"/>
      <w:bookmarkStart w:id="111" w:name="_Toc41246676"/>
      <w:bookmarkStart w:id="112" w:name="_Toc12786"/>
      <w:bookmarkStart w:id="113" w:name="_Toc13560"/>
      <w:r>
        <w:rPr>
          <w:rFonts w:hint="default" w:ascii="Times New Roman" w:hAnsi="Times New Roman" w:eastAsia="黑体" w:cs="Times New Roman"/>
          <w:b/>
          <w:bCs/>
          <w:color w:val="auto"/>
          <w:sz w:val="28"/>
          <w:szCs w:val="32"/>
          <w:lang w:val="en-US" w:eastAsia="zh-CN"/>
        </w:rPr>
        <w:t>2.6.1给排水</w:t>
      </w:r>
      <w:bookmarkEnd w:id="110"/>
      <w:bookmarkEnd w:id="111"/>
      <w:bookmarkEnd w:id="112"/>
      <w:bookmarkEnd w:id="113"/>
    </w:p>
    <w:p w14:paraId="72BAC45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bookmarkStart w:id="114" w:name="_Toc19518"/>
      <w:r>
        <w:rPr>
          <w:rFonts w:hint="default" w:ascii="Times New Roman" w:hAnsi="Times New Roman" w:cs="Times New Roman"/>
          <w:sz w:val="28"/>
          <w:szCs w:val="28"/>
        </w:rPr>
        <w:t>（1）给水</w:t>
      </w:r>
      <w:bookmarkEnd w:id="114"/>
    </w:p>
    <w:p w14:paraId="51B438F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sz w:val="28"/>
          <w:szCs w:val="28"/>
        </w:rPr>
      </w:pPr>
      <w:bookmarkStart w:id="115" w:name="_Toc29105"/>
      <w:bookmarkStart w:id="116" w:name="_Toc5565"/>
      <w:r>
        <w:rPr>
          <w:rFonts w:hint="eastAsia"/>
          <w:sz w:val="28"/>
          <w:szCs w:val="28"/>
        </w:rPr>
        <w:t>加油站</w:t>
      </w:r>
      <w:r>
        <w:rPr>
          <w:sz w:val="28"/>
          <w:szCs w:val="28"/>
        </w:rPr>
        <w:t>内用水主要为生活用水</w:t>
      </w:r>
      <w:r>
        <w:rPr>
          <w:rFonts w:hint="eastAsia"/>
          <w:sz w:val="28"/>
          <w:szCs w:val="28"/>
          <w:lang w:val="en-US" w:eastAsia="zh-CN"/>
        </w:rPr>
        <w:t>及消防用水</w:t>
      </w:r>
      <w:r>
        <w:rPr>
          <w:sz w:val="28"/>
          <w:szCs w:val="28"/>
        </w:rPr>
        <w:t>，站内给水依托</w:t>
      </w:r>
      <w:r>
        <w:rPr>
          <w:rFonts w:hint="default" w:ascii="Times New Roman" w:hAnsi="Times New Roman" w:cs="Times New Roman"/>
          <w:sz w:val="28"/>
          <w:szCs w:val="28"/>
        </w:rPr>
        <w:t>市政给水管线供给</w:t>
      </w:r>
      <w:r>
        <w:rPr>
          <w:sz w:val="28"/>
          <w:szCs w:val="28"/>
        </w:rPr>
        <w:t>。</w:t>
      </w:r>
      <w:r>
        <w:rPr>
          <w:rFonts w:hint="eastAsia"/>
          <w:sz w:val="28"/>
          <w:szCs w:val="28"/>
        </w:rPr>
        <w:t>室外消火栓系统采用环状管网，管网压力为0.3MPa。</w:t>
      </w:r>
    </w:p>
    <w:p w14:paraId="349363A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（2）排水</w:t>
      </w:r>
      <w:bookmarkEnd w:id="115"/>
      <w:bookmarkEnd w:id="116"/>
    </w:p>
    <w:p w14:paraId="30286B6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sz w:val="28"/>
          <w:szCs w:val="28"/>
        </w:rPr>
      </w:pPr>
      <w:bookmarkStart w:id="117" w:name="_Toc14660"/>
      <w:bookmarkStart w:id="118" w:name="_Toc41246677"/>
      <w:r>
        <w:rPr>
          <w:rFonts w:hint="eastAsia"/>
          <w:sz w:val="28"/>
          <w:szCs w:val="28"/>
        </w:rPr>
        <w:t>加油站</w:t>
      </w:r>
      <w:r>
        <w:rPr>
          <w:sz w:val="28"/>
          <w:szCs w:val="28"/>
        </w:rPr>
        <w:t>排水包括</w:t>
      </w:r>
      <w:r>
        <w:rPr>
          <w:rFonts w:hint="eastAsia"/>
          <w:sz w:val="28"/>
          <w:szCs w:val="28"/>
        </w:rPr>
        <w:t>生产污水</w:t>
      </w:r>
      <w:r>
        <w:rPr>
          <w:sz w:val="28"/>
          <w:szCs w:val="28"/>
        </w:rPr>
        <w:t>、雨水系统及生活污水系统</w:t>
      </w:r>
      <w:r>
        <w:rPr>
          <w:rFonts w:hint="eastAsia"/>
          <w:sz w:val="28"/>
          <w:szCs w:val="28"/>
        </w:rPr>
        <w:t>。</w:t>
      </w:r>
    </w:p>
    <w:p w14:paraId="74A5330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sz w:val="28"/>
          <w:szCs w:val="28"/>
        </w:rPr>
      </w:pPr>
      <w:r>
        <w:rPr>
          <w:sz w:val="28"/>
          <w:szCs w:val="28"/>
        </w:rPr>
        <w:t>生产污水主要源自储罐清洗（一般为每5年清洗一次）。清洗油罐</w:t>
      </w:r>
      <w:r>
        <w:rPr>
          <w:rFonts w:hint="eastAsia"/>
          <w:sz w:val="28"/>
          <w:szCs w:val="28"/>
          <w:lang w:val="en-US" w:eastAsia="zh-CN"/>
        </w:rPr>
        <w:t>污水</w:t>
      </w:r>
      <w:r>
        <w:rPr>
          <w:rFonts w:hint="eastAsia"/>
          <w:sz w:val="28"/>
          <w:szCs w:val="28"/>
        </w:rPr>
        <w:t>由有资质的单位外运</w:t>
      </w:r>
      <w:r>
        <w:rPr>
          <w:rFonts w:hint="eastAsia"/>
          <w:sz w:val="28"/>
          <w:szCs w:val="28"/>
          <w:lang w:val="en-US" w:eastAsia="zh-CN"/>
        </w:rPr>
        <w:t>至</w:t>
      </w:r>
      <w:r>
        <w:rPr>
          <w:rFonts w:hint="eastAsia"/>
          <w:sz w:val="28"/>
          <w:szCs w:val="28"/>
        </w:rPr>
        <w:t>危废处置单位进行处理，不得直接进入排水管道。</w:t>
      </w:r>
    </w:p>
    <w:p w14:paraId="7B76E1C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sz w:val="28"/>
          <w:szCs w:val="28"/>
        </w:rPr>
      </w:pPr>
      <w:r>
        <w:rPr>
          <w:rFonts w:hint="eastAsia"/>
          <w:sz w:val="28"/>
          <w:szCs w:val="28"/>
        </w:rPr>
        <w:t>站内生活污水经化粪池沉淀后排入市政污水管网。</w:t>
      </w:r>
    </w:p>
    <w:p w14:paraId="733A6A6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sz w:val="28"/>
          <w:szCs w:val="28"/>
        </w:rPr>
      </w:pPr>
      <w:r>
        <w:rPr>
          <w:rFonts w:hint="eastAsia"/>
          <w:sz w:val="28"/>
          <w:szCs w:val="28"/>
        </w:rPr>
        <w:t>罩棚雨水通过新建雨水管道排放到市政雨水系统，地面雨水部分随地形坡度散排至站外，部分排入截水沟，由截水沟排入市政雨水系统。</w:t>
      </w:r>
    </w:p>
    <w:p w14:paraId="2024A400">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19" w:name="_Toc146488841"/>
      <w:bookmarkStart w:id="120" w:name="_Toc25911"/>
      <w:r>
        <w:rPr>
          <w:rFonts w:hint="default" w:ascii="Times New Roman" w:hAnsi="Times New Roman" w:eastAsia="黑体" w:cs="Times New Roman"/>
          <w:b/>
          <w:bCs/>
          <w:color w:val="auto"/>
          <w:sz w:val="28"/>
          <w:szCs w:val="32"/>
          <w:lang w:val="en-US" w:eastAsia="zh-CN"/>
        </w:rPr>
        <w:t>2.6.2供配电</w:t>
      </w:r>
      <w:bookmarkEnd w:id="117"/>
      <w:bookmarkEnd w:id="118"/>
      <w:bookmarkEnd w:id="119"/>
      <w:bookmarkEnd w:id="120"/>
    </w:p>
    <w:p w14:paraId="03B6C0E9">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sz w:val="28"/>
          <w:szCs w:val="28"/>
        </w:rPr>
      </w:pPr>
      <w:r>
        <w:rPr>
          <w:rFonts w:hint="eastAsia"/>
          <w:sz w:val="28"/>
          <w:szCs w:val="28"/>
        </w:rPr>
        <w:t>（1）供电负荷及供电方案</w:t>
      </w:r>
    </w:p>
    <w:p w14:paraId="45AFD3F9">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hint="eastAsia"/>
          <w:sz w:val="28"/>
          <w:szCs w:val="28"/>
        </w:rPr>
      </w:pPr>
      <w:r>
        <w:rPr>
          <w:rFonts w:hint="eastAsia"/>
          <w:sz w:val="28"/>
          <w:szCs w:val="28"/>
        </w:rPr>
        <w:t>供电负荷：该站供电负荷等级为三级。</w:t>
      </w:r>
    </w:p>
    <w:p w14:paraId="0A77A0DD">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hint="default" w:eastAsia="宋体"/>
          <w:sz w:val="28"/>
          <w:szCs w:val="28"/>
          <w:lang w:val="en-US" w:eastAsia="zh-CN"/>
        </w:rPr>
      </w:pPr>
      <w:r>
        <w:rPr>
          <w:rFonts w:hint="eastAsia"/>
          <w:sz w:val="28"/>
          <w:szCs w:val="28"/>
        </w:rPr>
        <w:t>供电方案：由市政供电，采用一路10kV外接电源，设箱式变电站两座，其中</w:t>
      </w:r>
      <w:r>
        <w:rPr>
          <w:rFonts w:hint="eastAsia"/>
          <w:sz w:val="28"/>
          <w:szCs w:val="28"/>
          <w:lang w:val="en-US" w:eastAsia="zh-CN"/>
        </w:rPr>
        <w:t>1#</w:t>
      </w:r>
      <w:r>
        <w:rPr>
          <w:rFonts w:hint="eastAsia"/>
          <w:sz w:val="28"/>
          <w:szCs w:val="28"/>
        </w:rPr>
        <w:t>箱式变压器（</w:t>
      </w:r>
      <w:r>
        <w:rPr>
          <w:rFonts w:hint="eastAsia"/>
          <w:sz w:val="28"/>
          <w:szCs w:val="28"/>
          <w:lang w:val="en-US" w:eastAsia="zh-CN"/>
        </w:rPr>
        <w:t>630</w:t>
      </w:r>
      <w:r>
        <w:rPr>
          <w:rFonts w:hint="eastAsia"/>
          <w:sz w:val="28"/>
          <w:szCs w:val="28"/>
        </w:rPr>
        <w:t>kVA）作为站房、加油、综合楼的电源。另外一台</w:t>
      </w:r>
      <w:r>
        <w:rPr>
          <w:rFonts w:hint="eastAsia"/>
          <w:sz w:val="28"/>
          <w:szCs w:val="28"/>
          <w:lang w:val="en-US" w:eastAsia="zh-CN"/>
        </w:rPr>
        <w:t>2#</w:t>
      </w:r>
      <w:r>
        <w:rPr>
          <w:rFonts w:hint="eastAsia"/>
          <w:sz w:val="28"/>
          <w:szCs w:val="28"/>
        </w:rPr>
        <w:t>箱式变压器（</w:t>
      </w:r>
      <w:r>
        <w:rPr>
          <w:rFonts w:hint="eastAsia"/>
          <w:sz w:val="28"/>
          <w:szCs w:val="28"/>
          <w:lang w:val="en-US" w:eastAsia="zh-CN"/>
        </w:rPr>
        <w:t>500</w:t>
      </w:r>
      <w:r>
        <w:rPr>
          <w:rFonts w:hint="eastAsia"/>
          <w:sz w:val="28"/>
          <w:szCs w:val="28"/>
        </w:rPr>
        <w:t>kVA），作为汽车充电部分的电源，另在</w:t>
      </w:r>
      <w:r>
        <w:rPr>
          <w:rFonts w:hint="eastAsia"/>
          <w:sz w:val="28"/>
          <w:szCs w:val="28"/>
          <w:lang w:val="en-US" w:eastAsia="zh-CN"/>
        </w:rPr>
        <w:t>站内</w:t>
      </w:r>
      <w:r>
        <w:rPr>
          <w:rFonts w:hint="eastAsia"/>
          <w:sz w:val="28"/>
          <w:szCs w:val="28"/>
        </w:rPr>
        <w:t>设置一套光伏发电系统。光伏通过低压400V并网至</w:t>
      </w:r>
      <w:r>
        <w:rPr>
          <w:rFonts w:hint="eastAsia"/>
          <w:sz w:val="28"/>
          <w:szCs w:val="28"/>
          <w:lang w:val="en-US" w:eastAsia="zh-CN"/>
        </w:rPr>
        <w:t>2#</w:t>
      </w:r>
      <w:r>
        <w:rPr>
          <w:rFonts w:hint="eastAsia"/>
          <w:sz w:val="28"/>
          <w:szCs w:val="28"/>
        </w:rPr>
        <w:t>箱式变</w:t>
      </w:r>
      <w:r>
        <w:rPr>
          <w:rFonts w:hint="eastAsia"/>
          <w:sz w:val="28"/>
          <w:szCs w:val="28"/>
          <w:lang w:val="en-US" w:eastAsia="zh-CN"/>
        </w:rPr>
        <w:t>压器</w:t>
      </w:r>
      <w:r>
        <w:rPr>
          <w:rFonts w:hint="eastAsia"/>
          <w:sz w:val="28"/>
          <w:szCs w:val="28"/>
        </w:rPr>
        <w:t>。信息系统采用UPS备用电源供电</w:t>
      </w:r>
      <w:bookmarkStart w:id="121" w:name="_Hlk163988582"/>
      <w:r>
        <w:rPr>
          <w:rFonts w:hint="eastAsia"/>
          <w:sz w:val="28"/>
          <w:szCs w:val="28"/>
          <w:lang w:eastAsia="zh-CN"/>
        </w:rPr>
        <w:t>，</w:t>
      </w:r>
      <w:r>
        <w:rPr>
          <w:rFonts w:hint="eastAsia"/>
          <w:sz w:val="28"/>
          <w:szCs w:val="28"/>
          <w:lang w:val="en-US" w:eastAsia="zh-CN"/>
        </w:rPr>
        <w:t>最低供电时间不少于60min。低压配电系统的保护型式按TN-S系统考虑，接地电阻≤4欧姆。</w:t>
      </w:r>
    </w:p>
    <w:bookmarkEnd w:id="121"/>
    <w:p w14:paraId="5D783AFE">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sz w:val="28"/>
          <w:szCs w:val="28"/>
        </w:rPr>
      </w:pPr>
      <w:r>
        <w:rPr>
          <w:rFonts w:hint="eastAsia"/>
          <w:sz w:val="28"/>
          <w:szCs w:val="28"/>
        </w:rPr>
        <w:t>（2）主要配电设备的选择</w:t>
      </w:r>
    </w:p>
    <w:p w14:paraId="4CA73805">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sz w:val="28"/>
          <w:szCs w:val="28"/>
        </w:rPr>
      </w:pPr>
      <w:r>
        <w:rPr>
          <w:sz w:val="28"/>
          <w:szCs w:val="28"/>
        </w:rPr>
        <w:t>站房、罩棚</w:t>
      </w:r>
      <w:r>
        <w:rPr>
          <w:rFonts w:hint="eastAsia"/>
          <w:sz w:val="28"/>
          <w:szCs w:val="28"/>
        </w:rPr>
        <w:t>和控制室</w:t>
      </w:r>
      <w:r>
        <w:rPr>
          <w:rFonts w:hint="eastAsia"/>
          <w:sz w:val="28"/>
          <w:szCs w:val="28"/>
          <w:lang w:eastAsia="zh-CN"/>
        </w:rPr>
        <w:t>、</w:t>
      </w:r>
      <w:r>
        <w:rPr>
          <w:rFonts w:hint="eastAsia"/>
          <w:sz w:val="28"/>
          <w:szCs w:val="28"/>
          <w:lang w:val="en-US" w:eastAsia="zh-CN"/>
        </w:rPr>
        <w:t>配电室</w:t>
      </w:r>
      <w:r>
        <w:rPr>
          <w:sz w:val="28"/>
          <w:szCs w:val="28"/>
        </w:rPr>
        <w:t>设应急照明灯，应急照明电源采用自带蓄电池，连续供电时间不少于90min。</w:t>
      </w:r>
    </w:p>
    <w:p w14:paraId="11263A48">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sz w:val="28"/>
          <w:szCs w:val="28"/>
        </w:rPr>
      </w:pPr>
      <w:r>
        <w:rPr>
          <w:rFonts w:hint="eastAsia"/>
          <w:sz w:val="28"/>
          <w:szCs w:val="28"/>
        </w:rPr>
        <w:t>罩棚、站房等建构筑物的照明灯具，选用非防爆型，罩棚下的灯具选用防护等级I</w:t>
      </w:r>
      <w:r>
        <w:rPr>
          <w:sz w:val="28"/>
          <w:szCs w:val="28"/>
        </w:rPr>
        <w:t>P44</w:t>
      </w:r>
      <w:r>
        <w:rPr>
          <w:rFonts w:hint="eastAsia"/>
          <w:sz w:val="28"/>
          <w:szCs w:val="28"/>
        </w:rPr>
        <w:t>的节能型照明灯具。</w:t>
      </w:r>
    </w:p>
    <w:p w14:paraId="4ADB6A7B">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eastAsia="宋体"/>
          <w:sz w:val="28"/>
          <w:szCs w:val="28"/>
          <w:highlight w:val="none"/>
          <w:lang w:eastAsia="zh-CN"/>
        </w:rPr>
      </w:pPr>
      <w:bookmarkStart w:id="122" w:name="_Hlk163988683"/>
      <w:r>
        <w:rPr>
          <w:sz w:val="28"/>
          <w:szCs w:val="28"/>
        </w:rPr>
        <w:t>爆炸危险区域内安装的电气设备、仪表选用</w:t>
      </w:r>
      <w:r>
        <w:rPr>
          <w:rFonts w:hint="eastAsia"/>
          <w:sz w:val="28"/>
          <w:szCs w:val="28"/>
        </w:rPr>
        <w:t>符合相应等级的防爆型设备</w:t>
      </w:r>
      <w:r>
        <w:rPr>
          <w:sz w:val="28"/>
          <w:szCs w:val="28"/>
        </w:rPr>
        <w:t>，爆炸危险区域电气设备电缆接线采用防爆挠性管保护，电气线路套管穿过不同区域之间的孔洞采用非燃性材料严密封堵，</w:t>
      </w:r>
      <w:r>
        <w:rPr>
          <w:sz w:val="28"/>
          <w:szCs w:val="28"/>
          <w:lang w:val="zh-CN"/>
        </w:rPr>
        <w:t>在爆炸性气体环境1区、2区内钢管配线的电气线路</w:t>
      </w:r>
      <w:r>
        <w:rPr>
          <w:sz w:val="28"/>
          <w:szCs w:val="28"/>
        </w:rPr>
        <w:t>用</w:t>
      </w:r>
      <w:r>
        <w:rPr>
          <w:rFonts w:hint="eastAsia"/>
          <w:sz w:val="28"/>
          <w:szCs w:val="28"/>
        </w:rPr>
        <w:t>防爆螺栓做</w:t>
      </w:r>
      <w:r>
        <w:rPr>
          <w:sz w:val="28"/>
          <w:szCs w:val="28"/>
          <w:lang w:val="zh-CN"/>
        </w:rPr>
        <w:t>隔离密封</w:t>
      </w:r>
      <w:r>
        <w:rPr>
          <w:sz w:val="28"/>
          <w:szCs w:val="28"/>
        </w:rPr>
        <w:t>。</w:t>
      </w:r>
      <w:r>
        <w:rPr>
          <w:rFonts w:hint="eastAsia"/>
          <w:sz w:val="28"/>
          <w:szCs w:val="28"/>
          <w:highlight w:val="none"/>
        </w:rPr>
        <w:t>电气电缆埋地选用铠装电缆，其它电缆选用聚氯乙烯电缆</w:t>
      </w:r>
      <w:r>
        <w:rPr>
          <w:rFonts w:hint="eastAsia"/>
          <w:sz w:val="28"/>
          <w:szCs w:val="28"/>
          <w:highlight w:val="none"/>
          <w:lang w:eastAsia="zh-CN"/>
        </w:rPr>
        <w:t>。</w:t>
      </w:r>
      <w:r>
        <w:rPr>
          <w:rFonts w:hint="eastAsia"/>
          <w:sz w:val="28"/>
          <w:szCs w:val="28"/>
        </w:rPr>
        <w:t>仪表电缆及导线均采用阻燃型、聚氯乙烯绝缘聚氯乙烯护套，护套颜色采用天兰色；其他回路选用一般控制电缆，护套颜色采用黑色。在1区内应采用铜芯电缆；除本质安全电路外，在2区内宜采用铜芯电缆，当采用铝芯电缆时，其截面不得小于16mm</w:t>
      </w:r>
      <w:r>
        <w:rPr>
          <w:rFonts w:hint="eastAsia"/>
          <w:sz w:val="28"/>
          <w:szCs w:val="28"/>
          <w:vertAlign w:val="superscript"/>
        </w:rPr>
        <w:t>2</w:t>
      </w:r>
      <w:r>
        <w:rPr>
          <w:rFonts w:hint="eastAsia"/>
          <w:sz w:val="28"/>
          <w:szCs w:val="28"/>
        </w:rPr>
        <w:t>，且与电气设备的连接应采用铜-铝过渡接头。</w:t>
      </w:r>
    </w:p>
    <w:bookmarkEnd w:id="122"/>
    <w:p w14:paraId="22D28C61">
      <w:pPr>
        <w:keepNext w:val="0"/>
        <w:keepLines w:val="0"/>
        <w:pageBreakBefore w:val="0"/>
        <w:kinsoku/>
        <w:wordWrap/>
        <w:overflowPunct/>
        <w:topLinePunct w:val="0"/>
        <w:autoSpaceDE/>
        <w:autoSpaceDN/>
        <w:bidi w:val="0"/>
        <w:adjustRightInd w:val="0"/>
        <w:snapToGrid w:val="0"/>
        <w:spacing w:line="360" w:lineRule="auto"/>
        <w:ind w:firstLine="560" w:firstLineChars="200"/>
        <w:jc w:val="left"/>
        <w:textAlignment w:val="auto"/>
        <w:rPr>
          <w:sz w:val="28"/>
          <w:szCs w:val="28"/>
          <w:highlight w:val="none"/>
        </w:rPr>
      </w:pPr>
      <w:r>
        <w:rPr>
          <w:sz w:val="28"/>
          <w:szCs w:val="28"/>
          <w:highlight w:val="none"/>
        </w:rPr>
        <w:t>爆炸</w:t>
      </w:r>
      <w:r>
        <w:rPr>
          <w:rFonts w:hint="eastAsia"/>
          <w:sz w:val="28"/>
          <w:szCs w:val="28"/>
          <w:highlight w:val="none"/>
        </w:rPr>
        <w:t>危险</w:t>
      </w:r>
      <w:r>
        <w:rPr>
          <w:sz w:val="28"/>
          <w:szCs w:val="28"/>
          <w:highlight w:val="none"/>
        </w:rPr>
        <w:t>区域照明灯具选用防爆型灯具，其防爆等级不低于Exd</w:t>
      </w:r>
      <w:r>
        <w:rPr>
          <w:sz w:val="28"/>
          <w:szCs w:val="28"/>
          <w:highlight w:val="none"/>
        </w:rPr>
        <w:fldChar w:fldCharType="begin"/>
      </w:r>
      <w:r>
        <w:rPr>
          <w:sz w:val="28"/>
          <w:szCs w:val="28"/>
          <w:highlight w:val="none"/>
        </w:rPr>
        <w:instrText xml:space="preserve">= 2 \* ROMAN</w:instrText>
      </w:r>
      <w:r>
        <w:rPr>
          <w:sz w:val="28"/>
          <w:szCs w:val="28"/>
          <w:highlight w:val="none"/>
        </w:rPr>
        <w:fldChar w:fldCharType="separate"/>
      </w:r>
      <w:r>
        <w:rPr>
          <w:sz w:val="28"/>
          <w:szCs w:val="28"/>
          <w:highlight w:val="none"/>
        </w:rPr>
        <w:t>II</w:t>
      </w:r>
      <w:r>
        <w:rPr>
          <w:sz w:val="28"/>
          <w:szCs w:val="28"/>
          <w:highlight w:val="none"/>
        </w:rPr>
        <w:fldChar w:fldCharType="end"/>
      </w:r>
      <w:r>
        <w:rPr>
          <w:sz w:val="28"/>
          <w:szCs w:val="28"/>
          <w:highlight w:val="none"/>
        </w:rPr>
        <w:t>BT4级。</w:t>
      </w:r>
    </w:p>
    <w:p w14:paraId="40E1236E">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r>
        <w:rPr>
          <w:rFonts w:hint="default" w:ascii="Times New Roman" w:hAnsi="Times New Roman" w:eastAsia="黑体" w:cs="Times New Roman"/>
          <w:b/>
          <w:bCs/>
          <w:color w:val="auto"/>
          <w:sz w:val="28"/>
          <w:szCs w:val="32"/>
          <w:lang w:val="en-US" w:eastAsia="zh-CN"/>
        </w:rPr>
        <w:t>2.6.3防雷、防静电及接地</w:t>
      </w:r>
    </w:p>
    <w:p w14:paraId="4B44F91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站房其屋面设有避雷带。罩棚为二类防雷构筑物，利用钢结构支柱及基础圈梁内的钢筋作接地极，组成防雷接地系统；埋地油罐区的油罐做防雷接地，埋地油罐和罐内的各金属部件，与非埋地部分的工艺金属管道相互做电气连接并接地。</w:t>
      </w:r>
    </w:p>
    <w:p w14:paraId="71F64DF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防雷接地、防静电接地、电气设备的工作接地、保护接地及信息系统的接地采用共用接地装置，接地电阻不应大于4Ω。</w:t>
      </w:r>
    </w:p>
    <w:p w14:paraId="11EB71D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装有阻火器的通气管与接地装置可靠连接；卸油场地设有卸车静电接地报警器和本安型人体导除静电装置。</w:t>
      </w:r>
    </w:p>
    <w:p w14:paraId="0244238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对金属管道的法兰等的连接处采取导线跨接；在供配电系统的电源端安装与设备耐压水平相适应的过电压（电涌）保护器。</w:t>
      </w:r>
    </w:p>
    <w:p w14:paraId="0957D09A">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23" w:name="_Toc3054"/>
      <w:bookmarkStart w:id="124" w:name="_Toc146488842"/>
      <w:r>
        <w:rPr>
          <w:rFonts w:hint="default" w:ascii="Times New Roman" w:hAnsi="Times New Roman" w:eastAsia="黑体" w:cs="Times New Roman"/>
          <w:b/>
          <w:bCs/>
          <w:color w:val="auto"/>
          <w:sz w:val="28"/>
          <w:szCs w:val="32"/>
          <w:lang w:val="en-US" w:eastAsia="zh-CN"/>
        </w:rPr>
        <w:t>2.6.4采暖</w:t>
      </w:r>
      <w:bookmarkEnd w:id="123"/>
      <w:bookmarkEnd w:id="124"/>
    </w:p>
    <w:p w14:paraId="73BA1DC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zh-CN"/>
        </w:rPr>
      </w:pPr>
      <w:r>
        <w:rPr>
          <w:rFonts w:hint="eastAsia"/>
          <w:sz w:val="28"/>
          <w:szCs w:val="28"/>
          <w:lang w:val="zh-CN"/>
        </w:rPr>
        <w:t>冬季采暖依托市政供暖。</w:t>
      </w:r>
    </w:p>
    <w:p w14:paraId="0BE3FA8F">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25" w:name="_Toc41246679"/>
      <w:bookmarkStart w:id="126" w:name="_Toc22351"/>
      <w:bookmarkStart w:id="127" w:name="_Toc146488843"/>
      <w:bookmarkStart w:id="128" w:name="_Toc18853"/>
      <w:r>
        <w:rPr>
          <w:rFonts w:hint="default" w:ascii="Times New Roman" w:hAnsi="Times New Roman" w:eastAsia="黑体" w:cs="Times New Roman"/>
          <w:b/>
          <w:bCs/>
          <w:color w:val="auto"/>
          <w:sz w:val="28"/>
          <w:szCs w:val="32"/>
          <w:lang w:val="en-US" w:eastAsia="zh-CN"/>
        </w:rPr>
        <w:t>2.6.</w:t>
      </w:r>
      <w:bookmarkEnd w:id="125"/>
      <w:bookmarkEnd w:id="126"/>
      <w:r>
        <w:rPr>
          <w:rFonts w:hint="eastAsia" w:eastAsia="黑体" w:cs="Times New Roman"/>
          <w:b/>
          <w:bCs/>
          <w:color w:val="auto"/>
          <w:sz w:val="28"/>
          <w:szCs w:val="32"/>
          <w:lang w:val="en-US" w:eastAsia="zh-CN"/>
        </w:rPr>
        <w:t>5</w:t>
      </w:r>
      <w:r>
        <w:rPr>
          <w:rFonts w:hint="default" w:ascii="Times New Roman" w:hAnsi="Times New Roman" w:eastAsia="黑体" w:cs="Times New Roman"/>
          <w:b/>
          <w:bCs/>
          <w:color w:val="auto"/>
          <w:sz w:val="28"/>
          <w:szCs w:val="32"/>
          <w:lang w:val="en-US" w:eastAsia="zh-CN"/>
        </w:rPr>
        <w:t>自动控制</w:t>
      </w:r>
      <w:bookmarkEnd w:id="127"/>
      <w:bookmarkEnd w:id="128"/>
    </w:p>
    <w:p w14:paraId="293CF3E7">
      <w:pPr>
        <w:pStyle w:val="5"/>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default" w:ascii="Times New Roman" w:hAnsi="Times New Roman" w:cs="Times New Roman"/>
          <w:lang w:eastAsia="zh-CN"/>
        </w:rPr>
      </w:pPr>
      <w:bookmarkStart w:id="129" w:name="_Toc31981"/>
      <w:bookmarkStart w:id="130" w:name="_Toc30140"/>
      <w:bookmarkStart w:id="131" w:name="_Toc146488844"/>
      <w:bookmarkStart w:id="132" w:name="_Toc24728"/>
      <w:bookmarkStart w:id="133" w:name="_Toc41246682"/>
      <w:r>
        <w:rPr>
          <w:rFonts w:hint="default" w:ascii="Times New Roman" w:hAnsi="Times New Roman" w:cs="Times New Roman"/>
        </w:rPr>
        <w:t>站内设置监测及信息管理系统。包括油罐液位监测系统、防渗检测系统、视频监控系统和紧急切断装置。</w:t>
      </w:r>
      <w:bookmarkEnd w:id="129"/>
      <w:bookmarkStart w:id="134" w:name="_Toc41246680"/>
      <w:bookmarkStart w:id="135" w:name="_Toc32440"/>
    </w:p>
    <w:p w14:paraId="0F8CC73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kern w:val="0"/>
          <w:sz w:val="28"/>
          <w:szCs w:val="28"/>
          <w:lang w:val="en-US" w:eastAsia="zh-CN" w:bidi="ar-SA"/>
        </w:rPr>
      </w:pPr>
      <w:r>
        <w:rPr>
          <w:rFonts w:hint="default" w:ascii="Times New Roman" w:hAnsi="Times New Roman" w:eastAsia="宋体" w:cs="Times New Roman"/>
          <w:bCs/>
          <w:kern w:val="0"/>
          <w:sz w:val="28"/>
          <w:szCs w:val="28"/>
          <w:lang w:val="en-US" w:eastAsia="zh-CN" w:bidi="ar-SA"/>
        </w:rPr>
        <w:t>（1）液位监测系统</w:t>
      </w:r>
    </w:p>
    <w:p w14:paraId="39B198E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kern w:val="0"/>
          <w:sz w:val="28"/>
          <w:szCs w:val="28"/>
          <w:lang w:val="en-US" w:eastAsia="zh-CN" w:bidi="ar-SA"/>
        </w:rPr>
      </w:pPr>
      <w:r>
        <w:rPr>
          <w:rFonts w:hint="default" w:ascii="Times New Roman" w:hAnsi="Times New Roman" w:eastAsia="宋体" w:cs="Times New Roman"/>
          <w:bCs/>
          <w:kern w:val="0"/>
          <w:sz w:val="28"/>
          <w:szCs w:val="28"/>
          <w:lang w:val="en-US" w:eastAsia="zh-CN" w:bidi="ar-SA"/>
        </w:rPr>
        <w:t>油罐液位显示报警系统由磁致伸缩液位计、液位监控仪、声光报警器等组成，设置磁致伸缩液位计，分别安装在油罐区的储油罐上，磁致伸缩液位计上传的数据在液位监控界面进行连续监视以及</w:t>
      </w:r>
      <w:r>
        <w:rPr>
          <w:rFonts w:hint="default" w:ascii="Times New Roman" w:hAnsi="Times New Roman" w:eastAsia="宋体" w:cs="Times New Roman"/>
          <w:bCs/>
          <w:color w:val="000000" w:themeColor="text1"/>
          <w:kern w:val="0"/>
          <w:sz w:val="28"/>
          <w:szCs w:val="28"/>
          <w:lang w:val="en-US" w:eastAsia="zh-CN" w:bidi="ar-SA"/>
          <w14:textFill>
            <w14:solidFill>
              <w14:schemeClr w14:val="tx1"/>
            </w14:solidFill>
          </w14:textFill>
        </w:rPr>
        <w:t>超限集中</w:t>
      </w:r>
      <w:r>
        <w:rPr>
          <w:rFonts w:hint="default" w:ascii="Times New Roman" w:hAnsi="Times New Roman" w:eastAsia="宋体" w:cs="Times New Roman"/>
          <w:bCs/>
          <w:color w:val="000000" w:themeColor="text1"/>
          <w:kern w:val="0"/>
          <w:sz w:val="28"/>
          <w:szCs w:val="28"/>
          <w:highlight w:val="none"/>
          <w:lang w:val="en-US" w:eastAsia="zh-CN" w:bidi="ar-SA"/>
          <w14:textFill>
            <w14:solidFill>
              <w14:schemeClr w14:val="tx1"/>
            </w14:solidFill>
          </w14:textFill>
        </w:rPr>
        <w:t>报警</w:t>
      </w:r>
      <w:r>
        <w:rPr>
          <w:rFonts w:hint="eastAsia" w:cs="Times New Roman"/>
          <w:bCs/>
          <w:color w:val="000000" w:themeColor="text1"/>
          <w:kern w:val="0"/>
          <w:sz w:val="28"/>
          <w:szCs w:val="28"/>
          <w:highlight w:val="none"/>
          <w:lang w:val="en-US" w:eastAsia="zh-CN" w:bidi="ar-SA"/>
          <w14:textFill>
            <w14:solidFill>
              <w14:schemeClr w14:val="tx1"/>
            </w14:solidFill>
          </w14:textFill>
        </w:rPr>
        <w:t>（</w:t>
      </w:r>
      <w:r>
        <w:rPr>
          <w:rFonts w:hint="default" w:ascii="Times New Roman" w:hAnsi="Times New Roman" w:eastAsia="宋体" w:cs="Times New Roman"/>
          <w:bCs/>
          <w:color w:val="000000" w:themeColor="text1"/>
          <w:kern w:val="0"/>
          <w:sz w:val="28"/>
          <w:szCs w:val="28"/>
          <w:highlight w:val="none"/>
          <w:lang w:val="en-US" w:eastAsia="zh-CN" w:bidi="ar-SA"/>
          <w14:textFill>
            <w14:solidFill>
              <w14:schemeClr w14:val="tx1"/>
            </w14:solidFill>
          </w14:textFill>
        </w:rPr>
        <w:t>双层油罐设带有高低液位报警功能的液位监测系统，每座油罐</w:t>
      </w:r>
      <w:r>
        <w:rPr>
          <w:rFonts w:hint="eastAsia" w:cs="Times New Roman"/>
          <w:bCs/>
          <w:color w:val="000000" w:themeColor="text1"/>
          <w:kern w:val="0"/>
          <w:sz w:val="28"/>
          <w:szCs w:val="28"/>
          <w:highlight w:val="none"/>
          <w:lang w:val="en-US" w:eastAsia="zh-CN" w:bidi="ar-SA"/>
          <w14:textFill>
            <w14:solidFill>
              <w14:schemeClr w14:val="tx1"/>
            </w14:solidFill>
          </w14:textFill>
        </w:rPr>
        <w:t>拟</w:t>
      </w:r>
      <w:r>
        <w:rPr>
          <w:rFonts w:hint="default" w:ascii="Times New Roman" w:hAnsi="Times New Roman" w:eastAsia="宋体" w:cs="Times New Roman"/>
          <w:bCs/>
          <w:color w:val="000000" w:themeColor="text1"/>
          <w:kern w:val="0"/>
          <w:sz w:val="28"/>
          <w:szCs w:val="28"/>
          <w:highlight w:val="none"/>
          <w:lang w:val="en-US" w:eastAsia="zh-CN" w:bidi="ar-SA"/>
          <w14:textFill>
            <w14:solidFill>
              <w14:schemeClr w14:val="tx1"/>
            </w14:solidFill>
          </w14:textFill>
        </w:rPr>
        <w:t>设置一个液位检测传感器，油料达到油罐容量90％时，能触动高液位报警装置报警并停止卸油作业；油料达到油罐容量95％时，能自动停止油料继续进罐</w:t>
      </w:r>
      <w:r>
        <w:rPr>
          <w:rFonts w:hint="eastAsia" w:cs="Times New Roman"/>
          <w:bCs/>
          <w:color w:val="000000" w:themeColor="text1"/>
          <w:kern w:val="0"/>
          <w:sz w:val="28"/>
          <w:szCs w:val="28"/>
          <w:highlight w:val="none"/>
          <w:lang w:val="en-US" w:eastAsia="zh-CN" w:bidi="ar-SA"/>
          <w14:textFill>
            <w14:solidFill>
              <w14:schemeClr w14:val="tx1"/>
            </w14:solidFill>
          </w14:textFill>
        </w:rPr>
        <w:t>）</w:t>
      </w:r>
      <w:r>
        <w:rPr>
          <w:rFonts w:hint="default" w:ascii="Times New Roman" w:hAnsi="Times New Roman" w:eastAsia="宋体" w:cs="Times New Roman"/>
          <w:bCs/>
          <w:color w:val="000000" w:themeColor="text1"/>
          <w:kern w:val="0"/>
          <w:sz w:val="28"/>
          <w:szCs w:val="28"/>
          <w:highlight w:val="none"/>
          <w:lang w:val="en-US" w:eastAsia="zh-CN" w:bidi="ar-SA"/>
          <w14:textFill>
            <w14:solidFill>
              <w14:schemeClr w14:val="tx1"/>
            </w14:solidFill>
          </w14:textFill>
        </w:rPr>
        <w:t>；双层油罐设置</w:t>
      </w:r>
      <w:r>
        <w:rPr>
          <w:rFonts w:hint="default" w:ascii="Times New Roman" w:hAnsi="Times New Roman" w:eastAsia="宋体" w:cs="Times New Roman"/>
          <w:bCs/>
          <w:color w:val="000000" w:themeColor="text1"/>
          <w:kern w:val="0"/>
          <w:sz w:val="28"/>
          <w:szCs w:val="28"/>
          <w:lang w:val="en-US" w:eastAsia="zh-CN" w:bidi="ar-SA"/>
          <w14:textFill>
            <w14:solidFill>
              <w14:schemeClr w14:val="tx1"/>
            </w14:solidFill>
          </w14:textFill>
        </w:rPr>
        <w:t>渗漏检测立管，并设置在线监测系统，保证油罐内、外壁任何部</w:t>
      </w:r>
      <w:r>
        <w:rPr>
          <w:rFonts w:hint="default" w:ascii="Times New Roman" w:hAnsi="Times New Roman" w:eastAsia="宋体" w:cs="Times New Roman"/>
          <w:bCs/>
          <w:kern w:val="0"/>
          <w:sz w:val="28"/>
          <w:szCs w:val="28"/>
          <w:lang w:val="en-US" w:eastAsia="zh-CN" w:bidi="ar-SA"/>
        </w:rPr>
        <w:t>位出现渗漏均能被发现。双层管道系统的最低点设置检漏点，并设置在线检测系统，保证内、外层管任何部位出现泄漏均能在检漏点处被发现。</w:t>
      </w:r>
    </w:p>
    <w:p w14:paraId="45D0D09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kern w:val="0"/>
          <w:sz w:val="28"/>
          <w:szCs w:val="28"/>
          <w:lang w:val="en-US" w:eastAsia="zh-CN" w:bidi="ar-SA"/>
        </w:rPr>
      </w:pPr>
      <w:r>
        <w:rPr>
          <w:rFonts w:hint="default" w:ascii="Times New Roman" w:hAnsi="Times New Roman" w:eastAsia="宋体" w:cs="Times New Roman"/>
          <w:bCs/>
          <w:kern w:val="0"/>
          <w:sz w:val="28"/>
          <w:szCs w:val="28"/>
          <w:lang w:val="en-US" w:eastAsia="zh-CN" w:bidi="ar-SA"/>
        </w:rPr>
        <w:t>（2）防渗检测系统</w:t>
      </w:r>
    </w:p>
    <w:p w14:paraId="5FBE068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kern w:val="0"/>
          <w:sz w:val="28"/>
          <w:szCs w:val="28"/>
          <w:lang w:val="en-US" w:eastAsia="zh-CN" w:bidi="ar-SA"/>
        </w:rPr>
      </w:pPr>
      <w:r>
        <w:rPr>
          <w:rFonts w:hint="default" w:ascii="Times New Roman" w:hAnsi="Times New Roman" w:eastAsia="宋体" w:cs="Times New Roman"/>
          <w:bCs/>
          <w:kern w:val="0"/>
          <w:sz w:val="28"/>
          <w:szCs w:val="28"/>
          <w:lang w:val="en-US" w:eastAsia="zh-CN" w:bidi="ar-SA"/>
        </w:rPr>
        <w:t>油罐和双层管道分别设有油气渗漏检测报警装置。</w:t>
      </w:r>
    </w:p>
    <w:p w14:paraId="690B9EC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kern w:val="0"/>
          <w:sz w:val="28"/>
          <w:szCs w:val="28"/>
          <w:lang w:val="en-US" w:eastAsia="zh-CN" w:bidi="ar-SA"/>
        </w:rPr>
      </w:pPr>
      <w:r>
        <w:rPr>
          <w:rFonts w:hint="default" w:ascii="Times New Roman" w:hAnsi="Times New Roman" w:eastAsia="宋体" w:cs="Times New Roman"/>
          <w:bCs/>
          <w:kern w:val="0"/>
          <w:sz w:val="28"/>
          <w:szCs w:val="28"/>
          <w:lang w:val="en-US" w:eastAsia="zh-CN" w:bidi="ar-SA"/>
        </w:rPr>
        <w:t>双层油罐设置渗漏检测立管，并设置在线监测系统，保证油罐内、外壁任何部位出现渗漏均能被发现。双层管道系统的最低点设置检漏点，并设置在线检测系统，保证内、外层管任何部位出现泄漏均能在检漏点处被发现。</w:t>
      </w:r>
    </w:p>
    <w:p w14:paraId="6BFB9B4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kern w:val="0"/>
          <w:sz w:val="28"/>
          <w:szCs w:val="28"/>
          <w:lang w:val="en-US" w:eastAsia="zh-CN" w:bidi="ar-SA"/>
        </w:rPr>
      </w:pPr>
      <w:r>
        <w:rPr>
          <w:rFonts w:hint="default" w:ascii="Times New Roman" w:hAnsi="Times New Roman" w:eastAsia="宋体" w:cs="Times New Roman"/>
          <w:bCs/>
          <w:kern w:val="0"/>
          <w:sz w:val="28"/>
          <w:szCs w:val="28"/>
          <w:lang w:val="en-US" w:eastAsia="zh-CN" w:bidi="ar-SA"/>
        </w:rPr>
        <w:t>双层管道泄漏检测系统由泄漏检测仪、泄漏探测器和集液罐组成，完成对双层管道的泄漏检测。泄漏探测器、集液罐安装在输油管道最低点处，泄漏检测仪设置在站房控制室内。泄漏检测仪具有RS-485通讯接口、声光报警、消音、故障自诊断等功能。</w:t>
      </w:r>
    </w:p>
    <w:p w14:paraId="5A4F532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kern w:val="0"/>
          <w:sz w:val="28"/>
          <w:szCs w:val="28"/>
          <w:lang w:val="en-US" w:eastAsia="zh-CN" w:bidi="ar-SA"/>
        </w:rPr>
      </w:pPr>
      <w:r>
        <w:rPr>
          <w:rFonts w:hint="default" w:ascii="Times New Roman" w:hAnsi="Times New Roman" w:eastAsia="宋体" w:cs="Times New Roman"/>
          <w:bCs/>
          <w:kern w:val="0"/>
          <w:sz w:val="28"/>
          <w:szCs w:val="28"/>
          <w:lang w:val="en-US" w:eastAsia="zh-CN" w:bidi="ar-SA"/>
        </w:rPr>
        <w:t>（3）视频监控系统</w:t>
      </w:r>
    </w:p>
    <w:p w14:paraId="614962E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kern w:val="0"/>
          <w:sz w:val="28"/>
          <w:szCs w:val="28"/>
          <w:lang w:val="en-US" w:eastAsia="zh-CN" w:bidi="ar-SA"/>
        </w:rPr>
      </w:pPr>
      <w:r>
        <w:rPr>
          <w:rFonts w:hint="default" w:ascii="Times New Roman" w:hAnsi="Times New Roman" w:eastAsia="宋体" w:cs="Times New Roman"/>
          <w:bCs/>
          <w:kern w:val="0"/>
          <w:sz w:val="28"/>
          <w:szCs w:val="28"/>
          <w:lang w:val="en-US" w:eastAsia="zh-CN" w:bidi="ar-SA"/>
        </w:rPr>
        <w:t>该站</w:t>
      </w:r>
      <w:r>
        <w:rPr>
          <w:rFonts w:hint="eastAsia" w:cs="Times New Roman"/>
          <w:bCs/>
          <w:kern w:val="0"/>
          <w:sz w:val="28"/>
          <w:szCs w:val="28"/>
          <w:lang w:val="en-US" w:eastAsia="zh-CN" w:bidi="ar-SA"/>
        </w:rPr>
        <w:t>拟设</w:t>
      </w:r>
      <w:r>
        <w:rPr>
          <w:rFonts w:hint="default" w:ascii="Times New Roman" w:hAnsi="Times New Roman" w:eastAsia="宋体" w:cs="Times New Roman"/>
          <w:bCs/>
          <w:kern w:val="0"/>
          <w:sz w:val="28"/>
          <w:szCs w:val="28"/>
          <w:lang w:val="en-US" w:eastAsia="zh-CN" w:bidi="ar-SA"/>
        </w:rPr>
        <w:t>视频监控系统，设有监控摄像头</w:t>
      </w:r>
      <w:r>
        <w:rPr>
          <w:rFonts w:hint="eastAsia" w:cs="Times New Roman"/>
          <w:bCs/>
          <w:kern w:val="0"/>
          <w:sz w:val="28"/>
          <w:szCs w:val="28"/>
          <w:lang w:val="en-US" w:eastAsia="zh-CN" w:bidi="ar-SA"/>
        </w:rPr>
        <w:t>24</w:t>
      </w:r>
      <w:r>
        <w:rPr>
          <w:rFonts w:hint="default" w:ascii="Times New Roman" w:hAnsi="Times New Roman" w:eastAsia="宋体" w:cs="Times New Roman"/>
          <w:bCs/>
          <w:kern w:val="0"/>
          <w:sz w:val="28"/>
          <w:szCs w:val="28"/>
          <w:lang w:val="en-US" w:eastAsia="zh-CN" w:bidi="ar-SA"/>
        </w:rPr>
        <w:t>个</w:t>
      </w:r>
      <w:r>
        <w:rPr>
          <w:rFonts w:hint="eastAsia" w:cs="Times New Roman"/>
          <w:bCs/>
          <w:kern w:val="0"/>
          <w:sz w:val="28"/>
          <w:szCs w:val="28"/>
          <w:lang w:val="en-US" w:eastAsia="zh-CN" w:bidi="ar-SA"/>
        </w:rPr>
        <w:t>，</w:t>
      </w:r>
      <w:r>
        <w:rPr>
          <w:rFonts w:hint="default" w:ascii="Times New Roman" w:hAnsi="Times New Roman" w:eastAsia="宋体" w:cs="Times New Roman"/>
          <w:bCs/>
          <w:kern w:val="0"/>
          <w:sz w:val="28"/>
          <w:szCs w:val="28"/>
          <w:lang w:val="en-US" w:eastAsia="zh-CN" w:bidi="ar-SA"/>
        </w:rPr>
        <w:t>实现对卸油区、加油区、站房</w:t>
      </w:r>
      <w:r>
        <w:rPr>
          <w:rFonts w:hint="eastAsia" w:cs="Times New Roman"/>
          <w:bCs/>
          <w:kern w:val="0"/>
          <w:sz w:val="28"/>
          <w:szCs w:val="28"/>
          <w:lang w:val="en-US" w:eastAsia="zh-CN" w:bidi="ar-SA"/>
        </w:rPr>
        <w:t>、充电区</w:t>
      </w:r>
      <w:r>
        <w:rPr>
          <w:rFonts w:hint="default" w:ascii="Times New Roman" w:hAnsi="Times New Roman" w:eastAsia="宋体" w:cs="Times New Roman"/>
          <w:bCs/>
          <w:kern w:val="0"/>
          <w:sz w:val="28"/>
          <w:szCs w:val="28"/>
          <w:lang w:val="en-US" w:eastAsia="zh-CN" w:bidi="ar-SA"/>
        </w:rPr>
        <w:t>的全天候全方位的动态监视。视频监控系统电源引自UPS不间断电源</w:t>
      </w:r>
      <w:r>
        <w:rPr>
          <w:rFonts w:hint="eastAsia" w:cs="Times New Roman"/>
          <w:bCs/>
          <w:kern w:val="0"/>
          <w:sz w:val="28"/>
          <w:szCs w:val="28"/>
          <w:lang w:val="en-US" w:eastAsia="zh-CN" w:bidi="ar-SA"/>
        </w:rPr>
        <w:t>，</w:t>
      </w:r>
      <w:r>
        <w:rPr>
          <w:rFonts w:hint="default" w:ascii="Times New Roman" w:hAnsi="Times New Roman" w:eastAsia="宋体" w:cs="Times New Roman"/>
          <w:bCs/>
          <w:kern w:val="0"/>
          <w:sz w:val="28"/>
          <w:szCs w:val="28"/>
          <w:lang w:val="en-US" w:eastAsia="zh-CN" w:bidi="ar-SA"/>
        </w:rPr>
        <w:t>录像存储时间不少于</w:t>
      </w:r>
      <w:r>
        <w:rPr>
          <w:rFonts w:hint="eastAsia" w:cs="Times New Roman"/>
          <w:bCs/>
          <w:kern w:val="0"/>
          <w:sz w:val="28"/>
          <w:szCs w:val="28"/>
          <w:lang w:val="en-US" w:eastAsia="zh-CN" w:bidi="ar-SA"/>
        </w:rPr>
        <w:t>9</w:t>
      </w:r>
      <w:r>
        <w:rPr>
          <w:rFonts w:hint="default" w:ascii="Times New Roman" w:hAnsi="Times New Roman" w:eastAsia="宋体" w:cs="Times New Roman"/>
          <w:bCs/>
          <w:kern w:val="0"/>
          <w:sz w:val="28"/>
          <w:szCs w:val="28"/>
          <w:lang w:val="en-US" w:eastAsia="zh-CN" w:bidi="ar-SA"/>
        </w:rPr>
        <w:t>0天。</w:t>
      </w:r>
    </w:p>
    <w:p w14:paraId="047E9A3E">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560" w:firstLineChars="200"/>
        <w:textAlignment w:val="auto"/>
        <w:rPr>
          <w:rFonts w:hint="eastAsia" w:cs="Times New Roman"/>
          <w:bCs/>
          <w:kern w:val="0"/>
          <w:sz w:val="28"/>
          <w:szCs w:val="28"/>
          <w:lang w:val="en-US" w:eastAsia="zh-CN" w:bidi="ar-SA"/>
        </w:rPr>
      </w:pPr>
      <w:r>
        <w:rPr>
          <w:rFonts w:hint="eastAsia" w:cs="Times New Roman"/>
          <w:bCs/>
          <w:kern w:val="0"/>
          <w:sz w:val="28"/>
          <w:szCs w:val="28"/>
          <w:lang w:val="en-US" w:eastAsia="zh-CN" w:bidi="ar-SA"/>
        </w:rPr>
        <w:t>紧急切断系统</w:t>
      </w:r>
    </w:p>
    <w:p w14:paraId="26AF460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rPr>
          <w:rFonts w:hint="default" w:cs="Times New Roman"/>
          <w:bCs/>
          <w:kern w:val="0"/>
          <w:sz w:val="28"/>
          <w:szCs w:val="28"/>
          <w:lang w:val="en-US" w:eastAsia="zh-CN" w:bidi="ar-SA"/>
        </w:rPr>
      </w:pPr>
      <w:r>
        <w:rPr>
          <w:rFonts w:hint="default" w:cs="Times New Roman"/>
          <w:bCs/>
          <w:kern w:val="0"/>
          <w:sz w:val="28"/>
          <w:szCs w:val="28"/>
          <w:lang w:val="en-US" w:eastAsia="zh-CN" w:bidi="ar-SA"/>
        </w:rPr>
        <w:t>该系统在事故状态下实现紧急停车和关闭紧急切断阀的保护功能，紧急切断系统只能手动复位。拟在罩棚立柱、营业室</w:t>
      </w:r>
      <w:r>
        <w:rPr>
          <w:rFonts w:hint="eastAsia" w:cs="Times New Roman"/>
          <w:bCs/>
          <w:kern w:val="0"/>
          <w:sz w:val="28"/>
          <w:szCs w:val="28"/>
          <w:lang w:val="en-US" w:eastAsia="zh-CN" w:bidi="ar-SA"/>
        </w:rPr>
        <w:t>、充电区附近</w:t>
      </w:r>
      <w:r>
        <w:rPr>
          <w:rFonts w:hint="default" w:cs="Times New Roman"/>
          <w:bCs/>
          <w:kern w:val="0"/>
          <w:sz w:val="28"/>
          <w:szCs w:val="28"/>
          <w:lang w:val="en-US" w:eastAsia="zh-CN" w:bidi="ar-SA"/>
        </w:rPr>
        <w:t>等有人员值守的位置设置紧急切断按钮。</w:t>
      </w:r>
    </w:p>
    <w:p w14:paraId="2A73C9D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rPr>
          <w:rFonts w:hint="default" w:cs="Times New Roman"/>
          <w:bCs/>
          <w:kern w:val="0"/>
          <w:sz w:val="28"/>
          <w:szCs w:val="28"/>
          <w:lang w:val="en-US" w:eastAsia="zh-CN" w:bidi="ar-SA"/>
        </w:rPr>
      </w:pPr>
      <w:r>
        <w:rPr>
          <w:rFonts w:hint="default" w:cs="Times New Roman"/>
          <w:bCs/>
          <w:kern w:val="0"/>
          <w:sz w:val="28"/>
          <w:szCs w:val="28"/>
          <w:lang w:val="en-US" w:eastAsia="zh-CN" w:bidi="ar-SA"/>
        </w:rPr>
        <w:t>（5）可燃气体报警系统</w:t>
      </w:r>
    </w:p>
    <w:p w14:paraId="508BDC8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rPr>
          <w:rFonts w:hint="default" w:cs="Times New Roman"/>
          <w:bCs/>
          <w:kern w:val="0"/>
          <w:sz w:val="28"/>
          <w:szCs w:val="28"/>
          <w:lang w:val="en-US" w:eastAsia="zh-CN" w:bidi="ar-SA"/>
        </w:rPr>
      </w:pPr>
      <w:r>
        <w:rPr>
          <w:rFonts w:hint="eastAsia" w:cs="Times New Roman"/>
          <w:bCs/>
          <w:kern w:val="0"/>
          <w:sz w:val="28"/>
          <w:szCs w:val="28"/>
          <w:lang w:val="en-US" w:eastAsia="zh-CN" w:bidi="ar-SA"/>
        </w:rPr>
        <w:t>本项目拟设置4台</w:t>
      </w:r>
      <w:r>
        <w:rPr>
          <w:rFonts w:hint="default" w:cs="Times New Roman"/>
          <w:bCs/>
          <w:kern w:val="0"/>
          <w:sz w:val="28"/>
          <w:szCs w:val="28"/>
          <w:lang w:val="en-US" w:eastAsia="zh-CN" w:bidi="ar-SA"/>
        </w:rPr>
        <w:t>可燃气体浓度报警</w:t>
      </w:r>
      <w:r>
        <w:rPr>
          <w:rFonts w:hint="eastAsia" w:cs="Times New Roman"/>
          <w:bCs/>
          <w:kern w:val="0"/>
          <w:sz w:val="28"/>
          <w:szCs w:val="28"/>
          <w:lang w:val="en-US" w:eastAsia="zh-CN" w:bidi="ar-SA"/>
        </w:rPr>
        <w:t>器，</w:t>
      </w:r>
      <w:r>
        <w:rPr>
          <w:rFonts w:hint="default" w:cs="Times New Roman"/>
          <w:bCs/>
          <w:kern w:val="0"/>
          <w:sz w:val="28"/>
          <w:szCs w:val="28"/>
          <w:lang w:val="en-US" w:eastAsia="zh-CN" w:bidi="ar-SA"/>
        </w:rPr>
        <w:t>安装在加油机地面上方0.3-0.6m处</w:t>
      </w:r>
      <w:r>
        <w:rPr>
          <w:rFonts w:hint="eastAsia" w:cs="Times New Roman"/>
          <w:bCs/>
          <w:kern w:val="0"/>
          <w:sz w:val="28"/>
          <w:szCs w:val="28"/>
          <w:lang w:val="en-US" w:eastAsia="zh-CN" w:bidi="ar-SA"/>
        </w:rPr>
        <w:t>，</w:t>
      </w:r>
      <w:r>
        <w:rPr>
          <w:rFonts w:hint="default" w:cs="Times New Roman"/>
          <w:bCs/>
          <w:kern w:val="0"/>
          <w:sz w:val="28"/>
          <w:szCs w:val="28"/>
          <w:lang w:val="en-US" w:eastAsia="zh-CN" w:bidi="ar-SA"/>
        </w:rPr>
        <w:t>报警信号引至</w:t>
      </w:r>
      <w:r>
        <w:rPr>
          <w:rFonts w:hint="eastAsia" w:cs="Times New Roman"/>
          <w:bCs/>
          <w:kern w:val="0"/>
          <w:sz w:val="28"/>
          <w:szCs w:val="28"/>
          <w:lang w:val="en-US" w:eastAsia="zh-CN" w:bidi="ar-SA"/>
        </w:rPr>
        <w:t>站房</w:t>
      </w:r>
      <w:r>
        <w:rPr>
          <w:rFonts w:hint="default" w:cs="Times New Roman"/>
          <w:bCs/>
          <w:kern w:val="0"/>
          <w:sz w:val="28"/>
          <w:szCs w:val="28"/>
          <w:lang w:val="en-US" w:eastAsia="zh-CN" w:bidi="ar-SA"/>
        </w:rPr>
        <w:t>内，当现场报警器报警时，应立即停止使用手机和停止加油相关作业，并按应急预案进行应急处置</w:t>
      </w:r>
      <w:r>
        <w:rPr>
          <w:rFonts w:hint="eastAsia" w:cs="Times New Roman"/>
          <w:bCs/>
          <w:kern w:val="0"/>
          <w:sz w:val="28"/>
          <w:szCs w:val="28"/>
          <w:lang w:val="en-US" w:eastAsia="zh-CN" w:bidi="ar-SA"/>
        </w:rPr>
        <w:t>。</w:t>
      </w:r>
    </w:p>
    <w:p w14:paraId="0DE165D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rPr>
          <w:rFonts w:hint="default" w:cs="Times New Roman"/>
          <w:bCs/>
          <w:kern w:val="0"/>
          <w:sz w:val="28"/>
          <w:szCs w:val="28"/>
          <w:lang w:val="en-US" w:eastAsia="zh-CN" w:bidi="ar-SA"/>
        </w:rPr>
      </w:pPr>
      <w:r>
        <w:rPr>
          <w:rFonts w:hint="default" w:cs="Times New Roman"/>
          <w:bCs/>
          <w:kern w:val="0"/>
          <w:sz w:val="28"/>
          <w:szCs w:val="28"/>
          <w:lang w:val="en-US" w:eastAsia="zh-CN" w:bidi="ar-SA"/>
        </w:rPr>
        <w:t>可燃气体的检测报警分为两级，可燃气体的一级报警设定值小于或等于25%LEL</w:t>
      </w:r>
      <w:r>
        <w:rPr>
          <w:rFonts w:hint="eastAsia" w:cs="Times New Roman"/>
          <w:bCs/>
          <w:kern w:val="0"/>
          <w:sz w:val="28"/>
          <w:szCs w:val="28"/>
          <w:lang w:val="en-US" w:eastAsia="zh-CN" w:bidi="ar-SA"/>
        </w:rPr>
        <w:t>，</w:t>
      </w:r>
      <w:r>
        <w:rPr>
          <w:rFonts w:hint="default" w:cs="Times New Roman"/>
          <w:bCs/>
          <w:kern w:val="0"/>
          <w:sz w:val="28"/>
          <w:szCs w:val="28"/>
          <w:lang w:val="en-US" w:eastAsia="zh-CN" w:bidi="ar-SA"/>
        </w:rPr>
        <w:t>可燃气体的二级报警设定值小于或等于50%LEL。并配备UPS电源供电。</w:t>
      </w:r>
    </w:p>
    <w:p w14:paraId="0C8574E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rPr>
          <w:rFonts w:hint="default" w:cs="Times New Roman"/>
          <w:bCs/>
          <w:kern w:val="0"/>
          <w:sz w:val="28"/>
          <w:szCs w:val="28"/>
          <w:lang w:val="en-US" w:eastAsia="zh-CN" w:bidi="ar-SA"/>
        </w:rPr>
      </w:pPr>
      <w:r>
        <w:rPr>
          <w:rFonts w:hint="default" w:cs="Times New Roman"/>
          <w:bCs/>
          <w:kern w:val="0"/>
          <w:sz w:val="28"/>
          <w:szCs w:val="28"/>
          <w:lang w:val="en-US" w:eastAsia="zh-CN" w:bidi="ar-SA"/>
        </w:rPr>
        <w:t>本项目的</w:t>
      </w:r>
      <w:r>
        <w:rPr>
          <w:rFonts w:hint="eastAsia" w:cs="Times New Roman"/>
          <w:bCs/>
          <w:kern w:val="0"/>
          <w:sz w:val="28"/>
          <w:szCs w:val="28"/>
          <w:lang w:val="en-US" w:eastAsia="zh-CN" w:bidi="ar-SA"/>
        </w:rPr>
        <w:t>办公室</w:t>
      </w:r>
      <w:r>
        <w:rPr>
          <w:rFonts w:hint="default" w:cs="Times New Roman"/>
          <w:bCs/>
          <w:kern w:val="0"/>
          <w:sz w:val="28"/>
          <w:szCs w:val="28"/>
          <w:lang w:val="en-US" w:eastAsia="zh-CN" w:bidi="ar-SA"/>
        </w:rPr>
        <w:t>设置在站房内，各系统的数据均送至操作室内进行集中</w:t>
      </w:r>
    </w:p>
    <w:p w14:paraId="6639AFD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lang w:val="en-US" w:eastAsia="zh-CN"/>
        </w:rPr>
      </w:pPr>
      <w:r>
        <w:rPr>
          <w:rFonts w:hint="default" w:cs="Times New Roman"/>
          <w:bCs/>
          <w:kern w:val="0"/>
          <w:sz w:val="28"/>
          <w:szCs w:val="28"/>
          <w:lang w:val="en-US" w:eastAsia="zh-CN" w:bidi="ar-SA"/>
        </w:rPr>
        <w:t>实时监测、并记录各主要设备的运转参</w:t>
      </w:r>
      <w:r>
        <w:rPr>
          <w:rFonts w:hint="eastAsia" w:cs="Times New Roman"/>
          <w:bCs/>
          <w:kern w:val="0"/>
          <w:sz w:val="28"/>
          <w:szCs w:val="28"/>
          <w:lang w:val="en-US" w:eastAsia="zh-CN" w:bidi="ar-SA"/>
        </w:rPr>
        <w:t>数</w:t>
      </w:r>
      <w:r>
        <w:rPr>
          <w:rFonts w:hint="default" w:cs="Times New Roman"/>
          <w:bCs/>
          <w:kern w:val="0"/>
          <w:sz w:val="28"/>
          <w:szCs w:val="28"/>
          <w:lang w:val="en-US" w:eastAsia="zh-CN" w:bidi="ar-SA"/>
        </w:rPr>
        <w:t>。</w:t>
      </w:r>
    </w:p>
    <w:bookmarkEnd w:id="134"/>
    <w:bookmarkEnd w:id="135"/>
    <w:p w14:paraId="637B5FF4">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firstLine="281" w:firstLineChars="100"/>
        <w:textAlignment w:val="auto"/>
        <w:rPr>
          <w:rFonts w:hint="default" w:ascii="Times New Roman" w:hAnsi="Times New Roman" w:eastAsia="黑体" w:cs="Times New Roman"/>
          <w:b/>
          <w:bCs/>
          <w:color w:val="auto"/>
          <w:sz w:val="28"/>
          <w:szCs w:val="32"/>
          <w:highlight w:val="none"/>
          <w:lang w:val="en-US" w:eastAsia="zh-CN"/>
        </w:rPr>
      </w:pPr>
      <w:r>
        <w:rPr>
          <w:rFonts w:hint="default" w:ascii="Times New Roman" w:hAnsi="Times New Roman" w:eastAsia="黑体" w:cs="Times New Roman"/>
          <w:b/>
          <w:bCs/>
          <w:color w:val="auto"/>
          <w:sz w:val="28"/>
          <w:szCs w:val="32"/>
          <w:highlight w:val="none"/>
          <w:lang w:val="en-US" w:eastAsia="zh-CN"/>
        </w:rPr>
        <w:t>2.6.</w:t>
      </w:r>
      <w:r>
        <w:rPr>
          <w:rFonts w:hint="eastAsia" w:eastAsia="黑体" w:cs="Times New Roman"/>
          <w:b/>
          <w:bCs/>
          <w:color w:val="auto"/>
          <w:sz w:val="28"/>
          <w:szCs w:val="32"/>
          <w:highlight w:val="none"/>
          <w:lang w:val="en-US" w:eastAsia="zh-CN"/>
        </w:rPr>
        <w:t>6</w:t>
      </w:r>
      <w:r>
        <w:rPr>
          <w:rFonts w:hint="default" w:ascii="Times New Roman" w:hAnsi="Times New Roman" w:eastAsia="黑体" w:cs="Times New Roman"/>
          <w:b/>
          <w:bCs/>
          <w:color w:val="auto"/>
          <w:sz w:val="28"/>
          <w:szCs w:val="32"/>
          <w:highlight w:val="none"/>
          <w:lang w:val="en-US" w:eastAsia="zh-CN"/>
        </w:rPr>
        <w:t>消防</w:t>
      </w:r>
      <w:bookmarkEnd w:id="130"/>
      <w:bookmarkEnd w:id="131"/>
      <w:bookmarkEnd w:id="132"/>
      <w:bookmarkEnd w:id="133"/>
    </w:p>
    <w:p w14:paraId="5521D1B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根据《汽车加油加气加氢站技术标准》（GB 50156-2021）第12.2.3条，加油站可不设消防给水系统。</w:t>
      </w:r>
    </w:p>
    <w:p w14:paraId="033BE18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该站</w:t>
      </w:r>
      <w:r>
        <w:rPr>
          <w:rFonts w:hint="default" w:ascii="Times New Roman" w:hAnsi="Times New Roman" w:cs="Times New Roman"/>
          <w:color w:val="000000" w:themeColor="text1"/>
          <w:sz w:val="28"/>
          <w:szCs w:val="28"/>
          <w:lang w:val="en-US" w:eastAsia="zh-CN"/>
          <w14:textFill>
            <w14:solidFill>
              <w14:schemeClr w14:val="tx1"/>
            </w14:solidFill>
          </w14:textFill>
        </w:rPr>
        <w:t>汽</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柴油</w:t>
      </w:r>
      <w:r>
        <w:rPr>
          <w:rFonts w:hint="default" w:ascii="Times New Roman" w:hAnsi="Times New Roman" w:cs="Times New Roman"/>
          <w:color w:val="000000" w:themeColor="text1"/>
          <w:sz w:val="28"/>
          <w:szCs w:val="28"/>
          <w14:textFill>
            <w14:solidFill>
              <w14:schemeClr w14:val="tx1"/>
            </w14:solidFill>
          </w14:textFill>
        </w:rPr>
        <w:t>储罐区配备</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台35kg推车式干粉灭火器</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加油</w:t>
      </w:r>
      <w:r>
        <w:rPr>
          <w:rFonts w:hint="eastAsia" w:cs="Times New Roman"/>
          <w:color w:val="000000" w:themeColor="text1"/>
          <w:sz w:val="28"/>
          <w:szCs w:val="28"/>
          <w:lang w:val="en-US" w:eastAsia="zh-CN"/>
          <w14:textFill>
            <w14:solidFill>
              <w14:schemeClr w14:val="tx1"/>
            </w14:solidFill>
          </w14:textFill>
        </w:rPr>
        <w:t>机附近</w:t>
      </w:r>
      <w:r>
        <w:rPr>
          <w:rFonts w:hint="default" w:ascii="Times New Roman" w:hAnsi="Times New Roman" w:cs="Times New Roman"/>
          <w:color w:val="000000" w:themeColor="text1"/>
          <w:sz w:val="28"/>
          <w:szCs w:val="28"/>
          <w14:textFill>
            <w14:solidFill>
              <w14:schemeClr w14:val="tx1"/>
            </w14:solidFill>
          </w14:textFill>
        </w:rPr>
        <w:t>配备</w:t>
      </w:r>
      <w:r>
        <w:rPr>
          <w:rFonts w:hint="eastAsia" w:cs="Times New Roman"/>
          <w:color w:val="000000" w:themeColor="text1"/>
          <w:sz w:val="28"/>
          <w:szCs w:val="28"/>
          <w:lang w:val="en-US" w:eastAsia="zh-CN"/>
          <w14:textFill>
            <w14:solidFill>
              <w14:schemeClr w14:val="tx1"/>
            </w14:solidFill>
          </w14:textFill>
        </w:rPr>
        <w:t>8</w:t>
      </w:r>
      <w:r>
        <w:rPr>
          <w:rFonts w:hint="default" w:ascii="Times New Roman" w:hAnsi="Times New Roman" w:cs="Times New Roman"/>
          <w:color w:val="000000" w:themeColor="text1"/>
          <w:sz w:val="28"/>
          <w:szCs w:val="28"/>
          <w14:textFill>
            <w14:solidFill>
              <w14:schemeClr w14:val="tx1"/>
            </w14:solidFill>
          </w14:textFill>
        </w:rPr>
        <w:t>具MF/ABC5</w:t>
      </w:r>
      <w:r>
        <w:rPr>
          <w:rFonts w:hint="default" w:ascii="Times New Roman" w:hAnsi="Times New Roman" w:cs="Times New Roman"/>
          <w:color w:val="000000" w:themeColor="text1"/>
          <w:sz w:val="28"/>
          <w:szCs w:val="28"/>
          <w:lang w:val="en-US" w:eastAsia="zh-CN"/>
          <w14:textFill>
            <w14:solidFill>
              <w14:schemeClr w14:val="tx1"/>
            </w14:solidFill>
          </w14:textFill>
        </w:rPr>
        <w:t>式</w:t>
      </w:r>
      <w:r>
        <w:rPr>
          <w:rFonts w:hint="default" w:ascii="Times New Roman" w:hAnsi="Times New Roman" w:cs="Times New Roman"/>
          <w:color w:val="000000" w:themeColor="text1"/>
          <w:sz w:val="28"/>
          <w:szCs w:val="28"/>
          <w14:textFill>
            <w14:solidFill>
              <w14:schemeClr w14:val="tx1"/>
            </w14:solidFill>
          </w14:textFill>
        </w:rPr>
        <w:t>灭火器，站房配备</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具MF/ABC5</w:t>
      </w:r>
      <w:r>
        <w:rPr>
          <w:rFonts w:hint="default" w:ascii="Times New Roman" w:hAnsi="Times New Roman" w:cs="Times New Roman"/>
          <w:color w:val="000000" w:themeColor="text1"/>
          <w:sz w:val="28"/>
          <w:szCs w:val="28"/>
          <w:lang w:val="en-US" w:eastAsia="zh-CN"/>
          <w14:textFill>
            <w14:solidFill>
              <w14:schemeClr w14:val="tx1"/>
            </w14:solidFill>
          </w14:textFill>
        </w:rPr>
        <w:t>式</w:t>
      </w:r>
      <w:r>
        <w:rPr>
          <w:rFonts w:hint="default" w:ascii="Times New Roman" w:hAnsi="Times New Roman" w:cs="Times New Roman"/>
          <w:color w:val="000000" w:themeColor="text1"/>
          <w:sz w:val="28"/>
          <w:szCs w:val="28"/>
          <w14:textFill>
            <w14:solidFill>
              <w14:schemeClr w14:val="tx1"/>
            </w14:solidFill>
          </w14:textFill>
        </w:rPr>
        <w:t>灭火器</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变压器附近配</w:t>
      </w:r>
      <w:r>
        <w:rPr>
          <w:rFonts w:hint="eastAsia" w:cs="Times New Roman"/>
          <w:color w:val="000000" w:themeColor="text1"/>
          <w:sz w:val="28"/>
          <w:szCs w:val="28"/>
          <w:lang w:val="en-US" w:eastAsia="zh-CN"/>
          <w14:textFill>
            <w14:solidFill>
              <w14:schemeClr w14:val="tx1"/>
            </w14:solidFill>
          </w14:textFill>
        </w:rPr>
        <w:t>备</w:t>
      </w:r>
      <w:r>
        <w:rPr>
          <w:rFonts w:hint="default" w:ascii="Times New Roman" w:hAnsi="Times New Roman" w:cs="Times New Roman"/>
          <w:color w:val="000000" w:themeColor="text1"/>
          <w:sz w:val="28"/>
          <w:szCs w:val="28"/>
          <w:lang w:val="en-US" w:eastAsia="zh-CN"/>
          <w14:textFill>
            <w14:solidFill>
              <w14:schemeClr w14:val="tx1"/>
            </w14:solidFill>
          </w14:textFill>
        </w:rPr>
        <w:t>2具MF/ABC5式灭火器</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消防器材箱里配备灭火毯5块、并配备消防斧、消防桶、消防锨、消防钩等消防器材。消防器材箱旁设消防砂2m</w:t>
      </w:r>
      <w:r>
        <w:rPr>
          <w:rFonts w:hint="default" w:ascii="Times New Roman" w:hAnsi="Times New Roman" w:cs="Times New Roman"/>
          <w:color w:val="000000" w:themeColor="text1"/>
          <w:sz w:val="28"/>
          <w:szCs w:val="28"/>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8"/>
          <w:szCs w:val="28"/>
          <w:lang w:val="en-US" w:eastAsia="zh-CN"/>
          <w14:textFill>
            <w14:solidFill>
              <w14:schemeClr w14:val="tx1"/>
            </w14:solidFill>
          </w14:textFill>
        </w:rPr>
        <w:t>，储砂箱为地上式。</w:t>
      </w:r>
    </w:p>
    <w:p w14:paraId="6F1BA57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根据《建筑防火通用规范》（GB55037-2022）第8.1.5条规定，综合楼建筑面积为152</w:t>
      </w:r>
      <w:r>
        <w:rPr>
          <w:rFonts w:hint="eastAsia" w:cs="Times New Roman"/>
          <w:color w:val="000000" w:themeColor="text1"/>
          <w:sz w:val="28"/>
          <w:szCs w:val="28"/>
          <w:lang w:val="en-US" w:eastAsia="zh-CN"/>
          <w14:textFill>
            <w14:solidFill>
              <w14:schemeClr w14:val="tx1"/>
            </w14:solidFill>
          </w14:textFill>
        </w:rPr>
        <w:t>9m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lang w:val="en-US" w:eastAsia="zh-CN"/>
          <w14:textFill>
            <w14:solidFill>
              <w14:schemeClr w14:val="tx1"/>
            </w14:solidFill>
          </w14:textFill>
        </w:rPr>
        <w:t>，体积7435m</w:t>
      </w:r>
      <w:r>
        <w:rPr>
          <w:rFonts w:hint="eastAsia" w:cs="Times New Roman"/>
          <w:color w:val="000000" w:themeColor="text1"/>
          <w:sz w:val="28"/>
          <w:szCs w:val="28"/>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8"/>
          <w:szCs w:val="28"/>
          <w:lang w:val="en-US" w:eastAsia="zh-CN"/>
          <w14:textFill>
            <w14:solidFill>
              <w14:schemeClr w14:val="tx1"/>
            </w14:solidFill>
          </w14:textFill>
        </w:rPr>
        <w:t>，应设置室外消火栓系统</w:t>
      </w:r>
      <w:r>
        <w:rPr>
          <w:rFonts w:hint="eastAsia" w:cs="Times New Roman"/>
          <w:color w:val="000000" w:themeColor="text1"/>
          <w:sz w:val="28"/>
          <w:szCs w:val="28"/>
          <w:lang w:val="en-US" w:eastAsia="zh-CN"/>
          <w14:textFill>
            <w14:solidFill>
              <w14:schemeClr w14:val="tx1"/>
            </w14:solidFill>
          </w14:textFill>
        </w:rPr>
        <w:t>。</w:t>
      </w:r>
    </w:p>
    <w:p w14:paraId="58BF2B7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站内室外消火栓系统由市政给水管网直接供水，采用环状管网，并拟在环状消防管道上设置4套室外地上式消火栓，满足本站室外消火栓系统的需求。</w:t>
      </w:r>
    </w:p>
    <w:p w14:paraId="65AF0F9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根据《建筑防火通用规范》（GB55037-2022）第8.1.7条规定，本站综合楼按商店设计，建筑体积大于5000m</w:t>
      </w:r>
      <w:r>
        <w:rPr>
          <w:rFonts w:hint="eastAsia" w:cs="Times New Roman"/>
          <w:color w:val="000000" w:themeColor="text1"/>
          <w:sz w:val="28"/>
          <w:szCs w:val="28"/>
          <w:vertAlign w:val="superscript"/>
          <w:lang w:val="en-US" w:eastAsia="zh-CN"/>
          <w14:textFill>
            <w14:solidFill>
              <w14:schemeClr w14:val="tx1"/>
            </w14:solidFill>
          </w14:textFill>
        </w:rPr>
        <w:t>3</w:t>
      </w:r>
      <w:r>
        <w:rPr>
          <w:rFonts w:hint="eastAsia" w:cs="Times New Roman"/>
          <w:color w:val="000000" w:themeColor="text1"/>
          <w:sz w:val="28"/>
          <w:szCs w:val="28"/>
          <w:lang w:val="en-US" w:eastAsia="zh-CN"/>
          <w14:textFill>
            <w14:solidFill>
              <w14:schemeClr w14:val="tx1"/>
            </w14:solidFill>
          </w14:textFill>
        </w:rPr>
        <w:t>，应设置室内消火栓系统。</w:t>
      </w:r>
    </w:p>
    <w:p w14:paraId="2AC27FE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综合楼内消火栓系统供水拟由站内一体化消防泵站供水，泵站内消防水箱的有效容积为108m</w:t>
      </w:r>
      <w:r>
        <w:rPr>
          <w:rFonts w:hint="eastAsia" w:cs="Times New Roman"/>
          <w:color w:val="000000" w:themeColor="text1"/>
          <w:sz w:val="28"/>
          <w:szCs w:val="28"/>
          <w:vertAlign w:val="superscript"/>
          <w:lang w:val="en-US" w:eastAsia="zh-CN"/>
          <w14:textFill>
            <w14:solidFill>
              <w14:schemeClr w14:val="tx1"/>
            </w14:solidFill>
          </w14:textFill>
        </w:rPr>
        <w:t>3</w:t>
      </w:r>
      <w:r>
        <w:rPr>
          <w:rFonts w:hint="eastAsia" w:cs="Times New Roman"/>
          <w:color w:val="000000" w:themeColor="text1"/>
          <w:sz w:val="28"/>
          <w:szCs w:val="28"/>
          <w:lang w:val="en-US" w:eastAsia="zh-CN"/>
          <w14:textFill>
            <w14:solidFill>
              <w14:schemeClr w14:val="tx1"/>
            </w14:solidFill>
          </w14:textFill>
        </w:rPr>
        <w:t>，消防主泵流量为15L/S，扬程50m，一备一用，消防稳压泵的流量为1L/S，扬程60m，一备一用。</w:t>
      </w:r>
    </w:p>
    <w:p w14:paraId="25C20C39">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36" w:name="_Toc146488845"/>
      <w:bookmarkStart w:id="137" w:name="_Toc14955"/>
      <w:r>
        <w:rPr>
          <w:rFonts w:hint="default" w:ascii="Times New Roman" w:hAnsi="Times New Roman" w:eastAsia="黑体" w:cs="Times New Roman"/>
          <w:b/>
          <w:bCs/>
          <w:color w:val="auto"/>
          <w:sz w:val="28"/>
          <w:szCs w:val="32"/>
          <w:lang w:val="en-US" w:eastAsia="zh-CN"/>
        </w:rPr>
        <w:t>2.6.</w:t>
      </w:r>
      <w:r>
        <w:rPr>
          <w:rFonts w:hint="eastAsia" w:eastAsia="黑体" w:cs="Times New Roman"/>
          <w:b/>
          <w:bCs/>
          <w:color w:val="auto"/>
          <w:sz w:val="28"/>
          <w:szCs w:val="32"/>
          <w:lang w:val="en-US" w:eastAsia="zh-CN"/>
        </w:rPr>
        <w:t>7</w:t>
      </w:r>
      <w:r>
        <w:rPr>
          <w:rFonts w:hint="default" w:ascii="Times New Roman" w:hAnsi="Times New Roman" w:eastAsia="黑体" w:cs="Times New Roman"/>
          <w:b/>
          <w:bCs/>
          <w:color w:val="auto"/>
          <w:sz w:val="28"/>
          <w:szCs w:val="32"/>
          <w:lang w:val="en-US" w:eastAsia="zh-CN"/>
        </w:rPr>
        <w:t>运输方式</w:t>
      </w:r>
      <w:bookmarkEnd w:id="136"/>
      <w:bookmarkEnd w:id="137"/>
    </w:p>
    <w:p w14:paraId="4BA9EA7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该站</w:t>
      </w:r>
      <w:r>
        <w:rPr>
          <w:rFonts w:hint="default" w:ascii="Times New Roman" w:hAnsi="Times New Roman" w:cs="Times New Roman"/>
          <w:sz w:val="28"/>
          <w:szCs w:val="28"/>
        </w:rPr>
        <w:t>不负责所经营的</w:t>
      </w:r>
      <w:r>
        <w:rPr>
          <w:rFonts w:hint="eastAsia" w:cs="Times New Roman"/>
          <w:sz w:val="28"/>
          <w:szCs w:val="28"/>
          <w:lang w:eastAsia="zh-CN"/>
        </w:rPr>
        <w:t>乙醇汽油</w:t>
      </w:r>
      <w:r>
        <w:rPr>
          <w:rFonts w:hint="default" w:ascii="Times New Roman" w:hAnsi="Times New Roman" w:cs="Times New Roman"/>
          <w:sz w:val="28"/>
          <w:szCs w:val="28"/>
        </w:rPr>
        <w:t>、柴油运输，委托有危险化学品运输资质的企业负责运输。</w:t>
      </w:r>
    </w:p>
    <w:p w14:paraId="7164FBD4">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138" w:name="_Toc41246683"/>
      <w:bookmarkStart w:id="139" w:name="_Toc410311880"/>
      <w:bookmarkStart w:id="140" w:name="_Toc410311957"/>
      <w:bookmarkStart w:id="141" w:name="_Toc1785"/>
      <w:bookmarkStart w:id="142" w:name="_Toc25633"/>
      <w:r>
        <w:rPr>
          <w:rFonts w:hint="default" w:ascii="Times New Roman" w:hAnsi="Times New Roman" w:eastAsia="楷体" w:cs="Times New Roman"/>
          <w:color w:val="auto"/>
          <w:sz w:val="32"/>
          <w:szCs w:val="32"/>
          <w:lang w:val="en-US" w:eastAsia="zh-CN"/>
        </w:rPr>
        <w:t>2.7主要装置（设备）设施</w:t>
      </w:r>
      <w:bookmarkEnd w:id="138"/>
      <w:bookmarkEnd w:id="139"/>
      <w:bookmarkEnd w:id="140"/>
      <w:r>
        <w:rPr>
          <w:rFonts w:hint="default" w:ascii="Times New Roman" w:hAnsi="Times New Roman" w:eastAsia="楷体" w:cs="Times New Roman"/>
          <w:color w:val="auto"/>
          <w:sz w:val="32"/>
          <w:szCs w:val="32"/>
          <w:lang w:val="en-US" w:eastAsia="zh-CN"/>
        </w:rPr>
        <w:t>和特种设备</w:t>
      </w:r>
      <w:bookmarkEnd w:id="141"/>
      <w:bookmarkEnd w:id="142"/>
    </w:p>
    <w:p w14:paraId="647A3B4D">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43" w:name="_Toc14634"/>
      <w:bookmarkStart w:id="144" w:name="_Toc41246684"/>
      <w:bookmarkStart w:id="145" w:name="_Toc18402"/>
      <w:bookmarkStart w:id="146" w:name="_Toc146488847"/>
      <w:r>
        <w:rPr>
          <w:rFonts w:hint="default" w:ascii="Times New Roman" w:hAnsi="Times New Roman" w:eastAsia="黑体" w:cs="Times New Roman"/>
          <w:b/>
          <w:bCs/>
          <w:color w:val="auto"/>
          <w:sz w:val="28"/>
          <w:szCs w:val="32"/>
          <w:lang w:val="en-US" w:eastAsia="zh-CN"/>
        </w:rPr>
        <w:t>2.7.1主要设备</w:t>
      </w:r>
      <w:bookmarkEnd w:id="143"/>
      <w:bookmarkEnd w:id="144"/>
      <w:r>
        <w:rPr>
          <w:rFonts w:hint="default" w:ascii="Times New Roman" w:hAnsi="Times New Roman" w:eastAsia="黑体" w:cs="Times New Roman"/>
          <w:b/>
          <w:bCs/>
          <w:color w:val="auto"/>
          <w:sz w:val="28"/>
          <w:szCs w:val="32"/>
          <w:lang w:val="en-US" w:eastAsia="zh-CN"/>
        </w:rPr>
        <w:t>、设施</w:t>
      </w:r>
      <w:bookmarkEnd w:id="145"/>
      <w:bookmarkEnd w:id="146"/>
    </w:p>
    <w:p w14:paraId="36A0DD5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主要设备、设施详见下表。</w:t>
      </w:r>
    </w:p>
    <w:p w14:paraId="23BCB811">
      <w:pPr>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jc w:val="center"/>
        <w:textAlignment w:val="auto"/>
        <w:rPr>
          <w:rFonts w:hint="default" w:ascii="Times New Roman" w:hAnsi="Times New Roman" w:eastAsia="黑体" w:cs="Times New Roman"/>
          <w:sz w:val="24"/>
          <w:szCs w:val="24"/>
        </w:rPr>
      </w:pPr>
      <w:bookmarkStart w:id="147" w:name="_Toc4287"/>
      <w:bookmarkStart w:id="148" w:name="_Toc41246685"/>
      <w:bookmarkStart w:id="149" w:name="_Toc9893"/>
      <w:bookmarkStart w:id="150" w:name="_Toc146488848"/>
      <w:r>
        <w:rPr>
          <w:rFonts w:hint="default" w:ascii="Times New Roman" w:hAnsi="Times New Roman" w:eastAsia="黑体" w:cs="Times New Roman"/>
          <w:sz w:val="24"/>
          <w:szCs w:val="24"/>
        </w:rPr>
        <w:t>表</w:t>
      </w:r>
      <w:r>
        <w:rPr>
          <w:rFonts w:hint="default" w:ascii="Times New Roman" w:hAnsi="Times New Roman" w:eastAsia="黑体" w:cs="Times New Roman"/>
          <w:sz w:val="24"/>
          <w:szCs w:val="24"/>
          <w:lang w:val="en-US" w:eastAsia="zh-CN"/>
        </w:rPr>
        <w:t xml:space="preserve">2.7-1 </w:t>
      </w:r>
      <w:r>
        <w:rPr>
          <w:rFonts w:hint="default" w:ascii="Times New Roman" w:hAnsi="Times New Roman" w:eastAsia="黑体" w:cs="Times New Roman"/>
          <w:sz w:val="24"/>
          <w:szCs w:val="24"/>
        </w:rPr>
        <w:t xml:space="preserve"> 主要设备、设施一览表</w:t>
      </w:r>
    </w:p>
    <w:p w14:paraId="1B439B70">
      <w:pPr>
        <w:pStyle w:val="4"/>
        <w:keepNext/>
        <w:keepLines/>
        <w:pageBreakBefore w:val="0"/>
        <w:widowControl w:val="0"/>
        <w:kinsoku/>
        <w:wordWrap/>
        <w:overflowPunct/>
        <w:topLinePunct w:val="0"/>
        <w:autoSpaceDE/>
        <w:autoSpaceDN/>
        <w:bidi w:val="0"/>
        <w:adjustRightInd w:val="0"/>
        <w:snapToGrid w:val="0"/>
        <w:spacing w:before="327" w:beforeLines="10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r>
        <w:rPr>
          <w:rFonts w:hint="default" w:ascii="Times New Roman" w:hAnsi="Times New Roman" w:eastAsia="黑体" w:cs="Times New Roman"/>
          <w:b/>
          <w:bCs/>
          <w:color w:val="auto"/>
          <w:sz w:val="28"/>
          <w:szCs w:val="32"/>
          <w:lang w:val="en-US" w:eastAsia="zh-CN"/>
        </w:rPr>
        <w:t>2.7.2主要特种设备</w:t>
      </w:r>
      <w:bookmarkEnd w:id="147"/>
      <w:bookmarkEnd w:id="148"/>
      <w:bookmarkEnd w:id="149"/>
      <w:bookmarkEnd w:id="150"/>
    </w:p>
    <w:p w14:paraId="7DDF211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eastAsia" w:ascii="Times New Roman" w:hAnsi="Times New Roman" w:cs="Times New Roman"/>
          <w:sz w:val="28"/>
          <w:szCs w:val="28"/>
          <w:lang w:val="en-US" w:eastAsia="zh-CN"/>
        </w:rPr>
        <w:t>本站不涉及特种设备。</w:t>
      </w:r>
    </w:p>
    <w:p w14:paraId="15B4D45F">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151" w:name="_Toc13835"/>
      <w:bookmarkStart w:id="152" w:name="_Toc9787"/>
      <w:r>
        <w:rPr>
          <w:rFonts w:hint="default" w:ascii="Times New Roman" w:hAnsi="Times New Roman" w:eastAsia="楷体" w:cs="Times New Roman"/>
          <w:color w:val="auto"/>
          <w:sz w:val="32"/>
          <w:szCs w:val="32"/>
          <w:lang w:val="en-US" w:eastAsia="zh-CN"/>
        </w:rPr>
        <w:t>2.8劳动定员</w:t>
      </w:r>
      <w:bookmarkEnd w:id="151"/>
      <w:bookmarkEnd w:id="152"/>
    </w:p>
    <w:p w14:paraId="55E9A33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highlight w:val="none"/>
          <w:lang w:val="en-US" w:eastAsia="zh-CN"/>
        </w:rPr>
      </w:pPr>
      <w:bookmarkStart w:id="153" w:name="_Toc41246692"/>
      <w:bookmarkStart w:id="154" w:name="_Toc26124"/>
      <w:bookmarkStart w:id="155" w:name="_Toc410311959"/>
      <w:bookmarkStart w:id="156" w:name="_Toc410311882"/>
      <w:r>
        <w:rPr>
          <w:rFonts w:hint="default" w:ascii="Times New Roman" w:hAnsi="Times New Roman" w:cs="Times New Roman"/>
          <w:sz w:val="28"/>
          <w:szCs w:val="28"/>
          <w:highlight w:val="none"/>
          <w:lang w:val="en-US" w:eastAsia="zh-CN"/>
        </w:rPr>
        <w:t>该加油站</w:t>
      </w:r>
      <w:r>
        <w:rPr>
          <w:rFonts w:hint="eastAsia" w:cs="Times New Roman"/>
          <w:sz w:val="28"/>
          <w:szCs w:val="28"/>
          <w:highlight w:val="none"/>
          <w:lang w:val="en-US" w:eastAsia="zh-CN"/>
        </w:rPr>
        <w:t>拟</w:t>
      </w:r>
      <w:r>
        <w:rPr>
          <w:rFonts w:hint="default" w:ascii="Times New Roman" w:hAnsi="Times New Roman" w:cs="Times New Roman"/>
          <w:sz w:val="28"/>
          <w:szCs w:val="28"/>
          <w:highlight w:val="none"/>
          <w:lang w:val="en-US" w:eastAsia="zh-CN"/>
        </w:rPr>
        <w:t>设有职工</w:t>
      </w:r>
      <w:r>
        <w:rPr>
          <w:rFonts w:hint="eastAsia" w:cs="Times New Roman"/>
          <w:sz w:val="28"/>
          <w:szCs w:val="28"/>
          <w:highlight w:val="none"/>
          <w:lang w:val="en-US" w:eastAsia="zh-CN"/>
        </w:rPr>
        <w:t>6</w:t>
      </w:r>
      <w:r>
        <w:rPr>
          <w:rFonts w:hint="default" w:ascii="Times New Roman" w:hAnsi="Times New Roman" w:cs="Times New Roman"/>
          <w:sz w:val="28"/>
          <w:szCs w:val="28"/>
          <w:highlight w:val="none"/>
          <w:lang w:val="en-US" w:eastAsia="zh-CN"/>
        </w:rPr>
        <w:t>人，包括主要负责人1人，</w:t>
      </w:r>
      <w:r>
        <w:rPr>
          <w:rFonts w:hint="eastAsia"/>
          <w:color w:val="auto"/>
          <w:sz w:val="28"/>
          <w:szCs w:val="28"/>
          <w:highlight w:val="none"/>
        </w:rPr>
        <w:t>专职安全管理人员1人</w:t>
      </w:r>
      <w:r>
        <w:rPr>
          <w:rFonts w:hint="default" w:ascii="Times New Roman" w:hAnsi="Times New Roman" w:cs="Times New Roman"/>
          <w:sz w:val="28"/>
          <w:szCs w:val="28"/>
          <w:highlight w:val="none"/>
          <w:lang w:val="en-US" w:eastAsia="zh-CN"/>
        </w:rPr>
        <w:t>，加油员</w:t>
      </w:r>
      <w:r>
        <w:rPr>
          <w:rFonts w:hint="eastAsia" w:cs="Times New Roman"/>
          <w:sz w:val="28"/>
          <w:szCs w:val="28"/>
          <w:highlight w:val="none"/>
          <w:lang w:val="en-US" w:eastAsia="zh-CN"/>
        </w:rPr>
        <w:t>4</w:t>
      </w:r>
      <w:r>
        <w:rPr>
          <w:rFonts w:hint="default" w:ascii="Times New Roman" w:hAnsi="Times New Roman" w:cs="Times New Roman"/>
          <w:sz w:val="28"/>
          <w:szCs w:val="28"/>
          <w:highlight w:val="none"/>
          <w:lang w:val="en-US" w:eastAsia="zh-CN"/>
        </w:rPr>
        <w:t>人。</w:t>
      </w:r>
      <w:r>
        <w:rPr>
          <w:rFonts w:hint="eastAsia" w:cs="Times New Roman"/>
          <w:sz w:val="28"/>
          <w:szCs w:val="28"/>
          <w:highlight w:val="none"/>
          <w:lang w:val="en-US" w:eastAsia="zh-CN"/>
        </w:rPr>
        <w:t>站内人员全年两班制。</w:t>
      </w:r>
    </w:p>
    <w:p w14:paraId="40616DD3">
      <w:pPr>
        <w:pStyle w:val="2"/>
        <w:keepNext w:val="0"/>
        <w:keepLines w:val="0"/>
        <w:pageBreakBefore/>
        <w:widowControl w:val="0"/>
        <w:numPr>
          <w:ilvl w:val="0"/>
          <w:numId w:val="0"/>
        </w:numPr>
        <w:kinsoku/>
        <w:wordWrap/>
        <w:overflowPunct/>
        <w:topLinePunct w:val="0"/>
        <w:autoSpaceDE/>
        <w:autoSpaceDN/>
        <w:bidi w:val="0"/>
        <w:adjustRightInd/>
        <w:snapToGrid/>
        <w:spacing w:before="469" w:beforeLines="150" w:after="469" w:afterLines="150" w:line="360" w:lineRule="auto"/>
        <w:ind w:leftChars="0"/>
        <w:jc w:val="center"/>
        <w:textAlignment w:val="auto"/>
        <w:rPr>
          <w:rFonts w:hint="default" w:ascii="Times New Roman" w:hAnsi="Times New Roman" w:eastAsia="黑体" w:cs="Times New Roman"/>
          <w:b/>
          <w:bCs w:val="0"/>
          <w:kern w:val="32"/>
          <w:sz w:val="32"/>
          <w:szCs w:val="32"/>
          <w:lang w:val="en-US" w:eastAsia="zh-CN"/>
        </w:rPr>
      </w:pPr>
      <w:bookmarkStart w:id="157" w:name="_Toc16214"/>
      <w:r>
        <w:rPr>
          <w:rFonts w:hint="default" w:ascii="Times New Roman" w:hAnsi="Times New Roman" w:eastAsia="黑体" w:cs="Times New Roman"/>
          <w:b/>
          <w:bCs w:val="0"/>
          <w:kern w:val="32"/>
          <w:sz w:val="32"/>
          <w:szCs w:val="32"/>
          <w:lang w:val="en-US" w:eastAsia="zh-CN"/>
        </w:rPr>
        <w:t>3危险化学品的理化性能指标</w:t>
      </w:r>
      <w:bookmarkEnd w:id="153"/>
      <w:bookmarkEnd w:id="154"/>
      <w:bookmarkEnd w:id="155"/>
      <w:bookmarkEnd w:id="156"/>
      <w:bookmarkEnd w:id="157"/>
    </w:p>
    <w:p w14:paraId="529EC56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根据《危险化学品目录（2015版）》（原国家安全生产监督管理总局等十部门公告[2015]第5号，2015年5月1日起实施）及</w:t>
      </w:r>
      <w:bookmarkStart w:id="158" w:name="_Hlk146479963"/>
      <w:r>
        <w:rPr>
          <w:rFonts w:hint="default" w:ascii="Times New Roman" w:hAnsi="Times New Roman" w:cs="Times New Roman"/>
          <w:sz w:val="28"/>
          <w:szCs w:val="28"/>
          <w:lang w:val="en-US" w:eastAsia="zh-CN"/>
        </w:rPr>
        <w:t>《关于调整危险化学品目录（2015版）的公告》（中华人民共和国应急管理部等十部门公告2022年第8号，2023年01月01日实施）</w:t>
      </w:r>
      <w:bookmarkEnd w:id="158"/>
      <w:r>
        <w:rPr>
          <w:rFonts w:hint="default" w:ascii="Times New Roman" w:hAnsi="Times New Roman" w:cs="Times New Roman"/>
          <w:sz w:val="28"/>
          <w:szCs w:val="28"/>
          <w:lang w:val="en-US" w:eastAsia="zh-CN"/>
        </w:rPr>
        <w:t>，本项目涉及的</w:t>
      </w:r>
      <w:r>
        <w:rPr>
          <w:rFonts w:hint="eastAsia" w:cs="Times New Roman"/>
          <w:sz w:val="28"/>
          <w:szCs w:val="28"/>
          <w:lang w:val="en-US" w:eastAsia="zh-CN"/>
        </w:rPr>
        <w:t>乙醇汽油</w:t>
      </w:r>
      <w:r>
        <w:rPr>
          <w:rFonts w:hint="default" w:ascii="Times New Roman" w:hAnsi="Times New Roman" w:cs="Times New Roman"/>
          <w:sz w:val="28"/>
          <w:szCs w:val="28"/>
          <w:lang w:val="en-US" w:eastAsia="zh-CN"/>
        </w:rPr>
        <w:t>、柴油属于危险化学品。</w:t>
      </w:r>
    </w:p>
    <w:p w14:paraId="31F724E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sectPr>
          <w:headerReference r:id="rId6" w:type="default"/>
          <w:footerReference r:id="rId7" w:type="default"/>
          <w:pgSz w:w="11906" w:h="16838"/>
          <w:pgMar w:top="1418" w:right="1134" w:bottom="1134" w:left="1588" w:header="851" w:footer="992" w:gutter="0"/>
          <w:pgBorders>
            <w:top w:val="none" w:sz="0" w:space="0"/>
            <w:left w:val="none" w:sz="0" w:space="0"/>
            <w:bottom w:val="none" w:sz="0" w:space="0"/>
            <w:right w:val="none" w:sz="0" w:space="0"/>
          </w:pgBorders>
          <w:pgNumType w:fmt="decimal"/>
          <w:cols w:space="720" w:num="1"/>
          <w:docGrid w:type="lines" w:linePitch="326" w:charSpace="6144"/>
        </w:sectPr>
      </w:pPr>
      <w:r>
        <w:rPr>
          <w:rFonts w:hint="default" w:ascii="Times New Roman" w:hAnsi="Times New Roman" w:cs="Times New Roman"/>
          <w:sz w:val="28"/>
          <w:szCs w:val="28"/>
          <w:lang w:val="en-US" w:eastAsia="zh-CN"/>
        </w:rPr>
        <w:t>本项目涉及的</w:t>
      </w:r>
      <w:r>
        <w:rPr>
          <w:rFonts w:hint="eastAsia" w:cs="Times New Roman"/>
          <w:sz w:val="28"/>
          <w:szCs w:val="28"/>
          <w:lang w:val="en-US" w:eastAsia="zh-CN"/>
        </w:rPr>
        <w:t>乙醇汽油</w:t>
      </w:r>
      <w:r>
        <w:rPr>
          <w:rFonts w:hint="default" w:ascii="Times New Roman" w:hAnsi="Times New Roman" w:cs="Times New Roman"/>
          <w:sz w:val="28"/>
          <w:szCs w:val="28"/>
          <w:lang w:val="en-US" w:eastAsia="zh-CN"/>
        </w:rPr>
        <w:t>、柴油的危险特性，详见下表3-1。</w:t>
      </w:r>
    </w:p>
    <w:p w14:paraId="289A853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bookmarkStart w:id="159" w:name="_Toc410311960"/>
      <w:bookmarkStart w:id="160" w:name="_Toc41246693"/>
      <w:bookmarkStart w:id="161" w:name="_Toc29772"/>
      <w:bookmarkStart w:id="162" w:name="_Toc410311883"/>
      <w:r>
        <w:rPr>
          <w:rFonts w:hint="default" w:ascii="Times New Roman" w:hAnsi="Times New Roman" w:cs="Times New Roman"/>
          <w:sz w:val="28"/>
          <w:szCs w:val="28"/>
          <w:lang w:val="en-US" w:eastAsia="zh-CN"/>
        </w:rPr>
        <w:t>该项目所涉及的危险化学品理化性能指标、危险特性、储存注意事项、泄漏应急处理、健康危害和应急处理等数据见附件3。</w:t>
      </w:r>
    </w:p>
    <w:p w14:paraId="3E0F4DB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根据《国家安全监管总局关于公布首批重点监管的危险化学品名录的通知》（国家安全生产监督管理总局 安监总管三〔2011〕95号）、《国家安全监管总局关于公布第二批重点监管危险化学品名录的通知》（国家安全生产监督管理总局 安监总管三〔2013〕12号），该项目中</w:t>
      </w:r>
      <w:r>
        <w:rPr>
          <w:rFonts w:hint="eastAsia" w:cs="Times New Roman"/>
          <w:sz w:val="28"/>
          <w:szCs w:val="28"/>
          <w:lang w:val="en-US" w:eastAsia="zh-CN"/>
        </w:rPr>
        <w:t>乙醇汽油</w:t>
      </w:r>
      <w:r>
        <w:rPr>
          <w:rFonts w:hint="default" w:ascii="Times New Roman" w:hAnsi="Times New Roman" w:cs="Times New Roman"/>
          <w:sz w:val="28"/>
          <w:szCs w:val="28"/>
          <w:lang w:val="en-US" w:eastAsia="zh-CN"/>
        </w:rPr>
        <w:t>为重点监管危险化学品。</w:t>
      </w:r>
    </w:p>
    <w:p w14:paraId="4ACA7D7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cs="Times New Roman"/>
          <w:sz w:val="28"/>
          <w:szCs w:val="28"/>
          <w:lang w:val="en-US" w:eastAsia="zh-CN"/>
        </w:rPr>
        <w:sectPr>
          <w:footerReference r:id="rId8" w:type="default"/>
          <w:pgSz w:w="11906" w:h="16838"/>
          <w:pgMar w:top="1418" w:right="1134" w:bottom="1134" w:left="1588" w:header="851" w:footer="992" w:gutter="0"/>
          <w:pgBorders>
            <w:top w:val="none" w:sz="0" w:space="0"/>
            <w:left w:val="none" w:sz="0" w:space="0"/>
            <w:bottom w:val="none" w:sz="0" w:space="0"/>
            <w:right w:val="none" w:sz="0" w:space="0"/>
          </w:pgBorders>
          <w:pgNumType w:fmt="decimal"/>
          <w:cols w:space="720" w:num="1"/>
          <w:docGrid w:type="lines" w:linePitch="326" w:charSpace="6144"/>
        </w:sectPr>
      </w:pPr>
      <w:r>
        <w:rPr>
          <w:rFonts w:hint="default" w:ascii="Times New Roman" w:hAnsi="Times New Roman" w:cs="Times New Roman"/>
          <w:sz w:val="28"/>
          <w:szCs w:val="28"/>
          <w:lang w:val="en-US" w:eastAsia="zh-CN"/>
        </w:rPr>
        <w:t>根据《特别管控危险化学品目录（第一版）》（应急管理部等四部门公告〔2020〕1号），乙醇汽油为特别管控危险化学</w:t>
      </w:r>
      <w:r>
        <w:rPr>
          <w:rFonts w:hint="eastAsia" w:ascii="Times New Roman" w:hAnsi="Times New Roman" w:cs="Times New Roman"/>
          <w:sz w:val="28"/>
          <w:szCs w:val="28"/>
          <w:lang w:val="en-US" w:eastAsia="zh-CN"/>
        </w:rPr>
        <w:t>品。</w:t>
      </w:r>
    </w:p>
    <w:p w14:paraId="421F9DB9">
      <w:pPr>
        <w:pStyle w:val="2"/>
        <w:keepNext w:val="0"/>
        <w:keepLines w:val="0"/>
        <w:pageBreakBefore/>
        <w:widowControl w:val="0"/>
        <w:numPr>
          <w:ilvl w:val="0"/>
          <w:numId w:val="0"/>
        </w:numPr>
        <w:kinsoku/>
        <w:wordWrap/>
        <w:overflowPunct/>
        <w:topLinePunct w:val="0"/>
        <w:autoSpaceDE/>
        <w:autoSpaceDN/>
        <w:bidi w:val="0"/>
        <w:adjustRightInd/>
        <w:snapToGrid/>
        <w:spacing w:before="469" w:beforeLines="150" w:after="469" w:afterLines="150" w:line="360" w:lineRule="auto"/>
        <w:ind w:leftChars="0"/>
        <w:jc w:val="center"/>
        <w:textAlignment w:val="auto"/>
        <w:rPr>
          <w:rFonts w:hint="default" w:ascii="Times New Roman" w:hAnsi="Times New Roman" w:eastAsia="黑体" w:cs="Times New Roman"/>
          <w:b/>
          <w:bCs w:val="0"/>
          <w:kern w:val="32"/>
          <w:sz w:val="32"/>
          <w:szCs w:val="32"/>
          <w:lang w:val="en-US" w:eastAsia="zh-CN"/>
        </w:rPr>
      </w:pPr>
      <w:bookmarkStart w:id="163" w:name="_Toc31965"/>
      <w:r>
        <w:rPr>
          <w:rFonts w:hint="default" w:ascii="Times New Roman" w:hAnsi="Times New Roman" w:eastAsia="黑体" w:cs="Times New Roman"/>
          <w:b/>
          <w:bCs w:val="0"/>
          <w:kern w:val="32"/>
          <w:sz w:val="32"/>
          <w:szCs w:val="32"/>
          <w:lang w:val="en-US" w:eastAsia="zh-CN"/>
        </w:rPr>
        <w:t>4危险化学品包装、储存、运输的技术要求</w:t>
      </w:r>
      <w:bookmarkEnd w:id="159"/>
      <w:bookmarkEnd w:id="160"/>
      <w:bookmarkEnd w:id="161"/>
      <w:bookmarkEnd w:id="162"/>
      <w:bookmarkEnd w:id="163"/>
    </w:p>
    <w:p w14:paraId="1C19E56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根据《化学品分类和标签规范》、《危险货物运输包装类别划分方法》，并查阅《危险化学品安全技术全书》、《新编危险物品安全手册》等资料，对本项目储存经营过程中涉及危险化学品</w:t>
      </w:r>
      <w:r>
        <w:rPr>
          <w:rFonts w:hint="eastAsia" w:cs="Times New Roman"/>
          <w:sz w:val="28"/>
          <w:szCs w:val="28"/>
          <w:lang w:val="en-US" w:eastAsia="zh-CN"/>
        </w:rPr>
        <w:t>乙醇汽油</w:t>
      </w:r>
      <w:r>
        <w:rPr>
          <w:rFonts w:hint="default" w:ascii="Times New Roman" w:hAnsi="Times New Roman" w:cs="Times New Roman"/>
          <w:sz w:val="28"/>
          <w:szCs w:val="28"/>
          <w:lang w:val="en-US" w:eastAsia="zh-CN"/>
        </w:rPr>
        <w:t>、柴油包装、储存、运输技术要求的分析结果，见表4-1。</w:t>
      </w:r>
    </w:p>
    <w:p w14:paraId="1D17D2C3">
      <w:pPr>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jc w:val="center"/>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表4-1 危险化学品储存、运输技术要求</w:t>
      </w:r>
    </w:p>
    <w:tbl>
      <w:tblPr>
        <w:tblStyle w:val="13"/>
        <w:tblpPr w:leftFromText="180" w:rightFromText="180" w:vertAnchor="text" w:tblpXSpec="center" w:tblpY="1"/>
        <w:tblOverlap w:val="never"/>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616"/>
        <w:gridCol w:w="7784"/>
      </w:tblGrid>
      <w:tr w14:paraId="52C6BC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blHeader/>
          <w:jc w:val="center"/>
        </w:trPr>
        <w:tc>
          <w:tcPr>
            <w:tcW w:w="9426" w:type="dxa"/>
            <w:gridSpan w:val="2"/>
          </w:tcPr>
          <w:p w14:paraId="22AD1A22">
            <w:pPr>
              <w:ind w:firstLine="215"/>
              <w:rPr>
                <w:rFonts w:hint="eastAsia" w:ascii="Times New Roman" w:hAnsi="Times New Roman" w:eastAsia="宋体" w:cs="Times New Roman"/>
                <w:b/>
                <w:spacing w:val="2"/>
                <w:kern w:val="0"/>
                <w:szCs w:val="21"/>
                <w:lang w:eastAsia="zh-CN"/>
              </w:rPr>
            </w:pPr>
            <w:r>
              <w:rPr>
                <w:rFonts w:hint="default" w:ascii="Times New Roman" w:hAnsi="Times New Roman" w:cs="Times New Roman"/>
                <w:b w:val="0"/>
                <w:bCs/>
                <w:spacing w:val="2"/>
                <w:kern w:val="0"/>
                <w:szCs w:val="21"/>
              </w:rPr>
              <w:t>一、</w:t>
            </w:r>
            <w:r>
              <w:rPr>
                <w:rFonts w:hint="eastAsia" w:cs="Times New Roman"/>
                <w:b w:val="0"/>
                <w:bCs/>
                <w:spacing w:val="2"/>
                <w:kern w:val="0"/>
                <w:szCs w:val="21"/>
                <w:lang w:eastAsia="zh-CN"/>
              </w:rPr>
              <w:t>乙醇汽油</w:t>
            </w:r>
          </w:p>
        </w:tc>
      </w:tr>
      <w:tr w14:paraId="18D902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620" w:type="dxa"/>
            <w:vAlign w:val="center"/>
          </w:tcPr>
          <w:p w14:paraId="2F997803">
            <w:pPr>
              <w:jc w:val="center"/>
              <w:rPr>
                <w:rFonts w:hint="default" w:ascii="Times New Roman" w:hAnsi="Times New Roman" w:cs="Times New Roman"/>
                <w:szCs w:val="21"/>
              </w:rPr>
            </w:pPr>
            <w:r>
              <w:rPr>
                <w:rFonts w:hint="default" w:ascii="Times New Roman" w:hAnsi="Times New Roman" w:cs="Times New Roman"/>
                <w:szCs w:val="21"/>
              </w:rPr>
              <w:t>包装类别</w:t>
            </w:r>
          </w:p>
        </w:tc>
        <w:tc>
          <w:tcPr>
            <w:tcW w:w="7806" w:type="dxa"/>
          </w:tcPr>
          <w:p w14:paraId="51B8D3B9">
            <w:pPr>
              <w:rPr>
                <w:rFonts w:hint="default" w:ascii="Times New Roman" w:hAnsi="Times New Roman" w:cs="Times New Roman"/>
                <w:szCs w:val="21"/>
              </w:rPr>
            </w:pPr>
            <w:r>
              <w:rPr>
                <w:rFonts w:hint="default" w:ascii="Times New Roman" w:hAnsi="Times New Roman" w:cs="Times New Roman"/>
                <w:szCs w:val="21"/>
              </w:rPr>
              <w:t>Ⅱ类</w:t>
            </w:r>
          </w:p>
        </w:tc>
      </w:tr>
      <w:tr w14:paraId="538A81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620" w:type="dxa"/>
            <w:vAlign w:val="center"/>
          </w:tcPr>
          <w:p w14:paraId="05A0C7AA">
            <w:pPr>
              <w:jc w:val="center"/>
              <w:rPr>
                <w:rFonts w:hint="default" w:ascii="Times New Roman" w:hAnsi="Times New Roman" w:cs="Times New Roman"/>
                <w:szCs w:val="21"/>
              </w:rPr>
            </w:pPr>
            <w:r>
              <w:rPr>
                <w:rFonts w:hint="default" w:ascii="Times New Roman" w:hAnsi="Times New Roman" w:cs="Times New Roman"/>
                <w:szCs w:val="21"/>
              </w:rPr>
              <w:t>危险标志</w:t>
            </w:r>
          </w:p>
        </w:tc>
        <w:tc>
          <w:tcPr>
            <w:tcW w:w="7806" w:type="dxa"/>
          </w:tcPr>
          <w:p w14:paraId="012CAE38">
            <w:pPr>
              <w:rPr>
                <w:rFonts w:hint="default" w:ascii="Times New Roman" w:hAnsi="Times New Roman" w:cs="Times New Roman"/>
                <w:szCs w:val="21"/>
              </w:rPr>
            </w:pPr>
            <w:r>
              <w:rPr>
                <w:rFonts w:hint="default" w:ascii="Times New Roman" w:hAnsi="Times New Roman" w:cs="Times New Roman"/>
                <w:szCs w:val="21"/>
              </w:rPr>
              <w:t>易燃液体</w:t>
            </w:r>
          </w:p>
        </w:tc>
      </w:tr>
      <w:tr w14:paraId="141AD4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620" w:type="dxa"/>
            <w:vAlign w:val="center"/>
          </w:tcPr>
          <w:p w14:paraId="466D4ACC">
            <w:pPr>
              <w:jc w:val="center"/>
              <w:rPr>
                <w:rFonts w:hint="default" w:ascii="Times New Roman" w:hAnsi="Times New Roman" w:cs="Times New Roman"/>
                <w:szCs w:val="21"/>
              </w:rPr>
            </w:pPr>
            <w:r>
              <w:rPr>
                <w:rFonts w:hint="default" w:ascii="Times New Roman" w:hAnsi="Times New Roman" w:cs="Times New Roman"/>
                <w:szCs w:val="21"/>
              </w:rPr>
              <w:t>包装方法</w:t>
            </w:r>
          </w:p>
        </w:tc>
        <w:tc>
          <w:tcPr>
            <w:tcW w:w="7806" w:type="dxa"/>
          </w:tcPr>
          <w:p w14:paraId="63E4E351">
            <w:pPr>
              <w:rPr>
                <w:rFonts w:hint="default" w:ascii="Times New Roman" w:hAnsi="Times New Roman" w:cs="Times New Roman"/>
                <w:szCs w:val="21"/>
              </w:rPr>
            </w:pPr>
            <w:r>
              <w:rPr>
                <w:rFonts w:hint="default" w:ascii="Times New Roman" w:hAnsi="Times New Roman" w:cs="Times New Roman"/>
                <w:szCs w:val="21"/>
              </w:rPr>
              <w:t>罐装</w:t>
            </w:r>
          </w:p>
        </w:tc>
      </w:tr>
      <w:tr w14:paraId="404192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620" w:type="dxa"/>
            <w:vAlign w:val="center"/>
          </w:tcPr>
          <w:p w14:paraId="396047B1">
            <w:pPr>
              <w:jc w:val="center"/>
              <w:rPr>
                <w:rFonts w:hint="default" w:ascii="Times New Roman" w:hAnsi="Times New Roman" w:cs="Times New Roman"/>
                <w:szCs w:val="21"/>
              </w:rPr>
            </w:pPr>
            <w:r>
              <w:rPr>
                <w:rFonts w:hint="default" w:ascii="Times New Roman" w:hAnsi="Times New Roman" w:cs="Times New Roman"/>
                <w:szCs w:val="21"/>
              </w:rPr>
              <w:t>储存、运输技术要求</w:t>
            </w:r>
          </w:p>
        </w:tc>
        <w:tc>
          <w:tcPr>
            <w:tcW w:w="7806" w:type="dxa"/>
          </w:tcPr>
          <w:p w14:paraId="78D6C61A">
            <w:pPr>
              <w:pStyle w:val="23"/>
              <w:widowControl w:val="0"/>
              <w:spacing w:before="0" w:beforeAutospacing="0" w:after="0" w:afterAutospacing="0" w:line="240" w:lineRule="auto"/>
              <w:jc w:val="both"/>
              <w:rPr>
                <w:rFonts w:hint="default" w:ascii="Times New Roman" w:hAnsi="Times New Roman" w:cs="Times New Roman"/>
                <w:sz w:val="21"/>
                <w:szCs w:val="21"/>
              </w:rPr>
            </w:pPr>
            <w:r>
              <w:rPr>
                <w:rFonts w:hint="default" w:ascii="Times New Roman" w:hAnsi="Times New Roman" w:cs="Times New Roman"/>
                <w:sz w:val="21"/>
                <w:szCs w:val="21"/>
              </w:rPr>
              <w:t>1、储存安全</w:t>
            </w:r>
          </w:p>
          <w:p w14:paraId="110223E0">
            <w:pPr>
              <w:pStyle w:val="23"/>
              <w:widowControl w:val="0"/>
              <w:spacing w:before="0" w:beforeAutospacing="0" w:after="0" w:afterAutospacing="0" w:line="240" w:lineRule="auto"/>
              <w:jc w:val="both"/>
              <w:rPr>
                <w:rStyle w:val="24"/>
                <w:rFonts w:hint="default" w:ascii="Times New Roman" w:hAnsi="Times New Roman" w:cs="Times New Roman"/>
                <w:b/>
                <w:sz w:val="21"/>
                <w:szCs w:val="21"/>
              </w:rPr>
            </w:pPr>
            <w:r>
              <w:rPr>
                <w:rStyle w:val="24"/>
                <w:rFonts w:hint="default" w:ascii="Times New Roman" w:hAnsi="Times New Roman" w:cs="Times New Roman"/>
                <w:sz w:val="21"/>
                <w:szCs w:val="21"/>
              </w:rPr>
              <w:t>（1）远离火种、热源。炎热季节应采取喷淋、通风等降温措施。</w:t>
            </w:r>
          </w:p>
          <w:p w14:paraId="0CDD0E95">
            <w:pPr>
              <w:pStyle w:val="12"/>
              <w:spacing w:before="0" w:beforeAutospacing="0" w:after="0" w:afterAutospacing="0"/>
              <w:rPr>
                <w:rStyle w:val="24"/>
                <w:rFonts w:hint="default" w:ascii="Times New Roman" w:hAnsi="Times New Roman" w:cs="Times New Roman"/>
                <w:sz w:val="21"/>
                <w:szCs w:val="21"/>
              </w:rPr>
            </w:pPr>
            <w:r>
              <w:rPr>
                <w:rStyle w:val="24"/>
                <w:rFonts w:hint="default" w:ascii="Times New Roman" w:hAnsi="Times New Roman" w:cs="Times New Roman"/>
                <w:sz w:val="21"/>
                <w:szCs w:val="21"/>
              </w:rPr>
              <w:t>（2）应与氧化剂分开存放，切忌混储。用储罐、铁桶等容器盛装，不要用塑料桶来存放</w:t>
            </w:r>
            <w:r>
              <w:rPr>
                <w:rStyle w:val="24"/>
                <w:rFonts w:hint="eastAsia" w:ascii="Times New Roman" w:hAnsi="Times New Roman" w:cs="Times New Roman"/>
                <w:sz w:val="21"/>
                <w:szCs w:val="21"/>
                <w:lang w:eastAsia="zh-CN"/>
              </w:rPr>
              <w:t>乙醇汽油</w:t>
            </w:r>
            <w:r>
              <w:rPr>
                <w:rStyle w:val="24"/>
                <w:rFonts w:hint="default" w:ascii="Times New Roman" w:hAnsi="Times New Roman" w:cs="Times New Roman"/>
                <w:sz w:val="21"/>
                <w:szCs w:val="21"/>
              </w:rPr>
              <w:t>。盛装时，切不可充满，要留出必要的安全空间。</w:t>
            </w:r>
          </w:p>
          <w:p w14:paraId="2CF1FE92">
            <w:pPr>
              <w:pStyle w:val="12"/>
              <w:spacing w:before="0" w:beforeAutospacing="0" w:after="0" w:afterAutospacing="0"/>
              <w:rPr>
                <w:rStyle w:val="24"/>
                <w:rFonts w:hint="default" w:ascii="Times New Roman" w:hAnsi="Times New Roman" w:cs="Times New Roman"/>
                <w:sz w:val="21"/>
                <w:szCs w:val="21"/>
              </w:rPr>
            </w:pPr>
            <w:r>
              <w:rPr>
                <w:rStyle w:val="24"/>
                <w:rFonts w:hint="default" w:ascii="Times New Roman" w:hAnsi="Times New Roman" w:cs="Times New Roman"/>
                <w:sz w:val="21"/>
                <w:szCs w:val="21"/>
              </w:rPr>
              <w:t>（3）采用防爆型照明、通风设施。禁止使用易产生火花的机械设备和工具。储存区应备有泄漏应急处理设备和合适的收容材料。罐储时要有防火防爆技术措施。</w:t>
            </w:r>
          </w:p>
          <w:p w14:paraId="723B2D90">
            <w:pPr>
              <w:rPr>
                <w:rFonts w:hint="default" w:ascii="Times New Roman" w:hAnsi="Times New Roman" w:cs="Times New Roman"/>
                <w:b/>
                <w:kern w:val="0"/>
                <w:szCs w:val="21"/>
              </w:rPr>
            </w:pPr>
            <w:r>
              <w:rPr>
                <w:rFonts w:hint="default" w:ascii="Times New Roman" w:hAnsi="Times New Roman" w:cs="Times New Roman"/>
                <w:kern w:val="0"/>
                <w:szCs w:val="21"/>
              </w:rPr>
              <w:t>2、运输安全</w:t>
            </w:r>
          </w:p>
          <w:p w14:paraId="16ED8C30">
            <w:pPr>
              <w:pStyle w:val="12"/>
              <w:spacing w:before="0" w:beforeAutospacing="0" w:after="0" w:afterAutospacing="0"/>
              <w:rPr>
                <w:rStyle w:val="24"/>
                <w:rFonts w:hint="default" w:ascii="Times New Roman" w:hAnsi="Times New Roman" w:cs="Times New Roman"/>
                <w:sz w:val="21"/>
                <w:szCs w:val="21"/>
              </w:rPr>
            </w:pPr>
            <w:r>
              <w:rPr>
                <w:rStyle w:val="24"/>
                <w:rFonts w:hint="default" w:ascii="Times New Roman" w:hAnsi="Times New Roman" w:cs="Times New Roman"/>
                <w:sz w:val="21"/>
                <w:szCs w:val="21"/>
              </w:rPr>
              <w:t>（1）运输车辆应有危险货物运输标志、安装具有行驶记录功能的卫星定位装置。未经公安机关批准，运输车辆不得进入危险化学品运输车辆限制通行的区域。</w:t>
            </w:r>
          </w:p>
          <w:p w14:paraId="38B2E804">
            <w:pPr>
              <w:pStyle w:val="12"/>
              <w:spacing w:before="0" w:beforeAutospacing="0" w:after="0" w:afterAutospacing="0"/>
              <w:rPr>
                <w:rStyle w:val="24"/>
                <w:rFonts w:hint="default" w:ascii="Times New Roman" w:hAnsi="Times New Roman" w:cs="Times New Roman"/>
                <w:sz w:val="21"/>
                <w:szCs w:val="21"/>
              </w:rPr>
            </w:pPr>
            <w:r>
              <w:rPr>
                <w:rStyle w:val="24"/>
                <w:rFonts w:hint="default" w:ascii="Times New Roman" w:hAnsi="Times New Roman" w:cs="Times New Roman"/>
                <w:sz w:val="21"/>
                <w:szCs w:val="21"/>
              </w:rPr>
              <w:t>（2）</w:t>
            </w:r>
            <w:r>
              <w:rPr>
                <w:rStyle w:val="24"/>
                <w:rFonts w:hint="eastAsia" w:ascii="Times New Roman" w:hAnsi="Times New Roman" w:cs="Times New Roman"/>
                <w:sz w:val="21"/>
                <w:szCs w:val="21"/>
                <w:lang w:eastAsia="zh-CN"/>
              </w:rPr>
              <w:t>乙醇汽油</w:t>
            </w:r>
            <w:r>
              <w:rPr>
                <w:rStyle w:val="24"/>
                <w:rFonts w:hint="default" w:ascii="Times New Roman" w:hAnsi="Times New Roman" w:cs="Times New Roman"/>
                <w:sz w:val="21"/>
                <w:szCs w:val="21"/>
              </w:rPr>
              <w:t>装于专用的槽车(船)内运输，槽车(船)应定期清理；用其他包装容器运输时，容器须用盖密封。运送</w:t>
            </w:r>
            <w:r>
              <w:rPr>
                <w:rStyle w:val="24"/>
                <w:rFonts w:hint="eastAsia" w:ascii="Times New Roman" w:hAnsi="Times New Roman" w:cs="Times New Roman"/>
                <w:sz w:val="21"/>
                <w:szCs w:val="21"/>
                <w:lang w:eastAsia="zh-CN"/>
              </w:rPr>
              <w:t>乙醇汽油</w:t>
            </w:r>
            <w:r>
              <w:rPr>
                <w:rStyle w:val="24"/>
                <w:rFonts w:hint="default" w:ascii="Times New Roman" w:hAnsi="Times New Roman" w:cs="Times New Roman"/>
                <w:sz w:val="21"/>
                <w:szCs w:val="21"/>
              </w:rPr>
              <w:t>的油罐汽车，必须有导静电拖线。对有每分钟0.5m</w:t>
            </w:r>
            <w:r>
              <w:rPr>
                <w:rStyle w:val="24"/>
                <w:rFonts w:hint="default" w:ascii="Times New Roman" w:hAnsi="Times New Roman" w:cs="Times New Roman"/>
                <w:sz w:val="21"/>
                <w:szCs w:val="21"/>
                <w:vertAlign w:val="superscript"/>
              </w:rPr>
              <w:t>3</w:t>
            </w:r>
            <w:r>
              <w:rPr>
                <w:rStyle w:val="24"/>
                <w:rFonts w:hint="default" w:ascii="Times New Roman" w:hAnsi="Times New Roman" w:cs="Times New Roman"/>
                <w:sz w:val="21"/>
                <w:szCs w:val="21"/>
              </w:rPr>
              <w:t>以上的快速装卸油设备的油罐汽车，在装卸油时，除了保证铁链接地外，更要将车上油罐的接地线插入地下并不得浅于100mm。运输时运输车辆应配备相应品种和数量的消防器材。装运该物品的车辆排气管必须配备阻火装置，禁止使用易产生火花的机械设备和工具装卸。汽车槽罐内可设孔隔板以减少震荡产生静电。</w:t>
            </w:r>
          </w:p>
          <w:p w14:paraId="7A0B7755">
            <w:pPr>
              <w:pStyle w:val="12"/>
              <w:spacing w:before="0" w:beforeAutospacing="0" w:after="0" w:afterAutospacing="0"/>
              <w:rPr>
                <w:rFonts w:hint="default" w:ascii="Times New Roman" w:hAnsi="Times New Roman" w:cs="Times New Roman"/>
                <w:sz w:val="21"/>
                <w:szCs w:val="21"/>
              </w:rPr>
            </w:pPr>
            <w:r>
              <w:rPr>
                <w:rStyle w:val="24"/>
                <w:rFonts w:hint="default" w:ascii="Times New Roman" w:hAnsi="Times New Roman" w:cs="Times New Roman"/>
                <w:sz w:val="21"/>
                <w:szCs w:val="21"/>
              </w:rPr>
              <w:t>（3）严禁与氧化剂等混装混运。夏季最好早晚运输，运输途中应防曝晒、防雨淋、防高温。中途停留时应远离火种、热源、高温区及人口密集地段。</w:t>
            </w:r>
          </w:p>
        </w:tc>
      </w:tr>
      <w:tr w14:paraId="66B49B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9426" w:type="dxa"/>
            <w:gridSpan w:val="2"/>
          </w:tcPr>
          <w:p w14:paraId="2112B5FC">
            <w:pPr>
              <w:ind w:firstLine="215"/>
              <w:rPr>
                <w:rFonts w:hint="default" w:ascii="Times New Roman" w:hAnsi="Times New Roman" w:cs="Times New Roman"/>
                <w:b/>
                <w:spacing w:val="2"/>
                <w:kern w:val="0"/>
                <w:szCs w:val="21"/>
              </w:rPr>
            </w:pPr>
            <w:r>
              <w:rPr>
                <w:rFonts w:hint="default" w:ascii="Times New Roman" w:hAnsi="Times New Roman" w:cs="Times New Roman"/>
                <w:b w:val="0"/>
                <w:bCs/>
                <w:spacing w:val="2"/>
                <w:kern w:val="0"/>
                <w:szCs w:val="21"/>
              </w:rPr>
              <w:t>二、柴油</w:t>
            </w:r>
          </w:p>
        </w:tc>
      </w:tr>
      <w:tr w14:paraId="4B8AAE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620" w:type="dxa"/>
            <w:vAlign w:val="center"/>
          </w:tcPr>
          <w:p w14:paraId="086C251A">
            <w:pPr>
              <w:jc w:val="center"/>
              <w:rPr>
                <w:rFonts w:hint="default" w:ascii="Times New Roman" w:hAnsi="Times New Roman" w:cs="Times New Roman"/>
                <w:szCs w:val="21"/>
              </w:rPr>
            </w:pPr>
            <w:r>
              <w:rPr>
                <w:rFonts w:hint="default" w:ascii="Times New Roman" w:hAnsi="Times New Roman" w:cs="Times New Roman"/>
                <w:szCs w:val="21"/>
              </w:rPr>
              <w:t>包装类别</w:t>
            </w:r>
          </w:p>
        </w:tc>
        <w:tc>
          <w:tcPr>
            <w:tcW w:w="7806" w:type="dxa"/>
          </w:tcPr>
          <w:p w14:paraId="62437F9D">
            <w:pPr>
              <w:rPr>
                <w:rFonts w:hint="default" w:ascii="Times New Roman" w:hAnsi="Times New Roman" w:cs="Times New Roman"/>
                <w:szCs w:val="21"/>
              </w:rPr>
            </w:pPr>
            <w:r>
              <w:rPr>
                <w:rFonts w:hint="default" w:ascii="Times New Roman" w:hAnsi="Times New Roman" w:cs="Times New Roman"/>
                <w:szCs w:val="21"/>
              </w:rPr>
              <w:t>Ⅲ类</w:t>
            </w:r>
          </w:p>
        </w:tc>
      </w:tr>
      <w:tr w14:paraId="4A0452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620" w:type="dxa"/>
            <w:vAlign w:val="center"/>
          </w:tcPr>
          <w:p w14:paraId="192476BD">
            <w:pPr>
              <w:jc w:val="center"/>
              <w:rPr>
                <w:rFonts w:hint="default" w:ascii="Times New Roman" w:hAnsi="Times New Roman" w:cs="Times New Roman"/>
                <w:szCs w:val="21"/>
              </w:rPr>
            </w:pPr>
            <w:r>
              <w:rPr>
                <w:rFonts w:hint="default" w:ascii="Times New Roman" w:hAnsi="Times New Roman" w:cs="Times New Roman"/>
                <w:szCs w:val="21"/>
              </w:rPr>
              <w:t>危险标志</w:t>
            </w:r>
          </w:p>
        </w:tc>
        <w:tc>
          <w:tcPr>
            <w:tcW w:w="7806" w:type="dxa"/>
          </w:tcPr>
          <w:p w14:paraId="28ED3BF5">
            <w:pPr>
              <w:rPr>
                <w:rFonts w:hint="default" w:ascii="Times New Roman" w:hAnsi="Times New Roman" w:cs="Times New Roman"/>
                <w:szCs w:val="21"/>
              </w:rPr>
            </w:pPr>
            <w:r>
              <w:rPr>
                <w:rFonts w:hint="default" w:ascii="Times New Roman" w:hAnsi="Times New Roman" w:cs="Times New Roman"/>
                <w:szCs w:val="21"/>
              </w:rPr>
              <w:t>易燃液体</w:t>
            </w:r>
          </w:p>
        </w:tc>
      </w:tr>
      <w:tr w14:paraId="66CD3F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620" w:type="dxa"/>
            <w:vAlign w:val="center"/>
          </w:tcPr>
          <w:p w14:paraId="3DB4D4F2">
            <w:pPr>
              <w:jc w:val="center"/>
              <w:rPr>
                <w:rFonts w:hint="default" w:ascii="Times New Roman" w:hAnsi="Times New Roman" w:cs="Times New Roman"/>
                <w:szCs w:val="21"/>
              </w:rPr>
            </w:pPr>
            <w:r>
              <w:rPr>
                <w:rFonts w:hint="default" w:ascii="Times New Roman" w:hAnsi="Times New Roman" w:cs="Times New Roman"/>
                <w:szCs w:val="21"/>
              </w:rPr>
              <w:t>包装方法</w:t>
            </w:r>
          </w:p>
        </w:tc>
        <w:tc>
          <w:tcPr>
            <w:tcW w:w="7806" w:type="dxa"/>
          </w:tcPr>
          <w:p w14:paraId="2440E22C">
            <w:pPr>
              <w:rPr>
                <w:rFonts w:hint="default" w:ascii="Times New Roman" w:hAnsi="Times New Roman" w:cs="Times New Roman"/>
                <w:szCs w:val="21"/>
              </w:rPr>
            </w:pPr>
            <w:r>
              <w:rPr>
                <w:rFonts w:hint="default" w:ascii="Times New Roman" w:hAnsi="Times New Roman" w:cs="Times New Roman"/>
                <w:szCs w:val="21"/>
              </w:rPr>
              <w:t>罐装</w:t>
            </w:r>
          </w:p>
        </w:tc>
      </w:tr>
      <w:tr w14:paraId="56F475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620" w:type="dxa"/>
            <w:vAlign w:val="center"/>
          </w:tcPr>
          <w:p w14:paraId="4AFE56C9">
            <w:pPr>
              <w:jc w:val="center"/>
              <w:rPr>
                <w:rFonts w:hint="default" w:ascii="Times New Roman" w:hAnsi="Times New Roman" w:cs="Times New Roman"/>
                <w:szCs w:val="21"/>
              </w:rPr>
            </w:pPr>
            <w:r>
              <w:rPr>
                <w:rFonts w:hint="default" w:ascii="Times New Roman" w:hAnsi="Times New Roman" w:cs="Times New Roman"/>
                <w:szCs w:val="21"/>
              </w:rPr>
              <w:t>储存、运输技术要求</w:t>
            </w:r>
          </w:p>
        </w:tc>
        <w:tc>
          <w:tcPr>
            <w:tcW w:w="7806" w:type="dxa"/>
          </w:tcPr>
          <w:p w14:paraId="13C07F48">
            <w:pPr>
              <w:pStyle w:val="23"/>
              <w:widowControl w:val="0"/>
              <w:spacing w:before="0" w:beforeAutospacing="0" w:after="0" w:afterAutospacing="0" w:line="240" w:lineRule="auto"/>
              <w:jc w:val="both"/>
              <w:rPr>
                <w:rFonts w:hint="default" w:ascii="Times New Roman" w:hAnsi="Times New Roman" w:cs="Times New Roman"/>
                <w:sz w:val="21"/>
                <w:szCs w:val="21"/>
              </w:rPr>
            </w:pPr>
            <w:r>
              <w:rPr>
                <w:rFonts w:hint="default" w:ascii="Times New Roman" w:hAnsi="Times New Roman" w:cs="Times New Roman"/>
                <w:sz w:val="21"/>
                <w:szCs w:val="21"/>
              </w:rPr>
              <w:t>1、储存安全</w:t>
            </w:r>
          </w:p>
          <w:p w14:paraId="3FE44746">
            <w:pPr>
              <w:rPr>
                <w:rFonts w:hint="default" w:ascii="Times New Roman" w:hAnsi="Times New Roman" w:cs="Times New Roman"/>
                <w:szCs w:val="21"/>
              </w:rPr>
            </w:pPr>
            <w:r>
              <w:rPr>
                <w:rFonts w:hint="default" w:ascii="Times New Roman" w:hAnsi="Times New Roman" w:cs="Times New Roman"/>
                <w:szCs w:val="21"/>
              </w:rPr>
              <w:t>远离火种、热源。应与氧化剂、卤素分开存放，切忌混储。采用防爆型照明、通风设施。禁止使用易产生火花的机械设备和工具。储区应备有泄漏应急处理设备和合适的收容材料。</w:t>
            </w:r>
          </w:p>
          <w:p w14:paraId="5FE67FAA">
            <w:pPr>
              <w:rPr>
                <w:rFonts w:hint="default" w:ascii="Times New Roman" w:hAnsi="Times New Roman" w:cs="Times New Roman"/>
                <w:szCs w:val="21"/>
              </w:rPr>
            </w:pPr>
            <w:r>
              <w:rPr>
                <w:rFonts w:hint="default" w:ascii="Times New Roman" w:hAnsi="Times New Roman" w:cs="Times New Roman"/>
                <w:szCs w:val="21"/>
              </w:rPr>
              <w:t>2、运输安全</w:t>
            </w:r>
          </w:p>
          <w:p w14:paraId="185B0DBC">
            <w:pPr>
              <w:pStyle w:val="5"/>
              <w:spacing w:line="240" w:lineRule="auto"/>
              <w:ind w:firstLine="420"/>
              <w:rPr>
                <w:rFonts w:hint="default" w:ascii="Times New Roman" w:hAnsi="Times New Roman" w:cs="Times New Roman"/>
                <w:sz w:val="21"/>
                <w:szCs w:val="21"/>
              </w:rPr>
            </w:pPr>
            <w:r>
              <w:rPr>
                <w:rFonts w:hint="default" w:ascii="Times New Roman" w:hAnsi="Times New Roman" w:cs="Times New Roman"/>
                <w:sz w:val="21"/>
                <w:szCs w:val="21"/>
              </w:rPr>
              <w:t>运输前应先检查包装容器是否完整、密封，运输过程中要确保容器不泄漏、不倒塌、不坠落、不损坏。运输时运输车辆应配备相应品种和数量的消防器材及泄漏应急处理设备。夏季最好早晚运输。运输时所用的槽（罐）车应有接地链，槽内可设孔隔板以减少震荡产生静电。严禁与氧化剂、卤素、食用化学品等混装混运。运输途中应防曝晒、雨淋，防高温。中途停留时应远离火种、热源、高温区。装运该物品的车辆排气管必须配备阻火装置，禁止使用易产生火花的机械设备和工具装卸。运输车船必须彻底清洗、消毒，否则不得装运其它物品。船运时，配装位置应远离卧室、厨房，并与机舱、电源、火源等部位隔离。公路运输时要按规定路线行驶。</w:t>
            </w:r>
          </w:p>
        </w:tc>
      </w:tr>
    </w:tbl>
    <w:p w14:paraId="6F3DBB53">
      <w:pPr>
        <w:pStyle w:val="5"/>
        <w:rPr>
          <w:rFonts w:hint="default" w:ascii="Times New Roman" w:hAnsi="Times New Roman" w:cs="Times New Roman"/>
        </w:rPr>
      </w:pPr>
    </w:p>
    <w:p w14:paraId="25066C7B">
      <w:pPr>
        <w:rPr>
          <w:rFonts w:hint="default" w:ascii="Times New Roman" w:hAnsi="Times New Roman" w:cs="Times New Roman"/>
        </w:rPr>
      </w:pPr>
    </w:p>
    <w:p w14:paraId="597684C1">
      <w:pPr>
        <w:pStyle w:val="5"/>
        <w:rPr>
          <w:rFonts w:hint="default" w:ascii="Times New Roman" w:hAnsi="Times New Roman" w:cs="Times New Roman"/>
        </w:rPr>
      </w:pPr>
    </w:p>
    <w:p w14:paraId="6C7C83EA">
      <w:pPr>
        <w:rPr>
          <w:rFonts w:hint="default" w:ascii="Times New Roman" w:hAnsi="Times New Roman" w:cs="Times New Roman"/>
        </w:rPr>
      </w:pPr>
    </w:p>
    <w:p w14:paraId="42CFBBEB">
      <w:pPr>
        <w:pStyle w:val="5"/>
        <w:rPr>
          <w:rFonts w:hint="default" w:ascii="Times New Roman" w:hAnsi="Times New Roman" w:cs="Times New Roman"/>
        </w:rPr>
      </w:pPr>
    </w:p>
    <w:p w14:paraId="25C862D5">
      <w:pPr>
        <w:rPr>
          <w:rFonts w:hint="default" w:ascii="Times New Roman" w:hAnsi="Times New Roman" w:cs="Times New Roman"/>
        </w:rPr>
      </w:pPr>
    </w:p>
    <w:p w14:paraId="157ED37A">
      <w:pPr>
        <w:pStyle w:val="5"/>
        <w:rPr>
          <w:rFonts w:hint="default" w:ascii="Times New Roman" w:hAnsi="Times New Roman" w:cs="Times New Roman"/>
        </w:rPr>
      </w:pPr>
    </w:p>
    <w:p w14:paraId="68AFB81E">
      <w:pPr>
        <w:rPr>
          <w:rFonts w:hint="default" w:ascii="Times New Roman" w:hAnsi="Times New Roman" w:cs="Times New Roman"/>
        </w:rPr>
      </w:pPr>
    </w:p>
    <w:p w14:paraId="4A69994C">
      <w:pPr>
        <w:pStyle w:val="5"/>
        <w:rPr>
          <w:rFonts w:hint="default" w:ascii="Times New Roman" w:hAnsi="Times New Roman" w:cs="Times New Roman"/>
        </w:rPr>
      </w:pPr>
    </w:p>
    <w:p w14:paraId="74DD6C96">
      <w:pPr>
        <w:rPr>
          <w:rFonts w:hint="default" w:ascii="Times New Roman" w:hAnsi="Times New Roman" w:cs="Times New Roman"/>
        </w:rPr>
      </w:pPr>
    </w:p>
    <w:p w14:paraId="71185191">
      <w:pPr>
        <w:pStyle w:val="5"/>
        <w:rPr>
          <w:rFonts w:hint="default" w:ascii="Times New Roman" w:hAnsi="Times New Roman" w:cs="Times New Roman"/>
        </w:rPr>
      </w:pPr>
    </w:p>
    <w:p w14:paraId="4CF79740">
      <w:pPr>
        <w:rPr>
          <w:rFonts w:hint="default" w:ascii="Times New Roman" w:hAnsi="Times New Roman" w:cs="Times New Roman"/>
        </w:rPr>
      </w:pPr>
    </w:p>
    <w:p w14:paraId="6C82A1D2">
      <w:pPr>
        <w:rPr>
          <w:rFonts w:hint="default" w:ascii="Times New Roman" w:hAnsi="Times New Roman" w:cs="Times New Roman"/>
        </w:rPr>
      </w:pPr>
    </w:p>
    <w:p w14:paraId="13A60A5D">
      <w:pPr>
        <w:rPr>
          <w:rFonts w:hint="default" w:ascii="Times New Roman" w:hAnsi="Times New Roman" w:cs="Times New Roman"/>
        </w:rPr>
      </w:pPr>
    </w:p>
    <w:p w14:paraId="49AFB1D1">
      <w:pPr>
        <w:rPr>
          <w:rFonts w:hint="default" w:ascii="Times New Roman" w:hAnsi="Times New Roman" w:cs="Times New Roman"/>
        </w:rPr>
      </w:pPr>
    </w:p>
    <w:p w14:paraId="14E55E66">
      <w:pPr>
        <w:rPr>
          <w:rFonts w:hint="default" w:ascii="Times New Roman" w:hAnsi="Times New Roman" w:cs="Times New Roman"/>
        </w:rPr>
      </w:pPr>
    </w:p>
    <w:p w14:paraId="123EEC86">
      <w:pPr>
        <w:rPr>
          <w:rFonts w:hint="default" w:ascii="Times New Roman" w:hAnsi="Times New Roman" w:cs="Times New Roman"/>
        </w:rPr>
      </w:pPr>
    </w:p>
    <w:p w14:paraId="5B8B631A">
      <w:pPr>
        <w:rPr>
          <w:rFonts w:hint="default" w:ascii="Times New Roman" w:hAnsi="Times New Roman" w:cs="Times New Roman"/>
        </w:rPr>
      </w:pPr>
    </w:p>
    <w:p w14:paraId="1D39B657">
      <w:pPr>
        <w:rPr>
          <w:rFonts w:hint="default" w:ascii="Times New Roman" w:hAnsi="Times New Roman" w:cs="Times New Roman"/>
        </w:rPr>
      </w:pPr>
    </w:p>
    <w:p w14:paraId="0B4DB945">
      <w:pPr>
        <w:rPr>
          <w:rFonts w:hint="default" w:ascii="Times New Roman" w:hAnsi="Times New Roman" w:cs="Times New Roman"/>
        </w:rPr>
      </w:pPr>
    </w:p>
    <w:p w14:paraId="00954258">
      <w:pPr>
        <w:rPr>
          <w:rFonts w:hint="default" w:ascii="Times New Roman" w:hAnsi="Times New Roman" w:cs="Times New Roman"/>
        </w:rPr>
      </w:pPr>
    </w:p>
    <w:p w14:paraId="69A8F902">
      <w:pPr>
        <w:pStyle w:val="5"/>
        <w:rPr>
          <w:rFonts w:hint="default" w:ascii="Times New Roman" w:hAnsi="Times New Roman" w:cs="Times New Roman"/>
        </w:rPr>
      </w:pPr>
    </w:p>
    <w:p w14:paraId="49264A66">
      <w:pPr>
        <w:rPr>
          <w:rFonts w:hint="default" w:ascii="Times New Roman" w:hAnsi="Times New Roman" w:cs="Times New Roman"/>
        </w:rPr>
      </w:pPr>
    </w:p>
    <w:p w14:paraId="3A119FCE">
      <w:pPr>
        <w:pStyle w:val="5"/>
        <w:rPr>
          <w:rFonts w:hint="default" w:ascii="Times New Roman" w:hAnsi="Times New Roman" w:cs="Times New Roman"/>
        </w:rPr>
      </w:pPr>
    </w:p>
    <w:p w14:paraId="7CB62259">
      <w:pPr>
        <w:rPr>
          <w:rFonts w:hint="default" w:ascii="Times New Roman" w:hAnsi="Times New Roman" w:cs="Times New Roman"/>
        </w:rPr>
      </w:pPr>
    </w:p>
    <w:p w14:paraId="1B936F2D">
      <w:pPr>
        <w:keepNext w:val="0"/>
        <w:keepLines w:val="0"/>
        <w:pageBreakBefore w:val="0"/>
        <w:widowControl w:val="0"/>
        <w:kinsoku/>
        <w:wordWrap/>
        <w:overflowPunct/>
        <w:topLinePunct w:val="0"/>
        <w:autoSpaceDE/>
        <w:autoSpaceDN/>
        <w:bidi w:val="0"/>
        <w:adjustRightInd/>
        <w:snapToGrid/>
        <w:spacing w:before="490" w:beforeLines="150" w:after="490" w:afterLines="150" w:line="360" w:lineRule="auto"/>
        <w:ind w:firstLine="0"/>
        <w:jc w:val="center"/>
        <w:textAlignment w:val="auto"/>
        <w:outlineLvl w:val="0"/>
        <w:rPr>
          <w:rFonts w:hint="default" w:ascii="Times New Roman" w:hAnsi="Times New Roman" w:eastAsia="黑体" w:cs="Times New Roman"/>
          <w:b/>
          <w:bCs/>
          <w:sz w:val="32"/>
          <w:szCs w:val="32"/>
        </w:rPr>
      </w:pPr>
      <w:bookmarkStart w:id="164" w:name="_Toc41246694"/>
      <w:bookmarkStart w:id="165" w:name="_Toc1053"/>
      <w:bookmarkStart w:id="166" w:name="_Toc8511"/>
      <w:r>
        <w:rPr>
          <w:rFonts w:hint="default" w:ascii="Times New Roman" w:hAnsi="Times New Roman" w:eastAsia="黑体" w:cs="Times New Roman"/>
          <w:b/>
          <w:bCs/>
          <w:sz w:val="32"/>
          <w:szCs w:val="32"/>
        </w:rPr>
        <w:t>5建设项目的危险、有害因素和危险、有害程度</w:t>
      </w:r>
      <w:bookmarkEnd w:id="164"/>
      <w:bookmarkEnd w:id="165"/>
      <w:bookmarkEnd w:id="166"/>
    </w:p>
    <w:p w14:paraId="2289C57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lang w:val="en-US" w:eastAsia="zh-CN"/>
        </w:rPr>
      </w:pPr>
      <w:bookmarkStart w:id="167" w:name="_Toc31210"/>
      <w:bookmarkStart w:id="168" w:name="_Toc8613"/>
      <w:bookmarkStart w:id="169" w:name="_Toc41246695"/>
      <w:bookmarkStart w:id="170" w:name="_Toc30675"/>
      <w:r>
        <w:rPr>
          <w:rFonts w:hint="default" w:ascii="Times New Roman" w:hAnsi="Times New Roman" w:eastAsia="宋体" w:cs="Times New Roman"/>
          <w:sz w:val="28"/>
          <w:szCs w:val="28"/>
          <w:lang w:val="en-US" w:eastAsia="zh-CN"/>
        </w:rPr>
        <w:t>根据《生产过程危险和有害因素分类与代码》和《生产安全事故分类与编码》等的有关规定对本项目储存、经营过程中存在的危险、有害因素进行辨识。</w:t>
      </w:r>
    </w:p>
    <w:p w14:paraId="3471EF1D">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5.1危险、有害因素</w:t>
      </w:r>
      <w:bookmarkEnd w:id="167"/>
      <w:bookmarkEnd w:id="168"/>
      <w:bookmarkEnd w:id="169"/>
      <w:bookmarkEnd w:id="170"/>
    </w:p>
    <w:p w14:paraId="4B8E8FFF">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71" w:name="_Toc27126"/>
      <w:bookmarkStart w:id="172" w:name="_Toc146488854"/>
      <w:bookmarkStart w:id="173" w:name="_Toc41246696"/>
      <w:bookmarkStart w:id="174" w:name="_Toc2496"/>
      <w:r>
        <w:rPr>
          <w:rFonts w:hint="default" w:ascii="Times New Roman" w:hAnsi="Times New Roman" w:eastAsia="黑体" w:cs="Times New Roman"/>
          <w:b/>
          <w:bCs/>
          <w:color w:val="auto"/>
          <w:sz w:val="28"/>
          <w:szCs w:val="32"/>
          <w:lang w:val="en-US" w:eastAsia="zh-CN"/>
        </w:rPr>
        <w:t>5.1.1建设项目可能造成爆炸、火灾、中毒事故的危险、有害因素及其分布</w:t>
      </w:r>
      <w:bookmarkEnd w:id="171"/>
      <w:bookmarkEnd w:id="172"/>
      <w:bookmarkEnd w:id="173"/>
      <w:bookmarkEnd w:id="174"/>
    </w:p>
    <w:p w14:paraId="7D9A556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本项目可能造成爆炸、火灾、中毒事故的危险、有害因素及其分布辨识结果，见表</w:t>
      </w:r>
      <w:r>
        <w:rPr>
          <w:rFonts w:hint="eastAsia" w:ascii="Times New Roman" w:hAnsi="Times New Roman" w:cs="Times New Roman"/>
          <w:sz w:val="28"/>
          <w:szCs w:val="28"/>
          <w:lang w:val="en-US" w:eastAsia="zh-CN"/>
        </w:rPr>
        <w:t>5.1</w:t>
      </w:r>
      <w:r>
        <w:rPr>
          <w:rFonts w:hint="default" w:ascii="Times New Roman" w:hAnsi="Times New Roman" w:cs="Times New Roman"/>
          <w:sz w:val="28"/>
          <w:szCs w:val="28"/>
          <w:lang w:val="en-US" w:eastAsia="zh-CN"/>
        </w:rPr>
        <w:t>-1。</w:t>
      </w:r>
    </w:p>
    <w:p w14:paraId="705606F7">
      <w:pPr>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jc w:val="center"/>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5.1</w:t>
      </w:r>
      <w:r>
        <w:rPr>
          <w:rFonts w:hint="default" w:ascii="Times New Roman" w:hAnsi="Times New Roman" w:eastAsia="黑体" w:cs="Times New Roman"/>
          <w:sz w:val="24"/>
          <w:szCs w:val="24"/>
        </w:rPr>
        <w:t>-1</w:t>
      </w:r>
      <w:r>
        <w:rPr>
          <w:rFonts w:hint="eastAsia" w:ascii="Times New Roman" w:hAnsi="Times New Roman" w:eastAsia="黑体" w:cs="Times New Roman"/>
          <w:sz w:val="24"/>
          <w:szCs w:val="24"/>
          <w:lang w:val="en-US" w:eastAsia="zh-CN"/>
        </w:rPr>
        <w:t xml:space="preserve"> </w:t>
      </w:r>
      <w:r>
        <w:rPr>
          <w:rFonts w:hint="default" w:ascii="Times New Roman" w:hAnsi="Times New Roman" w:eastAsia="黑体" w:cs="Times New Roman"/>
          <w:sz w:val="24"/>
          <w:szCs w:val="24"/>
        </w:rPr>
        <w:t xml:space="preserve"> 可能造成爆炸、火灾、中毒事故的危险、有害因素及其分布辨识结果表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2009"/>
        <w:gridCol w:w="5298"/>
        <w:gridCol w:w="1083"/>
      </w:tblGrid>
      <w:tr w14:paraId="2CAEC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10" w:type="dxa"/>
            <w:vAlign w:val="center"/>
          </w:tcPr>
          <w:p w14:paraId="672501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序号</w:t>
            </w:r>
          </w:p>
        </w:tc>
        <w:tc>
          <w:tcPr>
            <w:tcW w:w="2009" w:type="dxa"/>
            <w:vAlign w:val="center"/>
          </w:tcPr>
          <w:p w14:paraId="261282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危险、有害因素</w:t>
            </w:r>
          </w:p>
        </w:tc>
        <w:tc>
          <w:tcPr>
            <w:tcW w:w="5298" w:type="dxa"/>
            <w:vAlign w:val="center"/>
          </w:tcPr>
          <w:p w14:paraId="6A3BD4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危险部位或场所</w:t>
            </w:r>
          </w:p>
        </w:tc>
        <w:tc>
          <w:tcPr>
            <w:tcW w:w="1083" w:type="dxa"/>
            <w:vAlign w:val="center"/>
          </w:tcPr>
          <w:p w14:paraId="27EF9B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备注</w:t>
            </w:r>
          </w:p>
        </w:tc>
      </w:tr>
      <w:tr w14:paraId="3B28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10" w:type="dxa"/>
            <w:vAlign w:val="center"/>
          </w:tcPr>
          <w:p w14:paraId="157C90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1</w:t>
            </w:r>
          </w:p>
        </w:tc>
        <w:tc>
          <w:tcPr>
            <w:tcW w:w="2009" w:type="dxa"/>
            <w:vAlign w:val="center"/>
          </w:tcPr>
          <w:p w14:paraId="668435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火灾</w:t>
            </w:r>
          </w:p>
        </w:tc>
        <w:tc>
          <w:tcPr>
            <w:tcW w:w="5298" w:type="dxa"/>
            <w:vAlign w:val="center"/>
          </w:tcPr>
          <w:p w14:paraId="01FBBE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埋地储油罐区、卸油</w:t>
            </w:r>
            <w:r>
              <w:rPr>
                <w:rFonts w:hint="eastAsia" w:ascii="Times New Roman" w:hAnsi="Times New Roman" w:eastAsia="宋体" w:cs="Times New Roman"/>
                <w:bCs/>
                <w:kern w:val="0"/>
                <w:sz w:val="21"/>
                <w:szCs w:val="21"/>
                <w:lang w:val="en-US" w:eastAsia="zh-CN" w:bidi="ar-SA"/>
              </w:rPr>
              <w:t>区</w:t>
            </w:r>
            <w:r>
              <w:rPr>
                <w:rFonts w:hint="default" w:ascii="Times New Roman" w:hAnsi="Times New Roman" w:eastAsia="宋体" w:cs="Times New Roman"/>
                <w:bCs/>
                <w:kern w:val="0"/>
                <w:sz w:val="21"/>
                <w:szCs w:val="21"/>
                <w:lang w:val="en-US" w:eastAsia="zh-CN" w:bidi="ar-SA"/>
              </w:rPr>
              <w:t>、加油</w:t>
            </w:r>
            <w:r>
              <w:rPr>
                <w:rFonts w:hint="eastAsia" w:ascii="Times New Roman" w:hAnsi="Times New Roman" w:eastAsia="宋体" w:cs="Times New Roman"/>
                <w:bCs/>
                <w:kern w:val="0"/>
                <w:sz w:val="21"/>
                <w:szCs w:val="21"/>
                <w:lang w:val="en-US" w:eastAsia="zh-CN" w:bidi="ar-SA"/>
              </w:rPr>
              <w:t>区</w:t>
            </w:r>
            <w:r>
              <w:rPr>
                <w:rFonts w:hint="default" w:ascii="Times New Roman" w:hAnsi="Times New Roman" w:eastAsia="宋体" w:cs="Times New Roman"/>
                <w:bCs/>
                <w:kern w:val="0"/>
                <w:sz w:val="21"/>
                <w:szCs w:val="21"/>
                <w:lang w:val="en-US" w:eastAsia="zh-CN" w:bidi="ar-SA"/>
              </w:rPr>
              <w:t>、站房、配电设施</w:t>
            </w:r>
          </w:p>
        </w:tc>
        <w:tc>
          <w:tcPr>
            <w:tcW w:w="1083" w:type="dxa"/>
            <w:vAlign w:val="center"/>
          </w:tcPr>
          <w:p w14:paraId="3D5940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p>
        </w:tc>
      </w:tr>
      <w:tr w14:paraId="6709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10" w:type="dxa"/>
            <w:vAlign w:val="center"/>
          </w:tcPr>
          <w:p w14:paraId="55503C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2</w:t>
            </w:r>
          </w:p>
        </w:tc>
        <w:tc>
          <w:tcPr>
            <w:tcW w:w="2009" w:type="dxa"/>
            <w:vAlign w:val="center"/>
          </w:tcPr>
          <w:p w14:paraId="71445D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eastAsia" w:ascii="Times New Roman" w:hAnsi="Times New Roman" w:eastAsia="宋体" w:cs="Times New Roman"/>
                <w:bCs/>
                <w:kern w:val="0"/>
                <w:sz w:val="21"/>
                <w:szCs w:val="21"/>
                <w:lang w:val="en-US" w:eastAsia="zh-CN" w:bidi="ar-SA"/>
              </w:rPr>
              <w:t>管道</w:t>
            </w:r>
            <w:r>
              <w:rPr>
                <w:rFonts w:hint="default" w:ascii="Times New Roman" w:hAnsi="Times New Roman" w:eastAsia="宋体" w:cs="Times New Roman"/>
                <w:bCs/>
                <w:kern w:val="0"/>
                <w:sz w:val="21"/>
                <w:szCs w:val="21"/>
                <w:lang w:val="en-US" w:eastAsia="zh-CN" w:bidi="ar-SA"/>
              </w:rPr>
              <w:t>爆炸</w:t>
            </w:r>
          </w:p>
        </w:tc>
        <w:tc>
          <w:tcPr>
            <w:tcW w:w="5298" w:type="dxa"/>
            <w:vAlign w:val="center"/>
          </w:tcPr>
          <w:p w14:paraId="51C2E6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埋地储油罐区、卸油</w:t>
            </w:r>
            <w:r>
              <w:rPr>
                <w:rFonts w:hint="eastAsia" w:ascii="Times New Roman" w:hAnsi="Times New Roman" w:eastAsia="宋体" w:cs="Times New Roman"/>
                <w:bCs/>
                <w:kern w:val="0"/>
                <w:sz w:val="21"/>
                <w:szCs w:val="21"/>
                <w:lang w:val="en-US" w:eastAsia="zh-CN" w:bidi="ar-SA"/>
              </w:rPr>
              <w:t>区</w:t>
            </w:r>
            <w:r>
              <w:rPr>
                <w:rFonts w:hint="default" w:ascii="Times New Roman" w:hAnsi="Times New Roman" w:eastAsia="宋体" w:cs="Times New Roman"/>
                <w:bCs/>
                <w:kern w:val="0"/>
                <w:sz w:val="21"/>
                <w:szCs w:val="21"/>
                <w:lang w:val="en-US" w:eastAsia="zh-CN" w:bidi="ar-SA"/>
              </w:rPr>
              <w:t>、加油</w:t>
            </w:r>
            <w:r>
              <w:rPr>
                <w:rFonts w:hint="eastAsia" w:ascii="Times New Roman" w:hAnsi="Times New Roman" w:eastAsia="宋体" w:cs="Times New Roman"/>
                <w:bCs/>
                <w:kern w:val="0"/>
                <w:sz w:val="21"/>
                <w:szCs w:val="21"/>
                <w:lang w:val="en-US" w:eastAsia="zh-CN" w:bidi="ar-SA"/>
              </w:rPr>
              <w:t>区</w:t>
            </w:r>
          </w:p>
        </w:tc>
        <w:tc>
          <w:tcPr>
            <w:tcW w:w="1083" w:type="dxa"/>
            <w:vAlign w:val="center"/>
          </w:tcPr>
          <w:p w14:paraId="608865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p>
        </w:tc>
      </w:tr>
      <w:tr w14:paraId="2EB8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10" w:type="dxa"/>
            <w:vAlign w:val="center"/>
          </w:tcPr>
          <w:p w14:paraId="53ED23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eastAsia" w:cs="Times New Roman"/>
                <w:bCs/>
                <w:kern w:val="0"/>
                <w:sz w:val="21"/>
                <w:szCs w:val="21"/>
                <w:lang w:val="en-US" w:eastAsia="zh-CN" w:bidi="ar-SA"/>
              </w:rPr>
              <w:t>3</w:t>
            </w:r>
          </w:p>
        </w:tc>
        <w:tc>
          <w:tcPr>
            <w:tcW w:w="2009" w:type="dxa"/>
            <w:vAlign w:val="center"/>
          </w:tcPr>
          <w:p w14:paraId="3BDBE4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Cs/>
                <w:kern w:val="0"/>
                <w:sz w:val="21"/>
                <w:szCs w:val="21"/>
                <w:lang w:val="en-US" w:eastAsia="zh-CN" w:bidi="ar-SA"/>
              </w:rPr>
            </w:pPr>
            <w:r>
              <w:rPr>
                <w:rFonts w:hint="eastAsia" w:ascii="Times New Roman" w:hAnsi="Times New Roman" w:eastAsia="宋体" w:cs="Times New Roman"/>
                <w:bCs/>
                <w:kern w:val="0"/>
                <w:sz w:val="21"/>
                <w:szCs w:val="21"/>
                <w:lang w:val="en-US" w:eastAsia="zh-CN" w:bidi="ar-SA"/>
              </w:rPr>
              <w:t>可燃液体蒸汽爆炸</w:t>
            </w:r>
          </w:p>
        </w:tc>
        <w:tc>
          <w:tcPr>
            <w:tcW w:w="5298" w:type="dxa"/>
            <w:vAlign w:val="center"/>
          </w:tcPr>
          <w:p w14:paraId="026EF3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埋地储油罐区、卸油</w:t>
            </w:r>
            <w:r>
              <w:rPr>
                <w:rFonts w:hint="eastAsia" w:ascii="Times New Roman" w:hAnsi="Times New Roman" w:eastAsia="宋体" w:cs="Times New Roman"/>
                <w:bCs/>
                <w:kern w:val="0"/>
                <w:sz w:val="21"/>
                <w:szCs w:val="21"/>
                <w:lang w:val="en-US" w:eastAsia="zh-CN" w:bidi="ar-SA"/>
              </w:rPr>
              <w:t>区</w:t>
            </w:r>
            <w:r>
              <w:rPr>
                <w:rFonts w:hint="default" w:ascii="Times New Roman" w:hAnsi="Times New Roman" w:eastAsia="宋体" w:cs="Times New Roman"/>
                <w:bCs/>
                <w:kern w:val="0"/>
                <w:sz w:val="21"/>
                <w:szCs w:val="21"/>
                <w:lang w:val="en-US" w:eastAsia="zh-CN" w:bidi="ar-SA"/>
              </w:rPr>
              <w:t>、加油</w:t>
            </w:r>
            <w:r>
              <w:rPr>
                <w:rFonts w:hint="eastAsia" w:ascii="Times New Roman" w:hAnsi="Times New Roman" w:eastAsia="宋体" w:cs="Times New Roman"/>
                <w:bCs/>
                <w:kern w:val="0"/>
                <w:sz w:val="21"/>
                <w:szCs w:val="21"/>
                <w:lang w:val="en-US" w:eastAsia="zh-CN" w:bidi="ar-SA"/>
              </w:rPr>
              <w:t>区</w:t>
            </w:r>
          </w:p>
        </w:tc>
        <w:tc>
          <w:tcPr>
            <w:tcW w:w="1083" w:type="dxa"/>
            <w:vAlign w:val="center"/>
          </w:tcPr>
          <w:p w14:paraId="32222C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p>
        </w:tc>
      </w:tr>
      <w:tr w14:paraId="7133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10" w:type="dxa"/>
            <w:vAlign w:val="center"/>
          </w:tcPr>
          <w:p w14:paraId="539593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eastAsia" w:cs="Times New Roman"/>
                <w:bCs/>
                <w:kern w:val="0"/>
                <w:sz w:val="21"/>
                <w:szCs w:val="21"/>
                <w:lang w:val="en-US" w:eastAsia="zh-CN" w:bidi="ar-SA"/>
              </w:rPr>
              <w:t>4</w:t>
            </w:r>
          </w:p>
        </w:tc>
        <w:tc>
          <w:tcPr>
            <w:tcW w:w="2009" w:type="dxa"/>
            <w:vAlign w:val="center"/>
          </w:tcPr>
          <w:p w14:paraId="4A74A4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中毒</w:t>
            </w:r>
          </w:p>
        </w:tc>
        <w:tc>
          <w:tcPr>
            <w:tcW w:w="5298" w:type="dxa"/>
            <w:vAlign w:val="center"/>
          </w:tcPr>
          <w:p w14:paraId="7AB45A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埋地储油罐区、卸油</w:t>
            </w:r>
            <w:r>
              <w:rPr>
                <w:rFonts w:hint="eastAsia" w:ascii="Times New Roman" w:hAnsi="Times New Roman" w:eastAsia="宋体" w:cs="Times New Roman"/>
                <w:bCs/>
                <w:kern w:val="0"/>
                <w:sz w:val="21"/>
                <w:szCs w:val="21"/>
                <w:lang w:val="en-US" w:eastAsia="zh-CN" w:bidi="ar-SA"/>
              </w:rPr>
              <w:t>区</w:t>
            </w:r>
            <w:r>
              <w:rPr>
                <w:rFonts w:hint="default" w:ascii="Times New Roman" w:hAnsi="Times New Roman" w:eastAsia="宋体" w:cs="Times New Roman"/>
                <w:bCs/>
                <w:kern w:val="0"/>
                <w:sz w:val="21"/>
                <w:szCs w:val="21"/>
                <w:lang w:val="en-US" w:eastAsia="zh-CN" w:bidi="ar-SA"/>
              </w:rPr>
              <w:t>、加油</w:t>
            </w:r>
            <w:r>
              <w:rPr>
                <w:rFonts w:hint="eastAsia" w:ascii="Times New Roman" w:hAnsi="Times New Roman" w:eastAsia="宋体" w:cs="Times New Roman"/>
                <w:bCs/>
                <w:kern w:val="0"/>
                <w:sz w:val="21"/>
                <w:szCs w:val="21"/>
                <w:lang w:val="en-US" w:eastAsia="zh-CN" w:bidi="ar-SA"/>
              </w:rPr>
              <w:t>区</w:t>
            </w:r>
          </w:p>
        </w:tc>
        <w:tc>
          <w:tcPr>
            <w:tcW w:w="1083" w:type="dxa"/>
            <w:vAlign w:val="center"/>
          </w:tcPr>
          <w:p w14:paraId="5ADAE7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p>
        </w:tc>
      </w:tr>
      <w:tr w14:paraId="2BFE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10" w:type="dxa"/>
            <w:vAlign w:val="center"/>
          </w:tcPr>
          <w:p w14:paraId="72CFCB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Cs/>
                <w:kern w:val="0"/>
                <w:sz w:val="21"/>
                <w:szCs w:val="21"/>
                <w:lang w:val="en-US" w:eastAsia="zh-CN" w:bidi="ar-SA"/>
              </w:rPr>
            </w:pPr>
            <w:r>
              <w:rPr>
                <w:rFonts w:hint="eastAsia" w:cs="Times New Roman"/>
                <w:bCs/>
                <w:kern w:val="0"/>
                <w:sz w:val="21"/>
                <w:szCs w:val="21"/>
                <w:lang w:val="en-US" w:eastAsia="zh-CN" w:bidi="ar-SA"/>
              </w:rPr>
              <w:t>5</w:t>
            </w:r>
          </w:p>
        </w:tc>
        <w:tc>
          <w:tcPr>
            <w:tcW w:w="2009" w:type="dxa"/>
            <w:vAlign w:val="center"/>
          </w:tcPr>
          <w:p w14:paraId="46731D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窒息</w:t>
            </w:r>
          </w:p>
        </w:tc>
        <w:tc>
          <w:tcPr>
            <w:tcW w:w="5298" w:type="dxa"/>
            <w:vAlign w:val="center"/>
          </w:tcPr>
          <w:p w14:paraId="411E01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埋地储油罐区、卸油</w:t>
            </w:r>
            <w:r>
              <w:rPr>
                <w:rFonts w:hint="eastAsia" w:ascii="Times New Roman" w:hAnsi="Times New Roman" w:eastAsia="宋体" w:cs="Times New Roman"/>
                <w:bCs/>
                <w:kern w:val="0"/>
                <w:sz w:val="21"/>
                <w:szCs w:val="21"/>
                <w:lang w:val="en-US" w:eastAsia="zh-CN" w:bidi="ar-SA"/>
              </w:rPr>
              <w:t>区</w:t>
            </w:r>
            <w:r>
              <w:rPr>
                <w:rFonts w:hint="default" w:ascii="Times New Roman" w:hAnsi="Times New Roman" w:eastAsia="宋体" w:cs="Times New Roman"/>
                <w:bCs/>
                <w:kern w:val="0"/>
                <w:sz w:val="21"/>
                <w:szCs w:val="21"/>
                <w:lang w:val="en-US" w:eastAsia="zh-CN" w:bidi="ar-SA"/>
              </w:rPr>
              <w:t>、加油</w:t>
            </w:r>
            <w:r>
              <w:rPr>
                <w:rFonts w:hint="eastAsia" w:ascii="Times New Roman" w:hAnsi="Times New Roman" w:eastAsia="宋体" w:cs="Times New Roman"/>
                <w:bCs/>
                <w:kern w:val="0"/>
                <w:sz w:val="21"/>
                <w:szCs w:val="21"/>
                <w:lang w:val="en-US" w:eastAsia="zh-CN" w:bidi="ar-SA"/>
              </w:rPr>
              <w:t>区</w:t>
            </w:r>
          </w:p>
        </w:tc>
        <w:tc>
          <w:tcPr>
            <w:tcW w:w="1083" w:type="dxa"/>
            <w:vAlign w:val="center"/>
          </w:tcPr>
          <w:p w14:paraId="3BD66A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kern w:val="0"/>
                <w:sz w:val="21"/>
                <w:szCs w:val="21"/>
                <w:lang w:val="en-US" w:eastAsia="zh-CN" w:bidi="ar-SA"/>
              </w:rPr>
            </w:pPr>
          </w:p>
        </w:tc>
      </w:tr>
    </w:tbl>
    <w:p w14:paraId="70E5414E">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75" w:name="_Toc8679"/>
      <w:bookmarkStart w:id="176" w:name="_Toc146488855"/>
      <w:bookmarkStart w:id="177" w:name="_Toc6792"/>
      <w:bookmarkStart w:id="178" w:name="_Toc41246697"/>
      <w:r>
        <w:rPr>
          <w:rFonts w:hint="default" w:ascii="Times New Roman" w:hAnsi="Times New Roman" w:eastAsia="黑体" w:cs="Times New Roman"/>
          <w:b/>
          <w:bCs/>
          <w:color w:val="auto"/>
          <w:sz w:val="28"/>
          <w:szCs w:val="32"/>
          <w:lang w:val="en-US" w:eastAsia="zh-CN"/>
        </w:rPr>
        <w:t>5.1.2建设项目可能造成作业人员伤亡的其它危险、有害因素及其分布</w:t>
      </w:r>
      <w:bookmarkEnd w:id="175"/>
      <w:bookmarkEnd w:id="176"/>
      <w:bookmarkEnd w:id="177"/>
      <w:bookmarkEnd w:id="178"/>
    </w:p>
    <w:p w14:paraId="36D0CD1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本项目可能造成作业人员伤亡的其它危险、有害因素及其分布辨识结果，见表</w:t>
      </w:r>
      <w:r>
        <w:rPr>
          <w:rFonts w:hint="eastAsia" w:ascii="Times New Roman" w:hAnsi="Times New Roman" w:cs="Times New Roman"/>
          <w:sz w:val="28"/>
          <w:szCs w:val="28"/>
          <w:lang w:val="en-US" w:eastAsia="zh-CN"/>
        </w:rPr>
        <w:t>5.1</w:t>
      </w:r>
      <w:r>
        <w:rPr>
          <w:rFonts w:hint="default" w:ascii="Times New Roman" w:hAnsi="Times New Roman" w:cs="Times New Roman"/>
          <w:sz w:val="28"/>
          <w:szCs w:val="28"/>
          <w:lang w:val="en-US" w:eastAsia="zh-CN"/>
        </w:rPr>
        <w:t>-2。</w:t>
      </w:r>
    </w:p>
    <w:p w14:paraId="21158A02">
      <w:pPr>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jc w:val="center"/>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5.1</w:t>
      </w:r>
      <w:r>
        <w:rPr>
          <w:rFonts w:hint="default" w:ascii="Times New Roman" w:hAnsi="Times New Roman" w:eastAsia="黑体" w:cs="Times New Roman"/>
          <w:sz w:val="24"/>
          <w:szCs w:val="24"/>
        </w:rPr>
        <w:t xml:space="preserve">-2 </w:t>
      </w:r>
      <w:r>
        <w:rPr>
          <w:rFonts w:hint="eastAsia" w:ascii="Times New Roman" w:hAnsi="Times New Roman" w:eastAsia="黑体" w:cs="Times New Roman"/>
          <w:sz w:val="24"/>
          <w:szCs w:val="24"/>
          <w:lang w:val="en-US" w:eastAsia="zh-CN"/>
        </w:rPr>
        <w:t xml:space="preserve"> </w:t>
      </w:r>
      <w:r>
        <w:rPr>
          <w:rFonts w:hint="default" w:ascii="Times New Roman" w:hAnsi="Times New Roman" w:eastAsia="黑体" w:cs="Times New Roman"/>
          <w:sz w:val="24"/>
          <w:szCs w:val="24"/>
        </w:rPr>
        <w:t>可能造成作业人员伤亡的其它危险、有害因素及其分布辨识结果表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276"/>
        <w:gridCol w:w="5073"/>
        <w:gridCol w:w="1092"/>
      </w:tblGrid>
      <w:tr w14:paraId="2269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959" w:type="dxa"/>
            <w:vAlign w:val="center"/>
          </w:tcPr>
          <w:p w14:paraId="7809B865">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序号</w:t>
            </w:r>
          </w:p>
        </w:tc>
        <w:tc>
          <w:tcPr>
            <w:tcW w:w="2276" w:type="dxa"/>
            <w:vAlign w:val="center"/>
          </w:tcPr>
          <w:p w14:paraId="0215A838">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危险、有害因素</w:t>
            </w:r>
          </w:p>
        </w:tc>
        <w:tc>
          <w:tcPr>
            <w:tcW w:w="5073" w:type="dxa"/>
            <w:vAlign w:val="center"/>
          </w:tcPr>
          <w:p w14:paraId="0B5A6BA5">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危险部位或场所</w:t>
            </w:r>
          </w:p>
        </w:tc>
        <w:tc>
          <w:tcPr>
            <w:tcW w:w="1092" w:type="dxa"/>
            <w:vAlign w:val="center"/>
          </w:tcPr>
          <w:p w14:paraId="1941F3A1">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备注</w:t>
            </w:r>
          </w:p>
        </w:tc>
      </w:tr>
      <w:tr w14:paraId="7C65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Align w:val="center"/>
          </w:tcPr>
          <w:p w14:paraId="1F288A5E">
            <w:pPr>
              <w:widowControl w:val="0"/>
              <w:numPr>
                <w:ilvl w:val="0"/>
                <w:numId w:val="4"/>
              </w:numPr>
              <w:spacing w:line="240" w:lineRule="auto"/>
              <w:ind w:left="0" w:firstLine="0" w:firstLineChars="0"/>
              <w:jc w:val="center"/>
              <w:rPr>
                <w:rFonts w:hint="default" w:ascii="Times New Roman" w:hAnsi="Times New Roman" w:eastAsia="宋体" w:cs="Times New Roman"/>
                <w:bCs/>
                <w:kern w:val="0"/>
                <w:sz w:val="21"/>
                <w:szCs w:val="21"/>
                <w:lang w:val="en-US" w:eastAsia="zh-CN" w:bidi="ar-SA"/>
              </w:rPr>
            </w:pPr>
          </w:p>
        </w:tc>
        <w:tc>
          <w:tcPr>
            <w:tcW w:w="2276" w:type="dxa"/>
            <w:vAlign w:val="center"/>
          </w:tcPr>
          <w:p w14:paraId="08D6DA4C">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触电</w:t>
            </w:r>
          </w:p>
        </w:tc>
        <w:tc>
          <w:tcPr>
            <w:tcW w:w="5073" w:type="dxa"/>
            <w:vAlign w:val="center"/>
          </w:tcPr>
          <w:p w14:paraId="78DB568C">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加油区、站房、配电设施</w:t>
            </w:r>
          </w:p>
        </w:tc>
        <w:tc>
          <w:tcPr>
            <w:tcW w:w="1092" w:type="dxa"/>
            <w:vAlign w:val="center"/>
          </w:tcPr>
          <w:p w14:paraId="35919FB0">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p>
        </w:tc>
      </w:tr>
      <w:tr w14:paraId="160B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959" w:type="dxa"/>
            <w:vAlign w:val="center"/>
          </w:tcPr>
          <w:p w14:paraId="6467E8B3">
            <w:pPr>
              <w:widowControl w:val="0"/>
              <w:numPr>
                <w:ilvl w:val="0"/>
                <w:numId w:val="4"/>
              </w:numPr>
              <w:spacing w:line="240" w:lineRule="auto"/>
              <w:ind w:left="0" w:firstLine="0" w:firstLineChars="0"/>
              <w:jc w:val="center"/>
              <w:rPr>
                <w:rFonts w:hint="default" w:ascii="Times New Roman" w:hAnsi="Times New Roman" w:eastAsia="宋体" w:cs="Times New Roman"/>
                <w:bCs/>
                <w:kern w:val="0"/>
                <w:sz w:val="21"/>
                <w:szCs w:val="21"/>
                <w:lang w:val="en-US" w:eastAsia="zh-CN" w:bidi="ar-SA"/>
              </w:rPr>
            </w:pPr>
          </w:p>
        </w:tc>
        <w:tc>
          <w:tcPr>
            <w:tcW w:w="2276" w:type="dxa"/>
            <w:vAlign w:val="center"/>
          </w:tcPr>
          <w:p w14:paraId="10E8E689">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eastAsia" w:ascii="Times New Roman" w:hAnsi="Times New Roman" w:eastAsia="宋体" w:cs="Times New Roman"/>
                <w:bCs/>
                <w:kern w:val="0"/>
                <w:sz w:val="21"/>
                <w:szCs w:val="21"/>
                <w:lang w:val="en-US" w:eastAsia="zh-CN" w:bidi="ar-SA"/>
              </w:rPr>
              <w:t>厂（场）内</w:t>
            </w:r>
            <w:r>
              <w:rPr>
                <w:rFonts w:hint="default" w:ascii="Times New Roman" w:hAnsi="Times New Roman" w:eastAsia="宋体" w:cs="Times New Roman"/>
                <w:bCs/>
                <w:kern w:val="0"/>
                <w:sz w:val="21"/>
                <w:szCs w:val="21"/>
                <w:lang w:val="en-US" w:eastAsia="zh-CN" w:bidi="ar-SA"/>
              </w:rPr>
              <w:t>车辆</w:t>
            </w:r>
            <w:r>
              <w:rPr>
                <w:rFonts w:hint="eastAsia" w:ascii="Times New Roman" w:hAnsi="Times New Roman" w:eastAsia="宋体" w:cs="Times New Roman"/>
                <w:bCs/>
                <w:kern w:val="0"/>
                <w:sz w:val="21"/>
                <w:szCs w:val="21"/>
                <w:lang w:val="en-US" w:eastAsia="zh-CN" w:bidi="ar-SA"/>
              </w:rPr>
              <w:t>致</w:t>
            </w:r>
            <w:r>
              <w:rPr>
                <w:rFonts w:hint="default" w:ascii="Times New Roman" w:hAnsi="Times New Roman" w:eastAsia="宋体" w:cs="Times New Roman"/>
                <w:bCs/>
                <w:kern w:val="0"/>
                <w:sz w:val="21"/>
                <w:szCs w:val="21"/>
                <w:lang w:val="en-US" w:eastAsia="zh-CN" w:bidi="ar-SA"/>
              </w:rPr>
              <w:t>害</w:t>
            </w:r>
          </w:p>
        </w:tc>
        <w:tc>
          <w:tcPr>
            <w:tcW w:w="5073" w:type="dxa"/>
            <w:vAlign w:val="center"/>
          </w:tcPr>
          <w:p w14:paraId="08CC85F1">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卸油区、加油区</w:t>
            </w:r>
          </w:p>
        </w:tc>
        <w:tc>
          <w:tcPr>
            <w:tcW w:w="1092" w:type="dxa"/>
            <w:vAlign w:val="center"/>
          </w:tcPr>
          <w:p w14:paraId="0E64E79C">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p>
        </w:tc>
      </w:tr>
      <w:tr w14:paraId="2356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Align w:val="center"/>
          </w:tcPr>
          <w:p w14:paraId="5D4420F6">
            <w:pPr>
              <w:widowControl w:val="0"/>
              <w:numPr>
                <w:ilvl w:val="0"/>
                <w:numId w:val="4"/>
              </w:numPr>
              <w:spacing w:line="240" w:lineRule="auto"/>
              <w:ind w:left="0" w:firstLine="0" w:firstLineChars="0"/>
              <w:jc w:val="center"/>
              <w:rPr>
                <w:rFonts w:hint="default" w:ascii="Times New Roman" w:hAnsi="Times New Roman" w:eastAsia="宋体" w:cs="Times New Roman"/>
                <w:bCs/>
                <w:kern w:val="0"/>
                <w:sz w:val="21"/>
                <w:szCs w:val="21"/>
                <w:lang w:val="en-US" w:eastAsia="zh-CN" w:bidi="ar-SA"/>
              </w:rPr>
            </w:pPr>
          </w:p>
        </w:tc>
        <w:tc>
          <w:tcPr>
            <w:tcW w:w="2276" w:type="dxa"/>
            <w:vAlign w:val="center"/>
          </w:tcPr>
          <w:p w14:paraId="2684B367">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高处坠落</w:t>
            </w:r>
          </w:p>
        </w:tc>
        <w:tc>
          <w:tcPr>
            <w:tcW w:w="5073" w:type="dxa"/>
            <w:vAlign w:val="center"/>
          </w:tcPr>
          <w:p w14:paraId="060E33E0">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站房、罩棚</w:t>
            </w:r>
          </w:p>
        </w:tc>
        <w:tc>
          <w:tcPr>
            <w:tcW w:w="1092" w:type="dxa"/>
            <w:vAlign w:val="center"/>
          </w:tcPr>
          <w:p w14:paraId="0A0D7AFF">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p>
        </w:tc>
      </w:tr>
      <w:tr w14:paraId="331F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Align w:val="center"/>
          </w:tcPr>
          <w:p w14:paraId="3E0E16F5">
            <w:pPr>
              <w:widowControl w:val="0"/>
              <w:numPr>
                <w:ilvl w:val="0"/>
                <w:numId w:val="4"/>
              </w:numPr>
              <w:spacing w:line="240" w:lineRule="auto"/>
              <w:ind w:left="0" w:firstLine="0" w:firstLineChars="0"/>
              <w:jc w:val="center"/>
              <w:rPr>
                <w:rFonts w:hint="default" w:ascii="Times New Roman" w:hAnsi="Times New Roman" w:eastAsia="宋体" w:cs="Times New Roman"/>
                <w:bCs/>
                <w:kern w:val="0"/>
                <w:sz w:val="21"/>
                <w:szCs w:val="21"/>
                <w:lang w:val="en-US" w:eastAsia="zh-CN" w:bidi="ar-SA"/>
              </w:rPr>
            </w:pPr>
          </w:p>
        </w:tc>
        <w:tc>
          <w:tcPr>
            <w:tcW w:w="2276" w:type="dxa"/>
            <w:vAlign w:val="center"/>
          </w:tcPr>
          <w:p w14:paraId="64D186D9">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物体打击</w:t>
            </w:r>
          </w:p>
        </w:tc>
        <w:tc>
          <w:tcPr>
            <w:tcW w:w="5073" w:type="dxa"/>
            <w:vAlign w:val="center"/>
          </w:tcPr>
          <w:p w14:paraId="0EAA8575">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卸油区、站房、加油区</w:t>
            </w:r>
          </w:p>
        </w:tc>
        <w:tc>
          <w:tcPr>
            <w:tcW w:w="1092" w:type="dxa"/>
            <w:vAlign w:val="center"/>
          </w:tcPr>
          <w:p w14:paraId="407FFE8E">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p>
        </w:tc>
      </w:tr>
      <w:tr w14:paraId="4FA0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Align w:val="center"/>
          </w:tcPr>
          <w:p w14:paraId="024B193B">
            <w:pPr>
              <w:widowControl w:val="0"/>
              <w:numPr>
                <w:ilvl w:val="0"/>
                <w:numId w:val="4"/>
              </w:numPr>
              <w:spacing w:line="240" w:lineRule="auto"/>
              <w:ind w:left="0" w:firstLine="0" w:firstLineChars="0"/>
              <w:jc w:val="center"/>
              <w:rPr>
                <w:rFonts w:hint="default" w:ascii="Times New Roman" w:hAnsi="Times New Roman" w:eastAsia="宋体" w:cs="Times New Roman"/>
                <w:bCs/>
                <w:kern w:val="0"/>
                <w:sz w:val="21"/>
                <w:szCs w:val="21"/>
                <w:lang w:val="en-US" w:eastAsia="zh-CN" w:bidi="ar-SA"/>
              </w:rPr>
            </w:pPr>
          </w:p>
        </w:tc>
        <w:tc>
          <w:tcPr>
            <w:tcW w:w="2276" w:type="dxa"/>
            <w:vAlign w:val="center"/>
          </w:tcPr>
          <w:p w14:paraId="00260BA3">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坍塌</w:t>
            </w:r>
          </w:p>
        </w:tc>
        <w:tc>
          <w:tcPr>
            <w:tcW w:w="5073" w:type="dxa"/>
            <w:vAlign w:val="center"/>
          </w:tcPr>
          <w:p w14:paraId="74A3DC12">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站房、罩棚</w:t>
            </w:r>
          </w:p>
        </w:tc>
        <w:tc>
          <w:tcPr>
            <w:tcW w:w="1092" w:type="dxa"/>
            <w:vAlign w:val="center"/>
          </w:tcPr>
          <w:p w14:paraId="4A1CEBEA">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p>
        </w:tc>
      </w:tr>
      <w:tr w14:paraId="6FF7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Align w:val="center"/>
          </w:tcPr>
          <w:p w14:paraId="2298045C">
            <w:pPr>
              <w:widowControl w:val="0"/>
              <w:numPr>
                <w:ilvl w:val="0"/>
                <w:numId w:val="4"/>
              </w:numPr>
              <w:spacing w:line="240" w:lineRule="auto"/>
              <w:ind w:left="0" w:leftChars="0" w:firstLine="0" w:firstLineChars="0"/>
              <w:jc w:val="center"/>
              <w:rPr>
                <w:rFonts w:hint="default" w:ascii="Times New Roman" w:hAnsi="Times New Roman" w:eastAsia="宋体" w:cs="Times New Roman"/>
                <w:bCs/>
                <w:kern w:val="0"/>
                <w:sz w:val="21"/>
                <w:szCs w:val="21"/>
                <w:lang w:val="en-US" w:eastAsia="zh-CN" w:bidi="ar-SA"/>
              </w:rPr>
            </w:pPr>
          </w:p>
        </w:tc>
        <w:tc>
          <w:tcPr>
            <w:tcW w:w="2276" w:type="dxa"/>
            <w:vAlign w:val="center"/>
          </w:tcPr>
          <w:p w14:paraId="15377D1B">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机械</w:t>
            </w:r>
            <w:r>
              <w:rPr>
                <w:rFonts w:hint="eastAsia" w:ascii="Times New Roman" w:hAnsi="Times New Roman" w:eastAsia="宋体" w:cs="Times New Roman"/>
                <w:bCs/>
                <w:kern w:val="0"/>
                <w:sz w:val="21"/>
                <w:szCs w:val="21"/>
                <w:lang w:val="en-US" w:eastAsia="zh-CN" w:bidi="ar-SA"/>
              </w:rPr>
              <w:t>致</w:t>
            </w:r>
            <w:r>
              <w:rPr>
                <w:rFonts w:hint="default" w:ascii="Times New Roman" w:hAnsi="Times New Roman" w:eastAsia="宋体" w:cs="Times New Roman"/>
                <w:bCs/>
                <w:kern w:val="0"/>
                <w:sz w:val="21"/>
                <w:szCs w:val="21"/>
                <w:lang w:val="en-US" w:eastAsia="zh-CN" w:bidi="ar-SA"/>
              </w:rPr>
              <w:t>害</w:t>
            </w:r>
          </w:p>
        </w:tc>
        <w:tc>
          <w:tcPr>
            <w:tcW w:w="5073" w:type="dxa"/>
            <w:vAlign w:val="center"/>
          </w:tcPr>
          <w:p w14:paraId="7539663A">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设备检维修</w:t>
            </w:r>
          </w:p>
        </w:tc>
        <w:tc>
          <w:tcPr>
            <w:tcW w:w="1092" w:type="dxa"/>
            <w:vAlign w:val="center"/>
          </w:tcPr>
          <w:p w14:paraId="6C188BB4">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p>
        </w:tc>
      </w:tr>
      <w:tr w14:paraId="70C9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Align w:val="center"/>
          </w:tcPr>
          <w:p w14:paraId="447DD91C">
            <w:pPr>
              <w:widowControl w:val="0"/>
              <w:numPr>
                <w:ilvl w:val="0"/>
                <w:numId w:val="4"/>
              </w:numPr>
              <w:spacing w:line="240" w:lineRule="auto"/>
              <w:ind w:left="0" w:leftChars="0" w:firstLine="0" w:firstLineChars="0"/>
              <w:jc w:val="center"/>
              <w:rPr>
                <w:rFonts w:hint="default" w:ascii="Times New Roman" w:hAnsi="Times New Roman" w:eastAsia="宋体" w:cs="Times New Roman"/>
                <w:bCs/>
                <w:kern w:val="0"/>
                <w:sz w:val="21"/>
                <w:szCs w:val="21"/>
                <w:lang w:val="en-US" w:eastAsia="zh-CN" w:bidi="ar-SA"/>
              </w:rPr>
            </w:pPr>
          </w:p>
        </w:tc>
        <w:tc>
          <w:tcPr>
            <w:tcW w:w="2276" w:type="dxa"/>
            <w:vAlign w:val="center"/>
          </w:tcPr>
          <w:p w14:paraId="20287424">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eastAsia" w:ascii="Times New Roman" w:hAnsi="Times New Roman" w:eastAsia="宋体" w:cs="Times New Roman"/>
                <w:bCs/>
                <w:kern w:val="0"/>
                <w:sz w:val="21"/>
                <w:szCs w:val="21"/>
                <w:lang w:val="en-US" w:eastAsia="zh-CN" w:bidi="ar-SA"/>
              </w:rPr>
              <w:t>泄漏</w:t>
            </w:r>
          </w:p>
        </w:tc>
        <w:tc>
          <w:tcPr>
            <w:tcW w:w="5073" w:type="dxa"/>
            <w:vAlign w:val="center"/>
          </w:tcPr>
          <w:p w14:paraId="412CA1A9">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eastAsia" w:ascii="Times New Roman" w:hAnsi="Times New Roman" w:eastAsia="宋体" w:cs="Times New Roman"/>
                <w:bCs/>
                <w:kern w:val="0"/>
                <w:sz w:val="21"/>
                <w:szCs w:val="21"/>
                <w:lang w:val="en-US" w:eastAsia="zh-CN" w:bidi="ar-SA"/>
              </w:rPr>
              <w:t>地下储罐区</w:t>
            </w:r>
          </w:p>
        </w:tc>
        <w:tc>
          <w:tcPr>
            <w:tcW w:w="1092" w:type="dxa"/>
            <w:vAlign w:val="center"/>
          </w:tcPr>
          <w:p w14:paraId="27EFE794">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p>
        </w:tc>
      </w:tr>
      <w:tr w14:paraId="0A2C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Align w:val="center"/>
          </w:tcPr>
          <w:p w14:paraId="413A03DE">
            <w:pPr>
              <w:widowControl w:val="0"/>
              <w:numPr>
                <w:ilvl w:val="0"/>
                <w:numId w:val="4"/>
              </w:numPr>
              <w:spacing w:line="240" w:lineRule="auto"/>
              <w:ind w:left="0" w:leftChars="0" w:firstLine="0" w:firstLineChars="0"/>
              <w:jc w:val="center"/>
              <w:rPr>
                <w:rFonts w:hint="default" w:ascii="Times New Roman" w:hAnsi="Times New Roman" w:eastAsia="宋体" w:cs="Times New Roman"/>
                <w:bCs/>
                <w:kern w:val="0"/>
                <w:sz w:val="21"/>
                <w:szCs w:val="21"/>
                <w:lang w:val="en-US" w:eastAsia="zh-CN" w:bidi="ar-SA"/>
              </w:rPr>
            </w:pPr>
          </w:p>
        </w:tc>
        <w:tc>
          <w:tcPr>
            <w:tcW w:w="2276" w:type="dxa"/>
            <w:vAlign w:val="center"/>
          </w:tcPr>
          <w:p w14:paraId="0B728FD0">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eastAsia" w:cs="Times New Roman"/>
                <w:bCs/>
                <w:kern w:val="0"/>
                <w:sz w:val="21"/>
                <w:szCs w:val="21"/>
                <w:lang w:val="en-US" w:eastAsia="zh-CN" w:bidi="ar-SA"/>
              </w:rPr>
              <w:t>自然灾害</w:t>
            </w:r>
          </w:p>
        </w:tc>
        <w:tc>
          <w:tcPr>
            <w:tcW w:w="5073" w:type="dxa"/>
            <w:vAlign w:val="center"/>
          </w:tcPr>
          <w:p w14:paraId="3BA99E15">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卸油区、加油区</w:t>
            </w:r>
            <w:r>
              <w:rPr>
                <w:rFonts w:hint="eastAsia" w:cs="Times New Roman"/>
                <w:bCs/>
                <w:kern w:val="0"/>
                <w:sz w:val="21"/>
                <w:szCs w:val="21"/>
                <w:lang w:val="en-US" w:eastAsia="zh-CN" w:bidi="ar-SA"/>
              </w:rPr>
              <w:t>、地下储罐区</w:t>
            </w:r>
          </w:p>
        </w:tc>
        <w:tc>
          <w:tcPr>
            <w:tcW w:w="1092" w:type="dxa"/>
            <w:vAlign w:val="center"/>
          </w:tcPr>
          <w:p w14:paraId="1071D1DA">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p>
        </w:tc>
      </w:tr>
      <w:tr w14:paraId="30BD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Align w:val="center"/>
          </w:tcPr>
          <w:p w14:paraId="7CE849E8">
            <w:pPr>
              <w:widowControl w:val="0"/>
              <w:numPr>
                <w:ilvl w:val="0"/>
                <w:numId w:val="4"/>
              </w:numPr>
              <w:spacing w:line="240" w:lineRule="auto"/>
              <w:ind w:left="0" w:leftChars="0" w:firstLine="0" w:firstLineChars="0"/>
              <w:jc w:val="center"/>
              <w:rPr>
                <w:rFonts w:hint="default" w:ascii="Times New Roman" w:hAnsi="Times New Roman" w:eastAsia="宋体" w:cs="Times New Roman"/>
                <w:bCs/>
                <w:kern w:val="0"/>
                <w:sz w:val="21"/>
                <w:szCs w:val="21"/>
                <w:lang w:val="en-US" w:eastAsia="zh-CN" w:bidi="ar-SA"/>
              </w:rPr>
            </w:pPr>
          </w:p>
        </w:tc>
        <w:tc>
          <w:tcPr>
            <w:tcW w:w="2276" w:type="dxa"/>
            <w:vAlign w:val="center"/>
          </w:tcPr>
          <w:p w14:paraId="3E51D2D0">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eastAsia" w:ascii="Times New Roman" w:hAnsi="Times New Roman" w:eastAsia="宋体" w:cs="Times New Roman"/>
                <w:bCs/>
                <w:kern w:val="0"/>
                <w:sz w:val="21"/>
                <w:szCs w:val="21"/>
                <w:lang w:val="en-US" w:eastAsia="zh-CN" w:bidi="ar-SA"/>
              </w:rPr>
              <w:t>其他（噪声）</w:t>
            </w:r>
          </w:p>
        </w:tc>
        <w:tc>
          <w:tcPr>
            <w:tcW w:w="5073" w:type="dxa"/>
            <w:vAlign w:val="center"/>
          </w:tcPr>
          <w:p w14:paraId="33BD9509">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r>
              <w:rPr>
                <w:rFonts w:hint="default" w:ascii="Times New Roman" w:hAnsi="Times New Roman" w:eastAsia="宋体" w:cs="Times New Roman"/>
                <w:bCs/>
                <w:kern w:val="0"/>
                <w:sz w:val="21"/>
                <w:szCs w:val="21"/>
                <w:lang w:val="en-US" w:eastAsia="zh-CN" w:bidi="ar-SA"/>
              </w:rPr>
              <w:t>加油机、车辆等</w:t>
            </w:r>
          </w:p>
        </w:tc>
        <w:tc>
          <w:tcPr>
            <w:tcW w:w="1092" w:type="dxa"/>
            <w:vAlign w:val="center"/>
          </w:tcPr>
          <w:p w14:paraId="33FC287E">
            <w:pPr>
              <w:widowControl w:val="0"/>
              <w:spacing w:line="240" w:lineRule="auto"/>
              <w:ind w:firstLine="0" w:firstLineChars="0"/>
              <w:jc w:val="center"/>
              <w:rPr>
                <w:rFonts w:hint="default" w:ascii="Times New Roman" w:hAnsi="Times New Roman" w:eastAsia="宋体" w:cs="Times New Roman"/>
                <w:bCs/>
                <w:kern w:val="0"/>
                <w:sz w:val="21"/>
                <w:szCs w:val="21"/>
                <w:lang w:val="en-US" w:eastAsia="zh-CN" w:bidi="ar-SA"/>
              </w:rPr>
            </w:pPr>
          </w:p>
        </w:tc>
      </w:tr>
    </w:tbl>
    <w:p w14:paraId="322AA436">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179" w:name="_Toc11402"/>
      <w:bookmarkStart w:id="180" w:name="_Toc41246699"/>
      <w:bookmarkStart w:id="181" w:name="_Toc2684"/>
      <w:r>
        <w:rPr>
          <w:rFonts w:hint="default" w:ascii="Times New Roman" w:hAnsi="Times New Roman" w:eastAsia="楷体" w:cs="Times New Roman"/>
          <w:color w:val="auto"/>
          <w:sz w:val="32"/>
          <w:szCs w:val="32"/>
          <w:lang w:val="en-US" w:eastAsia="zh-CN"/>
        </w:rPr>
        <w:t>5.2危险、有害程度</w:t>
      </w:r>
      <w:bookmarkEnd w:id="179"/>
      <w:bookmarkEnd w:id="180"/>
      <w:bookmarkEnd w:id="181"/>
    </w:p>
    <w:p w14:paraId="77D9853B">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82" w:name="_Toc25365"/>
      <w:bookmarkStart w:id="183" w:name="_Toc41246700"/>
      <w:bookmarkStart w:id="184" w:name="_Toc21803"/>
      <w:bookmarkStart w:id="185" w:name="_Toc146488857"/>
      <w:r>
        <w:rPr>
          <w:rFonts w:hint="default" w:ascii="Times New Roman" w:hAnsi="Times New Roman" w:eastAsia="黑体" w:cs="Times New Roman"/>
          <w:b/>
          <w:bCs/>
          <w:color w:val="auto"/>
          <w:sz w:val="28"/>
          <w:szCs w:val="32"/>
          <w:lang w:val="en-US" w:eastAsia="zh-CN"/>
        </w:rPr>
        <w:t>5.2.1</w:t>
      </w:r>
      <w:bookmarkEnd w:id="182"/>
      <w:bookmarkEnd w:id="183"/>
      <w:r>
        <w:rPr>
          <w:rFonts w:hint="default" w:ascii="Times New Roman" w:hAnsi="Times New Roman" w:eastAsia="黑体" w:cs="Times New Roman"/>
          <w:b/>
          <w:bCs/>
          <w:color w:val="auto"/>
          <w:sz w:val="28"/>
          <w:szCs w:val="32"/>
          <w:lang w:val="en-US" w:eastAsia="zh-CN"/>
        </w:rPr>
        <w:t>评价单元的划分</w:t>
      </w:r>
      <w:bookmarkEnd w:id="184"/>
      <w:bookmarkEnd w:id="185"/>
    </w:p>
    <w:p w14:paraId="2623C9F9">
      <w:pPr>
        <w:keepNext w:val="0"/>
        <w:keepLines w:val="0"/>
        <w:pageBreakBefore w:val="0"/>
        <w:widowControl w:val="0"/>
        <w:kinsoku/>
        <w:wordWrap/>
        <w:overflowPunct/>
        <w:topLinePunct w:val="0"/>
        <w:autoSpaceDE/>
        <w:autoSpaceDN/>
        <w:bidi w:val="0"/>
        <w:adjustRightInd w:val="0"/>
        <w:snapToGrid w:val="0"/>
        <w:spacing w:before="163" w:beforeLines="50" w:line="360" w:lineRule="auto"/>
        <w:ind w:firstLine="560" w:firstLineChars="200"/>
        <w:textAlignment w:val="auto"/>
        <w:rPr>
          <w:rFonts w:hint="default" w:ascii="Times New Roman" w:hAnsi="Times New Roman" w:cs="Times New Roman"/>
          <w:sz w:val="28"/>
          <w:szCs w:val="28"/>
        </w:rPr>
      </w:pPr>
      <w:bookmarkStart w:id="186" w:name="_Toc41246701"/>
      <w:bookmarkStart w:id="187" w:name="_Toc14117"/>
      <w:r>
        <w:rPr>
          <w:rFonts w:hint="default" w:ascii="Times New Roman" w:hAnsi="Times New Roman" w:cs="Times New Roman"/>
          <w:sz w:val="28"/>
          <w:szCs w:val="28"/>
        </w:rPr>
        <w:t>根据评价单元的划分原则，结合加油站实际情况，本项目评价单元的划分如下：</w:t>
      </w:r>
    </w:p>
    <w:p w14:paraId="070245B3">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firstLine="561"/>
        <w:textAlignment w:val="auto"/>
        <w:rPr>
          <w:rFonts w:hint="default" w:ascii="Times New Roman" w:hAnsi="Times New Roman" w:cs="Times New Roman"/>
          <w:sz w:val="28"/>
          <w:szCs w:val="28"/>
        </w:rPr>
      </w:pPr>
      <w:r>
        <w:rPr>
          <w:rFonts w:hint="default" w:ascii="Times New Roman" w:hAnsi="Times New Roman" w:cs="Times New Roman"/>
          <w:sz w:val="28"/>
          <w:szCs w:val="28"/>
        </w:rPr>
        <w:t>选址及总平面布置；</w:t>
      </w:r>
    </w:p>
    <w:p w14:paraId="6D90CC2F">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firstLine="561"/>
        <w:textAlignment w:val="auto"/>
        <w:rPr>
          <w:rFonts w:hint="default" w:ascii="Times New Roman" w:hAnsi="Times New Roman" w:cs="Times New Roman"/>
          <w:sz w:val="28"/>
          <w:szCs w:val="28"/>
        </w:rPr>
      </w:pPr>
      <w:r>
        <w:rPr>
          <w:rFonts w:hint="default" w:ascii="Times New Roman" w:hAnsi="Times New Roman" w:cs="Times New Roman"/>
          <w:sz w:val="28"/>
          <w:szCs w:val="28"/>
        </w:rPr>
        <w:t>加油工艺</w:t>
      </w:r>
      <w:r>
        <w:rPr>
          <w:rFonts w:hint="eastAsia" w:cs="Times New Roman"/>
          <w:sz w:val="28"/>
          <w:szCs w:val="28"/>
          <w:lang w:val="en-US" w:eastAsia="zh-CN"/>
        </w:rPr>
        <w:t>及</w:t>
      </w:r>
      <w:r>
        <w:rPr>
          <w:rFonts w:hint="default" w:ascii="Times New Roman" w:hAnsi="Times New Roman" w:cs="Times New Roman"/>
          <w:sz w:val="28"/>
          <w:szCs w:val="28"/>
        </w:rPr>
        <w:t>设施、设备；</w:t>
      </w:r>
    </w:p>
    <w:p w14:paraId="5243C220">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firstLine="561"/>
        <w:textAlignment w:val="auto"/>
        <w:rPr>
          <w:rFonts w:hint="default" w:ascii="Times New Roman" w:hAnsi="Times New Roman" w:cs="Times New Roman"/>
          <w:sz w:val="28"/>
          <w:szCs w:val="28"/>
        </w:rPr>
      </w:pPr>
      <w:r>
        <w:rPr>
          <w:rFonts w:hint="default" w:ascii="Times New Roman" w:hAnsi="Times New Roman" w:cs="Times New Roman"/>
          <w:sz w:val="28"/>
          <w:szCs w:val="28"/>
        </w:rPr>
        <w:t>配套和辅助设施；</w:t>
      </w:r>
    </w:p>
    <w:p w14:paraId="3D09DE87">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firstLine="561"/>
        <w:textAlignment w:val="auto"/>
        <w:rPr>
          <w:rFonts w:hint="default" w:ascii="Times New Roman" w:hAnsi="Times New Roman" w:cs="Times New Roman"/>
          <w:sz w:val="28"/>
          <w:szCs w:val="28"/>
        </w:rPr>
      </w:pPr>
      <w:r>
        <w:rPr>
          <w:rFonts w:hint="default" w:ascii="Times New Roman" w:hAnsi="Times New Roman" w:cs="Times New Roman"/>
          <w:sz w:val="28"/>
          <w:szCs w:val="28"/>
        </w:rPr>
        <w:t>安全管理。</w:t>
      </w:r>
    </w:p>
    <w:p w14:paraId="342244C2">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88" w:name="_Toc146488858"/>
      <w:bookmarkStart w:id="189" w:name="_Toc8666"/>
      <w:r>
        <w:rPr>
          <w:rFonts w:hint="default" w:ascii="Times New Roman" w:hAnsi="Times New Roman" w:eastAsia="黑体" w:cs="Times New Roman"/>
          <w:b/>
          <w:bCs/>
          <w:color w:val="auto"/>
          <w:sz w:val="28"/>
          <w:szCs w:val="32"/>
          <w:lang w:val="en-US" w:eastAsia="zh-CN"/>
        </w:rPr>
        <w:t>5.2.2采用的安全评价方法</w:t>
      </w:r>
      <w:bookmarkEnd w:id="186"/>
      <w:bookmarkEnd w:id="187"/>
      <w:bookmarkEnd w:id="188"/>
      <w:bookmarkEnd w:id="189"/>
      <w:bookmarkStart w:id="190" w:name="_Toc41246702"/>
      <w:bookmarkStart w:id="191" w:name="_Toc26621"/>
      <w:bookmarkStart w:id="192" w:name="_Toc410311895"/>
      <w:bookmarkStart w:id="193" w:name="_Toc410311972"/>
    </w:p>
    <w:p w14:paraId="69EF8DF3">
      <w:pPr>
        <w:keepNext w:val="0"/>
        <w:keepLines w:val="0"/>
        <w:pageBreakBefore w:val="0"/>
        <w:widowControl w:val="0"/>
        <w:kinsoku/>
        <w:wordWrap/>
        <w:overflowPunct/>
        <w:topLinePunct w:val="0"/>
        <w:autoSpaceDE/>
        <w:autoSpaceDN/>
        <w:bidi w:val="0"/>
        <w:adjustRightInd w:val="0"/>
        <w:snapToGrid w:val="0"/>
        <w:spacing w:before="163" w:beforeLines="50"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结合本项目评价的特点，按照科学、合理、适用的原则选用评价方法。</w:t>
      </w:r>
    </w:p>
    <w:p w14:paraId="7C5B861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（1）采用安全检查表法，对加油站选址及总平面布置单元进行分析；</w:t>
      </w:r>
    </w:p>
    <w:p w14:paraId="7CB66C4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（2）采用预先危险性分析法，对加油工艺设施、设备、公用工程及辅助设施中存在的危险、有害性进行定性分析；</w:t>
      </w:r>
    </w:p>
    <w:p w14:paraId="3A27770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黑体" w:cs="Times New Roman"/>
          <w:sz w:val="28"/>
          <w:szCs w:val="28"/>
        </w:rPr>
      </w:pPr>
      <w:r>
        <w:rPr>
          <w:rFonts w:hint="default" w:ascii="Times New Roman" w:hAnsi="Times New Roman" w:cs="Times New Roman"/>
          <w:sz w:val="28"/>
          <w:szCs w:val="28"/>
        </w:rPr>
        <w:t>（3）采用《蒸气云爆炸伤害模型》预测爆炸能对爆炸源周围的人员和建筑物造成的伤害范围。</w:t>
      </w:r>
    </w:p>
    <w:p w14:paraId="6C7FA92A">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194" w:name="_Toc18315"/>
      <w:bookmarkStart w:id="195" w:name="_Toc146488859"/>
      <w:r>
        <w:rPr>
          <w:rFonts w:hint="default" w:ascii="Times New Roman" w:hAnsi="Times New Roman" w:eastAsia="黑体" w:cs="Times New Roman"/>
          <w:b/>
          <w:bCs/>
          <w:color w:val="auto"/>
          <w:sz w:val="28"/>
          <w:szCs w:val="32"/>
          <w:lang w:val="en-US" w:eastAsia="zh-CN"/>
        </w:rPr>
        <w:t>5.2.3固有危险程度</w:t>
      </w:r>
      <w:bookmarkEnd w:id="190"/>
      <w:bookmarkEnd w:id="191"/>
      <w:bookmarkEnd w:id="192"/>
      <w:bookmarkEnd w:id="193"/>
      <w:r>
        <w:rPr>
          <w:rFonts w:hint="default" w:ascii="Times New Roman" w:hAnsi="Times New Roman" w:eastAsia="黑体" w:cs="Times New Roman"/>
          <w:b/>
          <w:bCs/>
          <w:color w:val="auto"/>
          <w:sz w:val="28"/>
          <w:szCs w:val="32"/>
          <w:lang w:val="en-US" w:eastAsia="zh-CN"/>
        </w:rPr>
        <w:t>的分析</w:t>
      </w:r>
      <w:bookmarkEnd w:id="194"/>
      <w:bookmarkEnd w:id="195"/>
    </w:p>
    <w:p w14:paraId="7FCD9717">
      <w:pPr>
        <w:keepNext w:val="0"/>
        <w:keepLines w:val="0"/>
        <w:pageBreakBefore w:val="0"/>
        <w:widowControl w:val="0"/>
        <w:kinsoku/>
        <w:wordWrap/>
        <w:overflowPunct/>
        <w:topLinePunct w:val="0"/>
        <w:autoSpaceDE/>
        <w:autoSpaceDN/>
        <w:bidi w:val="0"/>
        <w:adjustRightInd w:val="0"/>
        <w:snapToGrid w:val="0"/>
        <w:spacing w:before="163" w:beforeLines="50"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（1）定量分析建设项目中具有爆炸性、可燃性、毒性、腐蚀性的化学品数量、浓度（含量）、状态和所在的作业场所（部位）及其状况（温度、压力）</w:t>
      </w:r>
    </w:p>
    <w:p w14:paraId="73EDFEEF">
      <w:pPr>
        <w:keepNext w:val="0"/>
        <w:keepLines w:val="0"/>
        <w:pageBreakBefore w:val="0"/>
        <w:widowControl w:val="0"/>
        <w:kinsoku/>
        <w:wordWrap/>
        <w:overflowPunct/>
        <w:topLinePunct w:val="0"/>
        <w:autoSpaceDE/>
        <w:autoSpaceDN/>
        <w:bidi w:val="0"/>
        <w:adjustRightInd w:val="0"/>
        <w:snapToGrid w:val="0"/>
        <w:spacing w:before="163" w:beforeLines="50"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本项目具有爆炸性、可燃性、毒性的化学品数量、浓度（含量）、状态和所在的作业场所（部位）及其状况（温度、压力），见表5</w:t>
      </w:r>
      <w:r>
        <w:rPr>
          <w:rFonts w:hint="default" w:ascii="Times New Roman" w:hAnsi="Times New Roman" w:cs="Times New Roman"/>
          <w:sz w:val="28"/>
          <w:szCs w:val="28"/>
          <w:lang w:val="en-US" w:eastAsia="zh-CN"/>
        </w:rPr>
        <w:t>.2</w:t>
      </w:r>
      <w:r>
        <w:rPr>
          <w:rFonts w:hint="default" w:ascii="Times New Roman" w:hAnsi="Times New Roman" w:cs="Times New Roman"/>
          <w:sz w:val="28"/>
          <w:szCs w:val="28"/>
        </w:rPr>
        <w:t>-</w:t>
      </w:r>
      <w:r>
        <w:rPr>
          <w:rFonts w:hint="default" w:ascii="Times New Roman" w:hAnsi="Times New Roman" w:cs="Times New Roman"/>
          <w:sz w:val="28"/>
          <w:szCs w:val="28"/>
          <w:lang w:val="en-US" w:eastAsia="zh-CN"/>
        </w:rPr>
        <w:t>1</w:t>
      </w:r>
      <w:r>
        <w:rPr>
          <w:rFonts w:hint="default" w:ascii="Times New Roman" w:hAnsi="Times New Roman" w:cs="Times New Roman"/>
          <w:sz w:val="28"/>
          <w:szCs w:val="28"/>
        </w:rPr>
        <w:t>。</w:t>
      </w:r>
    </w:p>
    <w:p w14:paraId="7C2F43EB">
      <w:pPr>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jc w:val="center"/>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表5</w:t>
      </w:r>
      <w:r>
        <w:rPr>
          <w:rFonts w:hint="default" w:ascii="Times New Roman" w:hAnsi="Times New Roman" w:eastAsia="黑体" w:cs="Times New Roman"/>
          <w:sz w:val="24"/>
          <w:szCs w:val="24"/>
          <w:lang w:val="en-US" w:eastAsia="zh-CN"/>
        </w:rPr>
        <w:t xml:space="preserve">.2-1 </w:t>
      </w:r>
      <w:r>
        <w:rPr>
          <w:rFonts w:hint="default" w:ascii="Times New Roman" w:hAnsi="Times New Roman" w:eastAsia="黑体" w:cs="Times New Roman"/>
          <w:sz w:val="24"/>
          <w:szCs w:val="24"/>
        </w:rPr>
        <w:t xml:space="preserve"> 具有爆炸性、可燃性、毒性的化学品统计表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992"/>
        <w:gridCol w:w="993"/>
        <w:gridCol w:w="649"/>
        <w:gridCol w:w="1478"/>
        <w:gridCol w:w="1700"/>
        <w:gridCol w:w="617"/>
        <w:gridCol w:w="2297"/>
      </w:tblGrid>
      <w:tr w14:paraId="55C1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59" w:type="pct"/>
            <w:vAlign w:val="center"/>
          </w:tcPr>
          <w:p w14:paraId="69F74CAF">
            <w:pPr>
              <w:jc w:val="center"/>
              <w:rPr>
                <w:rFonts w:hint="default" w:ascii="Times New Roman" w:hAnsi="Times New Roman" w:cs="Times New Roman"/>
                <w:b w:val="0"/>
                <w:bCs/>
                <w:szCs w:val="21"/>
              </w:rPr>
            </w:pPr>
            <w:r>
              <w:rPr>
                <w:rFonts w:hint="default" w:ascii="Times New Roman" w:hAnsi="Times New Roman" w:cs="Times New Roman"/>
                <w:b w:val="0"/>
                <w:bCs/>
                <w:szCs w:val="21"/>
              </w:rPr>
              <w:t>序号</w:t>
            </w:r>
          </w:p>
        </w:tc>
        <w:tc>
          <w:tcPr>
            <w:tcW w:w="528" w:type="pct"/>
            <w:vAlign w:val="center"/>
          </w:tcPr>
          <w:p w14:paraId="360A49A2">
            <w:pPr>
              <w:jc w:val="center"/>
              <w:rPr>
                <w:rFonts w:hint="default" w:ascii="Times New Roman" w:hAnsi="Times New Roman" w:cs="Times New Roman"/>
                <w:b w:val="0"/>
                <w:bCs/>
                <w:szCs w:val="21"/>
              </w:rPr>
            </w:pPr>
            <w:r>
              <w:rPr>
                <w:rFonts w:hint="default" w:ascii="Times New Roman" w:hAnsi="Times New Roman" w:cs="Times New Roman"/>
                <w:b w:val="0"/>
                <w:bCs/>
                <w:szCs w:val="21"/>
              </w:rPr>
              <w:t>名称</w:t>
            </w:r>
          </w:p>
        </w:tc>
        <w:tc>
          <w:tcPr>
            <w:tcW w:w="528" w:type="pct"/>
            <w:vAlign w:val="center"/>
          </w:tcPr>
          <w:p w14:paraId="7F3D3BC6">
            <w:pPr>
              <w:jc w:val="center"/>
              <w:rPr>
                <w:rFonts w:hint="default" w:ascii="Times New Roman" w:hAnsi="Times New Roman" w:cs="Times New Roman"/>
                <w:b w:val="0"/>
                <w:bCs/>
                <w:szCs w:val="21"/>
              </w:rPr>
            </w:pPr>
            <w:r>
              <w:rPr>
                <w:rFonts w:hint="default" w:ascii="Times New Roman" w:hAnsi="Times New Roman" w:cs="Times New Roman"/>
                <w:b w:val="0"/>
                <w:bCs/>
                <w:szCs w:val="21"/>
              </w:rPr>
              <w:t>最大储存量（t）</w:t>
            </w:r>
          </w:p>
        </w:tc>
        <w:tc>
          <w:tcPr>
            <w:tcW w:w="345" w:type="pct"/>
            <w:vAlign w:val="center"/>
          </w:tcPr>
          <w:p w14:paraId="3BF2EAE0">
            <w:pPr>
              <w:jc w:val="center"/>
              <w:rPr>
                <w:rFonts w:hint="default" w:ascii="Times New Roman" w:hAnsi="Times New Roman" w:cs="Times New Roman"/>
                <w:b w:val="0"/>
                <w:bCs/>
                <w:szCs w:val="21"/>
              </w:rPr>
            </w:pPr>
            <w:r>
              <w:rPr>
                <w:rFonts w:hint="default" w:ascii="Times New Roman" w:hAnsi="Times New Roman" w:cs="Times New Roman"/>
                <w:b w:val="0"/>
                <w:bCs/>
                <w:szCs w:val="21"/>
              </w:rPr>
              <w:t>状态</w:t>
            </w:r>
          </w:p>
        </w:tc>
        <w:tc>
          <w:tcPr>
            <w:tcW w:w="786" w:type="pct"/>
            <w:vAlign w:val="center"/>
          </w:tcPr>
          <w:p w14:paraId="3BB946D2">
            <w:pPr>
              <w:jc w:val="center"/>
              <w:rPr>
                <w:rFonts w:hint="default" w:ascii="Times New Roman" w:hAnsi="Times New Roman" w:cs="Times New Roman"/>
                <w:b w:val="0"/>
                <w:bCs/>
                <w:szCs w:val="21"/>
              </w:rPr>
            </w:pPr>
            <w:r>
              <w:rPr>
                <w:rFonts w:hint="default" w:ascii="Times New Roman" w:hAnsi="Times New Roman" w:cs="Times New Roman"/>
                <w:b w:val="0"/>
                <w:bCs/>
                <w:szCs w:val="21"/>
              </w:rPr>
              <w:t>所在场所</w:t>
            </w:r>
          </w:p>
          <w:p w14:paraId="0950AA75">
            <w:pPr>
              <w:jc w:val="center"/>
              <w:rPr>
                <w:rFonts w:hint="default" w:ascii="Times New Roman" w:hAnsi="Times New Roman" w:cs="Times New Roman"/>
                <w:b w:val="0"/>
                <w:bCs/>
                <w:szCs w:val="21"/>
              </w:rPr>
            </w:pPr>
            <w:r>
              <w:rPr>
                <w:rFonts w:hint="default" w:ascii="Times New Roman" w:hAnsi="Times New Roman" w:cs="Times New Roman"/>
                <w:b w:val="0"/>
                <w:bCs/>
                <w:szCs w:val="21"/>
              </w:rPr>
              <w:t>（部位）</w:t>
            </w:r>
          </w:p>
        </w:tc>
        <w:tc>
          <w:tcPr>
            <w:tcW w:w="904" w:type="pct"/>
            <w:vAlign w:val="center"/>
          </w:tcPr>
          <w:p w14:paraId="68D9176F">
            <w:pPr>
              <w:jc w:val="center"/>
              <w:rPr>
                <w:rFonts w:hint="default" w:ascii="Times New Roman" w:hAnsi="Times New Roman" w:cs="Times New Roman"/>
                <w:b w:val="0"/>
                <w:bCs/>
                <w:szCs w:val="21"/>
              </w:rPr>
            </w:pPr>
            <w:r>
              <w:rPr>
                <w:rFonts w:hint="default" w:ascii="Times New Roman" w:hAnsi="Times New Roman" w:cs="Times New Roman"/>
                <w:b w:val="0"/>
                <w:bCs/>
                <w:szCs w:val="21"/>
              </w:rPr>
              <w:t>状态</w:t>
            </w:r>
          </w:p>
          <w:p w14:paraId="1799BC7D">
            <w:pPr>
              <w:jc w:val="center"/>
              <w:rPr>
                <w:rFonts w:hint="default" w:ascii="Times New Roman" w:hAnsi="Times New Roman" w:cs="Times New Roman"/>
                <w:b w:val="0"/>
                <w:bCs/>
                <w:szCs w:val="21"/>
              </w:rPr>
            </w:pPr>
            <w:r>
              <w:rPr>
                <w:rFonts w:hint="default" w:ascii="Times New Roman" w:hAnsi="Times New Roman" w:cs="Times New Roman"/>
                <w:b w:val="0"/>
                <w:bCs/>
                <w:szCs w:val="21"/>
              </w:rPr>
              <w:t>（温度、压力）</w:t>
            </w:r>
          </w:p>
        </w:tc>
        <w:tc>
          <w:tcPr>
            <w:tcW w:w="328" w:type="pct"/>
            <w:vAlign w:val="center"/>
          </w:tcPr>
          <w:p w14:paraId="47477082">
            <w:pPr>
              <w:jc w:val="center"/>
              <w:rPr>
                <w:rFonts w:hint="default" w:ascii="Times New Roman" w:hAnsi="Times New Roman" w:cs="Times New Roman"/>
                <w:b w:val="0"/>
                <w:bCs/>
                <w:szCs w:val="21"/>
              </w:rPr>
            </w:pPr>
            <w:r>
              <w:rPr>
                <w:rFonts w:hint="default" w:ascii="Times New Roman" w:hAnsi="Times New Roman" w:cs="Times New Roman"/>
                <w:b w:val="0"/>
                <w:bCs/>
                <w:szCs w:val="21"/>
              </w:rPr>
              <w:t>浓度</w:t>
            </w:r>
          </w:p>
        </w:tc>
        <w:tc>
          <w:tcPr>
            <w:tcW w:w="1222" w:type="pct"/>
            <w:vAlign w:val="center"/>
          </w:tcPr>
          <w:p w14:paraId="2338882C">
            <w:pPr>
              <w:jc w:val="center"/>
              <w:rPr>
                <w:rFonts w:hint="default" w:ascii="Times New Roman" w:hAnsi="Times New Roman" w:cs="Times New Roman"/>
                <w:b w:val="0"/>
                <w:bCs/>
                <w:szCs w:val="21"/>
              </w:rPr>
            </w:pPr>
            <w:r>
              <w:rPr>
                <w:rFonts w:hint="default" w:ascii="Times New Roman" w:hAnsi="Times New Roman" w:cs="Times New Roman"/>
                <w:b w:val="0"/>
                <w:bCs/>
                <w:szCs w:val="21"/>
              </w:rPr>
              <w:t>备注</w:t>
            </w:r>
          </w:p>
        </w:tc>
      </w:tr>
      <w:tr w14:paraId="62F8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59" w:type="pct"/>
            <w:vAlign w:val="center"/>
          </w:tcPr>
          <w:p w14:paraId="09CA9B09">
            <w:pPr>
              <w:jc w:val="center"/>
              <w:rPr>
                <w:rFonts w:hint="default" w:ascii="Times New Roman" w:hAnsi="Times New Roman" w:cs="Times New Roman"/>
                <w:b w:val="0"/>
                <w:bCs/>
                <w:szCs w:val="21"/>
              </w:rPr>
            </w:pPr>
            <w:r>
              <w:rPr>
                <w:rFonts w:hint="default" w:ascii="Times New Roman" w:hAnsi="Times New Roman" w:cs="Times New Roman"/>
                <w:b w:val="0"/>
                <w:bCs/>
                <w:szCs w:val="21"/>
              </w:rPr>
              <w:t>1</w:t>
            </w:r>
          </w:p>
        </w:tc>
        <w:tc>
          <w:tcPr>
            <w:tcW w:w="528" w:type="pct"/>
            <w:vAlign w:val="center"/>
          </w:tcPr>
          <w:p w14:paraId="5CB2F39E">
            <w:pPr>
              <w:jc w:val="center"/>
              <w:rPr>
                <w:rFonts w:hint="eastAsia" w:cs="Times New Roman"/>
                <w:b w:val="0"/>
                <w:bCs/>
                <w:szCs w:val="21"/>
                <w:lang w:eastAsia="zh-CN"/>
              </w:rPr>
            </w:pPr>
            <w:r>
              <w:rPr>
                <w:rFonts w:hint="eastAsia" w:cs="Times New Roman"/>
                <w:b w:val="0"/>
                <w:bCs/>
                <w:szCs w:val="21"/>
                <w:lang w:eastAsia="zh-CN"/>
              </w:rPr>
              <w:t>乙醇</w:t>
            </w:r>
          </w:p>
          <w:p w14:paraId="6396579F">
            <w:pPr>
              <w:jc w:val="center"/>
              <w:rPr>
                <w:rFonts w:hint="eastAsia" w:ascii="Times New Roman" w:hAnsi="Times New Roman" w:eastAsia="宋体" w:cs="Times New Roman"/>
                <w:b w:val="0"/>
                <w:bCs/>
                <w:szCs w:val="21"/>
                <w:lang w:eastAsia="zh-CN"/>
              </w:rPr>
            </w:pPr>
            <w:r>
              <w:rPr>
                <w:rFonts w:hint="eastAsia" w:cs="Times New Roman"/>
                <w:b w:val="0"/>
                <w:bCs/>
                <w:szCs w:val="21"/>
                <w:lang w:eastAsia="zh-CN"/>
              </w:rPr>
              <w:t>汽油</w:t>
            </w:r>
          </w:p>
        </w:tc>
        <w:tc>
          <w:tcPr>
            <w:tcW w:w="528" w:type="pct"/>
            <w:vAlign w:val="center"/>
          </w:tcPr>
          <w:p w14:paraId="34620065">
            <w:pPr>
              <w:jc w:val="center"/>
              <w:rPr>
                <w:rFonts w:hint="default" w:ascii="Times New Roman" w:hAnsi="Times New Roman" w:eastAsia="宋体" w:cs="Times New Roman"/>
                <w:b w:val="0"/>
                <w:bCs/>
                <w:szCs w:val="21"/>
                <w:lang w:val="en-US" w:eastAsia="zh-CN"/>
              </w:rPr>
            </w:pPr>
            <w:r>
              <w:rPr>
                <w:rFonts w:hint="eastAsia" w:cs="Times New Roman"/>
                <w:szCs w:val="21"/>
                <w:lang w:val="en-US" w:eastAsia="zh-CN"/>
              </w:rPr>
              <w:t>72</w:t>
            </w:r>
          </w:p>
        </w:tc>
        <w:tc>
          <w:tcPr>
            <w:tcW w:w="345" w:type="pct"/>
            <w:vAlign w:val="center"/>
          </w:tcPr>
          <w:p w14:paraId="116D2DCD">
            <w:pPr>
              <w:jc w:val="center"/>
              <w:rPr>
                <w:rFonts w:hint="default" w:ascii="Times New Roman" w:hAnsi="Times New Roman" w:cs="Times New Roman"/>
                <w:b w:val="0"/>
                <w:bCs/>
                <w:szCs w:val="21"/>
              </w:rPr>
            </w:pPr>
            <w:r>
              <w:rPr>
                <w:rFonts w:hint="default" w:ascii="Times New Roman" w:hAnsi="Times New Roman" w:cs="Times New Roman"/>
                <w:b w:val="0"/>
                <w:bCs/>
                <w:szCs w:val="21"/>
              </w:rPr>
              <w:t>液态</w:t>
            </w:r>
          </w:p>
        </w:tc>
        <w:tc>
          <w:tcPr>
            <w:tcW w:w="786" w:type="pct"/>
            <w:vAlign w:val="center"/>
          </w:tcPr>
          <w:p w14:paraId="48564C55">
            <w:pPr>
              <w:jc w:val="center"/>
              <w:rPr>
                <w:rFonts w:hint="default" w:ascii="Times New Roman" w:hAnsi="Times New Roman" w:cs="Times New Roman"/>
                <w:b w:val="0"/>
                <w:bCs/>
                <w:szCs w:val="21"/>
              </w:rPr>
            </w:pPr>
            <w:r>
              <w:rPr>
                <w:rFonts w:hint="default" w:ascii="Times New Roman" w:hAnsi="Times New Roman" w:cs="Times New Roman"/>
                <w:b w:val="0"/>
                <w:bCs/>
                <w:szCs w:val="21"/>
              </w:rPr>
              <w:t>加油区、卸油区和储罐区</w:t>
            </w:r>
          </w:p>
        </w:tc>
        <w:tc>
          <w:tcPr>
            <w:tcW w:w="904" w:type="pct"/>
            <w:vAlign w:val="center"/>
          </w:tcPr>
          <w:p w14:paraId="75C1058E">
            <w:pPr>
              <w:jc w:val="center"/>
              <w:rPr>
                <w:rFonts w:hint="default" w:ascii="Times New Roman" w:hAnsi="Times New Roman" w:cs="Times New Roman"/>
                <w:b w:val="0"/>
                <w:bCs/>
                <w:szCs w:val="21"/>
              </w:rPr>
            </w:pPr>
            <w:r>
              <w:rPr>
                <w:rFonts w:hint="default" w:ascii="Times New Roman" w:hAnsi="Times New Roman" w:cs="Times New Roman"/>
                <w:b w:val="0"/>
                <w:bCs/>
                <w:szCs w:val="21"/>
              </w:rPr>
              <w:t>常温、常压</w:t>
            </w:r>
          </w:p>
        </w:tc>
        <w:tc>
          <w:tcPr>
            <w:tcW w:w="328" w:type="pct"/>
            <w:vAlign w:val="center"/>
          </w:tcPr>
          <w:p w14:paraId="51A6F091">
            <w:pPr>
              <w:jc w:val="center"/>
              <w:rPr>
                <w:rFonts w:hint="default" w:ascii="Times New Roman" w:hAnsi="Times New Roman" w:cs="Times New Roman"/>
                <w:b w:val="0"/>
                <w:bCs/>
                <w:szCs w:val="21"/>
              </w:rPr>
            </w:pPr>
            <w:r>
              <w:rPr>
                <w:rFonts w:hint="default" w:ascii="Times New Roman" w:hAnsi="Times New Roman" w:cs="Times New Roman"/>
                <w:b w:val="0"/>
                <w:bCs/>
                <w:szCs w:val="21"/>
              </w:rPr>
              <w:t>--</w:t>
            </w:r>
          </w:p>
        </w:tc>
        <w:tc>
          <w:tcPr>
            <w:tcW w:w="1222" w:type="pct"/>
            <w:vAlign w:val="center"/>
          </w:tcPr>
          <w:p w14:paraId="5F3C9CEC">
            <w:pPr>
              <w:jc w:val="center"/>
              <w:rPr>
                <w:rFonts w:hint="default" w:ascii="Times New Roman" w:hAnsi="Times New Roman" w:cs="Times New Roman"/>
                <w:b w:val="0"/>
                <w:bCs/>
                <w:szCs w:val="21"/>
              </w:rPr>
            </w:pPr>
            <w:r>
              <w:rPr>
                <w:rFonts w:hint="default" w:ascii="Times New Roman" w:hAnsi="Times New Roman" w:cs="Times New Roman"/>
                <w:b w:val="0"/>
                <w:bCs/>
                <w:szCs w:val="21"/>
              </w:rPr>
              <w:t>爆炸性、可燃性、毒性</w:t>
            </w:r>
          </w:p>
        </w:tc>
      </w:tr>
      <w:tr w14:paraId="47EF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59" w:type="pct"/>
            <w:vAlign w:val="center"/>
          </w:tcPr>
          <w:p w14:paraId="2F046989">
            <w:pPr>
              <w:jc w:val="center"/>
              <w:rPr>
                <w:rFonts w:hint="default" w:ascii="Times New Roman" w:hAnsi="Times New Roman" w:cs="Times New Roman"/>
                <w:b w:val="0"/>
                <w:bCs/>
                <w:szCs w:val="21"/>
              </w:rPr>
            </w:pPr>
            <w:r>
              <w:rPr>
                <w:rFonts w:hint="default" w:ascii="Times New Roman" w:hAnsi="Times New Roman" w:cs="Times New Roman"/>
                <w:b w:val="0"/>
                <w:bCs/>
                <w:szCs w:val="21"/>
              </w:rPr>
              <w:t>2</w:t>
            </w:r>
          </w:p>
        </w:tc>
        <w:tc>
          <w:tcPr>
            <w:tcW w:w="528" w:type="pct"/>
            <w:vAlign w:val="center"/>
          </w:tcPr>
          <w:p w14:paraId="685A2F86">
            <w:pPr>
              <w:jc w:val="center"/>
              <w:rPr>
                <w:rFonts w:hint="default" w:ascii="Times New Roman" w:hAnsi="Times New Roman" w:cs="Times New Roman"/>
                <w:b w:val="0"/>
                <w:bCs/>
                <w:szCs w:val="21"/>
              </w:rPr>
            </w:pPr>
            <w:r>
              <w:rPr>
                <w:rFonts w:hint="default" w:ascii="Times New Roman" w:hAnsi="Times New Roman" w:cs="Times New Roman"/>
                <w:b w:val="0"/>
                <w:bCs/>
                <w:szCs w:val="21"/>
              </w:rPr>
              <w:t>柴油</w:t>
            </w:r>
          </w:p>
        </w:tc>
        <w:tc>
          <w:tcPr>
            <w:tcW w:w="528" w:type="pct"/>
            <w:vAlign w:val="center"/>
          </w:tcPr>
          <w:p w14:paraId="66005041">
            <w:pPr>
              <w:jc w:val="center"/>
              <w:rPr>
                <w:rFonts w:hint="default" w:ascii="Times New Roman" w:hAnsi="Times New Roman" w:eastAsia="宋体" w:cs="Times New Roman"/>
                <w:b w:val="0"/>
                <w:bCs/>
                <w:szCs w:val="21"/>
                <w:lang w:val="en-US" w:eastAsia="zh-CN"/>
              </w:rPr>
            </w:pPr>
            <w:r>
              <w:rPr>
                <w:rFonts w:hint="eastAsia" w:cs="Times New Roman"/>
                <w:b w:val="0"/>
                <w:bCs/>
                <w:szCs w:val="21"/>
                <w:lang w:val="en-US" w:eastAsia="zh-CN"/>
              </w:rPr>
              <w:t>25.5</w:t>
            </w:r>
          </w:p>
        </w:tc>
        <w:tc>
          <w:tcPr>
            <w:tcW w:w="345" w:type="pct"/>
            <w:vAlign w:val="center"/>
          </w:tcPr>
          <w:p w14:paraId="301BABB6">
            <w:pPr>
              <w:jc w:val="center"/>
              <w:rPr>
                <w:rFonts w:hint="default" w:ascii="Times New Roman" w:hAnsi="Times New Roman" w:cs="Times New Roman"/>
                <w:b w:val="0"/>
                <w:bCs/>
                <w:szCs w:val="21"/>
              </w:rPr>
            </w:pPr>
            <w:r>
              <w:rPr>
                <w:rFonts w:hint="default" w:ascii="Times New Roman" w:hAnsi="Times New Roman" w:cs="Times New Roman"/>
                <w:b w:val="0"/>
                <w:bCs/>
                <w:szCs w:val="21"/>
              </w:rPr>
              <w:t>液态</w:t>
            </w:r>
          </w:p>
        </w:tc>
        <w:tc>
          <w:tcPr>
            <w:tcW w:w="786" w:type="pct"/>
            <w:vAlign w:val="center"/>
          </w:tcPr>
          <w:p w14:paraId="28D6D804">
            <w:pPr>
              <w:jc w:val="center"/>
              <w:rPr>
                <w:rFonts w:hint="default" w:ascii="Times New Roman" w:hAnsi="Times New Roman" w:cs="Times New Roman"/>
                <w:b w:val="0"/>
                <w:bCs/>
                <w:szCs w:val="21"/>
              </w:rPr>
            </w:pPr>
            <w:r>
              <w:rPr>
                <w:rFonts w:hint="default" w:ascii="Times New Roman" w:hAnsi="Times New Roman" w:cs="Times New Roman"/>
                <w:b w:val="0"/>
                <w:bCs/>
                <w:szCs w:val="21"/>
              </w:rPr>
              <w:t>加油区、卸油区和储罐区</w:t>
            </w:r>
          </w:p>
        </w:tc>
        <w:tc>
          <w:tcPr>
            <w:tcW w:w="904" w:type="pct"/>
            <w:vAlign w:val="center"/>
          </w:tcPr>
          <w:p w14:paraId="1B102077">
            <w:pPr>
              <w:jc w:val="center"/>
              <w:rPr>
                <w:rFonts w:hint="default" w:ascii="Times New Roman" w:hAnsi="Times New Roman" w:cs="Times New Roman"/>
                <w:b w:val="0"/>
                <w:bCs/>
                <w:szCs w:val="21"/>
              </w:rPr>
            </w:pPr>
            <w:r>
              <w:rPr>
                <w:rFonts w:hint="default" w:ascii="Times New Roman" w:hAnsi="Times New Roman" w:cs="Times New Roman"/>
                <w:b w:val="0"/>
                <w:bCs/>
                <w:szCs w:val="21"/>
              </w:rPr>
              <w:t>常温、常压</w:t>
            </w:r>
          </w:p>
        </w:tc>
        <w:tc>
          <w:tcPr>
            <w:tcW w:w="328" w:type="pct"/>
            <w:vAlign w:val="center"/>
          </w:tcPr>
          <w:p w14:paraId="6CE55CE2">
            <w:pPr>
              <w:jc w:val="center"/>
              <w:rPr>
                <w:rFonts w:hint="default" w:ascii="Times New Roman" w:hAnsi="Times New Roman" w:cs="Times New Roman"/>
                <w:b w:val="0"/>
                <w:bCs/>
                <w:szCs w:val="21"/>
              </w:rPr>
            </w:pPr>
            <w:r>
              <w:rPr>
                <w:rFonts w:hint="default" w:ascii="Times New Roman" w:hAnsi="Times New Roman" w:cs="Times New Roman"/>
                <w:b w:val="0"/>
                <w:bCs/>
                <w:szCs w:val="21"/>
              </w:rPr>
              <w:t>--</w:t>
            </w:r>
          </w:p>
        </w:tc>
        <w:tc>
          <w:tcPr>
            <w:tcW w:w="1222" w:type="pct"/>
            <w:vAlign w:val="center"/>
          </w:tcPr>
          <w:p w14:paraId="79C16555">
            <w:pPr>
              <w:jc w:val="center"/>
              <w:rPr>
                <w:rFonts w:hint="default" w:ascii="Times New Roman" w:hAnsi="Times New Roman" w:cs="Times New Roman"/>
                <w:b w:val="0"/>
                <w:bCs/>
                <w:szCs w:val="21"/>
              </w:rPr>
            </w:pPr>
            <w:r>
              <w:rPr>
                <w:rFonts w:hint="default" w:ascii="Times New Roman" w:hAnsi="Times New Roman" w:cs="Times New Roman"/>
                <w:b w:val="0"/>
                <w:bCs/>
                <w:szCs w:val="21"/>
              </w:rPr>
              <w:t>可燃性、毒性</w:t>
            </w:r>
          </w:p>
        </w:tc>
      </w:tr>
    </w:tbl>
    <w:p w14:paraId="651841D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bookmarkStart w:id="196" w:name="_Toc3630"/>
      <w:r>
        <w:rPr>
          <w:rFonts w:hint="default" w:ascii="Times New Roman" w:hAnsi="Times New Roman" w:cs="Times New Roman"/>
          <w:sz w:val="28"/>
          <w:szCs w:val="28"/>
        </w:rPr>
        <w:t>（2）定性分析建设项目总的和各个作业场所的固有危险程度</w:t>
      </w:r>
      <w:bookmarkEnd w:id="196"/>
    </w:p>
    <w:p w14:paraId="7C86E4C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本报告针对定性分析建设项目固有的危险程度选用“安全检查表法”和“预先危险性评价法”。具体详见附录F4。</w:t>
      </w:r>
    </w:p>
    <w:p w14:paraId="2362D44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bookmarkStart w:id="197" w:name="_Toc21938"/>
      <w:r>
        <w:rPr>
          <w:rFonts w:hint="default" w:ascii="Times New Roman" w:hAnsi="Times New Roman" w:cs="Times New Roman"/>
          <w:sz w:val="28"/>
          <w:szCs w:val="28"/>
        </w:rPr>
        <w:t>（3）定量分析建设项目安全评价范围内和各个评价单元的固有危险程度</w:t>
      </w:r>
      <w:bookmarkEnd w:id="197"/>
    </w:p>
    <w:p w14:paraId="511634C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 w:val="0"/>
          <w:bCs/>
          <w:sz w:val="28"/>
          <w:szCs w:val="28"/>
        </w:rPr>
      </w:pPr>
      <w:bookmarkStart w:id="198" w:name="_Toc15327"/>
      <w:r>
        <w:rPr>
          <w:rFonts w:hint="default" w:ascii="Times New Roman" w:hAnsi="Times New Roman" w:cs="Times New Roman"/>
          <w:b w:val="0"/>
          <w:bCs/>
          <w:sz w:val="28"/>
          <w:szCs w:val="28"/>
        </w:rPr>
        <w:t>①具有爆炸性化学品的质量及相当于梯恩梯（TNT）的摩尔量</w:t>
      </w:r>
    </w:p>
    <w:p w14:paraId="7C846D9C">
      <w:pPr>
        <w:widowControl w:val="0"/>
        <w:overflowPunct w:val="0"/>
        <w:adjustRightInd w:val="0"/>
        <w:snapToGrid w:val="0"/>
        <w:spacing w:before="193" w:beforeLines="50" w:after="193" w:afterLines="50" w:line="336" w:lineRule="auto"/>
        <w:ind w:firstLine="0" w:firstLineChars="0"/>
        <w:jc w:val="center"/>
        <w:rPr>
          <w:rFonts w:hint="default" w:ascii="Times New Roman" w:hAnsi="Times New Roman" w:eastAsia="黑体" w:cs="Times New Roman"/>
          <w:kern w:val="2"/>
          <w:sz w:val="24"/>
          <w:szCs w:val="24"/>
          <w:lang w:val="en-US" w:eastAsia="zh-CN" w:bidi="ar-SA"/>
        </w:rPr>
      </w:pPr>
      <w:r>
        <w:rPr>
          <w:rFonts w:hint="default" w:ascii="Times New Roman" w:hAnsi="Times New Roman" w:eastAsia="黑体" w:cs="Times New Roman"/>
          <w:kern w:val="2"/>
          <w:sz w:val="24"/>
          <w:szCs w:val="24"/>
          <w:lang w:val="en-US" w:eastAsia="zh-CN" w:bidi="ar-SA"/>
        </w:rPr>
        <w:t>表</w:t>
      </w:r>
      <w:r>
        <w:rPr>
          <w:rFonts w:hint="eastAsia" w:ascii="Times New Roman" w:hAnsi="Times New Roman" w:eastAsia="黑体" w:cs="Times New Roman"/>
          <w:kern w:val="2"/>
          <w:sz w:val="24"/>
          <w:szCs w:val="24"/>
          <w:lang w:val="en-US" w:eastAsia="zh-CN" w:bidi="ar-SA"/>
        </w:rPr>
        <w:t>5.2-2</w:t>
      </w:r>
      <w:r>
        <w:rPr>
          <w:rFonts w:hint="default" w:ascii="Times New Roman" w:hAnsi="Times New Roman" w:eastAsia="黑体" w:cs="Times New Roman"/>
          <w:kern w:val="2"/>
          <w:sz w:val="24"/>
          <w:szCs w:val="24"/>
          <w:lang w:val="en-US" w:eastAsia="zh-CN" w:bidi="ar-SA"/>
        </w:rPr>
        <w:t xml:space="preserve"> 具有爆炸性的危险品的质量</w:t>
      </w:r>
      <w:r>
        <w:rPr>
          <w:rFonts w:hint="eastAsia" w:ascii="Times New Roman" w:hAnsi="Times New Roman" w:eastAsia="黑体" w:cs="Times New Roman"/>
          <w:kern w:val="2"/>
          <w:sz w:val="24"/>
          <w:szCs w:val="24"/>
          <w:lang w:val="en-US" w:eastAsia="zh-CN" w:bidi="ar-SA"/>
        </w:rPr>
        <w:t>（一个乙醇汽油储罐）</w:t>
      </w:r>
      <w:r>
        <w:rPr>
          <w:rFonts w:hint="default" w:ascii="Times New Roman" w:hAnsi="Times New Roman" w:eastAsia="黑体" w:cs="Times New Roman"/>
          <w:kern w:val="2"/>
          <w:sz w:val="24"/>
          <w:szCs w:val="24"/>
          <w:lang w:val="en-US" w:eastAsia="zh-CN" w:bidi="ar-SA"/>
        </w:rPr>
        <w:t>及相当于TNT的摩尔量</w:t>
      </w:r>
    </w:p>
    <w:tbl>
      <w:tblPr>
        <w:tblStyle w:val="13"/>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34"/>
        <w:gridCol w:w="2400"/>
        <w:gridCol w:w="3866"/>
      </w:tblGrid>
      <w:tr w14:paraId="1BBBC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trPr>
        <w:tc>
          <w:tcPr>
            <w:tcW w:w="2983" w:type="dxa"/>
            <w:tcBorders>
              <w:top w:val="single" w:color="auto" w:sz="4" w:space="0"/>
              <w:left w:val="single" w:color="auto" w:sz="4" w:space="0"/>
            </w:tcBorders>
            <w:noWrap w:val="0"/>
            <w:vAlign w:val="center"/>
          </w:tcPr>
          <w:p w14:paraId="5071C79F">
            <w:pPr>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名称</w:t>
            </w:r>
          </w:p>
        </w:tc>
        <w:tc>
          <w:tcPr>
            <w:tcW w:w="2284" w:type="dxa"/>
            <w:tcBorders>
              <w:top w:val="single" w:color="auto" w:sz="4" w:space="0"/>
            </w:tcBorders>
            <w:noWrap w:val="0"/>
            <w:vAlign w:val="center"/>
          </w:tcPr>
          <w:p w14:paraId="3AA4D60D">
            <w:pPr>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质量（kg）</w:t>
            </w:r>
          </w:p>
        </w:tc>
        <w:tc>
          <w:tcPr>
            <w:tcW w:w="3679" w:type="dxa"/>
            <w:tcBorders>
              <w:top w:val="single" w:color="auto" w:sz="4" w:space="0"/>
              <w:right w:val="single" w:color="auto" w:sz="4" w:space="0"/>
            </w:tcBorders>
            <w:noWrap w:val="0"/>
            <w:vAlign w:val="center"/>
          </w:tcPr>
          <w:p w14:paraId="7B8DE546">
            <w:pPr>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乙醇汽油的TNT当量（kg）</w:t>
            </w:r>
          </w:p>
        </w:tc>
      </w:tr>
      <w:tr w14:paraId="3BD01D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2983" w:type="dxa"/>
            <w:tcBorders>
              <w:left w:val="single" w:color="auto" w:sz="4" w:space="0"/>
              <w:bottom w:val="single" w:color="auto" w:sz="4" w:space="0"/>
            </w:tcBorders>
            <w:noWrap w:val="0"/>
            <w:vAlign w:val="center"/>
          </w:tcPr>
          <w:p w14:paraId="3737782D">
            <w:pPr>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乙醇汽油</w:t>
            </w:r>
          </w:p>
        </w:tc>
        <w:tc>
          <w:tcPr>
            <w:tcW w:w="2284" w:type="dxa"/>
            <w:tcBorders>
              <w:bottom w:val="single" w:color="auto" w:sz="4" w:space="0"/>
            </w:tcBorders>
            <w:noWrap w:val="0"/>
            <w:vAlign w:val="center"/>
          </w:tcPr>
          <w:p w14:paraId="48B8BB99">
            <w:pPr>
              <w:jc w:val="center"/>
              <w:rPr>
                <w:rFonts w:hint="default" w:ascii="Times New Roman" w:hAnsi="Times New Roman" w:eastAsia="宋体" w:cs="Times New Roman"/>
                <w:b w:val="0"/>
                <w:bCs/>
                <w:szCs w:val="21"/>
                <w:lang w:val="en-US" w:eastAsia="zh-CN"/>
              </w:rPr>
            </w:pPr>
            <w:r>
              <w:rPr>
                <w:rFonts w:hint="eastAsia" w:ascii="Times New Roman" w:hAnsi="Times New Roman" w:eastAsia="宋体" w:cs="Times New Roman"/>
                <w:b w:val="0"/>
                <w:bCs/>
                <w:szCs w:val="21"/>
                <w:lang w:val="en-US" w:eastAsia="zh-CN"/>
              </w:rPr>
              <w:t>24000</w:t>
            </w:r>
          </w:p>
        </w:tc>
        <w:tc>
          <w:tcPr>
            <w:tcW w:w="3679" w:type="dxa"/>
            <w:tcBorders>
              <w:bottom w:val="single" w:color="auto" w:sz="4" w:space="0"/>
              <w:right w:val="single" w:color="auto" w:sz="4" w:space="0"/>
            </w:tcBorders>
            <w:noWrap w:val="0"/>
            <w:vAlign w:val="center"/>
          </w:tcPr>
          <w:p w14:paraId="7F7EC495">
            <w:pPr>
              <w:jc w:val="center"/>
              <w:rPr>
                <w:rFonts w:hint="default" w:ascii="Times New Roman" w:hAnsi="Times New Roman" w:eastAsia="宋体" w:cs="Times New Roman"/>
                <w:b w:val="0"/>
                <w:bCs/>
                <w:szCs w:val="21"/>
                <w:lang w:val="en-US" w:eastAsia="zh-CN"/>
              </w:rPr>
            </w:pPr>
            <w:r>
              <w:rPr>
                <w:rFonts w:hint="eastAsia" w:ascii="Times New Roman" w:hAnsi="Times New Roman" w:eastAsia="宋体" w:cs="Times New Roman"/>
                <w:b w:val="0"/>
                <w:bCs/>
                <w:szCs w:val="21"/>
                <w:lang w:val="en-US" w:eastAsia="zh-CN"/>
              </w:rPr>
              <w:t>1757.82</w:t>
            </w:r>
          </w:p>
        </w:tc>
      </w:tr>
    </w:tbl>
    <w:p w14:paraId="55EEA98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 w:val="0"/>
          <w:bCs/>
          <w:sz w:val="28"/>
          <w:szCs w:val="28"/>
        </w:rPr>
      </w:pPr>
      <w:r>
        <w:rPr>
          <w:rFonts w:hint="default" w:ascii="Times New Roman" w:hAnsi="Times New Roman" w:cs="Times New Roman"/>
          <w:b w:val="0"/>
          <w:bCs/>
          <w:sz w:val="28"/>
          <w:szCs w:val="28"/>
        </w:rPr>
        <w:t>②具有可燃性的化学品的质量及燃烧后放出的热量</w:t>
      </w:r>
    </w:p>
    <w:bookmarkEnd w:id="198"/>
    <w:p w14:paraId="2FB8868C">
      <w:pPr>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jc w:val="center"/>
        <w:textAlignment w:val="auto"/>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表</w:t>
      </w:r>
      <w:r>
        <w:rPr>
          <w:rFonts w:hint="eastAsia" w:ascii="Times New Roman" w:hAnsi="Times New Roman" w:eastAsia="黑体" w:cs="Times New Roman"/>
          <w:b w:val="0"/>
          <w:bCs/>
          <w:sz w:val="24"/>
          <w:szCs w:val="24"/>
          <w:lang w:val="en-US" w:eastAsia="zh-CN"/>
        </w:rPr>
        <w:t>5.2-</w:t>
      </w:r>
      <w:r>
        <w:rPr>
          <w:rFonts w:hint="eastAsia" w:eastAsia="黑体" w:cs="Times New Roman"/>
          <w:b w:val="0"/>
          <w:bCs/>
          <w:sz w:val="24"/>
          <w:szCs w:val="24"/>
          <w:lang w:val="en-US" w:eastAsia="zh-CN"/>
        </w:rPr>
        <w:t>3</w:t>
      </w:r>
      <w:r>
        <w:rPr>
          <w:rFonts w:hint="eastAsia" w:ascii="Times New Roman" w:hAnsi="Times New Roman" w:eastAsia="黑体" w:cs="Times New Roman"/>
          <w:b w:val="0"/>
          <w:bCs/>
          <w:sz w:val="24"/>
          <w:szCs w:val="24"/>
          <w:lang w:val="en-US" w:eastAsia="zh-CN"/>
        </w:rPr>
        <w:t xml:space="preserve">  </w:t>
      </w:r>
      <w:r>
        <w:rPr>
          <w:rFonts w:hint="default" w:ascii="Times New Roman" w:hAnsi="Times New Roman" w:eastAsia="黑体" w:cs="Times New Roman"/>
          <w:b w:val="0"/>
          <w:bCs/>
          <w:sz w:val="24"/>
          <w:szCs w:val="24"/>
        </w:rPr>
        <w:t>可燃性的化学品的质量及燃烧后放出的热量</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1893"/>
        <w:gridCol w:w="1738"/>
        <w:gridCol w:w="1961"/>
        <w:gridCol w:w="2795"/>
      </w:tblGrid>
      <w:tr w14:paraId="11FF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13" w:type="dxa"/>
            <w:vAlign w:val="center"/>
          </w:tcPr>
          <w:p w14:paraId="11981137">
            <w:pPr>
              <w:jc w:val="center"/>
              <w:rPr>
                <w:rFonts w:hint="default" w:ascii="Times New Roman" w:hAnsi="Times New Roman" w:cs="Times New Roman" w:eastAsiaTheme="minorEastAsia"/>
                <w:b w:val="0"/>
                <w:bCs/>
                <w:szCs w:val="21"/>
              </w:rPr>
            </w:pPr>
            <w:r>
              <w:rPr>
                <w:rFonts w:hint="default" w:ascii="Times New Roman" w:hAnsi="Times New Roman" w:cs="Times New Roman" w:eastAsiaTheme="minorEastAsia"/>
                <w:b w:val="0"/>
                <w:bCs/>
                <w:szCs w:val="21"/>
              </w:rPr>
              <w:t>序号</w:t>
            </w:r>
          </w:p>
        </w:tc>
        <w:tc>
          <w:tcPr>
            <w:tcW w:w="1893" w:type="dxa"/>
            <w:vAlign w:val="center"/>
          </w:tcPr>
          <w:p w14:paraId="480A2A6F">
            <w:pPr>
              <w:jc w:val="center"/>
              <w:rPr>
                <w:rFonts w:hint="default" w:ascii="Times New Roman" w:hAnsi="Times New Roman" w:cs="Times New Roman" w:eastAsiaTheme="minorEastAsia"/>
                <w:b w:val="0"/>
                <w:bCs/>
                <w:szCs w:val="21"/>
              </w:rPr>
            </w:pPr>
            <w:r>
              <w:rPr>
                <w:rFonts w:hint="default" w:ascii="Times New Roman" w:hAnsi="Times New Roman" w:cs="Times New Roman" w:eastAsiaTheme="minorEastAsia"/>
                <w:b w:val="0"/>
                <w:bCs/>
                <w:szCs w:val="21"/>
              </w:rPr>
              <w:t>物质名称</w:t>
            </w:r>
          </w:p>
        </w:tc>
        <w:tc>
          <w:tcPr>
            <w:tcW w:w="1738" w:type="dxa"/>
            <w:vAlign w:val="center"/>
          </w:tcPr>
          <w:p w14:paraId="0A3C48AB">
            <w:pPr>
              <w:jc w:val="center"/>
              <w:rPr>
                <w:rFonts w:hint="default" w:ascii="Times New Roman" w:hAnsi="Times New Roman" w:cs="Times New Roman" w:eastAsiaTheme="minorEastAsia"/>
                <w:b w:val="0"/>
                <w:bCs/>
                <w:szCs w:val="21"/>
              </w:rPr>
            </w:pPr>
            <w:r>
              <w:rPr>
                <w:rFonts w:hint="default" w:ascii="Times New Roman" w:hAnsi="Times New Roman" w:cs="Times New Roman" w:eastAsiaTheme="minorEastAsia"/>
                <w:b w:val="0"/>
                <w:bCs/>
                <w:szCs w:val="21"/>
              </w:rPr>
              <w:t>最大储存量（t）</w:t>
            </w:r>
          </w:p>
        </w:tc>
        <w:tc>
          <w:tcPr>
            <w:tcW w:w="1961" w:type="dxa"/>
            <w:vAlign w:val="center"/>
          </w:tcPr>
          <w:p w14:paraId="5FDE9081">
            <w:pPr>
              <w:ind w:firstLine="211"/>
              <w:jc w:val="center"/>
              <w:rPr>
                <w:rFonts w:hint="default" w:ascii="Times New Roman" w:hAnsi="Times New Roman" w:cs="Times New Roman" w:eastAsiaTheme="minorEastAsia"/>
                <w:b w:val="0"/>
                <w:bCs/>
                <w:szCs w:val="21"/>
              </w:rPr>
            </w:pPr>
            <w:r>
              <w:rPr>
                <w:rFonts w:hint="default" w:ascii="Times New Roman" w:hAnsi="Times New Roman" w:cs="Times New Roman" w:eastAsiaTheme="minorEastAsia"/>
                <w:b w:val="0"/>
                <w:bCs/>
                <w:szCs w:val="21"/>
              </w:rPr>
              <w:t>燃烧热（kJ/kg）</w:t>
            </w:r>
          </w:p>
        </w:tc>
        <w:tc>
          <w:tcPr>
            <w:tcW w:w="2795" w:type="dxa"/>
            <w:vAlign w:val="center"/>
          </w:tcPr>
          <w:p w14:paraId="71BCE976">
            <w:pPr>
              <w:ind w:firstLine="211"/>
              <w:jc w:val="center"/>
              <w:rPr>
                <w:rFonts w:hint="default" w:ascii="Times New Roman" w:hAnsi="Times New Roman" w:cs="Times New Roman" w:eastAsiaTheme="minorEastAsia"/>
                <w:b w:val="0"/>
                <w:bCs/>
                <w:szCs w:val="21"/>
              </w:rPr>
            </w:pPr>
            <w:r>
              <w:rPr>
                <w:rFonts w:hint="default" w:ascii="Times New Roman" w:hAnsi="Times New Roman" w:cs="Times New Roman" w:eastAsiaTheme="minorEastAsia"/>
                <w:b w:val="0"/>
                <w:bCs/>
                <w:szCs w:val="21"/>
              </w:rPr>
              <w:t>燃烧后放出的热量（kJ）</w:t>
            </w:r>
          </w:p>
        </w:tc>
      </w:tr>
      <w:tr w14:paraId="4077B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13" w:type="dxa"/>
            <w:vAlign w:val="center"/>
          </w:tcPr>
          <w:p w14:paraId="1AA46C8E">
            <w:pPr>
              <w:pStyle w:val="21"/>
              <w:numPr>
                <w:ilvl w:val="0"/>
                <w:numId w:val="6"/>
              </w:numPr>
              <w:jc w:val="center"/>
              <w:rPr>
                <w:rFonts w:hint="default" w:ascii="Times New Roman" w:hAnsi="Times New Roman" w:cs="Times New Roman"/>
                <w:b w:val="0"/>
                <w:bCs/>
                <w:lang w:eastAsia="zh-CN"/>
              </w:rPr>
            </w:pPr>
          </w:p>
        </w:tc>
        <w:tc>
          <w:tcPr>
            <w:tcW w:w="1893" w:type="dxa"/>
            <w:vAlign w:val="center"/>
          </w:tcPr>
          <w:p w14:paraId="7A69DF6D">
            <w:pPr>
              <w:jc w:val="center"/>
              <w:rPr>
                <w:rFonts w:hint="eastAsia" w:ascii="Times New Roman" w:hAnsi="Times New Roman" w:cs="Times New Roman" w:eastAsiaTheme="minorEastAsia"/>
                <w:b w:val="0"/>
                <w:bCs/>
                <w:szCs w:val="21"/>
                <w:lang w:eastAsia="zh-CN"/>
              </w:rPr>
            </w:pPr>
            <w:r>
              <w:rPr>
                <w:rFonts w:hint="eastAsia" w:cs="Times New Roman" w:eastAsiaTheme="minorEastAsia"/>
                <w:b w:val="0"/>
                <w:bCs/>
                <w:szCs w:val="21"/>
                <w:lang w:eastAsia="zh-CN"/>
              </w:rPr>
              <w:t>乙醇汽油</w:t>
            </w:r>
          </w:p>
        </w:tc>
        <w:tc>
          <w:tcPr>
            <w:tcW w:w="1738" w:type="dxa"/>
            <w:vAlign w:val="center"/>
          </w:tcPr>
          <w:p w14:paraId="2AA10B35">
            <w:pPr>
              <w:jc w:val="center"/>
              <w:rPr>
                <w:rFonts w:hint="default" w:ascii="Times New Roman" w:hAnsi="Times New Roman" w:cs="Times New Roman" w:eastAsiaTheme="minorEastAsia"/>
                <w:b w:val="0"/>
                <w:bCs/>
                <w:szCs w:val="21"/>
                <w:lang w:val="en-US" w:eastAsia="zh-CN"/>
              </w:rPr>
            </w:pPr>
            <w:r>
              <w:rPr>
                <w:rFonts w:hint="eastAsia" w:cs="Times New Roman" w:eastAsiaTheme="minorEastAsia"/>
                <w:b w:val="0"/>
                <w:bCs/>
                <w:szCs w:val="21"/>
                <w:lang w:val="en-US" w:eastAsia="zh-CN"/>
              </w:rPr>
              <w:t>72</w:t>
            </w:r>
          </w:p>
        </w:tc>
        <w:tc>
          <w:tcPr>
            <w:tcW w:w="1961" w:type="dxa"/>
            <w:vAlign w:val="center"/>
          </w:tcPr>
          <w:p w14:paraId="516920B7">
            <w:pPr>
              <w:jc w:val="center"/>
              <w:rPr>
                <w:rFonts w:hint="default" w:ascii="Times New Roman" w:hAnsi="Times New Roman" w:cs="Times New Roman" w:eastAsiaTheme="minorEastAsia"/>
                <w:b w:val="0"/>
                <w:bCs/>
                <w:szCs w:val="21"/>
              </w:rPr>
            </w:pPr>
            <w:r>
              <w:rPr>
                <w:rFonts w:hint="default" w:ascii="Times New Roman" w:hAnsi="Times New Roman" w:cs="Times New Roman" w:eastAsiaTheme="minorEastAsia"/>
                <w:b w:val="0"/>
                <w:bCs/>
                <w:szCs w:val="21"/>
              </w:rPr>
              <w:t>45980</w:t>
            </w:r>
          </w:p>
        </w:tc>
        <w:tc>
          <w:tcPr>
            <w:tcW w:w="2795" w:type="dxa"/>
            <w:vAlign w:val="center"/>
          </w:tcPr>
          <w:p w14:paraId="1F61EEDF">
            <w:pPr>
              <w:jc w:val="center"/>
              <w:rPr>
                <w:rFonts w:hint="default" w:ascii="Times New Roman" w:hAnsi="Times New Roman" w:cs="Times New Roman" w:eastAsiaTheme="minorEastAsia"/>
                <w:b w:val="0"/>
                <w:bCs/>
                <w:szCs w:val="21"/>
              </w:rPr>
            </w:pPr>
            <w:r>
              <w:rPr>
                <w:rFonts w:hint="eastAsia" w:cs="Times New Roman" w:eastAsiaTheme="minorEastAsia"/>
                <w:b w:val="0"/>
                <w:bCs/>
                <w:szCs w:val="21"/>
                <w:lang w:val="en-US" w:eastAsia="zh-CN"/>
              </w:rPr>
              <w:t>3.3</w:t>
            </w:r>
            <w:r>
              <w:rPr>
                <w:rFonts w:hint="default" w:ascii="Times New Roman" w:hAnsi="Times New Roman" w:cs="Times New Roman" w:eastAsiaTheme="minorEastAsia"/>
                <w:b w:val="0"/>
                <w:bCs/>
                <w:szCs w:val="21"/>
              </w:rPr>
              <w:t>×10</w:t>
            </w:r>
            <w:r>
              <w:rPr>
                <w:rFonts w:hint="default" w:ascii="Times New Roman" w:hAnsi="Times New Roman" w:cs="Times New Roman" w:eastAsiaTheme="minorEastAsia"/>
                <w:b w:val="0"/>
                <w:bCs/>
                <w:szCs w:val="21"/>
                <w:vertAlign w:val="superscript"/>
              </w:rPr>
              <w:t>9</w:t>
            </w:r>
          </w:p>
        </w:tc>
      </w:tr>
      <w:tr w14:paraId="5490D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13" w:type="dxa"/>
            <w:vAlign w:val="center"/>
          </w:tcPr>
          <w:p w14:paraId="34532674">
            <w:pPr>
              <w:pStyle w:val="21"/>
              <w:numPr>
                <w:ilvl w:val="0"/>
                <w:numId w:val="6"/>
              </w:numPr>
              <w:jc w:val="center"/>
              <w:rPr>
                <w:rFonts w:hint="default" w:ascii="Times New Roman" w:hAnsi="Times New Roman" w:cs="Times New Roman"/>
                <w:b w:val="0"/>
                <w:bCs/>
              </w:rPr>
            </w:pPr>
          </w:p>
        </w:tc>
        <w:tc>
          <w:tcPr>
            <w:tcW w:w="1893" w:type="dxa"/>
            <w:vAlign w:val="center"/>
          </w:tcPr>
          <w:p w14:paraId="14FC8029">
            <w:pPr>
              <w:jc w:val="center"/>
              <w:rPr>
                <w:rFonts w:hint="default" w:ascii="Times New Roman" w:hAnsi="Times New Roman" w:cs="Times New Roman" w:eastAsiaTheme="minorEastAsia"/>
                <w:b w:val="0"/>
                <w:bCs/>
                <w:szCs w:val="21"/>
              </w:rPr>
            </w:pPr>
            <w:r>
              <w:rPr>
                <w:rFonts w:hint="default" w:ascii="Times New Roman" w:hAnsi="Times New Roman" w:cs="Times New Roman" w:eastAsiaTheme="minorEastAsia"/>
                <w:b w:val="0"/>
                <w:bCs/>
                <w:szCs w:val="21"/>
              </w:rPr>
              <w:t>柴油</w:t>
            </w:r>
          </w:p>
        </w:tc>
        <w:tc>
          <w:tcPr>
            <w:tcW w:w="1738" w:type="dxa"/>
            <w:vAlign w:val="center"/>
          </w:tcPr>
          <w:p w14:paraId="4A36C93A">
            <w:pPr>
              <w:jc w:val="center"/>
              <w:rPr>
                <w:rFonts w:hint="default" w:ascii="Times New Roman" w:hAnsi="Times New Roman" w:cs="Times New Roman" w:eastAsiaTheme="minorEastAsia"/>
                <w:b w:val="0"/>
                <w:bCs/>
                <w:szCs w:val="21"/>
                <w:lang w:val="en-US" w:eastAsia="zh-CN"/>
              </w:rPr>
            </w:pPr>
            <w:r>
              <w:rPr>
                <w:rFonts w:hint="eastAsia" w:cs="Times New Roman" w:eastAsiaTheme="minorEastAsia"/>
                <w:b w:val="0"/>
                <w:bCs/>
                <w:szCs w:val="21"/>
                <w:lang w:val="en-US" w:eastAsia="zh-CN"/>
              </w:rPr>
              <w:t>25.5</w:t>
            </w:r>
          </w:p>
        </w:tc>
        <w:tc>
          <w:tcPr>
            <w:tcW w:w="1961" w:type="dxa"/>
            <w:vAlign w:val="center"/>
          </w:tcPr>
          <w:p w14:paraId="3BAA8D87">
            <w:pPr>
              <w:jc w:val="center"/>
              <w:rPr>
                <w:rFonts w:hint="default" w:ascii="Times New Roman" w:hAnsi="Times New Roman" w:cs="Times New Roman" w:eastAsiaTheme="minorEastAsia"/>
                <w:b w:val="0"/>
                <w:bCs/>
                <w:szCs w:val="21"/>
              </w:rPr>
            </w:pPr>
            <w:r>
              <w:rPr>
                <w:rFonts w:hint="default" w:ascii="Times New Roman" w:hAnsi="Times New Roman" w:cs="Times New Roman" w:eastAsiaTheme="minorEastAsia"/>
                <w:b w:val="0"/>
                <w:bCs/>
                <w:szCs w:val="21"/>
              </w:rPr>
              <w:t>40184</w:t>
            </w:r>
          </w:p>
        </w:tc>
        <w:tc>
          <w:tcPr>
            <w:tcW w:w="2795" w:type="dxa"/>
            <w:vAlign w:val="center"/>
          </w:tcPr>
          <w:p w14:paraId="19482251">
            <w:pPr>
              <w:jc w:val="center"/>
              <w:rPr>
                <w:rFonts w:hint="default" w:ascii="Times New Roman" w:hAnsi="Times New Roman" w:cs="Times New Roman" w:eastAsiaTheme="minorEastAsia"/>
                <w:b w:val="0"/>
                <w:bCs/>
                <w:szCs w:val="21"/>
              </w:rPr>
            </w:pPr>
            <w:r>
              <w:rPr>
                <w:rFonts w:hint="eastAsia" w:cs="Times New Roman" w:eastAsiaTheme="minorEastAsia"/>
                <w:b w:val="0"/>
                <w:bCs/>
                <w:szCs w:val="21"/>
                <w:lang w:val="en-US" w:eastAsia="zh-CN"/>
              </w:rPr>
              <w:t>1.0</w:t>
            </w:r>
            <w:r>
              <w:rPr>
                <w:rFonts w:hint="default" w:ascii="Times New Roman" w:hAnsi="Times New Roman" w:cs="Times New Roman" w:eastAsiaTheme="minorEastAsia"/>
                <w:b w:val="0"/>
                <w:bCs/>
                <w:szCs w:val="21"/>
              </w:rPr>
              <w:t>×10</w:t>
            </w:r>
            <w:r>
              <w:rPr>
                <w:rFonts w:hint="default" w:ascii="Times New Roman" w:hAnsi="Times New Roman" w:cs="Times New Roman" w:eastAsiaTheme="minorEastAsia"/>
                <w:b w:val="0"/>
                <w:bCs/>
                <w:szCs w:val="21"/>
                <w:vertAlign w:val="superscript"/>
              </w:rPr>
              <w:t>9</w:t>
            </w:r>
          </w:p>
        </w:tc>
      </w:tr>
    </w:tbl>
    <w:p w14:paraId="614084F8">
      <w:pPr>
        <w:keepNext w:val="0"/>
        <w:keepLines w:val="0"/>
        <w:pageBreakBefore w:val="0"/>
        <w:widowControl w:val="0"/>
        <w:kinsoku/>
        <w:wordWrap/>
        <w:overflowPunct/>
        <w:topLinePunct w:val="0"/>
        <w:autoSpaceDE/>
        <w:autoSpaceDN/>
        <w:bidi w:val="0"/>
        <w:adjustRightInd w:val="0"/>
        <w:snapToGrid w:val="0"/>
        <w:spacing w:before="164" w:beforeLines="50" w:line="360" w:lineRule="auto"/>
        <w:ind w:firstLine="560" w:firstLineChars="200"/>
        <w:textAlignment w:val="auto"/>
        <w:rPr>
          <w:rFonts w:hint="default" w:ascii="Times New Roman" w:hAnsi="Times New Roman" w:cs="Times New Roman"/>
          <w:b w:val="0"/>
          <w:bCs/>
          <w:sz w:val="28"/>
          <w:szCs w:val="28"/>
        </w:rPr>
      </w:pPr>
      <w:bookmarkStart w:id="199" w:name="_Toc14920"/>
      <w:bookmarkStart w:id="200" w:name="_Toc41246703"/>
      <w:bookmarkStart w:id="201" w:name="_Toc17118"/>
      <w:r>
        <w:rPr>
          <w:rFonts w:hint="default" w:ascii="Times New Roman" w:hAnsi="Times New Roman" w:cs="Times New Roman"/>
          <w:b w:val="0"/>
          <w:bCs/>
          <w:sz w:val="28"/>
          <w:szCs w:val="28"/>
        </w:rPr>
        <w:t>③具有毒性的化学品的浓度及质量</w:t>
      </w:r>
    </w:p>
    <w:p w14:paraId="37EB460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本项目不涉及高毒及剧毒化学品，</w:t>
      </w:r>
      <w:r>
        <w:rPr>
          <w:rFonts w:hint="eastAsia" w:cs="Times New Roman"/>
          <w:sz w:val="28"/>
          <w:szCs w:val="28"/>
          <w:lang w:eastAsia="zh-CN"/>
        </w:rPr>
        <w:t>乙醇汽油</w:t>
      </w:r>
      <w:r>
        <w:rPr>
          <w:rFonts w:hint="default" w:ascii="Times New Roman" w:hAnsi="Times New Roman" w:cs="Times New Roman"/>
          <w:sz w:val="28"/>
          <w:szCs w:val="28"/>
        </w:rPr>
        <w:t>职业接触限值：PC-TWA：300mg/m³。</w:t>
      </w:r>
    </w:p>
    <w:p w14:paraId="4C43596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 w:val="0"/>
          <w:bCs/>
          <w:sz w:val="28"/>
          <w:szCs w:val="28"/>
        </w:rPr>
      </w:pPr>
      <w:r>
        <w:rPr>
          <w:rFonts w:hint="default" w:ascii="Times New Roman" w:hAnsi="Times New Roman" w:cs="Times New Roman"/>
          <w:b w:val="0"/>
          <w:bCs/>
          <w:sz w:val="28"/>
          <w:szCs w:val="28"/>
        </w:rPr>
        <w:t>④具有腐蚀性的化学品的浓度及质量</w:t>
      </w:r>
    </w:p>
    <w:p w14:paraId="1376A8A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rPr>
      </w:pPr>
      <w:r>
        <w:rPr>
          <w:rFonts w:hint="default" w:ascii="Times New Roman" w:hAnsi="Times New Roman" w:cs="Times New Roman"/>
          <w:sz w:val="28"/>
          <w:szCs w:val="28"/>
        </w:rPr>
        <w:t>本项目不涉及腐蚀性化学品。</w:t>
      </w:r>
    </w:p>
    <w:p w14:paraId="006B8F03">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202" w:name="_Toc21746"/>
      <w:bookmarkStart w:id="203" w:name="_Toc146488860"/>
      <w:r>
        <w:rPr>
          <w:rFonts w:hint="default" w:ascii="Times New Roman" w:hAnsi="Times New Roman" w:eastAsia="黑体" w:cs="Times New Roman"/>
          <w:b/>
          <w:bCs/>
          <w:color w:val="auto"/>
          <w:sz w:val="28"/>
          <w:szCs w:val="32"/>
          <w:lang w:val="en-US" w:eastAsia="zh-CN"/>
        </w:rPr>
        <w:t>5.2.4风险程度</w:t>
      </w:r>
      <w:bookmarkEnd w:id="199"/>
      <w:bookmarkEnd w:id="200"/>
      <w:r>
        <w:rPr>
          <w:rFonts w:hint="default" w:ascii="Times New Roman" w:hAnsi="Times New Roman" w:eastAsia="黑体" w:cs="Times New Roman"/>
          <w:b/>
          <w:bCs/>
          <w:color w:val="auto"/>
          <w:sz w:val="28"/>
          <w:szCs w:val="32"/>
          <w:lang w:val="en-US" w:eastAsia="zh-CN"/>
        </w:rPr>
        <w:t>的分析</w:t>
      </w:r>
      <w:bookmarkEnd w:id="201"/>
      <w:bookmarkEnd w:id="202"/>
      <w:bookmarkEnd w:id="203"/>
    </w:p>
    <w:p w14:paraId="33755735">
      <w:pPr>
        <w:keepNext w:val="0"/>
        <w:keepLines w:val="0"/>
        <w:pageBreakBefore w:val="0"/>
        <w:widowControl w:val="0"/>
        <w:kinsoku/>
        <w:wordWrap/>
        <w:overflowPunct/>
        <w:topLinePunct w:val="0"/>
        <w:autoSpaceDE w:val="0"/>
        <w:autoSpaceDN w:val="0"/>
        <w:bidi w:val="0"/>
        <w:adjustRightInd w:val="0"/>
        <w:snapToGrid w:val="0"/>
        <w:spacing w:line="360" w:lineRule="auto"/>
        <w:ind w:firstLine="618" w:firstLineChars="221"/>
        <w:textAlignment w:val="auto"/>
        <w:rPr>
          <w:rFonts w:hint="default" w:ascii="Times New Roman" w:hAnsi="Times New Roman" w:cs="Times New Roman"/>
          <w:sz w:val="28"/>
          <w:szCs w:val="28"/>
          <w:lang w:val="zh-CN"/>
        </w:rPr>
      </w:pPr>
      <w:bookmarkStart w:id="204" w:name="_Toc41246704"/>
      <w:bookmarkStart w:id="205" w:name="_Toc20288"/>
      <w:bookmarkStart w:id="206" w:name="_Toc4388"/>
      <w:r>
        <w:rPr>
          <w:rFonts w:hint="default" w:ascii="Times New Roman" w:hAnsi="Times New Roman" w:cs="Times New Roman"/>
          <w:sz w:val="28"/>
          <w:szCs w:val="28"/>
          <w:lang w:val="zh-CN"/>
        </w:rPr>
        <w:t>根据选定的安全评价方法对</w:t>
      </w:r>
      <w:r>
        <w:rPr>
          <w:rFonts w:hint="default" w:ascii="Times New Roman" w:hAnsi="Times New Roman" w:cs="Times New Roman"/>
          <w:sz w:val="28"/>
          <w:szCs w:val="28"/>
        </w:rPr>
        <w:t>本</w:t>
      </w:r>
      <w:r>
        <w:rPr>
          <w:rFonts w:hint="default" w:ascii="Times New Roman" w:hAnsi="Times New Roman" w:cs="Times New Roman"/>
          <w:sz w:val="28"/>
          <w:szCs w:val="28"/>
          <w:lang w:val="zh-CN"/>
        </w:rPr>
        <w:t>项目进行相关的分析评价。具体评价结果，见表</w:t>
      </w:r>
      <w:r>
        <w:rPr>
          <w:rFonts w:hint="eastAsia" w:cs="Times New Roman"/>
          <w:sz w:val="28"/>
          <w:szCs w:val="28"/>
          <w:lang w:val="en-US" w:eastAsia="zh-CN"/>
        </w:rPr>
        <w:t>5.2-3</w:t>
      </w:r>
      <w:r>
        <w:rPr>
          <w:rFonts w:hint="default" w:ascii="Times New Roman" w:hAnsi="Times New Roman" w:cs="Times New Roman"/>
          <w:sz w:val="28"/>
          <w:szCs w:val="28"/>
          <w:lang w:val="zh-CN"/>
        </w:rPr>
        <w:t>。评价过程，见报告附录</w:t>
      </w:r>
      <w:r>
        <w:rPr>
          <w:rFonts w:hint="default" w:ascii="Times New Roman" w:hAnsi="Times New Roman" w:cs="Times New Roman"/>
          <w:sz w:val="28"/>
          <w:szCs w:val="28"/>
        </w:rPr>
        <w:t>F4</w:t>
      </w:r>
      <w:r>
        <w:rPr>
          <w:rFonts w:hint="default" w:ascii="Times New Roman" w:hAnsi="Times New Roman" w:cs="Times New Roman"/>
          <w:sz w:val="28"/>
          <w:szCs w:val="28"/>
          <w:lang w:val="zh-CN"/>
        </w:rPr>
        <w:t>。</w:t>
      </w:r>
    </w:p>
    <w:p w14:paraId="27A8E4D0">
      <w:pPr>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jc w:val="center"/>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5.2-</w:t>
      </w:r>
      <w:r>
        <w:rPr>
          <w:rFonts w:hint="eastAsia" w:eastAsia="黑体" w:cs="Times New Roman"/>
          <w:sz w:val="24"/>
          <w:szCs w:val="24"/>
          <w:lang w:val="en-US" w:eastAsia="zh-CN"/>
        </w:rPr>
        <w:t>4</w:t>
      </w:r>
      <w:r>
        <w:rPr>
          <w:rFonts w:hint="eastAsia" w:ascii="Times New Roman" w:hAnsi="Times New Roman" w:eastAsia="黑体" w:cs="Times New Roman"/>
          <w:sz w:val="24"/>
          <w:szCs w:val="24"/>
          <w:lang w:val="en-US" w:eastAsia="zh-CN"/>
        </w:rPr>
        <w:t xml:space="preserve"> </w:t>
      </w:r>
      <w:r>
        <w:rPr>
          <w:rFonts w:hint="default" w:ascii="Times New Roman" w:hAnsi="Times New Roman" w:eastAsia="黑体" w:cs="Times New Roman"/>
          <w:sz w:val="24"/>
          <w:szCs w:val="24"/>
        </w:rPr>
        <w:t xml:space="preserve"> 风险评价结果汇总表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2352"/>
        <w:gridCol w:w="6232"/>
      </w:tblGrid>
      <w:tr w14:paraId="6FE5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16" w:type="dxa"/>
            <w:shd w:val="clear" w:color="auto" w:fill="auto"/>
            <w:vAlign w:val="center"/>
          </w:tcPr>
          <w:p w14:paraId="7C367C0A">
            <w:pPr>
              <w:autoSpaceDE w:val="0"/>
              <w:autoSpaceDN w:val="0"/>
              <w:adjustRightInd w:val="0"/>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序号</w:t>
            </w:r>
          </w:p>
        </w:tc>
        <w:tc>
          <w:tcPr>
            <w:tcW w:w="2352" w:type="dxa"/>
            <w:shd w:val="clear" w:color="auto" w:fill="auto"/>
            <w:vAlign w:val="center"/>
          </w:tcPr>
          <w:p w14:paraId="18E0B691">
            <w:pPr>
              <w:autoSpaceDE w:val="0"/>
              <w:autoSpaceDN w:val="0"/>
              <w:adjustRightInd w:val="0"/>
              <w:ind w:firstLine="211"/>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评价方法</w:t>
            </w:r>
          </w:p>
        </w:tc>
        <w:tc>
          <w:tcPr>
            <w:tcW w:w="6232" w:type="dxa"/>
            <w:shd w:val="clear" w:color="auto" w:fill="auto"/>
            <w:vAlign w:val="center"/>
          </w:tcPr>
          <w:p w14:paraId="1087EF6B">
            <w:pPr>
              <w:autoSpaceDE w:val="0"/>
              <w:autoSpaceDN w:val="0"/>
              <w:adjustRightInd w:val="0"/>
              <w:ind w:firstLine="211"/>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评价结果</w:t>
            </w:r>
          </w:p>
        </w:tc>
      </w:tr>
      <w:tr w14:paraId="10D5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16" w:type="dxa"/>
            <w:shd w:val="clear" w:color="auto" w:fill="auto"/>
            <w:vAlign w:val="center"/>
          </w:tcPr>
          <w:p w14:paraId="1EC2E112">
            <w:pPr>
              <w:autoSpaceDE w:val="0"/>
              <w:autoSpaceDN w:val="0"/>
              <w:adjustRightInd w:val="0"/>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1</w:t>
            </w:r>
          </w:p>
        </w:tc>
        <w:tc>
          <w:tcPr>
            <w:tcW w:w="2352" w:type="dxa"/>
            <w:shd w:val="clear" w:color="auto" w:fill="auto"/>
            <w:vAlign w:val="center"/>
          </w:tcPr>
          <w:p w14:paraId="748532A5">
            <w:pPr>
              <w:pStyle w:val="7"/>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安全检查表法</w:t>
            </w:r>
          </w:p>
        </w:tc>
        <w:tc>
          <w:tcPr>
            <w:tcW w:w="6232" w:type="dxa"/>
            <w:shd w:val="clear" w:color="auto" w:fill="auto"/>
            <w:vAlign w:val="center"/>
          </w:tcPr>
          <w:p w14:paraId="5E05988E">
            <w:pPr>
              <w:autoSpaceDE w:val="0"/>
              <w:autoSpaceDN w:val="0"/>
              <w:adjustRightInd w:val="0"/>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总平面布置符合要求。</w:t>
            </w:r>
          </w:p>
        </w:tc>
      </w:tr>
      <w:tr w14:paraId="0FE0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816" w:type="dxa"/>
            <w:shd w:val="clear" w:color="auto" w:fill="auto"/>
            <w:vAlign w:val="center"/>
          </w:tcPr>
          <w:p w14:paraId="45A3CFF6">
            <w:pPr>
              <w:autoSpaceDE w:val="0"/>
              <w:autoSpaceDN w:val="0"/>
              <w:adjustRightInd w:val="0"/>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2</w:t>
            </w:r>
          </w:p>
        </w:tc>
        <w:tc>
          <w:tcPr>
            <w:tcW w:w="2352" w:type="dxa"/>
            <w:shd w:val="clear" w:color="auto" w:fill="auto"/>
            <w:vAlign w:val="center"/>
          </w:tcPr>
          <w:p w14:paraId="4379C500">
            <w:pPr>
              <w:pStyle w:val="7"/>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预先危险性分析</w:t>
            </w:r>
          </w:p>
        </w:tc>
        <w:tc>
          <w:tcPr>
            <w:tcW w:w="6232" w:type="dxa"/>
            <w:shd w:val="clear" w:color="auto" w:fill="auto"/>
            <w:vAlign w:val="center"/>
          </w:tcPr>
          <w:p w14:paraId="6DE7B8DA">
            <w:pPr>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工艺过程单元火灾、可燃液体蒸汽爆炸</w:t>
            </w:r>
            <w:r>
              <w:rPr>
                <w:rFonts w:hint="eastAsia" w:cs="Times New Roman"/>
                <w:b w:val="0"/>
                <w:bCs/>
                <w:sz w:val="21"/>
                <w:szCs w:val="21"/>
                <w:highlight w:val="none"/>
                <w:lang w:eastAsia="zh-CN"/>
              </w:rPr>
              <w:t>、</w:t>
            </w:r>
            <w:r>
              <w:rPr>
                <w:rFonts w:hint="eastAsia" w:cs="Times New Roman"/>
                <w:b w:val="0"/>
                <w:bCs/>
                <w:sz w:val="21"/>
                <w:szCs w:val="21"/>
                <w:highlight w:val="none"/>
                <w:lang w:val="en-US" w:eastAsia="zh-CN"/>
              </w:rPr>
              <w:t>管道爆炸</w:t>
            </w:r>
            <w:r>
              <w:rPr>
                <w:rFonts w:hint="default" w:ascii="Times New Roman" w:hAnsi="Times New Roman" w:cs="Times New Roman"/>
                <w:b w:val="0"/>
                <w:bCs/>
                <w:sz w:val="21"/>
                <w:szCs w:val="21"/>
                <w:highlight w:val="none"/>
              </w:rPr>
              <w:t>的危险程度为Ⅲ级，危险程度为危险的，需要采取相应安全措施并予以重视；中毒</w:t>
            </w:r>
            <w:r>
              <w:rPr>
                <w:rFonts w:hint="eastAsia" w:cs="Times New Roman"/>
                <w:b w:val="0"/>
                <w:bCs/>
                <w:sz w:val="21"/>
                <w:szCs w:val="21"/>
                <w:highlight w:val="none"/>
                <w:lang w:eastAsia="zh-CN"/>
              </w:rPr>
              <w:t>、</w:t>
            </w:r>
            <w:r>
              <w:rPr>
                <w:rFonts w:hint="default" w:ascii="Times New Roman" w:hAnsi="Times New Roman" w:cs="Times New Roman"/>
                <w:b w:val="0"/>
                <w:bCs/>
                <w:sz w:val="21"/>
                <w:szCs w:val="21"/>
                <w:highlight w:val="none"/>
              </w:rPr>
              <w:t>窒息、触电、厂（场）内车辆致害、高处坠落、机械</w:t>
            </w:r>
            <w:r>
              <w:rPr>
                <w:rFonts w:hint="eastAsia" w:cs="Times New Roman"/>
                <w:b w:val="0"/>
                <w:bCs/>
                <w:sz w:val="21"/>
                <w:szCs w:val="21"/>
                <w:highlight w:val="none"/>
                <w:lang w:val="en-US" w:eastAsia="zh-CN"/>
              </w:rPr>
              <w:t>致</w:t>
            </w:r>
            <w:r>
              <w:rPr>
                <w:rFonts w:hint="default" w:ascii="Times New Roman" w:hAnsi="Times New Roman" w:cs="Times New Roman"/>
                <w:b w:val="0"/>
                <w:bCs/>
                <w:sz w:val="21"/>
                <w:szCs w:val="21"/>
                <w:highlight w:val="none"/>
              </w:rPr>
              <w:t>害、物体打击、坍塌</w:t>
            </w:r>
            <w:r>
              <w:rPr>
                <w:rFonts w:hint="eastAsia" w:cs="Times New Roman"/>
                <w:b w:val="0"/>
                <w:bCs/>
                <w:sz w:val="21"/>
                <w:szCs w:val="21"/>
                <w:highlight w:val="none"/>
                <w:lang w:eastAsia="zh-CN"/>
              </w:rPr>
              <w:t>、</w:t>
            </w:r>
            <w:r>
              <w:rPr>
                <w:rFonts w:hint="eastAsia" w:cs="Times New Roman"/>
                <w:b w:val="0"/>
                <w:bCs/>
                <w:sz w:val="21"/>
                <w:szCs w:val="21"/>
                <w:highlight w:val="none"/>
                <w:lang w:val="en-US" w:eastAsia="zh-CN"/>
              </w:rPr>
              <w:t>其他（</w:t>
            </w:r>
            <w:r>
              <w:rPr>
                <w:rFonts w:hint="default" w:ascii="Times New Roman" w:hAnsi="Times New Roman" w:cs="Times New Roman"/>
                <w:b w:val="0"/>
                <w:bCs/>
                <w:sz w:val="21"/>
                <w:szCs w:val="21"/>
                <w:highlight w:val="none"/>
              </w:rPr>
              <w:t>噪声</w:t>
            </w:r>
            <w:r>
              <w:rPr>
                <w:rFonts w:hint="eastAsia" w:cs="Times New Roman"/>
                <w:b w:val="0"/>
                <w:bCs/>
                <w:sz w:val="21"/>
                <w:szCs w:val="21"/>
                <w:highlight w:val="none"/>
                <w:lang w:val="en-US" w:eastAsia="zh-CN"/>
              </w:rPr>
              <w:t>）</w:t>
            </w:r>
            <w:r>
              <w:rPr>
                <w:rFonts w:hint="default" w:ascii="Times New Roman" w:hAnsi="Times New Roman" w:cs="Times New Roman"/>
                <w:b w:val="0"/>
                <w:bCs/>
                <w:sz w:val="21"/>
                <w:szCs w:val="21"/>
                <w:highlight w:val="none"/>
              </w:rPr>
              <w:t>的危险等级为Ⅱ级，临界的，需要注意。</w:t>
            </w:r>
          </w:p>
        </w:tc>
      </w:tr>
      <w:tr w14:paraId="6C46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16" w:type="dxa"/>
            <w:shd w:val="clear" w:color="auto" w:fill="auto"/>
            <w:vAlign w:val="center"/>
          </w:tcPr>
          <w:p w14:paraId="58D6BB96">
            <w:pPr>
              <w:autoSpaceDE w:val="0"/>
              <w:autoSpaceDN w:val="0"/>
              <w:adjustRightInd w:val="0"/>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3</w:t>
            </w:r>
          </w:p>
        </w:tc>
        <w:tc>
          <w:tcPr>
            <w:tcW w:w="2352" w:type="dxa"/>
            <w:shd w:val="clear" w:color="auto" w:fill="auto"/>
            <w:vAlign w:val="center"/>
          </w:tcPr>
          <w:p w14:paraId="2DAABB04">
            <w:pPr>
              <w:pStyle w:val="7"/>
              <w:jc w:val="center"/>
              <w:rPr>
                <w:rFonts w:hint="default" w:ascii="Times New Roman" w:hAnsi="Times New Roman" w:cs="Times New Roman"/>
                <w:b w:val="0"/>
                <w:bCs/>
                <w:sz w:val="21"/>
                <w:szCs w:val="21"/>
                <w:highlight w:val="none"/>
              </w:rPr>
            </w:pPr>
            <w:r>
              <w:rPr>
                <w:rFonts w:hint="default" w:ascii="Times New Roman" w:hAnsi="Times New Roman" w:cs="Times New Roman"/>
                <w:b w:val="0"/>
                <w:bCs/>
                <w:sz w:val="21"/>
                <w:szCs w:val="21"/>
                <w:highlight w:val="none"/>
              </w:rPr>
              <w:t>蒸气云爆炸伤害模型</w:t>
            </w:r>
          </w:p>
        </w:tc>
        <w:tc>
          <w:tcPr>
            <w:tcW w:w="6232" w:type="dxa"/>
            <w:shd w:val="clear" w:color="auto" w:fill="auto"/>
            <w:vAlign w:val="center"/>
          </w:tcPr>
          <w:p w14:paraId="4C1285D4">
            <w:pPr>
              <w:jc w:val="center"/>
              <w:rPr>
                <w:rFonts w:hint="default" w:ascii="Times New Roman" w:hAnsi="Times New Roman" w:cs="Times New Roman"/>
                <w:b w:val="0"/>
                <w:bCs/>
                <w:sz w:val="21"/>
                <w:szCs w:val="21"/>
                <w:highlight w:val="none"/>
              </w:rPr>
            </w:pPr>
            <w:r>
              <w:rPr>
                <w:rFonts w:hint="eastAsia" w:cs="Times New Roman"/>
                <w:b w:val="0"/>
                <w:bCs/>
                <w:sz w:val="21"/>
                <w:szCs w:val="21"/>
                <w:highlight w:val="none"/>
                <w:lang w:eastAsia="zh-CN"/>
              </w:rPr>
              <w:t>乙醇汽油</w:t>
            </w:r>
            <w:r>
              <w:rPr>
                <w:rFonts w:hint="default" w:ascii="Times New Roman" w:hAnsi="Times New Roman" w:cs="Times New Roman"/>
                <w:b w:val="0"/>
                <w:bCs/>
                <w:sz w:val="21"/>
                <w:szCs w:val="21"/>
                <w:highlight w:val="none"/>
              </w:rPr>
              <w:t>罐发生泄漏引发蒸气云爆炸，死亡半径为1</w:t>
            </w:r>
            <w:r>
              <w:rPr>
                <w:rFonts w:hint="eastAsia" w:cs="Times New Roman"/>
                <w:b w:val="0"/>
                <w:bCs/>
                <w:sz w:val="21"/>
                <w:szCs w:val="21"/>
                <w:highlight w:val="none"/>
                <w:lang w:val="en-US" w:eastAsia="zh-CN"/>
              </w:rPr>
              <w:t>6.76</w:t>
            </w:r>
            <w:r>
              <w:rPr>
                <w:rFonts w:hint="default" w:ascii="Times New Roman" w:hAnsi="Times New Roman" w:cs="Times New Roman"/>
                <w:b w:val="0"/>
                <w:bCs/>
                <w:sz w:val="21"/>
                <w:szCs w:val="21"/>
                <w:highlight w:val="none"/>
              </w:rPr>
              <w:t>m。</w:t>
            </w:r>
          </w:p>
          <w:p w14:paraId="1B99FC36">
            <w:pPr>
              <w:jc w:val="center"/>
              <w:rPr>
                <w:rFonts w:hint="eastAsia" w:ascii="Times New Roman" w:hAnsi="Times New Roman" w:eastAsia="宋体" w:cs="Times New Roman"/>
                <w:b w:val="0"/>
                <w:bCs/>
                <w:sz w:val="21"/>
                <w:szCs w:val="21"/>
                <w:highlight w:val="none"/>
                <w:lang w:eastAsia="zh-CN"/>
              </w:rPr>
            </w:pPr>
            <w:r>
              <w:rPr>
                <w:rFonts w:hint="default" w:ascii="Times New Roman" w:hAnsi="Times New Roman" w:cs="Times New Roman"/>
                <w:b w:val="0"/>
                <w:bCs/>
                <w:sz w:val="21"/>
                <w:szCs w:val="21"/>
                <w:highlight w:val="none"/>
              </w:rPr>
              <w:t>站内站房在死亡半径之</w:t>
            </w:r>
            <w:r>
              <w:rPr>
                <w:rFonts w:hint="eastAsia" w:ascii="Times New Roman" w:hAnsi="Times New Roman" w:cs="Times New Roman"/>
                <w:b w:val="0"/>
                <w:bCs/>
                <w:sz w:val="21"/>
                <w:szCs w:val="21"/>
                <w:highlight w:val="none"/>
                <w:lang w:val="en-US" w:eastAsia="zh-CN"/>
              </w:rPr>
              <w:t>内</w:t>
            </w:r>
            <w:r>
              <w:rPr>
                <w:rFonts w:hint="default" w:ascii="Times New Roman" w:hAnsi="Times New Roman" w:cs="Times New Roman"/>
                <w:b w:val="0"/>
                <w:bCs/>
                <w:sz w:val="21"/>
                <w:szCs w:val="21"/>
                <w:highlight w:val="none"/>
              </w:rPr>
              <w:t>，如果发生蒸气云爆炸，站房及其内人员会受到死亡威胁</w:t>
            </w:r>
            <w:r>
              <w:rPr>
                <w:rFonts w:hint="eastAsia" w:ascii="Times New Roman" w:hAnsi="Times New Roman" w:cs="Times New Roman"/>
                <w:b w:val="0"/>
                <w:bCs/>
                <w:sz w:val="21"/>
                <w:szCs w:val="21"/>
                <w:highlight w:val="none"/>
                <w:lang w:eastAsia="zh-CN"/>
              </w:rPr>
              <w:t>。</w:t>
            </w:r>
          </w:p>
        </w:tc>
      </w:tr>
    </w:tbl>
    <w:p w14:paraId="4DD8B73C">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207" w:name="_Toc146488861"/>
      <w:bookmarkStart w:id="208" w:name="_Toc3135"/>
      <w:r>
        <w:rPr>
          <w:rFonts w:hint="default" w:ascii="Times New Roman" w:hAnsi="Times New Roman" w:eastAsia="黑体" w:cs="Times New Roman"/>
          <w:b/>
          <w:bCs/>
          <w:color w:val="auto"/>
          <w:sz w:val="28"/>
          <w:szCs w:val="32"/>
          <w:lang w:val="en-US" w:eastAsia="zh-CN"/>
        </w:rPr>
        <w:t>5.2.5事故案例</w:t>
      </w:r>
      <w:bookmarkEnd w:id="204"/>
      <w:bookmarkEnd w:id="205"/>
      <w:bookmarkEnd w:id="206"/>
      <w:r>
        <w:rPr>
          <w:rFonts w:hint="default" w:ascii="Times New Roman" w:hAnsi="Times New Roman" w:eastAsia="黑体" w:cs="Times New Roman"/>
          <w:b/>
          <w:bCs/>
          <w:color w:val="auto"/>
          <w:sz w:val="28"/>
          <w:szCs w:val="32"/>
          <w:lang w:val="en-US" w:eastAsia="zh-CN"/>
        </w:rPr>
        <w:t>分析</w:t>
      </w:r>
      <w:bookmarkEnd w:id="207"/>
      <w:bookmarkEnd w:id="208"/>
    </w:p>
    <w:p w14:paraId="16AD035F">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事故案例分析：通过调查，尽可能收集相关事故资料，找出事故发生的潜在隐患，吸取事故经验教训，避免同类事故发生，为本项目的安全生产与科学管理提供参考与借鉴。以下叙述2起事故，希望对企业安全生产和管理能起到借鉴作用。</w:t>
      </w:r>
    </w:p>
    <w:p w14:paraId="1EA38514">
      <w:pPr>
        <w:pStyle w:val="5"/>
        <w:keepNext w:val="0"/>
        <w:keepLines w:val="0"/>
        <w:pageBreakBefore w:val="0"/>
        <w:widowControl w:val="0"/>
        <w:kinsoku/>
        <w:wordWrap/>
        <w:overflowPunct/>
        <w:topLinePunct w:val="0"/>
        <w:autoSpaceDE/>
        <w:autoSpaceDN/>
        <w:bidi w:val="0"/>
        <w:adjustRightInd w:val="0"/>
        <w:snapToGrid w:val="0"/>
        <w:ind w:firstLine="562"/>
        <w:jc w:val="both"/>
        <w:textAlignment w:val="auto"/>
        <w:rPr>
          <w:rFonts w:hint="default" w:ascii="Times New Roman" w:hAnsi="Times New Roman" w:cs="Times New Roman"/>
        </w:rPr>
      </w:pPr>
      <w:r>
        <w:rPr>
          <w:rFonts w:hint="default" w:ascii="Times New Roman" w:hAnsi="Times New Roman" w:cs="Times New Roman"/>
          <w:b/>
        </w:rPr>
        <w:t>案例一：</w:t>
      </w:r>
      <w:r>
        <w:rPr>
          <w:rFonts w:hint="default" w:ascii="Times New Roman" w:hAnsi="Times New Roman" w:cs="Times New Roman"/>
        </w:rPr>
        <w:t>山东济南分公司第63加油站施工闪爆事故</w:t>
      </w:r>
    </w:p>
    <w:p w14:paraId="6FA1CD59">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（1）事故概况</w:t>
      </w:r>
    </w:p>
    <w:p w14:paraId="20B6788C">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2022年9月8日15:40左右，山东济南分公司第63加油站在安装加油机和潜油泵过程中，由于油罐人孔盖不符合安装潜油泵的条件，对油罐人孔盖进行改造，承包商天津华北有色建设工程公司山东分公司的施工人员，擅自用自带泵将2号埋地罐中的注水抽空，并在无人监控的状况下，在操作井边沿用气割对油罐法兰盘、管线短管开坡口，切割过程中，引燃油罐内残余油气发生闪爆，李洪革当即受伤，送医院经抢救无效，于9月9日凌晨死亡。</w:t>
      </w:r>
    </w:p>
    <w:p w14:paraId="5E525465">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（2）事故原因及分析</w:t>
      </w:r>
    </w:p>
    <w:p w14:paraId="213746EF">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这是一起典型的施工组织混乱、施工安全监管不严、安全制度落实不到位造成的事故。</w:t>
      </w:r>
    </w:p>
    <w:p w14:paraId="2CCC8E5A">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①事故发生的直接缘由</w:t>
      </w:r>
    </w:p>
    <w:p w14:paraId="6DFD28E5">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施工单位施工人员严峻违反施工安全管理规定，安装潜油泵过程中将油罐注水抽出，造成油罐及操作井口油气积聚。在当天无动火作业安排、没有办理动火作业票的状况下，施工人员擅自变更作业地点，在靠近油罐口的区域内进行动火作业，造成闪爆。</w:t>
      </w:r>
    </w:p>
    <w:p w14:paraId="5AD136FA">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②事故发生的间接缘由</w:t>
      </w:r>
    </w:p>
    <w:p w14:paraId="6395BAEC">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eastAsia" w:cs="Times New Roman"/>
          <w:lang w:val="en-US" w:eastAsia="zh-CN"/>
        </w:rPr>
        <w:t>a.</w:t>
      </w:r>
      <w:r>
        <w:rPr>
          <w:rFonts w:hint="default" w:ascii="Times New Roman" w:hAnsi="Times New Roman" w:cs="Times New Roman"/>
        </w:rPr>
        <w:t>济南分公司没有落实集团公司新、改、扩建项目 “三同时”管理规定，对施工单位资质审查不严，导致不具备施工资质的单位进站施工，为事故的发生埋下了隐患。</w:t>
      </w:r>
    </w:p>
    <w:p w14:paraId="64502CCD">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eastAsia" w:cs="Times New Roman"/>
          <w:lang w:val="en-US" w:eastAsia="zh-CN"/>
        </w:rPr>
        <w:t>b.</w:t>
      </w:r>
      <w:r>
        <w:rPr>
          <w:rFonts w:hint="default" w:ascii="Times New Roman" w:hAnsi="Times New Roman" w:cs="Times New Roman"/>
        </w:rPr>
        <w:t>济南分公司企管部门负责加油站改造项目，没有制定施工安全管理措施，对施工现场的监督检查流于形式，对安全防护、作业票开具、施工人员持证上岗等方面无一条检查记录，无一条整改要求，对该站施工中多次动火仅办理了一张动火作业票的事实视而不见。</w:t>
      </w:r>
    </w:p>
    <w:p w14:paraId="4F15B2BA">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eastAsia" w:cs="Times New Roman"/>
          <w:lang w:val="en-US" w:eastAsia="zh-CN"/>
        </w:rPr>
        <w:t>c.</w:t>
      </w:r>
      <w:r>
        <w:rPr>
          <w:rFonts w:hint="default" w:ascii="Times New Roman" w:hAnsi="Times New Roman" w:cs="Times New Roman"/>
        </w:rPr>
        <w:t>施工现场监管严重失职，现场监管责任人(站长)对动火等重大安全作业监管不力，现场安全监督职责未执行到位。</w:t>
      </w:r>
    </w:p>
    <w:p w14:paraId="09A76C0F">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eastAsia" w:cs="Times New Roman"/>
          <w:lang w:val="en-US" w:eastAsia="zh-CN"/>
        </w:rPr>
        <w:t>d.</w:t>
      </w:r>
      <w:r>
        <w:rPr>
          <w:rFonts w:hint="default" w:ascii="Times New Roman" w:hAnsi="Times New Roman" w:cs="Times New Roman"/>
        </w:rPr>
        <w:t>济南分公司对施工人员安全教化制度落实不到位，对外来施工人员安全教化没有针对性、走过场，施工人员对危害不了解，违规施工成为必定。</w:t>
      </w:r>
    </w:p>
    <w:p w14:paraId="1A57A548">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（3）事故教训</w:t>
      </w:r>
    </w:p>
    <w:p w14:paraId="31465310">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这起事故充分暴露出安全管理中存在的漏洞，尤其是对施工单位和作业现场安全监管上存在的缺陷，主要表现在：对施工方审核不严；各级管理人员安全防范意识淡薄、责任心不强；对施工方进场施工安全教化流于形式；放松了对施工现场安全监管，存在“以包代管”现象。</w:t>
      </w:r>
    </w:p>
    <w:p w14:paraId="3BBD78FB">
      <w:pPr>
        <w:pStyle w:val="5"/>
        <w:keepNext w:val="0"/>
        <w:keepLines w:val="0"/>
        <w:pageBreakBefore w:val="0"/>
        <w:widowControl w:val="0"/>
        <w:kinsoku/>
        <w:wordWrap/>
        <w:overflowPunct/>
        <w:topLinePunct w:val="0"/>
        <w:autoSpaceDE/>
        <w:autoSpaceDN/>
        <w:bidi w:val="0"/>
        <w:adjustRightInd w:val="0"/>
        <w:snapToGrid w:val="0"/>
        <w:ind w:firstLine="562"/>
        <w:jc w:val="both"/>
        <w:textAlignment w:val="auto"/>
        <w:rPr>
          <w:rFonts w:hint="default" w:ascii="Times New Roman" w:hAnsi="Times New Roman" w:cs="Times New Roman"/>
        </w:rPr>
      </w:pPr>
      <w:r>
        <w:rPr>
          <w:rFonts w:hint="default" w:ascii="Times New Roman" w:hAnsi="Times New Roman" w:cs="Times New Roman"/>
          <w:b/>
        </w:rPr>
        <w:t>案例二：</w:t>
      </w:r>
      <w:r>
        <w:rPr>
          <w:rFonts w:hint="default" w:ascii="Times New Roman" w:hAnsi="Times New Roman" w:cs="Times New Roman"/>
        </w:rPr>
        <w:t>临海市顺风加油站爆燃事故</w:t>
      </w:r>
    </w:p>
    <w:p w14:paraId="240EC93D">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（1）加油站基本状况</w:t>
      </w:r>
    </w:p>
    <w:p w14:paraId="7A568862">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临海市顺风加油站，位于临海市桃渚镇项庄村西边马路旁，法人代表：项某。加油站储备、经营93号</w:t>
      </w:r>
      <w:r>
        <w:rPr>
          <w:rFonts w:hint="eastAsia" w:cs="Times New Roman"/>
          <w:lang w:eastAsia="zh-CN"/>
        </w:rPr>
        <w:t>乙醇汽油</w:t>
      </w:r>
      <w:r>
        <w:rPr>
          <w:rFonts w:hint="default" w:ascii="Times New Roman" w:hAnsi="Times New Roman" w:cs="Times New Roman"/>
        </w:rPr>
        <w:t>和0号柴油两种成品油。站内有两个地下储油罐，每个储油罐约24吨。</w:t>
      </w:r>
    </w:p>
    <w:p w14:paraId="476B5BD0">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（2）事故经过</w:t>
      </w:r>
    </w:p>
    <w:p w14:paraId="15416D8A">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2022年6月1日中午，满载</w:t>
      </w:r>
      <w:r>
        <w:rPr>
          <w:rFonts w:hint="eastAsia" w:cs="Times New Roman"/>
          <w:lang w:eastAsia="zh-CN"/>
        </w:rPr>
        <w:t>乙醇汽油</w:t>
      </w:r>
      <w:r>
        <w:rPr>
          <w:rFonts w:hint="default" w:ascii="Times New Roman" w:hAnsi="Times New Roman" w:cs="Times New Roman"/>
        </w:rPr>
        <w:t>(29.48吨)的浙BR257大油罐车到达临海市顺风加油站，并在11点50分左右起先向加油站地下储油罐卸油，当时加油站卸油作业现场人员有林某(浙BR257大油罐车驾驶员，事故发生时在副驾驶室)、潘某(浙BR257大油罐车押送员)、朱某(加油站工作人员，小油罐车浙J76829驾驶员)等3人。</w:t>
      </w:r>
    </w:p>
    <w:p w14:paraId="1223AC15">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在</w:t>
      </w:r>
      <w:r>
        <w:rPr>
          <w:rFonts w:hint="eastAsia" w:cs="Times New Roman"/>
          <w:lang w:eastAsia="zh-CN"/>
        </w:rPr>
        <w:t>乙醇汽油</w:t>
      </w:r>
      <w:r>
        <w:rPr>
          <w:rFonts w:hint="default" w:ascii="Times New Roman" w:hAnsi="Times New Roman" w:cs="Times New Roman"/>
        </w:rPr>
        <w:t>槽罐车卸油的同时，加油站工作人员朱某考虑到地下储油罐装不下这么多油，就开来一辆小油罐车，停到大油罐车旁，从大油罐吸油，来分装一部分</w:t>
      </w:r>
      <w:r>
        <w:rPr>
          <w:rFonts w:hint="eastAsia" w:cs="Times New Roman"/>
          <w:lang w:eastAsia="zh-CN"/>
        </w:rPr>
        <w:t>乙醇汽油</w:t>
      </w:r>
      <w:r>
        <w:rPr>
          <w:rFonts w:hint="default" w:ascii="Times New Roman" w:hAnsi="Times New Roman" w:cs="Times New Roman"/>
        </w:rPr>
        <w:t>。现场由潘某跟朱某两人负责卸油和抽油作业，潘某站在大油罐车车顶负责看护，朱某操作浙J76829小型油罐车从大油罐车吸油。因为抽油时，须要开启抽油泵，抽油泵利用小油罐车的发动机作为动力，因此整个抽油作业过程中小油罐车的发动机并未熄火。12点30分左右，当朱某从小油罐车车顶下来，去开车门的时候，突然发生爆燃，瞬间火焰高窜，朱某被火焰烧伤。火焰甚至喷到距地面有5米高的潘某，将其右脸颊和手灼伤。12时40分，临海市消防大队接到临海市公安局指挥中心指令，马上出动7辆消防车和42名消防官兵赶往火灾现场。经过消防官兵奋力扑救，大火于15时左右被扑灭，此次火灾造成2人受伤。</w:t>
      </w:r>
    </w:p>
    <w:p w14:paraId="04F6B137">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（3）事故缘由</w:t>
      </w:r>
    </w:p>
    <w:p w14:paraId="42B9AE4A">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依据当事人笔录反映，及现场勘验状况，消防部门事故调查结论认为：此次火灾爆燃部位初步确定为小油罐车车头部分，火灾缘由不能解除朱某伸手开车门时触发静电、车辆排气管高温过热、车辆发动机及抽油泵过热引发挥发聚集的油蒸气而产生爆燃。</w:t>
      </w:r>
    </w:p>
    <w:p w14:paraId="5B916C37">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（4）事故教训</w:t>
      </w:r>
    </w:p>
    <w:p w14:paraId="0F30E005">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①加油站工作人员风险防范意识淡薄。加油站工作人员朱某用来分装</w:t>
      </w:r>
      <w:r>
        <w:rPr>
          <w:rFonts w:hint="eastAsia" w:cs="Times New Roman"/>
          <w:lang w:eastAsia="zh-CN"/>
        </w:rPr>
        <w:t>乙醇汽油</w:t>
      </w:r>
      <w:r>
        <w:rPr>
          <w:rFonts w:hint="default" w:ascii="Times New Roman" w:hAnsi="Times New Roman" w:cs="Times New Roman"/>
        </w:rPr>
        <w:t>的小型油罐车没有独立的抽油泵，利用外部抽油泵并利用车辆发动机作为动力，因此整个抽油作业过程中小油罐车的发动机并未熄火，且该车排气管未安装阻火器，在这种状况下，当事人还是贸然利用此车抽吸</w:t>
      </w:r>
      <w:r>
        <w:rPr>
          <w:rFonts w:hint="eastAsia" w:cs="Times New Roman"/>
          <w:lang w:eastAsia="zh-CN"/>
        </w:rPr>
        <w:t>乙醇汽油</w:t>
      </w:r>
      <w:r>
        <w:rPr>
          <w:rFonts w:hint="default" w:ascii="Times New Roman" w:hAnsi="Times New Roman" w:cs="Times New Roman"/>
        </w:rPr>
        <w:t>，导致发生爆燃事故。</w:t>
      </w:r>
    </w:p>
    <w:p w14:paraId="60B4767D">
      <w:pPr>
        <w:pStyle w:val="5"/>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cs="Times New Roman"/>
        </w:rPr>
      </w:pPr>
      <w:r>
        <w:rPr>
          <w:rFonts w:hint="default" w:ascii="Times New Roman" w:hAnsi="Times New Roman" w:cs="Times New Roman"/>
        </w:rPr>
        <w:t>②加油站安全防范措施不到位。</w:t>
      </w:r>
    </w:p>
    <w:p w14:paraId="74653B3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kern w:val="0"/>
          <w:sz w:val="28"/>
          <w:szCs w:val="28"/>
        </w:rPr>
      </w:pPr>
      <w:r>
        <w:rPr>
          <w:rFonts w:hint="default" w:ascii="Times New Roman" w:hAnsi="Times New Roman" w:cs="Times New Roman"/>
          <w:kern w:val="0"/>
          <w:sz w:val="28"/>
          <w:szCs w:val="28"/>
        </w:rPr>
        <w:t>③作业人员抽、卸油操作不规范。作业人员在操作时同时对地下储罐和小油罐车进行卸、抽油作业。抽油的过程中塑料管一头接小油罐车下方进油接口处，而另一头则干脆插入大油罐车顶部输油口，管线连接密封不到位，导致有大量油蒸气挥发，甚至有</w:t>
      </w:r>
      <w:r>
        <w:rPr>
          <w:rFonts w:hint="eastAsia" w:cs="Times New Roman"/>
          <w:sz w:val="28"/>
          <w:szCs w:val="28"/>
          <w:lang w:eastAsia="zh-CN"/>
        </w:rPr>
        <w:t>乙醇汽油</w:t>
      </w:r>
      <w:r>
        <w:rPr>
          <w:rFonts w:hint="default" w:ascii="Times New Roman" w:hAnsi="Times New Roman" w:cs="Times New Roman"/>
          <w:kern w:val="0"/>
          <w:sz w:val="28"/>
          <w:szCs w:val="28"/>
        </w:rPr>
        <w:t xml:space="preserve">外漏，致使小油罐车下方积聚大量油气。 </w:t>
      </w:r>
    </w:p>
    <w:p w14:paraId="44C87EC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kern w:val="0"/>
          <w:sz w:val="28"/>
          <w:szCs w:val="28"/>
        </w:rPr>
      </w:pPr>
      <w:r>
        <w:rPr>
          <w:rFonts w:hint="default" w:ascii="Times New Roman" w:hAnsi="Times New Roman" w:cs="Times New Roman"/>
          <w:kern w:val="0"/>
          <w:sz w:val="28"/>
          <w:szCs w:val="28"/>
        </w:rPr>
        <w:t xml:space="preserve"> 以上加油站火灾、爆炸事故2例案例，从事故案例的分析来看，发生火灾事故的加油站都存在违规建设和违章操作。因此在加油站的设计和施工建设中应严格按《汽车加油加气加氢站技术标准》（GB50156-2021）要求进行。</w:t>
      </w:r>
    </w:p>
    <w:p w14:paraId="0B78A148">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209" w:name="_Toc30465"/>
      <w:bookmarkStart w:id="210" w:name="_Toc14796"/>
      <w:r>
        <w:rPr>
          <w:rFonts w:hint="default" w:ascii="Times New Roman" w:hAnsi="Times New Roman" w:eastAsia="楷体" w:cs="Times New Roman"/>
          <w:color w:val="auto"/>
          <w:sz w:val="32"/>
          <w:szCs w:val="32"/>
          <w:lang w:val="en-US" w:eastAsia="zh-CN"/>
        </w:rPr>
        <w:t>5.3“两重点一重大”辨识</w:t>
      </w:r>
      <w:bookmarkEnd w:id="209"/>
      <w:bookmarkEnd w:id="210"/>
    </w:p>
    <w:p w14:paraId="3E26E896">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211" w:name="_Toc14124"/>
      <w:bookmarkStart w:id="212" w:name="_Toc146488863"/>
      <w:r>
        <w:rPr>
          <w:rFonts w:hint="default" w:ascii="Times New Roman" w:hAnsi="Times New Roman" w:eastAsia="黑体" w:cs="Times New Roman"/>
          <w:b/>
          <w:bCs/>
          <w:color w:val="auto"/>
          <w:sz w:val="28"/>
          <w:szCs w:val="32"/>
          <w:lang w:val="en-US" w:eastAsia="zh-CN"/>
        </w:rPr>
        <w:t>5.3.1重点监管危险化学品情况</w:t>
      </w:r>
      <w:bookmarkEnd w:id="211"/>
      <w:bookmarkEnd w:id="212"/>
    </w:p>
    <w:p w14:paraId="3E6A4F2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根据《国家安全监管总局关于公布首批重点监管的危险化学品名录的通知》（安监总管三[2011]95号）和《国家安全监管总局关于公布第二批重点监管危险化学品名录的通知》（安监总管三[2013]12号），</w:t>
      </w:r>
      <w:r>
        <w:rPr>
          <w:rFonts w:hint="eastAsia" w:cs="Times New Roman"/>
          <w:sz w:val="28"/>
          <w:szCs w:val="28"/>
          <w:lang w:eastAsia="zh-CN"/>
        </w:rPr>
        <w:t>乙醇汽油</w:t>
      </w:r>
      <w:r>
        <w:rPr>
          <w:rFonts w:hint="default" w:ascii="Times New Roman" w:hAnsi="Times New Roman" w:cs="Times New Roman"/>
          <w:sz w:val="28"/>
          <w:szCs w:val="28"/>
        </w:rPr>
        <w:t>是重点监管危险化学品。</w:t>
      </w:r>
    </w:p>
    <w:p w14:paraId="7851FC8D">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213" w:name="_Toc7686"/>
      <w:bookmarkStart w:id="214" w:name="_Toc146488864"/>
      <w:bookmarkStart w:id="215" w:name="_Toc14685"/>
      <w:bookmarkStart w:id="216" w:name="_Toc146488865"/>
      <w:r>
        <w:rPr>
          <w:rFonts w:hint="default" w:ascii="Times New Roman" w:hAnsi="Times New Roman" w:eastAsia="黑体" w:cs="Times New Roman"/>
          <w:b/>
          <w:bCs/>
          <w:color w:val="auto"/>
          <w:sz w:val="28"/>
          <w:szCs w:val="32"/>
          <w:lang w:val="en-US" w:eastAsia="zh-CN"/>
        </w:rPr>
        <w:t>5.3.2重点监管危险化工工艺情况</w:t>
      </w:r>
      <w:bookmarkEnd w:id="213"/>
      <w:bookmarkEnd w:id="214"/>
    </w:p>
    <w:p w14:paraId="0CA7D9A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根据《国家安全监管总局关于公布首批重点监管的危险化工工艺目录的通知》和《国家安全监管总局关于公布第二批重点监管危险化工工艺目录和调整首批重点监管危险化工工艺中部分典型工艺的通知》的规定，本项目不涉及重点监管危险化工工艺。</w:t>
      </w:r>
    </w:p>
    <w:p w14:paraId="4AACE75A">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r>
        <w:rPr>
          <w:rFonts w:hint="default" w:ascii="Times New Roman" w:hAnsi="Times New Roman" w:eastAsia="黑体" w:cs="Times New Roman"/>
          <w:b/>
          <w:bCs/>
          <w:color w:val="auto"/>
          <w:sz w:val="28"/>
          <w:szCs w:val="32"/>
          <w:lang w:val="en-US" w:eastAsia="zh-CN"/>
        </w:rPr>
        <w:t>5.3.3重大危险源情况</w:t>
      </w:r>
      <w:bookmarkEnd w:id="215"/>
      <w:bookmarkEnd w:id="216"/>
    </w:p>
    <w:p w14:paraId="5E41CBE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根据《危险化学品重大危险源辨识》（GB 18218-2018）辨识，储罐单元未构成危险化学品重大危险源。该加油站未构成危险化学品重大危险源。辨识过程详见F3.</w:t>
      </w:r>
      <w:r>
        <w:rPr>
          <w:rFonts w:hint="eastAsia" w:cs="Times New Roman"/>
          <w:sz w:val="28"/>
          <w:szCs w:val="28"/>
          <w:lang w:val="en-US" w:eastAsia="zh-CN"/>
        </w:rPr>
        <w:t>5</w:t>
      </w:r>
      <w:r>
        <w:rPr>
          <w:rFonts w:hint="default" w:ascii="Times New Roman" w:hAnsi="Times New Roman" w:cs="Times New Roman"/>
          <w:sz w:val="28"/>
          <w:szCs w:val="28"/>
        </w:rPr>
        <w:t>。</w:t>
      </w:r>
    </w:p>
    <w:p w14:paraId="4D7EE41B">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217" w:name="_Toc26070"/>
      <w:bookmarkStart w:id="218" w:name="_Toc13969"/>
      <w:r>
        <w:rPr>
          <w:rFonts w:hint="default" w:ascii="Times New Roman" w:hAnsi="Times New Roman" w:eastAsia="楷体" w:cs="Times New Roman"/>
          <w:color w:val="auto"/>
          <w:sz w:val="32"/>
          <w:szCs w:val="32"/>
          <w:lang w:val="en-US" w:eastAsia="zh-CN"/>
        </w:rPr>
        <w:t>5.4本项目爆炸危险区域划分</w:t>
      </w:r>
      <w:bookmarkEnd w:id="217"/>
      <w:bookmarkEnd w:id="218"/>
    </w:p>
    <w:p w14:paraId="2A3FAACB">
      <w:pPr>
        <w:rPr>
          <w:rFonts w:hint="default" w:ascii="Times New Roman" w:hAnsi="Times New Roman" w:cs="Times New Roman"/>
        </w:rPr>
      </w:pPr>
    </w:p>
    <w:p w14:paraId="6241002D">
      <w:pPr>
        <w:keepNext w:val="0"/>
        <w:keepLines w:val="0"/>
        <w:pageBreakBefore w:val="0"/>
        <w:widowControl w:val="0"/>
        <w:kinsoku/>
        <w:wordWrap/>
        <w:overflowPunct/>
        <w:topLinePunct w:val="0"/>
        <w:autoSpaceDE/>
        <w:autoSpaceDN/>
        <w:bidi w:val="0"/>
        <w:adjustRightInd w:val="0"/>
        <w:snapToGrid w:val="0"/>
        <w:spacing w:line="360" w:lineRule="auto"/>
        <w:ind w:firstLine="490" w:firstLineChars="175"/>
        <w:textAlignment w:val="auto"/>
        <w:rPr>
          <w:rFonts w:hint="default" w:ascii="Times New Roman" w:hAnsi="Times New Roman" w:cs="Times New Roman"/>
          <w:sz w:val="28"/>
          <w:szCs w:val="28"/>
        </w:rPr>
      </w:pPr>
      <w:r>
        <w:rPr>
          <w:rFonts w:hint="eastAsia" w:ascii="Times New Roman" w:hAnsi="Times New Roman" w:cs="Times New Roman"/>
          <w:sz w:val="28"/>
          <w:szCs w:val="28"/>
          <w:lang w:val="en-US" w:eastAsia="zh-CN"/>
        </w:rPr>
        <w:t>1、</w:t>
      </w:r>
      <w:r>
        <w:rPr>
          <w:rFonts w:hint="default" w:ascii="Times New Roman" w:hAnsi="Times New Roman" w:cs="Times New Roman"/>
          <w:sz w:val="28"/>
          <w:szCs w:val="28"/>
        </w:rPr>
        <w:t>爆炸危险区域的等级定义应符合现行国家标准《爆炸危险环境电力装置设计规范》（GB 50058-2014）的规定。</w:t>
      </w:r>
    </w:p>
    <w:p w14:paraId="38779304">
      <w:pPr>
        <w:keepNext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（1）</w:t>
      </w:r>
      <w:r>
        <w:rPr>
          <w:rFonts w:hint="default" w:ascii="Times New Roman" w:hAnsi="Times New Roman" w:cs="Times New Roman"/>
          <w:sz w:val="28"/>
          <w:szCs w:val="28"/>
        </w:rPr>
        <w:t>0区：连续出现或长期出现爆炸性气体混合物的环境；</w:t>
      </w:r>
    </w:p>
    <w:p w14:paraId="6439A1C9">
      <w:pPr>
        <w:keepNext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（2）</w:t>
      </w:r>
      <w:r>
        <w:rPr>
          <w:rFonts w:hint="default" w:ascii="Times New Roman" w:hAnsi="Times New Roman" w:cs="Times New Roman"/>
          <w:sz w:val="28"/>
          <w:szCs w:val="28"/>
        </w:rPr>
        <w:t>1区：在正常运行时可能出现爆炸性气体混合物的环境；</w:t>
      </w:r>
    </w:p>
    <w:p w14:paraId="40A34CFD">
      <w:pPr>
        <w:keepNext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3</w:t>
      </w:r>
      <w:r>
        <w:rPr>
          <w:rFonts w:hint="default" w:ascii="Times New Roman" w:hAnsi="Times New Roman" w:cs="Times New Roman"/>
          <w:sz w:val="28"/>
          <w:szCs w:val="28"/>
          <w:lang w:eastAsia="zh-CN"/>
        </w:rPr>
        <w:t>）</w:t>
      </w:r>
      <w:r>
        <w:rPr>
          <w:rFonts w:hint="default" w:ascii="Times New Roman" w:hAnsi="Times New Roman" w:cs="Times New Roman"/>
          <w:sz w:val="28"/>
          <w:szCs w:val="28"/>
        </w:rPr>
        <w:t>2区：在正常运行时不可能出现爆炸性气体混合物的环境，或即使出现也仅是短时存在爆炸性气体混合物的环境。</w:t>
      </w:r>
    </w:p>
    <w:p w14:paraId="3E59AA9B">
      <w:pPr>
        <w:keepNext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正常运行指正常</w:t>
      </w:r>
      <w:r>
        <w:rPr>
          <w:rFonts w:hint="default" w:ascii="Times New Roman" w:hAnsi="Times New Roman" w:cs="Times New Roman"/>
          <w:sz w:val="28"/>
          <w:szCs w:val="28"/>
          <w:lang w:eastAsia="zh-CN"/>
        </w:rPr>
        <w:t>地</w:t>
      </w:r>
      <w:r>
        <w:rPr>
          <w:rFonts w:hint="default" w:ascii="Times New Roman" w:hAnsi="Times New Roman" w:cs="Times New Roman"/>
          <w:sz w:val="28"/>
          <w:szCs w:val="28"/>
        </w:rPr>
        <w:t>开车、运行、停车、易燃物质产品的装卸、密闭容器盖的安装、安全阀、排放阀以及所有工厂设备都在其设计参数范围内的工作状态。</w:t>
      </w:r>
    </w:p>
    <w:p w14:paraId="74468C4A">
      <w:pPr>
        <w:keepNext w:val="0"/>
        <w:pageBreakBefore w:val="0"/>
        <w:widowControl w:val="0"/>
        <w:kinsoku/>
        <w:wordWrap/>
        <w:overflowPunct/>
        <w:topLinePunct w:val="0"/>
        <w:autoSpaceDE/>
        <w:autoSpaceDN/>
        <w:bidi w:val="0"/>
        <w:adjustRightInd w:val="0"/>
        <w:snapToGrid w:val="0"/>
        <w:spacing w:line="360" w:lineRule="auto"/>
        <w:ind w:firstLine="490" w:firstLineChars="175"/>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2、</w:t>
      </w:r>
      <w:r>
        <w:rPr>
          <w:rFonts w:hint="default" w:ascii="Times New Roman" w:hAnsi="Times New Roman" w:cs="Times New Roman"/>
          <w:sz w:val="28"/>
          <w:szCs w:val="28"/>
        </w:rPr>
        <w:t>汽油设施的爆炸危险区域内地坪以下的坑或沟应划分为1区。</w:t>
      </w:r>
    </w:p>
    <w:p w14:paraId="44B1F200">
      <w:pPr>
        <w:keepNext w:val="0"/>
        <w:pageBreakBefore w:val="0"/>
        <w:widowControl w:val="0"/>
        <w:kinsoku/>
        <w:wordWrap/>
        <w:overflowPunct/>
        <w:topLinePunct w:val="0"/>
        <w:autoSpaceDE/>
        <w:autoSpaceDN/>
        <w:bidi w:val="0"/>
        <w:adjustRightInd w:val="0"/>
        <w:snapToGrid w:val="0"/>
        <w:spacing w:line="360" w:lineRule="auto"/>
        <w:ind w:firstLine="490" w:firstLineChars="175"/>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3、</w:t>
      </w:r>
      <w:r>
        <w:rPr>
          <w:rFonts w:hint="default" w:ascii="Times New Roman" w:hAnsi="Times New Roman" w:cs="Times New Roman"/>
          <w:sz w:val="28"/>
          <w:szCs w:val="28"/>
        </w:rPr>
        <w:t>汽油加油机爆炸危险区域划分应符合下列规定（图1）：</w:t>
      </w:r>
    </w:p>
    <w:p w14:paraId="7AA1D0B6">
      <w:pPr>
        <w:keepNext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（1）</w:t>
      </w:r>
      <w:r>
        <w:rPr>
          <w:rFonts w:hint="default" w:ascii="Times New Roman" w:hAnsi="Times New Roman" w:cs="Times New Roman"/>
          <w:sz w:val="28"/>
          <w:szCs w:val="28"/>
        </w:rPr>
        <w:t>加油机下箱体内部空间应划分为1区。</w:t>
      </w:r>
    </w:p>
    <w:p w14:paraId="22706CF0">
      <w:pPr>
        <w:keepNext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rPr>
      </w:pPr>
      <w:r>
        <w:rPr>
          <w:rFonts w:hint="default" w:ascii="Times New Roman" w:hAnsi="Times New Roman" w:cs="Times New Roman"/>
          <w:sz w:val="28"/>
          <w:szCs w:val="28"/>
          <w:lang w:val="en-US" w:eastAsia="zh-CN"/>
        </w:rPr>
        <w:t>（2）</w:t>
      </w:r>
      <w:r>
        <w:rPr>
          <w:rFonts w:hint="default" w:ascii="Times New Roman" w:hAnsi="Times New Roman" w:cs="Times New Roman"/>
          <w:sz w:val="28"/>
          <w:szCs w:val="28"/>
        </w:rPr>
        <w:t>以加油机中心线为中心线、以半径为3.0m的地面区域为底面和以加油机下箱体顶部以上0.15m、半径为1.5m的平面为顶面的圆台形空间，划分为2区。</w:t>
      </w:r>
    </w:p>
    <w:p w14:paraId="2E45D1C8">
      <w:pPr>
        <w:keepNext w:val="0"/>
        <w:pageBreakBefore w:val="0"/>
        <w:widowControl w:val="0"/>
        <w:kinsoku/>
        <w:wordWrap/>
        <w:overflowPunct/>
        <w:topLinePunct w:val="0"/>
        <w:autoSpaceDE/>
        <w:autoSpaceDN/>
        <w:bidi w:val="0"/>
        <w:spacing w:line="336" w:lineRule="auto"/>
        <w:jc w:val="both"/>
        <w:textAlignment w:val="auto"/>
        <w:rPr>
          <w:rFonts w:hint="default" w:ascii="Times New Roman" w:hAnsi="Times New Roman" w:eastAsia="宋体" w:cs="Times New Roman"/>
        </w:rPr>
      </w:pPr>
      <w:r>
        <w:rPr>
          <w:rFonts w:ascii="Times New Roman" w:hAnsi="Times New Roman" w:eastAsia="宋体" w:cs="Times New Roman"/>
          <w:sz w:val="21"/>
        </w:rPr>
        <mc:AlternateContent>
          <mc:Choice Requires="wps">
            <w:drawing>
              <wp:anchor distT="0" distB="0" distL="114300" distR="114300" simplePos="0" relativeHeight="251667456" behindDoc="0" locked="0" layoutInCell="1" allowOverlap="1">
                <wp:simplePos x="0" y="0"/>
                <wp:positionH relativeFrom="column">
                  <wp:posOffset>2845435</wp:posOffset>
                </wp:positionH>
                <wp:positionV relativeFrom="paragraph">
                  <wp:posOffset>167005</wp:posOffset>
                </wp:positionV>
                <wp:extent cx="735965" cy="381000"/>
                <wp:effectExtent l="0" t="0" r="6985" b="0"/>
                <wp:wrapNone/>
                <wp:docPr id="186" name="文本框 186"/>
                <wp:cNvGraphicFramePr/>
                <a:graphic xmlns:a="http://schemas.openxmlformats.org/drawingml/2006/main">
                  <a:graphicData uri="http://schemas.microsoft.com/office/word/2010/wordprocessingShape">
                    <wps:wsp>
                      <wps:cNvSpPr txBox="1"/>
                      <wps:spPr>
                        <a:xfrm>
                          <a:off x="0" y="0"/>
                          <a:ext cx="735965" cy="381000"/>
                        </a:xfrm>
                        <a:prstGeom prst="rect">
                          <a:avLst/>
                        </a:prstGeom>
                        <a:solidFill>
                          <a:srgbClr val="FFFFFF"/>
                        </a:solidFill>
                        <a:ln w="19050">
                          <a:noFill/>
                        </a:ln>
                      </wps:spPr>
                      <wps:txbx>
                        <w:txbxContent>
                          <w:p w14:paraId="6984DC82">
                            <w:pPr>
                              <w:ind w:firstLine="210" w:firstLineChars="10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1.5m</w:t>
                            </w:r>
                          </w:p>
                        </w:txbxContent>
                      </wps:txbx>
                      <wps:bodyPr upright="1"/>
                    </wps:wsp>
                  </a:graphicData>
                </a:graphic>
              </wp:anchor>
            </w:drawing>
          </mc:Choice>
          <mc:Fallback>
            <w:pict>
              <v:shape id="_x0000_s1026" o:spid="_x0000_s1026" o:spt="202" type="#_x0000_t202" style="position:absolute;left:0pt;margin-left:224.05pt;margin-top:13.15pt;height:30pt;width:57.95pt;z-index:251667456;mso-width-relative:page;mso-height-relative:page;" fillcolor="#FFFFFF" filled="t" stroked="f" coordsize="21600,21600" o:gfxdata="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skrLB1gAAAAkBAAAPAAAAAAAAAAEAIAAAACIAAABkcnMv&#10;ZG93bnJldi54bWxQSwECFAAUAAAACACHTuJAPh5PJ8wBAACEAwAADgAAAAAAAAABACAAAAAlAQAA&#10;ZHJzL2Uyb0RvYy54bWxQSwUGAAAAAAYABgBZAQAAYwUAAAAA&#10;">
                <v:fill on="t" focussize="0,0"/>
                <v:stroke on="f" weight="1.5pt"/>
                <v:imagedata o:title=""/>
                <o:lock v:ext="edit" aspectratio="f"/>
                <v:textbox>
                  <w:txbxContent>
                    <w:p w14:paraId="6984DC82">
                      <w:pPr>
                        <w:ind w:firstLine="210" w:firstLineChars="10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1.5m</w:t>
                      </w:r>
                    </w:p>
                  </w:txbxContent>
                </v:textbox>
              </v:shape>
            </w:pict>
          </mc:Fallback>
        </mc:AlternateContent>
      </w:r>
      <w:r>
        <w:rPr>
          <w:rFonts w:ascii="Times New Roman" w:hAnsi="Times New Roman" w:eastAsia="宋体" w:cs="Times New Roman"/>
          <w:sz w:val="21"/>
        </w:rPr>
        <mc:AlternateContent>
          <mc:Choice Requires="wps">
            <w:drawing>
              <wp:anchor distT="0" distB="0" distL="114300" distR="114300" simplePos="0" relativeHeight="251666432" behindDoc="0" locked="0" layoutInCell="1" allowOverlap="1">
                <wp:simplePos x="0" y="0"/>
                <wp:positionH relativeFrom="column">
                  <wp:posOffset>2075815</wp:posOffset>
                </wp:positionH>
                <wp:positionV relativeFrom="paragraph">
                  <wp:posOffset>167640</wp:posOffset>
                </wp:positionV>
                <wp:extent cx="717550" cy="372745"/>
                <wp:effectExtent l="0" t="0" r="6350" b="8255"/>
                <wp:wrapNone/>
                <wp:docPr id="183" name="文本框 183"/>
                <wp:cNvGraphicFramePr/>
                <a:graphic xmlns:a="http://schemas.openxmlformats.org/drawingml/2006/main">
                  <a:graphicData uri="http://schemas.microsoft.com/office/word/2010/wordprocessingShape">
                    <wps:wsp>
                      <wps:cNvSpPr txBox="1"/>
                      <wps:spPr>
                        <a:xfrm>
                          <a:off x="0" y="0"/>
                          <a:ext cx="717550" cy="372745"/>
                        </a:xfrm>
                        <a:prstGeom prst="rect">
                          <a:avLst/>
                        </a:prstGeom>
                        <a:solidFill>
                          <a:srgbClr val="FFFFFF"/>
                        </a:solidFill>
                        <a:ln w="19050">
                          <a:noFill/>
                        </a:ln>
                      </wps:spPr>
                      <wps:txbx>
                        <w:txbxContent>
                          <w:p w14:paraId="40ECD95B">
                            <w:pPr>
                              <w:ind w:firstLine="210" w:firstLineChars="10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1.5m</w:t>
                            </w:r>
                          </w:p>
                        </w:txbxContent>
                      </wps:txbx>
                      <wps:bodyPr upright="1"/>
                    </wps:wsp>
                  </a:graphicData>
                </a:graphic>
              </wp:anchor>
            </w:drawing>
          </mc:Choice>
          <mc:Fallback>
            <w:pict>
              <v:shape id="_x0000_s1026" o:spid="_x0000_s1026" o:spt="202" type="#_x0000_t202" style="position:absolute;left:0pt;margin-left:163.45pt;margin-top:13.2pt;height:29.35pt;width:56.5pt;z-index:251666432;mso-width-relative:page;mso-height-relative:page;" fillcolor="#FFFFFF" filled="t" stroked="f" coordsize="21600,21600" o:gfxdata="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Ejk8f1gAAAAkBAAAPAAAAAAAAAAEAIAAAACIAAABkcnMvZG93&#10;bnJldi54bWxQSwECFAAUAAAACACHTuJA7OUZ98kBAACEAwAADgAAAAAAAAABACAAAAAlAQAAZHJz&#10;L2Uyb0RvYy54bWxQSwUGAAAAAAYABgBZAQAAYAUAAAAA&#10;">
                <v:fill on="t" focussize="0,0"/>
                <v:stroke on="f" weight="1.5pt"/>
                <v:imagedata o:title=""/>
                <o:lock v:ext="edit" aspectratio="f"/>
                <v:textbox>
                  <w:txbxContent>
                    <w:p w14:paraId="40ECD95B">
                      <w:pPr>
                        <w:ind w:firstLine="210" w:firstLineChars="10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1.5m</w:t>
                      </w:r>
                    </w:p>
                  </w:txbxContent>
                </v:textbox>
              </v:shape>
            </w:pict>
          </mc:Fallback>
        </mc:AlternateContent>
      </w:r>
    </w:p>
    <w:p w14:paraId="35928B3A">
      <w:pPr>
        <w:keepNext w:val="0"/>
        <w:pageBreakBefore w:val="0"/>
        <w:widowControl w:val="0"/>
        <w:kinsoku/>
        <w:wordWrap/>
        <w:overflowPunct/>
        <w:topLinePunct w:val="0"/>
        <w:autoSpaceDE/>
        <w:autoSpaceDN/>
        <w:bidi w:val="0"/>
        <w:spacing w:line="336" w:lineRule="auto"/>
        <w:jc w:val="center"/>
        <w:textAlignment w:val="auto"/>
        <w:rPr>
          <w:rFonts w:hint="default" w:ascii="Times New Roman" w:hAnsi="Times New Roman" w:cs="Times New Roman"/>
          <w:sz w:val="28"/>
        </w:rPr>
      </w:pPr>
      <w:r>
        <w:rPr>
          <w:rFonts w:ascii="Times New Roman" w:hAnsi="Times New Roman" w:eastAsia="宋体" w:cs="Times New Roman"/>
          <w:sz w:val="21"/>
        </w:rPr>
        <mc:AlternateContent>
          <mc:Choice Requires="wps">
            <w:drawing>
              <wp:anchor distT="0" distB="0" distL="114300" distR="114300" simplePos="0" relativeHeight="251669504" behindDoc="0" locked="0" layoutInCell="1" allowOverlap="1">
                <wp:simplePos x="0" y="0"/>
                <wp:positionH relativeFrom="column">
                  <wp:posOffset>3184525</wp:posOffset>
                </wp:positionH>
                <wp:positionV relativeFrom="paragraph">
                  <wp:posOffset>1847850</wp:posOffset>
                </wp:positionV>
                <wp:extent cx="865505" cy="380365"/>
                <wp:effectExtent l="0" t="0" r="10795" b="635"/>
                <wp:wrapNone/>
                <wp:docPr id="6" name="文本框 6"/>
                <wp:cNvGraphicFramePr/>
                <a:graphic xmlns:a="http://schemas.openxmlformats.org/drawingml/2006/main">
                  <a:graphicData uri="http://schemas.microsoft.com/office/word/2010/wordprocessingShape">
                    <wps:wsp>
                      <wps:cNvSpPr txBox="1"/>
                      <wps:spPr>
                        <a:xfrm>
                          <a:off x="0" y="0"/>
                          <a:ext cx="865505" cy="380365"/>
                        </a:xfrm>
                        <a:prstGeom prst="rect">
                          <a:avLst/>
                        </a:prstGeom>
                        <a:solidFill>
                          <a:srgbClr val="FFFFFF"/>
                        </a:solidFill>
                        <a:ln w="19050">
                          <a:noFill/>
                        </a:ln>
                      </wps:spPr>
                      <wps:txbx>
                        <w:txbxContent>
                          <w:p w14:paraId="63C07ED4">
                            <w:pPr>
                              <w:ind w:firstLine="420" w:firstLineChars="20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3m</w:t>
                            </w:r>
                          </w:p>
                        </w:txbxContent>
                      </wps:txbx>
                      <wps:bodyPr upright="1"/>
                    </wps:wsp>
                  </a:graphicData>
                </a:graphic>
              </wp:anchor>
            </w:drawing>
          </mc:Choice>
          <mc:Fallback>
            <w:pict>
              <v:shape id="_x0000_s1026" o:spid="_x0000_s1026" o:spt="202" type="#_x0000_t202" style="position:absolute;left:0pt;margin-left:250.75pt;margin-top:145.5pt;height:29.95pt;width:68.15pt;z-index:251669504;mso-width-relative:page;mso-height-relative:page;" fillcolor="#FFFFFF" filled="t" stroked="f" coordsize="21600,21600" o:gfxdata="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Oq0C1wAAAAsBAAAPAAAAAAAAAAEAIAAAACIAAABkcnMvZG93&#10;bnJldi54bWxQSwECFAAUAAAACACHTuJAhtccZMgBAACAAwAADgAAAAAAAAABACAAAAAmAQAAZHJz&#10;L2Uyb0RvYy54bWxQSwUGAAAAAAYABgBZAQAAYAUAAAAA&#10;">
                <v:fill on="t" focussize="0,0"/>
                <v:stroke on="f" weight="1.5pt"/>
                <v:imagedata o:title=""/>
                <o:lock v:ext="edit" aspectratio="f"/>
                <v:textbox>
                  <w:txbxContent>
                    <w:p w14:paraId="63C07ED4">
                      <w:pPr>
                        <w:ind w:firstLine="420" w:firstLineChars="20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3m</w:t>
                      </w:r>
                    </w:p>
                  </w:txbxContent>
                </v:textbox>
              </v:shape>
            </w:pict>
          </mc:Fallback>
        </mc:AlternateContent>
      </w:r>
      <w:r>
        <w:rPr>
          <w:rFonts w:ascii="Times New Roman" w:hAnsi="Times New Roman" w:eastAsia="宋体" w:cs="Times New Roman"/>
          <w:sz w:val="21"/>
        </w:rPr>
        <mc:AlternateContent>
          <mc:Choice Requires="wps">
            <w:drawing>
              <wp:anchor distT="0" distB="0" distL="114300" distR="114300" simplePos="0" relativeHeight="251668480" behindDoc="0" locked="0" layoutInCell="1" allowOverlap="1">
                <wp:simplePos x="0" y="0"/>
                <wp:positionH relativeFrom="column">
                  <wp:posOffset>1670685</wp:posOffset>
                </wp:positionH>
                <wp:positionV relativeFrom="paragraph">
                  <wp:posOffset>1864995</wp:posOffset>
                </wp:positionV>
                <wp:extent cx="901700" cy="363220"/>
                <wp:effectExtent l="0" t="0" r="12700" b="17780"/>
                <wp:wrapNone/>
                <wp:docPr id="8" name="文本框 8"/>
                <wp:cNvGraphicFramePr/>
                <a:graphic xmlns:a="http://schemas.openxmlformats.org/drawingml/2006/main">
                  <a:graphicData uri="http://schemas.microsoft.com/office/word/2010/wordprocessingShape">
                    <wps:wsp>
                      <wps:cNvSpPr txBox="1"/>
                      <wps:spPr>
                        <a:xfrm>
                          <a:off x="0" y="0"/>
                          <a:ext cx="901700" cy="363220"/>
                        </a:xfrm>
                        <a:prstGeom prst="rect">
                          <a:avLst/>
                        </a:prstGeom>
                        <a:solidFill>
                          <a:srgbClr val="FFFFFF"/>
                        </a:solidFill>
                        <a:ln w="19050">
                          <a:noFill/>
                        </a:ln>
                      </wps:spPr>
                      <wps:txbx>
                        <w:txbxContent>
                          <w:p w14:paraId="16834D7D">
                            <w:pPr>
                              <w:ind w:firstLine="420" w:firstLineChars="20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3m</w:t>
                            </w:r>
                          </w:p>
                        </w:txbxContent>
                      </wps:txbx>
                      <wps:bodyPr upright="1"/>
                    </wps:wsp>
                  </a:graphicData>
                </a:graphic>
              </wp:anchor>
            </w:drawing>
          </mc:Choice>
          <mc:Fallback>
            <w:pict>
              <v:shape id="_x0000_s1026" o:spid="_x0000_s1026" o:spt="202" type="#_x0000_t202" style="position:absolute;left:0pt;margin-left:131.55pt;margin-top:146.85pt;height:28.6pt;width:71pt;z-index:251668480;mso-width-relative:page;mso-height-relative:page;" fillcolor="#FFFFFF" filled="t" stroked="f" coordsize="21600,21600" o:gfxdata="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FyjvBNcAAAALAQAADwAAAAAAAAABACAAAAAiAAAAZHJzL2Rv&#10;d25yZXYueG1sUEsBAhQAFAAAAAgAh07iQIk8v2XJAQAAgAMAAA4AAAAAAAAAAQAgAAAAJgEAAGRy&#10;cy9lMm9Eb2MueG1sUEsFBgAAAAAGAAYAWQEAAGEFAAAAAA==&#10;">
                <v:fill on="t" focussize="0,0"/>
                <v:stroke on="f" weight="1.5pt"/>
                <v:imagedata o:title=""/>
                <o:lock v:ext="edit" aspectratio="f"/>
                <v:textbox>
                  <w:txbxContent>
                    <w:p w14:paraId="16834D7D">
                      <w:pPr>
                        <w:ind w:firstLine="420" w:firstLineChars="20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3m</w:t>
                      </w:r>
                    </w:p>
                  </w:txbxContent>
                </v:textbox>
              </v:shape>
            </w:pict>
          </mc:Fallback>
        </mc:AlternateConten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INCLUDEPICTURE "https://gf.1190119.com/Web/uploads/allimg/210826/10-210R609214RD.jpg" \* MERGEFORMATINET </w:instrText>
      </w:r>
      <w:r>
        <w:rPr>
          <w:rFonts w:hint="default" w:ascii="Times New Roman" w:hAnsi="Times New Roman" w:eastAsia="宋体" w:cs="Times New Roman"/>
        </w:rPr>
        <w:fldChar w:fldCharType="separate"/>
      </w:r>
      <w:r>
        <w:rPr>
          <w:rFonts w:hint="default" w:ascii="Times New Roman" w:hAnsi="Times New Roman" w:eastAsia="宋体" w:cs="Times New Roman"/>
        </w:rPr>
        <w:drawing>
          <wp:inline distT="0" distB="0" distL="114300" distR="114300">
            <wp:extent cx="4534535" cy="3001645"/>
            <wp:effectExtent l="0" t="0" r="18415" b="8255"/>
            <wp:docPr id="180" name="图片 2" descr="10-210R609214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2" descr="10-210R609214RD"/>
                    <pic:cNvPicPr>
                      <a:picLocks noChangeAspect="1"/>
                    </pic:cNvPicPr>
                  </pic:nvPicPr>
                  <pic:blipFill>
                    <a:blip r:embed="rId12"/>
                    <a:stretch>
                      <a:fillRect/>
                    </a:stretch>
                  </pic:blipFill>
                  <pic:spPr>
                    <a:xfrm>
                      <a:off x="0" y="0"/>
                      <a:ext cx="4534535" cy="3001645"/>
                    </a:xfrm>
                    <a:prstGeom prst="rect">
                      <a:avLst/>
                    </a:prstGeom>
                    <a:noFill/>
                    <a:ln>
                      <a:noFill/>
                    </a:ln>
                  </pic:spPr>
                </pic:pic>
              </a:graphicData>
            </a:graphic>
          </wp:inline>
        </w:drawing>
      </w:r>
      <w:r>
        <w:rPr>
          <w:rFonts w:hint="default" w:ascii="Times New Roman" w:hAnsi="Times New Roman" w:eastAsia="宋体" w:cs="Times New Roman"/>
        </w:rPr>
        <w:fldChar w:fldCharType="end"/>
      </w:r>
      <w:r>
        <w:rPr>
          <w:sz w:val="21"/>
        </w:rPr>
        <mc:AlternateContent>
          <mc:Choice Requires="wps">
            <w:drawing>
              <wp:anchor distT="0" distB="0" distL="114300" distR="114300" simplePos="0" relativeHeight="251663360" behindDoc="0" locked="0" layoutInCell="1" allowOverlap="1">
                <wp:simplePos x="0" y="0"/>
                <wp:positionH relativeFrom="column">
                  <wp:posOffset>3184525</wp:posOffset>
                </wp:positionH>
                <wp:positionV relativeFrom="paragraph">
                  <wp:posOffset>1819275</wp:posOffset>
                </wp:positionV>
                <wp:extent cx="865505" cy="380365"/>
                <wp:effectExtent l="0" t="0" r="10795" b="635"/>
                <wp:wrapNone/>
                <wp:docPr id="178" name="文本框 178"/>
                <wp:cNvGraphicFramePr/>
                <a:graphic xmlns:a="http://schemas.openxmlformats.org/drawingml/2006/main">
                  <a:graphicData uri="http://schemas.microsoft.com/office/word/2010/wordprocessingShape">
                    <wps:wsp>
                      <wps:cNvSpPr txBox="1"/>
                      <wps:spPr>
                        <a:xfrm>
                          <a:off x="0" y="0"/>
                          <a:ext cx="865505" cy="380365"/>
                        </a:xfrm>
                        <a:prstGeom prst="rect">
                          <a:avLst/>
                        </a:prstGeom>
                        <a:solidFill>
                          <a:srgbClr val="FFFFFF"/>
                        </a:solidFill>
                        <a:ln w="19050">
                          <a:noFill/>
                        </a:ln>
                      </wps:spPr>
                      <wps:txbx>
                        <w:txbxContent>
                          <w:p w14:paraId="6888DD06">
                            <w:pPr>
                              <w:ind w:firstLine="420" w:firstLineChars="200"/>
                              <w:rPr>
                                <w:rFonts w:hint="default" w:eastAsia="宋体"/>
                                <w:lang w:val="en-US" w:eastAsia="zh-CN"/>
                              </w:rPr>
                            </w:pPr>
                            <w:r>
                              <w:rPr>
                                <w:rFonts w:hint="eastAsia"/>
                                <w:lang w:val="en-US" w:eastAsia="zh-CN"/>
                              </w:rPr>
                              <w:t>3m</w:t>
                            </w:r>
                          </w:p>
                        </w:txbxContent>
                      </wps:txbx>
                      <wps:bodyPr upright="1"/>
                    </wps:wsp>
                  </a:graphicData>
                </a:graphic>
              </wp:anchor>
            </w:drawing>
          </mc:Choice>
          <mc:Fallback>
            <w:pict>
              <v:shape id="_x0000_s1026" o:spid="_x0000_s1026" o:spt="202" type="#_x0000_t202" style="position:absolute;left:0pt;margin-left:250.75pt;margin-top:143.25pt;height:29.95pt;width:68.15pt;z-index:251663360;mso-width-relative:page;mso-height-relative:page;" fillcolor="#FFFFFF" filled="t" stroked="f" coordsize="21600,21600" o:gfxdata="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8DDZjYAAAACwEAAA8AAAAAAAAAAQAgAAAAIgAAAGRycy9k&#10;b3ducmV2LnhtbFBLAQIUABQAAAAIAIdO4kBVTu46yQEAAIQDAAAOAAAAAAAAAAEAIAAAACcBAABk&#10;cnMvZTJvRG9jLnhtbFBLBQYAAAAABgAGAFkBAABiBQAAAAA=&#10;">
                <v:fill on="t" focussize="0,0"/>
                <v:stroke on="f" weight="1.5pt"/>
                <v:imagedata o:title=""/>
                <o:lock v:ext="edit" aspectratio="f"/>
                <v:textbox>
                  <w:txbxContent>
                    <w:p w14:paraId="6888DD06">
                      <w:pPr>
                        <w:ind w:firstLine="420" w:firstLineChars="200"/>
                        <w:rPr>
                          <w:rFonts w:hint="default" w:eastAsia="宋体"/>
                          <w:lang w:val="en-US" w:eastAsia="zh-CN"/>
                        </w:rPr>
                      </w:pPr>
                      <w:r>
                        <w:rPr>
                          <w:rFonts w:hint="eastAsia"/>
                          <w:lang w:val="en-US" w:eastAsia="zh-CN"/>
                        </w:rPr>
                        <w:t>3m</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1642110</wp:posOffset>
                </wp:positionH>
                <wp:positionV relativeFrom="paragraph">
                  <wp:posOffset>1826895</wp:posOffset>
                </wp:positionV>
                <wp:extent cx="901700" cy="363220"/>
                <wp:effectExtent l="0" t="0" r="12700" b="17780"/>
                <wp:wrapNone/>
                <wp:docPr id="182" name="文本框 182"/>
                <wp:cNvGraphicFramePr/>
                <a:graphic xmlns:a="http://schemas.openxmlformats.org/drawingml/2006/main">
                  <a:graphicData uri="http://schemas.microsoft.com/office/word/2010/wordprocessingShape">
                    <wps:wsp>
                      <wps:cNvSpPr txBox="1"/>
                      <wps:spPr>
                        <a:xfrm>
                          <a:off x="0" y="0"/>
                          <a:ext cx="901700" cy="363220"/>
                        </a:xfrm>
                        <a:prstGeom prst="rect">
                          <a:avLst/>
                        </a:prstGeom>
                        <a:solidFill>
                          <a:srgbClr val="FFFFFF"/>
                        </a:solidFill>
                        <a:ln w="19050">
                          <a:noFill/>
                        </a:ln>
                      </wps:spPr>
                      <wps:txbx>
                        <w:txbxContent>
                          <w:p w14:paraId="09A6F2CD">
                            <w:pPr>
                              <w:ind w:firstLine="420" w:firstLineChars="200"/>
                              <w:rPr>
                                <w:rFonts w:hint="default" w:eastAsia="宋体"/>
                                <w:lang w:val="en-US" w:eastAsia="zh-CN"/>
                              </w:rPr>
                            </w:pPr>
                            <w:r>
                              <w:rPr>
                                <w:rFonts w:hint="eastAsia"/>
                                <w:lang w:val="en-US" w:eastAsia="zh-CN"/>
                              </w:rPr>
                              <w:t>3m</w:t>
                            </w:r>
                          </w:p>
                        </w:txbxContent>
                      </wps:txbx>
                      <wps:bodyPr upright="1"/>
                    </wps:wsp>
                  </a:graphicData>
                </a:graphic>
              </wp:anchor>
            </w:drawing>
          </mc:Choice>
          <mc:Fallback>
            <w:pict>
              <v:shape id="_x0000_s1026" o:spid="_x0000_s1026" o:spt="202" type="#_x0000_t202" style="position:absolute;left:0pt;margin-left:129.3pt;margin-top:143.85pt;height:28.6pt;width:71pt;z-index:251662336;mso-width-relative:page;mso-height-relative:page;" fillcolor="#FFFFFF" filled="t" stroked="f" coordsize="21600,21600" o:gfxdata="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1F/1TWAAAACwEAAA8AAAAAAAAAAQAgAAAAIgAAAGRycy9k&#10;b3ducmV2LnhtbFBLAQIUABQAAAAIAIdO4kBzMCfMywEAAIQDAAAOAAAAAAAAAAEAIAAAACUBAABk&#10;cnMvZTJvRG9jLnhtbFBLBQYAAAAABgAGAFkBAABiBQAAAAA=&#10;">
                <v:fill on="t" focussize="0,0"/>
                <v:stroke on="f" weight="1.5pt"/>
                <v:imagedata o:title=""/>
                <o:lock v:ext="edit" aspectratio="f"/>
                <v:textbox>
                  <w:txbxContent>
                    <w:p w14:paraId="09A6F2CD">
                      <w:pPr>
                        <w:ind w:firstLine="420" w:firstLineChars="200"/>
                        <w:rPr>
                          <w:rFonts w:hint="default" w:eastAsia="宋体"/>
                          <w:lang w:val="en-US" w:eastAsia="zh-CN"/>
                        </w:rPr>
                      </w:pPr>
                      <w:r>
                        <w:rPr>
                          <w:rFonts w:hint="eastAsia"/>
                          <w:lang w:val="en-US" w:eastAsia="zh-CN"/>
                        </w:rPr>
                        <w:t>3m</w:t>
                      </w:r>
                    </w:p>
                  </w:txbxContent>
                </v:textbox>
              </v:shape>
            </w:pict>
          </mc:Fallback>
        </mc:AlternateContent>
      </w:r>
    </w:p>
    <w:p w14:paraId="7F8F75B8">
      <w:pPr>
        <w:keepNext w:val="0"/>
        <w:keepLines w:val="0"/>
        <w:pageBreakBefore w:val="0"/>
        <w:widowControl w:val="0"/>
        <w:kinsoku/>
        <w:wordWrap/>
        <w:overflowPunct/>
        <w:topLinePunct w:val="0"/>
        <w:autoSpaceDE/>
        <w:autoSpaceDN/>
        <w:bidi w:val="0"/>
        <w:adjustRightInd w:val="0"/>
        <w:snapToGrid w:val="0"/>
        <w:spacing w:before="190" w:beforeLines="50" w:after="190" w:afterLines="50" w:line="240" w:lineRule="auto"/>
        <w:jc w:val="center"/>
        <w:textAlignment w:val="auto"/>
        <w:rPr>
          <w:rFonts w:hint="default" w:ascii="Times New Roman" w:hAnsi="Times New Roman" w:eastAsia="黑体" w:cs="Times New Roman"/>
          <w:b w:val="0"/>
          <w:bCs w:val="0"/>
          <w:spacing w:val="0"/>
          <w:kern w:val="2"/>
          <w:sz w:val="24"/>
          <w:szCs w:val="24"/>
          <w:lang w:val="en-US" w:eastAsia="zh-CN" w:bidi="ar-SA"/>
        </w:rPr>
      </w:pPr>
      <w:r>
        <w:rPr>
          <w:rFonts w:hint="default" w:ascii="Times New Roman" w:hAnsi="Times New Roman" w:eastAsia="黑体" w:cs="Times New Roman"/>
          <w:b w:val="0"/>
          <w:bCs w:val="0"/>
          <w:spacing w:val="0"/>
          <w:kern w:val="2"/>
          <w:sz w:val="24"/>
          <w:szCs w:val="24"/>
          <w:lang w:val="en-US" w:eastAsia="zh-CN" w:bidi="ar-SA"/>
        </w:rPr>
        <w:t xml:space="preserve">图1  </w:t>
      </w:r>
      <w:r>
        <w:rPr>
          <w:rFonts w:hint="eastAsia" w:ascii="Times New Roman" w:hAnsi="Times New Roman" w:eastAsia="黑体" w:cs="Times New Roman"/>
          <w:b w:val="0"/>
          <w:bCs w:val="0"/>
          <w:spacing w:val="0"/>
          <w:kern w:val="2"/>
          <w:sz w:val="24"/>
          <w:szCs w:val="24"/>
          <w:lang w:val="en-US" w:eastAsia="zh-CN" w:bidi="ar-SA"/>
        </w:rPr>
        <w:t>乙醇汽油</w:t>
      </w:r>
      <w:r>
        <w:rPr>
          <w:rFonts w:hint="default" w:ascii="Times New Roman" w:hAnsi="Times New Roman" w:eastAsia="黑体" w:cs="Times New Roman"/>
          <w:b w:val="0"/>
          <w:bCs w:val="0"/>
          <w:spacing w:val="0"/>
          <w:kern w:val="2"/>
          <w:sz w:val="24"/>
          <w:szCs w:val="24"/>
          <w:lang w:val="en-US" w:eastAsia="zh-CN" w:bidi="ar-SA"/>
        </w:rPr>
        <w:t>加油机爆炸危险区域划分</w:t>
      </w:r>
    </w:p>
    <w:p w14:paraId="4AFB4924">
      <w:pPr>
        <w:keepNext w:val="0"/>
        <w:keepLines w:val="0"/>
        <w:pageBreakBefore w:val="0"/>
        <w:widowControl w:val="0"/>
        <w:kinsoku/>
        <w:wordWrap/>
        <w:overflowPunct/>
        <w:topLinePunct w:val="0"/>
        <w:autoSpaceDE/>
        <w:autoSpaceDN/>
        <w:bidi w:val="0"/>
        <w:adjustRightInd w:val="0"/>
        <w:snapToGrid w:val="0"/>
        <w:spacing w:line="360" w:lineRule="auto"/>
        <w:ind w:firstLine="490" w:firstLineChars="175"/>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4、</w:t>
      </w:r>
      <w:r>
        <w:rPr>
          <w:rFonts w:hint="default" w:ascii="Times New Roman" w:hAnsi="Times New Roman" w:cs="Times New Roman"/>
          <w:sz w:val="28"/>
          <w:szCs w:val="28"/>
        </w:rPr>
        <w:t>油罐车卸汽油时爆炸危险区域划分应符合下列规定（图2）：</w:t>
      </w:r>
    </w:p>
    <w:p w14:paraId="478682D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（1）</w:t>
      </w:r>
      <w:r>
        <w:rPr>
          <w:rFonts w:hint="default" w:ascii="Times New Roman" w:hAnsi="Times New Roman" w:cs="Times New Roman"/>
          <w:sz w:val="28"/>
          <w:szCs w:val="28"/>
        </w:rPr>
        <w:t>油罐车内部的油品表面以上空间划分为0区。</w:t>
      </w:r>
    </w:p>
    <w:p w14:paraId="4D59F52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（2）</w:t>
      </w:r>
      <w:r>
        <w:rPr>
          <w:rFonts w:hint="default" w:ascii="Times New Roman" w:hAnsi="Times New Roman" w:cs="Times New Roman"/>
          <w:sz w:val="28"/>
          <w:szCs w:val="28"/>
        </w:rPr>
        <w:t>以罐车通气口为中心、半径为1.5m的球形空间和以罐车密闭卸油口为中心、半径为0.5m的球形空间，划分为1区。</w:t>
      </w:r>
    </w:p>
    <w:p w14:paraId="5A3F277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（3）</w:t>
      </w:r>
      <w:r>
        <w:rPr>
          <w:rFonts w:hint="default" w:ascii="Times New Roman" w:hAnsi="Times New Roman" w:cs="Times New Roman"/>
          <w:sz w:val="28"/>
          <w:szCs w:val="28"/>
        </w:rPr>
        <w:t>以罐车通气口为中心、半径为3.0m的球形并延至地面的空间和以罐车密闭卸油口为中心，半径为1.5m的球形并延至地面的空间，划分为2区。</w:t>
      </w:r>
    </w:p>
    <w:p w14:paraId="08F199E1">
      <w:pPr>
        <w:keepNext w:val="0"/>
        <w:pageBreakBefore w:val="0"/>
        <w:widowControl w:val="0"/>
        <w:kinsoku/>
        <w:wordWrap/>
        <w:overflowPunct/>
        <w:topLinePunct w:val="0"/>
        <w:autoSpaceDE/>
        <w:autoSpaceDN/>
        <w:bidi w:val="0"/>
        <w:spacing w:line="336" w:lineRule="auto"/>
        <w:jc w:val="center"/>
        <w:textAlignment w:val="auto"/>
        <w:rPr>
          <w:rFonts w:hint="default" w:ascii="Times New Roman" w:hAnsi="Times New Roman" w:cs="Times New Roman"/>
          <w:sz w:val="28"/>
        </w:rPr>
      </w:pPr>
      <w:r>
        <w:rPr>
          <w:rFonts w:hint="default" w:ascii="Times New Roman" w:hAnsi="Times New Roman" w:cs="Times New Roman"/>
        </w:rPr>
        <w:fldChar w:fldCharType="begin"/>
      </w:r>
      <w:r>
        <w:rPr>
          <w:rFonts w:hint="default" w:ascii="Times New Roman" w:hAnsi="Times New Roman" w:cs="Times New Roman"/>
        </w:rPr>
        <w:instrText xml:space="preserve"> INCLUDEPICTURE "https://gf.1190119.com/Web/uploads/allimg/210826/10-210R6092052O8.jpg" \* MERGEFORMATINET </w:instrText>
      </w:r>
      <w:r>
        <w:rPr>
          <w:rFonts w:hint="default" w:ascii="Times New Roman" w:hAnsi="Times New Roman" w:cs="Times New Roman"/>
        </w:rPr>
        <w:fldChar w:fldCharType="separate"/>
      </w:r>
      <w:r>
        <w:rPr>
          <w:rFonts w:hint="default" w:ascii="Times New Roman" w:hAnsi="Times New Roman" w:cs="Times New Roman"/>
        </w:rPr>
        <w:drawing>
          <wp:inline distT="0" distB="0" distL="114300" distR="114300">
            <wp:extent cx="4763135" cy="3267075"/>
            <wp:effectExtent l="0" t="0" r="18415" b="9525"/>
            <wp:docPr id="184" name="图片 3" descr="10-210R6092052O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3" descr="10-210R6092052O8"/>
                    <pic:cNvPicPr>
                      <a:picLocks noChangeAspect="1"/>
                    </pic:cNvPicPr>
                  </pic:nvPicPr>
                  <pic:blipFill>
                    <a:blip r:embed="rId13"/>
                    <a:stretch>
                      <a:fillRect/>
                    </a:stretch>
                  </pic:blipFill>
                  <pic:spPr>
                    <a:xfrm>
                      <a:off x="0" y="0"/>
                      <a:ext cx="4763135" cy="3267075"/>
                    </a:xfrm>
                    <a:prstGeom prst="rect">
                      <a:avLst/>
                    </a:prstGeom>
                    <a:noFill/>
                    <a:ln>
                      <a:noFill/>
                    </a:ln>
                  </pic:spPr>
                </pic:pic>
              </a:graphicData>
            </a:graphic>
          </wp:inline>
        </w:drawing>
      </w:r>
      <w:r>
        <w:rPr>
          <w:rFonts w:hint="default" w:ascii="Times New Roman" w:hAnsi="Times New Roman" w:cs="Times New Roman"/>
        </w:rPr>
        <w:fldChar w:fldCharType="end"/>
      </w:r>
    </w:p>
    <w:p w14:paraId="2B844108">
      <w:pPr>
        <w:keepNext w:val="0"/>
        <w:keepLines w:val="0"/>
        <w:pageBreakBefore w:val="0"/>
        <w:widowControl w:val="0"/>
        <w:kinsoku/>
        <w:wordWrap/>
        <w:overflowPunct/>
        <w:topLinePunct w:val="0"/>
        <w:autoSpaceDE/>
        <w:autoSpaceDN/>
        <w:bidi w:val="0"/>
        <w:adjustRightInd w:val="0"/>
        <w:snapToGrid w:val="0"/>
        <w:spacing w:before="190" w:beforeLines="50" w:after="190" w:afterLines="50" w:line="240" w:lineRule="auto"/>
        <w:jc w:val="center"/>
        <w:textAlignment w:val="auto"/>
        <w:rPr>
          <w:rFonts w:hint="default" w:ascii="Times New Roman" w:hAnsi="Times New Roman" w:eastAsia="黑体" w:cs="Times New Roman"/>
          <w:b w:val="0"/>
          <w:bCs w:val="0"/>
          <w:spacing w:val="0"/>
          <w:kern w:val="2"/>
          <w:sz w:val="24"/>
          <w:szCs w:val="24"/>
          <w:lang w:val="en-US" w:eastAsia="zh-CN" w:bidi="ar-SA"/>
        </w:rPr>
      </w:pPr>
      <w:r>
        <w:rPr>
          <w:rFonts w:hint="default" w:ascii="Times New Roman" w:hAnsi="Times New Roman" w:eastAsia="黑体" w:cs="Times New Roman"/>
          <w:b w:val="0"/>
          <w:bCs w:val="0"/>
          <w:spacing w:val="0"/>
          <w:kern w:val="2"/>
          <w:sz w:val="24"/>
          <w:szCs w:val="24"/>
          <w:lang w:val="en-US" w:eastAsia="zh-CN" w:bidi="ar-SA"/>
        </w:rPr>
        <w:t>图2  油罐车卸汽油时爆炸危险区域划分</w:t>
      </w:r>
    </w:p>
    <w:p w14:paraId="04C394B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5、</w:t>
      </w:r>
      <w:r>
        <w:rPr>
          <w:rFonts w:hint="default" w:ascii="Times New Roman" w:hAnsi="Times New Roman" w:cs="Times New Roman"/>
          <w:sz w:val="28"/>
          <w:szCs w:val="28"/>
        </w:rPr>
        <w:t>埋地卧式汽油储罐爆炸危险区域划分应符合下列规定（图3）：</w:t>
      </w:r>
    </w:p>
    <w:p w14:paraId="11EB08C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（1）</w:t>
      </w:r>
      <w:r>
        <w:rPr>
          <w:rFonts w:hint="default" w:ascii="Times New Roman" w:hAnsi="Times New Roman" w:cs="Times New Roman"/>
          <w:sz w:val="28"/>
          <w:szCs w:val="28"/>
        </w:rPr>
        <w:t>罐内部油品表面以上的空间划分为0区。</w:t>
      </w:r>
    </w:p>
    <w:p w14:paraId="4346549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（2）</w:t>
      </w:r>
      <w:r>
        <w:rPr>
          <w:rFonts w:hint="default" w:ascii="Times New Roman" w:hAnsi="Times New Roman" w:cs="Times New Roman"/>
          <w:sz w:val="28"/>
          <w:szCs w:val="28"/>
        </w:rPr>
        <w:t>人孔（阀）井内部空间，以通气管管口为中心、半径为0.75m的球形空间和以密闭卸油口为中心、半径为0.5m的球形空间，划分为1区。</w:t>
      </w:r>
    </w:p>
    <w:p w14:paraId="6EA896C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（3）</w:t>
      </w:r>
      <w:r>
        <w:rPr>
          <w:rFonts w:hint="default" w:ascii="Times New Roman" w:hAnsi="Times New Roman" w:cs="Times New Roman"/>
          <w:sz w:val="28"/>
          <w:szCs w:val="28"/>
        </w:rPr>
        <w:t>距人孔（阀）井外边缘1.5m以内，自地面算起1m高的圆柱形空间，以通气管管口为中心、半径为2.0m的球形空间和以密闭卸油口为中心、半径为1.5m的球形并延至地面的空间，划分为2区。</w:t>
      </w:r>
    </w:p>
    <w:p w14:paraId="018FB8E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eastAsia="zh-CN"/>
        </w:rPr>
        <w:t>（4）</w:t>
      </w:r>
      <w:r>
        <w:rPr>
          <w:rFonts w:hint="default" w:ascii="Times New Roman" w:hAnsi="Times New Roman" w:cs="Times New Roman"/>
          <w:sz w:val="28"/>
          <w:szCs w:val="28"/>
        </w:rPr>
        <w:t>当地上密闭卸油口设在箱内时，箱体内部的空间划分为1区，箱体外部四周1m和箱体顶部以上1.5m范围内的空间划分为2区；当密闭卸油口设在卸油坑内时，坑内的空间划分为1区，坑口外1.5m范围内的空间划分为2区。</w:t>
      </w:r>
    </w:p>
    <w:p w14:paraId="4B3E64CD">
      <w:pPr>
        <w:keepNext w:val="0"/>
        <w:pageBreakBefore w:val="0"/>
        <w:widowControl w:val="0"/>
        <w:kinsoku/>
        <w:wordWrap/>
        <w:overflowPunct/>
        <w:topLinePunct w:val="0"/>
        <w:autoSpaceDE/>
        <w:autoSpaceDN/>
        <w:bidi w:val="0"/>
        <w:adjustRightInd w:val="0"/>
        <w:snapToGrid w:val="0"/>
        <w:spacing w:line="336" w:lineRule="auto"/>
        <w:jc w:val="center"/>
        <w:textAlignment w:val="auto"/>
        <w:rPr>
          <w:rFonts w:hint="default" w:ascii="Times New Roman" w:hAnsi="Times New Roman" w:cs="Times New Roman"/>
          <w:sz w:val="28"/>
          <w:szCs w:val="28"/>
        </w:rPr>
      </w:pPr>
      <w:r>
        <w:rPr>
          <w:sz w:val="21"/>
        </w:rPr>
        <mc:AlternateContent>
          <mc:Choice Requires="wps">
            <w:drawing>
              <wp:anchor distT="0" distB="0" distL="114300" distR="114300" simplePos="0" relativeHeight="251665408" behindDoc="0" locked="0" layoutInCell="1" allowOverlap="1">
                <wp:simplePos x="0" y="0"/>
                <wp:positionH relativeFrom="column">
                  <wp:posOffset>2786380</wp:posOffset>
                </wp:positionH>
                <wp:positionV relativeFrom="paragraph">
                  <wp:posOffset>474345</wp:posOffset>
                </wp:positionV>
                <wp:extent cx="937260" cy="337820"/>
                <wp:effectExtent l="0" t="0" r="15240" b="5080"/>
                <wp:wrapNone/>
                <wp:docPr id="181" name="文本框 181"/>
                <wp:cNvGraphicFramePr/>
                <a:graphic xmlns:a="http://schemas.openxmlformats.org/drawingml/2006/main">
                  <a:graphicData uri="http://schemas.microsoft.com/office/word/2010/wordprocessingShape">
                    <wps:wsp>
                      <wps:cNvSpPr txBox="1"/>
                      <wps:spPr>
                        <a:xfrm>
                          <a:off x="0" y="0"/>
                          <a:ext cx="937260" cy="337820"/>
                        </a:xfrm>
                        <a:prstGeom prst="rect">
                          <a:avLst/>
                        </a:prstGeom>
                        <a:solidFill>
                          <a:srgbClr val="FFFFFF"/>
                        </a:solidFill>
                        <a:ln w="19050">
                          <a:noFill/>
                        </a:ln>
                      </wps:spPr>
                      <wps:txbx>
                        <w:txbxContent>
                          <w:p w14:paraId="1D701947">
                            <w:pPr>
                              <w:rPr>
                                <w:rFonts w:hint="default" w:eastAsia="宋体"/>
                                <w:lang w:val="en-US" w:eastAsia="zh-CN"/>
                              </w:rPr>
                            </w:pPr>
                            <w:r>
                              <w:rPr>
                                <w:rFonts w:hint="eastAsia"/>
                                <w:lang w:val="en-US" w:eastAsia="zh-CN"/>
                              </w:rPr>
                              <w:t>0.75m</w:t>
                            </w:r>
                          </w:p>
                        </w:txbxContent>
                      </wps:txbx>
                      <wps:bodyPr upright="1"/>
                    </wps:wsp>
                  </a:graphicData>
                </a:graphic>
              </wp:anchor>
            </w:drawing>
          </mc:Choice>
          <mc:Fallback>
            <w:pict>
              <v:shape id="_x0000_s1026" o:spid="_x0000_s1026" o:spt="202" type="#_x0000_t202" style="position:absolute;left:0pt;margin-left:219.4pt;margin-top:37.35pt;height:26.6pt;width:73.8pt;z-index:251665408;mso-width-relative:page;mso-height-relative:page;" fillcolor="#FFFFFF" filled="t" stroked="f" coordsize="21600,21600" o:gfxdata="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dojLetgAAAAKAQAADwAAAAAAAAABACAAAAAiAAAAZHJz&#10;L2Rvd25yZXYueG1sUEsBAhQAFAAAAAgAh07iQJ1ETqzLAQAAhAMAAA4AAAAAAAAAAQAgAAAAJwEA&#10;AGRycy9lMm9Eb2MueG1sUEsFBgAAAAAGAAYAWQEAAGQFAAAAAA==&#10;">
                <v:fill on="t" focussize="0,0"/>
                <v:stroke on="f" weight="1.5pt"/>
                <v:imagedata o:title=""/>
                <o:lock v:ext="edit" aspectratio="f"/>
                <v:textbox>
                  <w:txbxContent>
                    <w:p w14:paraId="1D701947">
                      <w:pPr>
                        <w:rPr>
                          <w:rFonts w:hint="default" w:eastAsia="宋体"/>
                          <w:lang w:val="en-US" w:eastAsia="zh-CN"/>
                        </w:rPr>
                      </w:pPr>
                      <w:r>
                        <w:rPr>
                          <w:rFonts w:hint="eastAsia"/>
                          <w:lang w:val="en-US" w:eastAsia="zh-CN"/>
                        </w:rPr>
                        <w:t>0.75m</w:t>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2550795</wp:posOffset>
                </wp:positionH>
                <wp:positionV relativeFrom="paragraph">
                  <wp:posOffset>109855</wp:posOffset>
                </wp:positionV>
                <wp:extent cx="952500" cy="355600"/>
                <wp:effectExtent l="0" t="0" r="0" b="6350"/>
                <wp:wrapNone/>
                <wp:docPr id="179" name="文本框 179"/>
                <wp:cNvGraphicFramePr/>
                <a:graphic xmlns:a="http://schemas.openxmlformats.org/drawingml/2006/main">
                  <a:graphicData uri="http://schemas.microsoft.com/office/word/2010/wordprocessingShape">
                    <wps:wsp>
                      <wps:cNvSpPr txBox="1"/>
                      <wps:spPr>
                        <a:xfrm>
                          <a:off x="0" y="0"/>
                          <a:ext cx="952500" cy="355600"/>
                        </a:xfrm>
                        <a:prstGeom prst="rect">
                          <a:avLst/>
                        </a:prstGeom>
                        <a:solidFill>
                          <a:srgbClr val="FFFFFF"/>
                        </a:solidFill>
                        <a:ln w="19050">
                          <a:noFill/>
                        </a:ln>
                      </wps:spPr>
                      <wps:txbx>
                        <w:txbxContent>
                          <w:p w14:paraId="2160BFE8">
                            <w:pPr>
                              <w:rPr>
                                <w:rFonts w:hint="default" w:eastAsia="宋体"/>
                                <w:lang w:val="en-US" w:eastAsia="zh-CN"/>
                              </w:rPr>
                            </w:pPr>
                            <w:r>
                              <w:rPr>
                                <w:rFonts w:hint="eastAsia"/>
                                <w:lang w:val="en-US" w:eastAsia="zh-CN"/>
                              </w:rPr>
                              <w:t>2m</w:t>
                            </w:r>
                          </w:p>
                        </w:txbxContent>
                      </wps:txbx>
                      <wps:bodyPr upright="1"/>
                    </wps:wsp>
                  </a:graphicData>
                </a:graphic>
              </wp:anchor>
            </w:drawing>
          </mc:Choice>
          <mc:Fallback>
            <w:pict>
              <v:shape id="_x0000_s1026" o:spid="_x0000_s1026" o:spt="202" type="#_x0000_t202" style="position:absolute;left:0pt;margin-left:200.85pt;margin-top:8.65pt;height:28pt;width:75pt;z-index:251664384;mso-width-relative:page;mso-height-relative:page;" fillcolor="#FFFFFF" filled="t" stroked="f" coordsize="21600,21600" o:gfxdata="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Mfl181QAAAAkBAAAPAAAAAAAAAAEAIAAAACIAAABkcnMvZG93bnJl&#10;di54bWxQSwECFAAUAAAACACHTuJAfdFBpscBAACEAwAADgAAAAAAAAABACAAAAAkAQAAZHJzL2Uy&#10;b0RvYy54bWxQSwUGAAAAAAYABgBZAQAAXQUAAAAA&#10;">
                <v:fill on="t" focussize="0,0"/>
                <v:stroke on="f" weight="1.5pt"/>
                <v:imagedata o:title=""/>
                <o:lock v:ext="edit" aspectratio="f"/>
                <v:textbox>
                  <w:txbxContent>
                    <w:p w14:paraId="2160BFE8">
                      <w:pPr>
                        <w:rPr>
                          <w:rFonts w:hint="default" w:eastAsia="宋体"/>
                          <w:lang w:val="en-US" w:eastAsia="zh-CN"/>
                        </w:rPr>
                      </w:pPr>
                      <w:r>
                        <w:rPr>
                          <w:rFonts w:hint="eastAsia"/>
                          <w:lang w:val="en-US" w:eastAsia="zh-CN"/>
                        </w:rPr>
                        <w:t>2m</w:t>
                      </w:r>
                    </w:p>
                  </w:txbxContent>
                </v:textbox>
              </v:shape>
            </w:pict>
          </mc:Fallback>
        </mc:AlternateContent>
      </w:r>
      <w:r>
        <w:rPr>
          <w:rFonts w:hint="default" w:ascii="Times New Roman" w:hAnsi="Times New Roman" w:cs="Times New Roman"/>
        </w:rPr>
        <w:fldChar w:fldCharType="begin"/>
      </w:r>
      <w:r>
        <w:rPr>
          <w:rFonts w:hint="default" w:ascii="Times New Roman" w:hAnsi="Times New Roman" w:cs="Times New Roman"/>
        </w:rPr>
        <w:instrText xml:space="preserve"> INCLUDEPICTURE "https://gf.1190119.com/Web/uploads/allimg/210826/10-210R609201E50.jpg" \* MERGEFORMATINET </w:instrText>
      </w:r>
      <w:r>
        <w:rPr>
          <w:rFonts w:hint="default" w:ascii="Times New Roman" w:hAnsi="Times New Roman" w:cs="Times New Roman"/>
        </w:rPr>
        <w:fldChar w:fldCharType="separate"/>
      </w:r>
      <w:r>
        <w:rPr>
          <w:rFonts w:hint="default" w:ascii="Times New Roman" w:hAnsi="Times New Roman" w:cs="Times New Roman"/>
        </w:rPr>
        <w:drawing>
          <wp:inline distT="0" distB="0" distL="114300" distR="114300">
            <wp:extent cx="5077460" cy="4487545"/>
            <wp:effectExtent l="0" t="0" r="8890" b="8255"/>
            <wp:docPr id="185" name="图片 4" descr="10-210R609201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4" descr="10-210R609201E50"/>
                    <pic:cNvPicPr>
                      <a:picLocks noChangeAspect="1"/>
                    </pic:cNvPicPr>
                  </pic:nvPicPr>
                  <pic:blipFill>
                    <a:blip r:embed="rId14"/>
                    <a:stretch>
                      <a:fillRect/>
                    </a:stretch>
                  </pic:blipFill>
                  <pic:spPr>
                    <a:xfrm>
                      <a:off x="0" y="0"/>
                      <a:ext cx="5077460" cy="4487545"/>
                    </a:xfrm>
                    <a:prstGeom prst="rect">
                      <a:avLst/>
                    </a:prstGeom>
                    <a:noFill/>
                    <a:ln>
                      <a:noFill/>
                    </a:ln>
                  </pic:spPr>
                </pic:pic>
              </a:graphicData>
            </a:graphic>
          </wp:inline>
        </w:drawing>
      </w:r>
      <w:r>
        <w:rPr>
          <w:rFonts w:hint="default" w:ascii="Times New Roman" w:hAnsi="Times New Roman" w:cs="Times New Roman"/>
        </w:rPr>
        <w:fldChar w:fldCharType="end"/>
      </w:r>
    </w:p>
    <w:p w14:paraId="2A3B945E">
      <w:pPr>
        <w:jc w:val="center"/>
        <w:rPr>
          <w:rFonts w:hint="default" w:ascii="Times New Roman" w:hAnsi="Times New Roman" w:eastAsia="黑体" w:cs="Times New Roman"/>
          <w:b w:val="0"/>
          <w:bCs w:val="0"/>
          <w:spacing w:val="0"/>
          <w:kern w:val="2"/>
          <w:sz w:val="24"/>
          <w:szCs w:val="24"/>
          <w:lang w:val="en-US" w:eastAsia="zh-CN" w:bidi="ar-SA"/>
        </w:rPr>
      </w:pPr>
      <w:r>
        <w:rPr>
          <w:rFonts w:hint="default" w:ascii="Times New Roman" w:hAnsi="Times New Roman" w:eastAsia="黑体" w:cs="Times New Roman"/>
          <w:b w:val="0"/>
          <w:bCs w:val="0"/>
          <w:spacing w:val="0"/>
          <w:kern w:val="2"/>
          <w:sz w:val="24"/>
          <w:szCs w:val="24"/>
          <w:lang w:val="en-US" w:eastAsia="zh-CN" w:bidi="ar-SA"/>
        </w:rPr>
        <w:t>图3  埋地卧式汽油储罐爆炸危险区域划分</w:t>
      </w:r>
    </w:p>
    <w:p w14:paraId="74C803D8">
      <w:pPr>
        <w:pStyle w:val="5"/>
        <w:keepNext w:val="0"/>
        <w:keepLines w:val="0"/>
        <w:pageBreakBefore w:val="0"/>
        <w:widowControl w:val="0"/>
        <w:kinsoku/>
        <w:wordWrap/>
        <w:overflowPunct/>
        <w:topLinePunct w:val="0"/>
        <w:autoSpaceDE/>
        <w:autoSpaceDN/>
        <w:bidi w:val="0"/>
        <w:adjustRightInd/>
        <w:snapToGrid/>
        <w:spacing w:before="490" w:beforeLines="150" w:after="490" w:afterLines="150"/>
        <w:ind w:firstLine="0" w:firstLineChars="0"/>
        <w:textAlignment w:val="auto"/>
        <w:outlineLvl w:val="0"/>
        <w:rPr>
          <w:rFonts w:hint="default" w:ascii="Times New Roman" w:hAnsi="Times New Roman" w:cs="Times New Roman"/>
        </w:rPr>
      </w:pPr>
      <w:r>
        <w:rPr>
          <w:rFonts w:hint="default" w:ascii="Times New Roman" w:hAnsi="Times New Roman" w:eastAsia="黑体" w:cs="Times New Roman"/>
          <w:b w:val="0"/>
          <w:bCs w:val="0"/>
          <w:spacing w:val="0"/>
          <w:kern w:val="2"/>
          <w:sz w:val="24"/>
          <w:szCs w:val="24"/>
          <w:lang w:val="en-US" w:eastAsia="zh-CN" w:bidi="ar-SA"/>
        </w:rPr>
        <w:br w:type="page"/>
      </w:r>
      <w:bookmarkStart w:id="219" w:name="_Toc410311975"/>
      <w:bookmarkStart w:id="220" w:name="_Toc1945"/>
      <w:bookmarkStart w:id="221" w:name="_Toc23134"/>
      <w:bookmarkStart w:id="222" w:name="_Toc410311898"/>
      <w:r>
        <w:rPr>
          <w:rFonts w:hint="default" w:ascii="Times New Roman" w:hAnsi="Times New Roman" w:eastAsia="黑体" w:cs="Times New Roman"/>
          <w:b/>
          <w:bCs w:val="0"/>
          <w:kern w:val="32"/>
          <w:sz w:val="32"/>
          <w:szCs w:val="32"/>
          <w:lang w:val="en-US" w:eastAsia="zh-CN" w:bidi="ar-SA"/>
        </w:rPr>
        <w:t>6 建设项目的安全条件</w:t>
      </w:r>
      <w:bookmarkEnd w:id="219"/>
      <w:bookmarkEnd w:id="220"/>
      <w:bookmarkEnd w:id="221"/>
      <w:bookmarkEnd w:id="222"/>
    </w:p>
    <w:p w14:paraId="562C479E">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223" w:name="_Toc410311899"/>
      <w:bookmarkStart w:id="224" w:name="_Toc410311976"/>
      <w:bookmarkStart w:id="225" w:name="_Toc41246705"/>
      <w:bookmarkStart w:id="226" w:name="_Toc28316"/>
      <w:bookmarkStart w:id="227" w:name="_Toc18475"/>
      <w:r>
        <w:rPr>
          <w:rFonts w:hint="default" w:ascii="Times New Roman" w:hAnsi="Times New Roman" w:eastAsia="楷体" w:cs="Times New Roman"/>
          <w:color w:val="auto"/>
          <w:sz w:val="32"/>
          <w:szCs w:val="32"/>
          <w:lang w:val="en-US" w:eastAsia="zh-CN"/>
        </w:rPr>
        <w:t>6.1</w:t>
      </w:r>
      <w:bookmarkEnd w:id="223"/>
      <w:bookmarkEnd w:id="224"/>
      <w:bookmarkEnd w:id="225"/>
      <w:r>
        <w:rPr>
          <w:rFonts w:hint="default" w:ascii="Times New Roman" w:hAnsi="Times New Roman" w:eastAsia="楷体" w:cs="Times New Roman"/>
          <w:color w:val="auto"/>
          <w:sz w:val="32"/>
          <w:szCs w:val="32"/>
          <w:lang w:val="en-US" w:eastAsia="zh-CN"/>
        </w:rPr>
        <w:t>建设项目的外部情况</w:t>
      </w:r>
      <w:bookmarkEnd w:id="226"/>
      <w:bookmarkEnd w:id="227"/>
    </w:p>
    <w:p w14:paraId="5B12A40C">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228" w:name="_Toc13494"/>
      <w:bookmarkStart w:id="229" w:name="_Toc410311977"/>
      <w:bookmarkStart w:id="230" w:name="_Toc32086"/>
      <w:bookmarkStart w:id="231" w:name="_Toc146488869"/>
      <w:bookmarkStart w:id="232" w:name="_Toc28628"/>
      <w:bookmarkStart w:id="233" w:name="_Toc410311900"/>
      <w:bookmarkStart w:id="234" w:name="_Toc41246706"/>
      <w:r>
        <w:rPr>
          <w:rFonts w:hint="default" w:ascii="Times New Roman" w:hAnsi="Times New Roman" w:eastAsia="黑体" w:cs="Times New Roman"/>
          <w:b/>
          <w:bCs/>
          <w:color w:val="auto"/>
          <w:sz w:val="28"/>
          <w:szCs w:val="32"/>
          <w:lang w:val="en-US" w:eastAsia="zh-CN"/>
        </w:rPr>
        <w:t>6.1.1周边24小时内生产经营活动和居民生活的情况</w:t>
      </w:r>
      <w:bookmarkEnd w:id="228"/>
      <w:bookmarkEnd w:id="229"/>
      <w:bookmarkEnd w:id="230"/>
      <w:bookmarkEnd w:id="231"/>
      <w:bookmarkEnd w:id="232"/>
      <w:bookmarkEnd w:id="233"/>
      <w:bookmarkEnd w:id="234"/>
    </w:p>
    <w:p w14:paraId="68FFBC9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zh-CN"/>
        </w:rPr>
      </w:pPr>
      <w:bookmarkStart w:id="235" w:name="_Toc410311901"/>
      <w:bookmarkStart w:id="236" w:name="_Toc41246707"/>
      <w:bookmarkStart w:id="237" w:name="_Toc410311978"/>
      <w:bookmarkStart w:id="238" w:name="_Toc31894"/>
      <w:bookmarkStart w:id="239" w:name="_Toc592"/>
      <w:r>
        <w:rPr>
          <w:rFonts w:hint="default" w:ascii="Times New Roman" w:hAnsi="Times New Roman" w:cs="Times New Roman"/>
          <w:bCs/>
          <w:color w:val="000000" w:themeColor="text1"/>
          <w:kern w:val="0"/>
          <w:sz w:val="28"/>
          <w:szCs w:val="28"/>
          <w:lang w:eastAsia="zh-CN"/>
          <w14:textFill>
            <w14:solidFill>
              <w14:schemeClr w14:val="tx1"/>
            </w14:solidFill>
          </w14:textFill>
        </w:rPr>
        <w:t>该项目位于辽宁省葫芦岛市龙港区龙锦街以东，海飞路以西，站区北侧为空地；南侧为1#居民楼住宅（建筑面积约为6500m</w:t>
      </w:r>
      <w:r>
        <w:rPr>
          <w:rFonts w:hint="default" w:ascii="Times New Roman" w:hAnsi="Times New Roman" w:cs="Times New Roman"/>
          <w:bCs/>
          <w:color w:val="000000" w:themeColor="text1"/>
          <w:kern w:val="0"/>
          <w:sz w:val="28"/>
          <w:szCs w:val="28"/>
          <w:vertAlign w:val="superscript"/>
          <w:lang w:eastAsia="zh-CN"/>
          <w14:textFill>
            <w14:solidFill>
              <w14:schemeClr w14:val="tx1"/>
            </w14:solidFill>
          </w14:textFill>
        </w:rPr>
        <w:t>2</w:t>
      </w:r>
      <w:r>
        <w:rPr>
          <w:rFonts w:hint="default" w:ascii="Times New Roman" w:hAnsi="Times New Roman" w:cs="Times New Roman"/>
          <w:bCs/>
          <w:color w:val="000000" w:themeColor="text1"/>
          <w:kern w:val="0"/>
          <w:sz w:val="28"/>
          <w:szCs w:val="28"/>
          <w:lang w:eastAsia="zh-CN"/>
          <w14:textFill>
            <w14:solidFill>
              <w14:schemeClr w14:val="tx1"/>
            </w14:solidFill>
          </w14:textFill>
        </w:rPr>
        <w:t>，为二类保护物）及2#居民楼住宅（建筑面积约为6500m</w:t>
      </w:r>
      <w:r>
        <w:rPr>
          <w:rFonts w:hint="default" w:ascii="Times New Roman" w:hAnsi="Times New Roman" w:cs="Times New Roman"/>
          <w:bCs/>
          <w:color w:val="000000" w:themeColor="text1"/>
          <w:kern w:val="0"/>
          <w:sz w:val="28"/>
          <w:szCs w:val="28"/>
          <w:vertAlign w:val="superscript"/>
          <w:lang w:eastAsia="zh-CN"/>
          <w14:textFill>
            <w14:solidFill>
              <w14:schemeClr w14:val="tx1"/>
            </w14:solidFill>
          </w14:textFill>
        </w:rPr>
        <w:t>2</w:t>
      </w:r>
      <w:r>
        <w:rPr>
          <w:rFonts w:hint="default" w:ascii="Times New Roman" w:hAnsi="Times New Roman" w:cs="Times New Roman"/>
          <w:bCs/>
          <w:color w:val="000000" w:themeColor="text1"/>
          <w:kern w:val="0"/>
          <w:sz w:val="28"/>
          <w:szCs w:val="28"/>
          <w:lang w:eastAsia="zh-CN"/>
          <w14:textFill>
            <w14:solidFill>
              <w14:schemeClr w14:val="tx1"/>
            </w14:solidFill>
          </w14:textFill>
        </w:rPr>
        <w:t>，为二类保护物）；西侧为龙锦街（主干路）；东侧为海飞路（主干路）</w:t>
      </w:r>
      <w:r>
        <w:rPr>
          <w:rFonts w:hint="default" w:ascii="Times New Roman" w:hAnsi="Times New Roman" w:cs="Times New Roman"/>
          <w:sz w:val="28"/>
          <w:szCs w:val="28"/>
          <w:lang w:val="en-US" w:eastAsia="zh-CN"/>
        </w:rPr>
        <w:t>。该</w:t>
      </w:r>
      <w:r>
        <w:rPr>
          <w:rFonts w:hint="default" w:ascii="Times New Roman" w:hAnsi="Times New Roman" w:cs="Times New Roman"/>
          <w:sz w:val="28"/>
          <w:szCs w:val="28"/>
          <w:lang w:val="zh-CN"/>
        </w:rPr>
        <w:t>站周边无自然保护区、风景名胜区、水源保护区等需要特殊保护的用地。</w:t>
      </w:r>
    </w:p>
    <w:p w14:paraId="30A26068">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240" w:name="_Toc146488870"/>
      <w:bookmarkStart w:id="241" w:name="_Toc19447"/>
      <w:r>
        <w:rPr>
          <w:rFonts w:hint="default" w:ascii="Times New Roman" w:hAnsi="Times New Roman" w:eastAsia="黑体" w:cs="Times New Roman"/>
          <w:b/>
          <w:bCs/>
          <w:color w:val="auto"/>
          <w:sz w:val="28"/>
          <w:szCs w:val="32"/>
          <w:lang w:val="en-US" w:eastAsia="zh-CN"/>
        </w:rPr>
        <w:t>6.1.2所在地的自然条件</w:t>
      </w:r>
      <w:bookmarkEnd w:id="235"/>
      <w:bookmarkEnd w:id="236"/>
      <w:bookmarkEnd w:id="237"/>
      <w:bookmarkEnd w:id="238"/>
      <w:bookmarkEnd w:id="239"/>
      <w:bookmarkEnd w:id="240"/>
      <w:bookmarkEnd w:id="241"/>
    </w:p>
    <w:p w14:paraId="09A00E5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color w:val="000000" w:themeColor="text1"/>
          <w:kern w:val="0"/>
          <w:sz w:val="28"/>
          <w:szCs w:val="28"/>
          <w:lang w:eastAsia="zh-CN"/>
          <w14:textFill>
            <w14:solidFill>
              <w14:schemeClr w14:val="tx1"/>
            </w14:solidFill>
          </w14:textFill>
        </w:rPr>
      </w:pPr>
      <w:r>
        <w:rPr>
          <w:rFonts w:hint="default" w:ascii="Times New Roman" w:hAnsi="Times New Roman" w:cs="Times New Roman"/>
          <w:kern w:val="0"/>
          <w:sz w:val="28"/>
          <w:szCs w:val="28"/>
        </w:rPr>
        <w:t>（1）</w:t>
      </w:r>
      <w:r>
        <w:rPr>
          <w:rFonts w:hint="default" w:ascii="Times New Roman" w:hAnsi="Times New Roman" w:cs="Times New Roman"/>
          <w:bCs/>
          <w:color w:val="000000" w:themeColor="text1"/>
          <w:kern w:val="0"/>
          <w:sz w:val="28"/>
          <w:szCs w:val="28"/>
          <w:lang w:eastAsia="zh-CN"/>
          <w14:textFill>
            <w14:solidFill>
              <w14:schemeClr w14:val="tx1"/>
            </w14:solidFill>
          </w14:textFill>
        </w:rPr>
        <w:t>气候条件</w:t>
      </w:r>
    </w:p>
    <w:p w14:paraId="59AC40A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color w:val="000000" w:themeColor="text1"/>
          <w:kern w:val="0"/>
          <w:sz w:val="28"/>
          <w:szCs w:val="28"/>
          <w:lang w:val="en-US" w:eastAsia="zh-CN"/>
          <w14:textFill>
            <w14:solidFill>
              <w14:schemeClr w14:val="tx1"/>
            </w14:solidFill>
          </w14:textFill>
        </w:rPr>
      </w:pPr>
      <w:bookmarkStart w:id="242" w:name="_Toc28173"/>
      <w:r>
        <w:rPr>
          <w:rFonts w:hint="eastAsia" w:cs="Times New Roman"/>
          <w:bCs/>
          <w:color w:val="000000" w:themeColor="text1"/>
          <w:kern w:val="0"/>
          <w:sz w:val="28"/>
          <w:szCs w:val="28"/>
          <w:lang w:val="en-US" w:eastAsia="zh-CN"/>
          <w14:textFill>
            <w14:solidFill>
              <w14:schemeClr w14:val="tx1"/>
            </w14:solidFill>
          </w14:textFill>
        </w:rPr>
        <w:t>该项目位于</w:t>
      </w:r>
      <w:r>
        <w:rPr>
          <w:rFonts w:hint="default" w:ascii="Times New Roman" w:hAnsi="Times New Roman" w:cs="Times New Roman"/>
          <w:bCs/>
          <w:color w:val="000000" w:themeColor="text1"/>
          <w:kern w:val="0"/>
          <w:sz w:val="28"/>
          <w:szCs w:val="28"/>
          <w:lang w:val="en-US" w:eastAsia="zh-CN"/>
          <w14:textFill>
            <w14:solidFill>
              <w14:schemeClr w14:val="tx1"/>
            </w14:solidFill>
          </w14:textFill>
        </w:rPr>
        <w:t>葫芦岛市</w:t>
      </w:r>
      <w:r>
        <w:rPr>
          <w:rFonts w:hint="eastAsia" w:cs="Times New Roman"/>
          <w:bCs/>
          <w:color w:val="000000" w:themeColor="text1"/>
          <w:kern w:val="0"/>
          <w:sz w:val="28"/>
          <w:szCs w:val="28"/>
          <w:lang w:val="en-US" w:eastAsia="zh-CN"/>
          <w14:textFill>
            <w14:solidFill>
              <w14:schemeClr w14:val="tx1"/>
            </w14:solidFill>
          </w14:textFill>
        </w:rPr>
        <w:t>龙港区，</w:t>
      </w:r>
      <w:r>
        <w:rPr>
          <w:rFonts w:hint="default" w:ascii="Times New Roman" w:hAnsi="Times New Roman" w:cs="Times New Roman"/>
          <w:bCs/>
          <w:color w:val="000000" w:themeColor="text1"/>
          <w:kern w:val="0"/>
          <w:sz w:val="28"/>
          <w:szCs w:val="28"/>
          <w:lang w:val="en-US" w:eastAsia="zh-CN"/>
          <w14:textFill>
            <w14:solidFill>
              <w14:schemeClr w14:val="tx1"/>
            </w14:solidFill>
          </w14:textFill>
        </w:rPr>
        <w:t>其所涉气象参数如下：</w:t>
      </w:r>
    </w:p>
    <w:p w14:paraId="763C704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全年平均气温：                  9.6℃</w:t>
      </w:r>
    </w:p>
    <w:p w14:paraId="6AE4C47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极端最高气温：                  41.5℃</w:t>
      </w:r>
    </w:p>
    <w:p w14:paraId="49E9297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极端最低气温：                  -24.7℃</w:t>
      </w:r>
    </w:p>
    <w:p w14:paraId="1738509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年平均气压：                    1014mbar</w:t>
      </w:r>
    </w:p>
    <w:p w14:paraId="06FB1CF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年平均风速：                    4.2m/s</w:t>
      </w:r>
    </w:p>
    <w:p w14:paraId="33CA047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常年主导风向：                  SSW（频率为20.5%）</w:t>
      </w:r>
    </w:p>
    <w:p w14:paraId="1470E34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年平均降水量：                  613.7mm</w:t>
      </w:r>
    </w:p>
    <w:p w14:paraId="325B1C4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年降雨日数：                    71d</w:t>
      </w:r>
    </w:p>
    <w:p w14:paraId="7C375ED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平均最大积雪厚度：              84mm</w:t>
      </w:r>
    </w:p>
    <w:p w14:paraId="6EF5C31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雪厚载：                        30kg/m</w:t>
      </w:r>
      <w:r>
        <w:rPr>
          <w:rFonts w:hint="eastAsia" w:ascii="Times New Roman" w:hAnsi="Times New Roman" w:eastAsia="宋体" w:cs="Times New Roman"/>
          <w:color w:val="auto"/>
          <w:kern w:val="28"/>
          <w:sz w:val="28"/>
          <w:szCs w:val="28"/>
          <w:vertAlign w:val="superscript"/>
        </w:rPr>
        <w:t>2</w:t>
      </w:r>
    </w:p>
    <w:p w14:paraId="0F1093A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年平均相对湿度：                60%</w:t>
      </w:r>
    </w:p>
    <w:p w14:paraId="4BFD8CB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最大冻土深度：                  112cm</w:t>
      </w:r>
    </w:p>
    <w:p w14:paraId="568EE38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年平均日照：                    2801h</w:t>
      </w:r>
    </w:p>
    <w:p w14:paraId="33EFEC7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kern w:val="28"/>
          <w:sz w:val="28"/>
          <w:szCs w:val="28"/>
        </w:rPr>
      </w:pPr>
      <w:r>
        <w:rPr>
          <w:rFonts w:hint="eastAsia" w:ascii="Times New Roman" w:hAnsi="Times New Roman" w:eastAsia="宋体" w:cs="Times New Roman"/>
          <w:color w:val="auto"/>
          <w:kern w:val="28"/>
          <w:sz w:val="28"/>
          <w:szCs w:val="28"/>
        </w:rPr>
        <w:t>年平均大雾日：                  46d</w:t>
      </w:r>
    </w:p>
    <w:p w14:paraId="5CE645C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w:hAnsi="Times New Roman" w:eastAsia="宋体" w:cs="Times New Roman"/>
          <w:color w:val="auto"/>
          <w:kern w:val="28"/>
          <w:sz w:val="28"/>
          <w:szCs w:val="28"/>
          <w:highlight w:val="none"/>
        </w:rPr>
      </w:pPr>
      <w:r>
        <w:rPr>
          <w:rFonts w:hint="eastAsia" w:ascii="Times New Roman" w:hAnsi="Times New Roman" w:eastAsia="宋体" w:cs="Times New Roman"/>
          <w:color w:val="auto"/>
          <w:kern w:val="28"/>
          <w:sz w:val="28"/>
          <w:szCs w:val="28"/>
        </w:rPr>
        <w:t>全年平均雷暴日数：              28.5d</w:t>
      </w:r>
    </w:p>
    <w:bookmarkEnd w:id="242"/>
    <w:p w14:paraId="1EEFED4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color w:val="000000" w:themeColor="text1"/>
          <w:kern w:val="0"/>
          <w:sz w:val="28"/>
          <w:szCs w:val="28"/>
          <w:lang w:eastAsia="zh-CN"/>
          <w14:textFill>
            <w14:solidFill>
              <w14:schemeClr w14:val="tx1"/>
            </w14:solidFill>
          </w14:textFill>
        </w:rPr>
      </w:pPr>
      <w:bookmarkStart w:id="243" w:name="_Toc10855"/>
      <w:r>
        <w:rPr>
          <w:rFonts w:hint="default" w:ascii="Times New Roman" w:hAnsi="Times New Roman" w:cs="Times New Roman"/>
          <w:bCs/>
          <w:color w:val="000000" w:themeColor="text1"/>
          <w:kern w:val="0"/>
          <w:sz w:val="28"/>
          <w:szCs w:val="28"/>
          <w:lang w:eastAsia="zh-CN"/>
          <w14:textFill>
            <w14:solidFill>
              <w14:schemeClr w14:val="tx1"/>
            </w14:solidFill>
          </w14:textFill>
        </w:rPr>
        <w:t>（2）地震烈度</w:t>
      </w:r>
      <w:bookmarkEnd w:id="243"/>
    </w:p>
    <w:p w14:paraId="56F13D3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color w:val="000000" w:themeColor="text1"/>
          <w:kern w:val="0"/>
          <w:sz w:val="28"/>
          <w:szCs w:val="28"/>
          <w:lang w:eastAsia="zh-CN"/>
          <w14:textFill>
            <w14:solidFill>
              <w14:schemeClr w14:val="tx1"/>
            </w14:solidFill>
          </w14:textFill>
        </w:rPr>
      </w:pPr>
      <w:r>
        <w:rPr>
          <w:rFonts w:hint="default" w:ascii="Times New Roman" w:hAnsi="Times New Roman" w:cs="Times New Roman"/>
          <w:bCs/>
          <w:color w:val="000000" w:themeColor="text1"/>
          <w:kern w:val="0"/>
          <w:sz w:val="28"/>
          <w:szCs w:val="28"/>
          <w:lang w:eastAsia="zh-CN"/>
          <w14:textFill>
            <w14:solidFill>
              <w14:schemeClr w14:val="tx1"/>
            </w14:solidFill>
          </w14:textFill>
        </w:rPr>
        <w:t>根据《建筑抗震设计标准（2024年版）》（GB/T50011-2010）中关于我国主要城镇抗震设防烈度、设计基本地震及速度和设计地震分组可知，本项目所在地区的抗震设防烈度为6度，设计基本地震加速度值为0.05g，所属的设计地震分组为第</w:t>
      </w:r>
      <w:r>
        <w:rPr>
          <w:rFonts w:hint="eastAsia" w:cs="Times New Roman"/>
          <w:bCs/>
          <w:color w:val="000000" w:themeColor="text1"/>
          <w:kern w:val="0"/>
          <w:sz w:val="28"/>
          <w:szCs w:val="28"/>
          <w:lang w:val="en-US" w:eastAsia="zh-CN"/>
          <w14:textFill>
            <w14:solidFill>
              <w14:schemeClr w14:val="tx1"/>
            </w14:solidFill>
          </w14:textFill>
        </w:rPr>
        <w:t>二</w:t>
      </w:r>
      <w:r>
        <w:rPr>
          <w:rFonts w:hint="default" w:ascii="Times New Roman" w:hAnsi="Times New Roman" w:cs="Times New Roman"/>
          <w:bCs/>
          <w:color w:val="000000" w:themeColor="text1"/>
          <w:kern w:val="0"/>
          <w:sz w:val="28"/>
          <w:szCs w:val="28"/>
          <w:lang w:eastAsia="zh-CN"/>
          <w14:textFill>
            <w14:solidFill>
              <w14:schemeClr w14:val="tx1"/>
            </w14:solidFill>
          </w14:textFill>
        </w:rPr>
        <w:t>组。</w:t>
      </w:r>
    </w:p>
    <w:p w14:paraId="6B3B39E5">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244" w:name="_Toc41246709"/>
      <w:bookmarkStart w:id="245" w:name="_Toc410311903"/>
      <w:bookmarkStart w:id="246" w:name="_Toc410311980"/>
      <w:bookmarkStart w:id="247" w:name="_Toc6167"/>
      <w:bookmarkStart w:id="248" w:name="_Toc3681"/>
      <w:r>
        <w:rPr>
          <w:rFonts w:hint="default" w:ascii="Times New Roman" w:hAnsi="Times New Roman" w:eastAsia="楷体" w:cs="Times New Roman"/>
          <w:color w:val="auto"/>
          <w:sz w:val="32"/>
          <w:szCs w:val="32"/>
          <w:lang w:val="en-US" w:eastAsia="zh-CN"/>
        </w:rPr>
        <w:t>6.2建设项目的安全条件</w:t>
      </w:r>
      <w:bookmarkEnd w:id="244"/>
      <w:bookmarkEnd w:id="245"/>
      <w:bookmarkEnd w:id="246"/>
      <w:bookmarkEnd w:id="247"/>
      <w:bookmarkEnd w:id="248"/>
    </w:p>
    <w:p w14:paraId="1E74E63F">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249" w:name="_Toc410311981"/>
      <w:bookmarkStart w:id="250" w:name="_Toc41246710"/>
      <w:bookmarkStart w:id="251" w:name="_Toc146488872"/>
      <w:bookmarkStart w:id="252" w:name="_Toc21087"/>
      <w:bookmarkStart w:id="253" w:name="_Toc410311904"/>
      <w:bookmarkStart w:id="254" w:name="_Toc259"/>
      <w:r>
        <w:rPr>
          <w:rFonts w:hint="default" w:ascii="Times New Roman" w:hAnsi="Times New Roman" w:eastAsia="黑体" w:cs="Times New Roman"/>
          <w:b/>
          <w:bCs/>
          <w:color w:val="auto"/>
          <w:sz w:val="28"/>
          <w:szCs w:val="32"/>
          <w:lang w:val="en-US" w:eastAsia="zh-CN"/>
        </w:rPr>
        <w:t>6.2.1建设项目内在的危险、有害因素和建设项目可能发生的各类事故，对建设项目周边单位生产、经营活动或者居民生活的影响</w:t>
      </w:r>
      <w:bookmarkEnd w:id="249"/>
      <w:bookmarkEnd w:id="250"/>
      <w:bookmarkEnd w:id="251"/>
      <w:bookmarkEnd w:id="252"/>
      <w:bookmarkEnd w:id="253"/>
      <w:bookmarkEnd w:id="254"/>
    </w:p>
    <w:p w14:paraId="67622BC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color w:val="auto"/>
          <w:sz w:val="28"/>
          <w:szCs w:val="28"/>
          <w:highlight w:val="none"/>
          <w:lang w:eastAsia="zh-CN"/>
        </w:rPr>
      </w:pPr>
      <w:bookmarkStart w:id="255" w:name="_Toc8172"/>
      <w:bookmarkStart w:id="256" w:name="_Toc41246711"/>
      <w:bookmarkStart w:id="257" w:name="_Toc19673"/>
      <w:bookmarkStart w:id="258" w:name="_Toc410311982"/>
      <w:bookmarkStart w:id="259" w:name="_Toc410311905"/>
      <w:r>
        <w:rPr>
          <w:rFonts w:hint="default" w:ascii="Times New Roman" w:hAnsi="Times New Roman" w:cs="Times New Roman"/>
          <w:sz w:val="28"/>
          <w:szCs w:val="28"/>
        </w:rPr>
        <w:t>从F表4-2可以看出，本项目工艺设施与站外建、构筑物的间距满足《汽车加油加气加氢站技术标准》（GB 50156-2021）表4.0.4的规范要求</w:t>
      </w:r>
      <w:r>
        <w:rPr>
          <w:rFonts w:hint="default" w:ascii="Times New Roman" w:hAnsi="Times New Roman" w:cs="Times New Roman"/>
          <w:color w:val="000000" w:themeColor="text1"/>
          <w:sz w:val="28"/>
          <w:szCs w:val="28"/>
          <w14:textFill>
            <w14:solidFill>
              <w14:schemeClr w14:val="tx1"/>
            </w14:solidFill>
          </w14:textFill>
        </w:rPr>
        <w:t>。根据埋地</w:t>
      </w:r>
      <w:r>
        <w:rPr>
          <w:rFonts w:hint="eastAsia" w:cs="Times New Roman"/>
          <w:color w:val="000000" w:themeColor="text1"/>
          <w:sz w:val="28"/>
          <w:szCs w:val="28"/>
          <w:lang w:eastAsia="zh-CN"/>
          <w14:textFill>
            <w14:solidFill>
              <w14:schemeClr w14:val="tx1"/>
            </w14:solidFill>
          </w14:textFill>
        </w:rPr>
        <w:t>乙醇汽油</w:t>
      </w:r>
      <w:r>
        <w:rPr>
          <w:rFonts w:hint="default" w:ascii="Times New Roman" w:hAnsi="Times New Roman" w:cs="Times New Roman"/>
          <w:color w:val="000000" w:themeColor="text1"/>
          <w:sz w:val="28"/>
          <w:szCs w:val="28"/>
          <w14:textFill>
            <w14:solidFill>
              <w14:schemeClr w14:val="tx1"/>
            </w14:solidFill>
          </w14:textFill>
        </w:rPr>
        <w:t>罐发生泄漏引发蒸汽云爆炸计算结论，</w:t>
      </w:r>
      <w:r>
        <w:rPr>
          <w:rFonts w:hint="eastAsia" w:cs="Times New Roman"/>
          <w:color w:val="000000" w:themeColor="text1"/>
          <w:sz w:val="28"/>
          <w:szCs w:val="28"/>
          <w:highlight w:val="none"/>
          <w:lang w:val="en-US" w:eastAsia="zh-CN"/>
          <w14:textFill>
            <w14:solidFill>
              <w14:schemeClr w14:val="tx1"/>
            </w14:solidFill>
          </w14:textFill>
        </w:rPr>
        <w:t>本项目周边单位生产、经营活动或者居民生活区域</w:t>
      </w:r>
      <w:r>
        <w:rPr>
          <w:rFonts w:hint="eastAsia"/>
          <w:color w:val="auto"/>
          <w:sz w:val="28"/>
          <w:szCs w:val="28"/>
          <w:highlight w:val="none"/>
        </w:rPr>
        <w:t>不在死亡半径内，不会受到伤害</w:t>
      </w:r>
      <w:r>
        <w:rPr>
          <w:rFonts w:hint="eastAsia"/>
          <w:color w:val="auto"/>
          <w:sz w:val="28"/>
          <w:szCs w:val="28"/>
          <w:highlight w:val="none"/>
          <w:lang w:eastAsia="zh-CN"/>
        </w:rPr>
        <w:t>。</w:t>
      </w:r>
    </w:p>
    <w:p w14:paraId="17EAE23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同时，本项目选用双层管道及油罐，油罐安装有液位仪及测漏仪等安全技术手段，发生油品泄漏的概率较小，因此，对周边造成的影响较小。</w:t>
      </w:r>
    </w:p>
    <w:p w14:paraId="197C8F5A">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default" w:ascii="Times New Roman" w:hAnsi="Times New Roman" w:eastAsia="黑体" w:cs="Times New Roman"/>
          <w:b/>
          <w:bCs/>
          <w:color w:val="auto"/>
          <w:kern w:val="2"/>
          <w:sz w:val="28"/>
          <w:szCs w:val="32"/>
          <w:lang w:val="en-US" w:eastAsia="zh-CN" w:bidi="ar-SA"/>
        </w:rPr>
      </w:pPr>
      <w:bookmarkStart w:id="260" w:name="_Toc13177"/>
      <w:bookmarkStart w:id="261" w:name="_Toc146488873"/>
      <w:r>
        <w:rPr>
          <w:rFonts w:hint="default" w:ascii="Times New Roman" w:hAnsi="Times New Roman" w:eastAsia="黑体" w:cs="Times New Roman"/>
          <w:b/>
          <w:bCs/>
          <w:color w:val="auto"/>
          <w:kern w:val="2"/>
          <w:sz w:val="28"/>
          <w:szCs w:val="32"/>
          <w:lang w:val="en-US" w:eastAsia="zh-CN" w:bidi="ar-SA"/>
        </w:rPr>
        <w:t>6.2.2建设项目周边单位生产、经营活动或者居民生活对建设项目的影响</w:t>
      </w:r>
      <w:bookmarkEnd w:id="255"/>
      <w:bookmarkEnd w:id="256"/>
      <w:bookmarkEnd w:id="257"/>
      <w:bookmarkEnd w:id="258"/>
      <w:bookmarkEnd w:id="259"/>
      <w:bookmarkEnd w:id="260"/>
      <w:bookmarkEnd w:id="261"/>
    </w:p>
    <w:p w14:paraId="7E0A02C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由于</w:t>
      </w:r>
      <w:r>
        <w:rPr>
          <w:rFonts w:hint="default" w:ascii="Times New Roman" w:hAnsi="Times New Roman" w:cs="Times New Roman"/>
          <w:sz w:val="28"/>
          <w:szCs w:val="28"/>
          <w:lang w:val="en-US" w:eastAsia="zh-CN"/>
        </w:rPr>
        <w:t>本项目</w:t>
      </w:r>
      <w:r>
        <w:rPr>
          <w:rFonts w:hint="default" w:ascii="Times New Roman" w:hAnsi="Times New Roman" w:cs="Times New Roman"/>
          <w:sz w:val="28"/>
          <w:szCs w:val="28"/>
        </w:rPr>
        <w:t>在总平面布置等方面充分考虑了与站外周边建（构）筑物安全间距，其建成后站内主要设施与周边距离能够达到国家现行规范标准要求。</w:t>
      </w:r>
    </w:p>
    <w:p w14:paraId="208614C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建设项目如果发生火灾事故，</w:t>
      </w:r>
      <w:r>
        <w:rPr>
          <w:rFonts w:hint="eastAsia" w:cs="Times New Roman"/>
          <w:sz w:val="28"/>
          <w:szCs w:val="28"/>
          <w:highlight w:val="none"/>
          <w:lang w:val="en-US" w:eastAsia="zh-CN"/>
        </w:rPr>
        <w:t>不会对</w:t>
      </w:r>
      <w:r>
        <w:rPr>
          <w:rFonts w:hint="eastAsia" w:cs="Times New Roman"/>
          <w:color w:val="000000" w:themeColor="text1"/>
          <w:sz w:val="28"/>
          <w:szCs w:val="28"/>
          <w:highlight w:val="none"/>
          <w:lang w:val="en-US" w:eastAsia="zh-CN"/>
          <w14:textFill>
            <w14:solidFill>
              <w14:schemeClr w14:val="tx1"/>
            </w14:solidFill>
          </w14:textFill>
        </w:rPr>
        <w:t>本项目周边单位生产、经营活动或者居民生活</w:t>
      </w:r>
      <w:r>
        <w:rPr>
          <w:rFonts w:hint="default" w:ascii="Times New Roman" w:hAnsi="Times New Roman" w:cs="Times New Roman"/>
          <w:sz w:val="28"/>
          <w:szCs w:val="28"/>
          <w:highlight w:val="none"/>
        </w:rPr>
        <w:t>产生影响。进站加油的车辆不熄火、人员吸烟、打手机等行为可能会对本项目产生一定的影响，因此，员工应加强与周边人员的交流，使其了解本项目存在的危险性和在本项目周边日常活动的注意事项，以保障本项目的安全运营。</w:t>
      </w:r>
    </w:p>
    <w:p w14:paraId="75CD7281">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default" w:ascii="Times New Roman" w:hAnsi="Times New Roman" w:eastAsia="黑体" w:cs="Times New Roman"/>
          <w:b/>
          <w:bCs/>
          <w:color w:val="auto"/>
          <w:kern w:val="2"/>
          <w:sz w:val="28"/>
          <w:szCs w:val="32"/>
          <w:lang w:val="en-US" w:eastAsia="zh-CN" w:bidi="ar-SA"/>
        </w:rPr>
      </w:pPr>
      <w:bookmarkStart w:id="262" w:name="_Toc41246712"/>
      <w:bookmarkStart w:id="263" w:name="_Toc4804"/>
      <w:bookmarkStart w:id="264" w:name="_Toc146488874"/>
      <w:bookmarkStart w:id="265" w:name="_Toc27139"/>
      <w:bookmarkStart w:id="266" w:name="_Toc23688"/>
      <w:r>
        <w:rPr>
          <w:rFonts w:hint="default" w:ascii="Times New Roman" w:hAnsi="Times New Roman" w:eastAsia="黑体" w:cs="Times New Roman"/>
          <w:b/>
          <w:bCs/>
          <w:color w:val="auto"/>
          <w:kern w:val="2"/>
          <w:sz w:val="28"/>
          <w:szCs w:val="32"/>
          <w:lang w:val="en-US" w:eastAsia="zh-CN" w:bidi="ar-SA"/>
        </w:rPr>
        <w:t>6.2.3</w:t>
      </w:r>
      <w:bookmarkStart w:id="267" w:name="_Toc410311983"/>
      <w:bookmarkStart w:id="268" w:name="_Toc410311906"/>
      <w:r>
        <w:rPr>
          <w:rFonts w:hint="default" w:ascii="Times New Roman" w:hAnsi="Times New Roman" w:eastAsia="黑体" w:cs="Times New Roman"/>
          <w:b/>
          <w:bCs/>
          <w:color w:val="auto"/>
          <w:kern w:val="2"/>
          <w:sz w:val="28"/>
          <w:szCs w:val="32"/>
          <w:lang w:val="en-US" w:eastAsia="zh-CN" w:bidi="ar-SA"/>
        </w:rPr>
        <w:t>建设项目所在地的自然条件对建设项目投入生产或者使用后的影响</w:t>
      </w:r>
      <w:bookmarkEnd w:id="262"/>
      <w:bookmarkEnd w:id="263"/>
      <w:bookmarkEnd w:id="264"/>
      <w:bookmarkEnd w:id="265"/>
      <w:bookmarkEnd w:id="266"/>
      <w:bookmarkEnd w:id="267"/>
      <w:bookmarkEnd w:id="268"/>
    </w:p>
    <w:p w14:paraId="2FAEC11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bookmarkStart w:id="269" w:name="_Hlk164003967"/>
      <w:r>
        <w:rPr>
          <w:rFonts w:hint="default" w:ascii="Times New Roman" w:hAnsi="Times New Roman" w:cs="Times New Roman"/>
          <w:sz w:val="28"/>
          <w:szCs w:val="28"/>
        </w:rPr>
        <w:t>自然环境危险有害因素主要包括雷击、地震、高低气温和洪水、台风、雨雪等。</w:t>
      </w:r>
    </w:p>
    <w:bookmarkEnd w:id="269"/>
    <w:p w14:paraId="3394599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（1）雷击</w:t>
      </w:r>
    </w:p>
    <w:p w14:paraId="55FEE7D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加油机、罩棚和电气线路等有可能遭受雷电侵袭破坏，引起泄漏、火灾、爆炸、人身伤害等事故。本区域夏季汛期雷暴雨较多，属雷击危险区域，建议项目的重点建筑物、构筑物、电力设备和设施应作好防雷电设计，并采取有效避雷措施。</w:t>
      </w:r>
    </w:p>
    <w:p w14:paraId="3DE8544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（2）地震</w:t>
      </w:r>
    </w:p>
    <w:p w14:paraId="38558B1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该站所在区域抗震设防烈度为6度。强烈地震可能造成建（构）筑物和设备、管道的破坏，同时会造成危险物质大量泄漏，进而可能引发火灾、爆炸等灾害事故，造成人员伤亡。</w:t>
      </w:r>
    </w:p>
    <w:p w14:paraId="4AE4080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（3）高温、低温</w:t>
      </w:r>
    </w:p>
    <w:p w14:paraId="69BDE42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该区域年极端最高气温</w:t>
      </w:r>
      <w:r>
        <w:rPr>
          <w:rFonts w:hint="eastAsia" w:cs="Times New Roman"/>
          <w:sz w:val="28"/>
          <w:szCs w:val="28"/>
          <w:lang w:val="en-US" w:eastAsia="zh-CN"/>
        </w:rPr>
        <w:t>41.5</w:t>
      </w:r>
      <w:r>
        <w:rPr>
          <w:rFonts w:hint="default" w:ascii="Times New Roman" w:hAnsi="Times New Roman" w:cs="Times New Roman"/>
          <w:sz w:val="28"/>
          <w:szCs w:val="28"/>
        </w:rPr>
        <w:t>℃，冬季最低温度在-2</w:t>
      </w:r>
      <w:r>
        <w:rPr>
          <w:rFonts w:hint="eastAsia" w:cs="Times New Roman"/>
          <w:sz w:val="28"/>
          <w:szCs w:val="28"/>
          <w:lang w:val="en-US" w:eastAsia="zh-CN"/>
        </w:rPr>
        <w:t>4.7</w:t>
      </w:r>
      <w:r>
        <w:rPr>
          <w:rFonts w:hint="default" w:ascii="Times New Roman" w:hAnsi="Times New Roman" w:cs="Times New Roman"/>
          <w:sz w:val="28"/>
          <w:szCs w:val="28"/>
        </w:rPr>
        <w:t>℃左右。操作人员在高温及低温环境中易出现操作失误。严寒有可能导致设备、管道、阀门冻坏破裂。</w:t>
      </w:r>
    </w:p>
    <w:p w14:paraId="2891E59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（4）洪水、台风</w:t>
      </w:r>
    </w:p>
    <w:p w14:paraId="13430E0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该区域年降雨集中于7～9月份。一旦发生洪水或雨量过大时，会发生水淹等事故，造成有害物质外泄，污染周围环境。电力、电气设备受潮，环境湿度增大，可能进一步引发电气事故、电气故障。</w:t>
      </w:r>
    </w:p>
    <w:p w14:paraId="26CF8CB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bookmarkStart w:id="270" w:name="_Hlk164003980"/>
      <w:r>
        <w:rPr>
          <w:rFonts w:hint="default" w:ascii="Times New Roman" w:hAnsi="Times New Roman" w:cs="Times New Roman"/>
          <w:sz w:val="28"/>
          <w:szCs w:val="28"/>
        </w:rPr>
        <w:t>（5）雨雪</w:t>
      </w:r>
    </w:p>
    <w:p w14:paraId="55DBA13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罩棚和站房在雨水和雪荷载下有可能发生坍塌事故，对站内设施、加油人员造成伤害。</w:t>
      </w:r>
      <w:bookmarkEnd w:id="270"/>
    </w:p>
    <w:p w14:paraId="24CE88B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由上分析可知，该地区自然条件对该站的运营会造成一定的影响，但采取有效防范措施后，其影响可消除或减弱到不会影响本项目的正常运营。</w:t>
      </w:r>
      <w:r>
        <w:rPr>
          <w:rFonts w:hint="default" w:ascii="Times New Roman" w:hAnsi="Times New Roman" w:cs="Times New Roman"/>
          <w:sz w:val="28"/>
          <w:szCs w:val="28"/>
        </w:rPr>
        <w:br w:type="page"/>
      </w:r>
      <w:bookmarkStart w:id="271" w:name="_Toc18359"/>
      <w:bookmarkStart w:id="272" w:name="_Toc410311984"/>
      <w:bookmarkStart w:id="273" w:name="_Toc41246713"/>
      <w:bookmarkStart w:id="274" w:name="_Toc410311907"/>
      <w:bookmarkStart w:id="275" w:name="_Toc31531"/>
      <w:r>
        <w:rPr>
          <w:rFonts w:hint="default" w:ascii="Times New Roman" w:hAnsi="Times New Roman" w:eastAsia="黑体" w:cs="Times New Roman"/>
          <w:b/>
          <w:bCs w:val="0"/>
          <w:kern w:val="32"/>
          <w:sz w:val="32"/>
          <w:szCs w:val="32"/>
          <w:lang w:val="en-US" w:eastAsia="zh-CN" w:bidi="ar-SA"/>
        </w:rPr>
        <w:t>7主要技术、工艺</w:t>
      </w:r>
      <w:r>
        <w:rPr>
          <w:rFonts w:hint="eastAsia" w:ascii="Times New Roman" w:hAnsi="Times New Roman" w:eastAsia="黑体" w:cs="Times New Roman"/>
          <w:b/>
          <w:bCs w:val="0"/>
          <w:kern w:val="32"/>
          <w:sz w:val="32"/>
          <w:szCs w:val="32"/>
          <w:lang w:val="en-US" w:eastAsia="zh-CN" w:bidi="ar-SA"/>
        </w:rPr>
        <w:t>和</w:t>
      </w:r>
      <w:r>
        <w:rPr>
          <w:rFonts w:hint="default" w:ascii="Times New Roman" w:hAnsi="Times New Roman" w:eastAsia="黑体" w:cs="Times New Roman"/>
          <w:b/>
          <w:bCs w:val="0"/>
          <w:kern w:val="32"/>
          <w:sz w:val="32"/>
          <w:szCs w:val="32"/>
          <w:lang w:val="en-US" w:eastAsia="zh-CN" w:bidi="ar-SA"/>
        </w:rPr>
        <w:t>装置、设备、设施及其安全可靠性</w:t>
      </w:r>
      <w:bookmarkEnd w:id="271"/>
      <w:bookmarkEnd w:id="272"/>
      <w:bookmarkEnd w:id="273"/>
      <w:bookmarkEnd w:id="274"/>
      <w:bookmarkEnd w:id="275"/>
    </w:p>
    <w:p w14:paraId="267B817A">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276" w:name="_Toc410311985"/>
      <w:bookmarkStart w:id="277" w:name="_Toc410311908"/>
      <w:bookmarkStart w:id="278" w:name="_Toc41246714"/>
      <w:bookmarkStart w:id="279" w:name="_Toc12537"/>
      <w:bookmarkStart w:id="280" w:name="_Toc12485"/>
      <w:r>
        <w:rPr>
          <w:rFonts w:hint="default" w:ascii="Times New Roman" w:hAnsi="Times New Roman" w:eastAsia="楷体" w:cs="Times New Roman"/>
          <w:color w:val="auto"/>
          <w:sz w:val="32"/>
          <w:szCs w:val="32"/>
          <w:lang w:val="en-US" w:eastAsia="zh-CN"/>
        </w:rPr>
        <w:t>7.1</w:t>
      </w:r>
      <w:bookmarkEnd w:id="276"/>
      <w:bookmarkEnd w:id="277"/>
      <w:r>
        <w:rPr>
          <w:rFonts w:hint="default" w:ascii="Times New Roman" w:hAnsi="Times New Roman" w:eastAsia="楷体" w:cs="Times New Roman"/>
          <w:color w:val="auto"/>
          <w:sz w:val="32"/>
          <w:szCs w:val="32"/>
          <w:lang w:val="en-US" w:eastAsia="zh-CN"/>
        </w:rPr>
        <w:t>主要技术、工艺或者方式和装置、设备、设施的安全可靠性</w:t>
      </w:r>
      <w:bookmarkEnd w:id="278"/>
      <w:bookmarkEnd w:id="279"/>
      <w:bookmarkEnd w:id="280"/>
    </w:p>
    <w:p w14:paraId="34C09094">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eastAsia="黑体" w:cs="Times New Roman"/>
          <w:b/>
          <w:bCs/>
          <w:color w:val="auto"/>
          <w:kern w:val="2"/>
          <w:sz w:val="28"/>
          <w:szCs w:val="32"/>
          <w:lang w:val="en-US" w:eastAsia="zh-CN" w:bidi="ar-SA"/>
        </w:rPr>
      </w:pPr>
      <w:bookmarkStart w:id="281" w:name="_Toc28218"/>
      <w:bookmarkStart w:id="282" w:name="_Toc146488877"/>
      <w:bookmarkStart w:id="283" w:name="_Toc41246716"/>
      <w:bookmarkStart w:id="284" w:name="_Toc870"/>
      <w:bookmarkStart w:id="285" w:name="_Toc13968"/>
      <w:r>
        <w:rPr>
          <w:rFonts w:hint="eastAsia" w:ascii="Times New Roman" w:hAnsi="Times New Roman" w:eastAsia="黑体" w:cs="Times New Roman"/>
          <w:b/>
          <w:bCs/>
          <w:color w:val="auto"/>
          <w:kern w:val="2"/>
          <w:sz w:val="28"/>
          <w:szCs w:val="32"/>
          <w:lang w:val="en-US" w:eastAsia="zh-CN" w:bidi="ar-SA"/>
        </w:rPr>
        <w:t>7.1.1工艺技术可靠性</w:t>
      </w:r>
    </w:p>
    <w:p w14:paraId="6E8112B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本项目在工艺、技术拟采用国内加油站普遍使用的</w:t>
      </w:r>
      <w:r>
        <w:rPr>
          <w:rFonts w:hint="eastAsia" w:cs="Times New Roman"/>
          <w:sz w:val="28"/>
          <w:szCs w:val="28"/>
          <w:lang w:val="en-US" w:eastAsia="zh-CN"/>
        </w:rPr>
        <w:t>潜油泵式</w:t>
      </w:r>
      <w:r>
        <w:rPr>
          <w:rFonts w:hint="default" w:ascii="Times New Roman" w:hAnsi="Times New Roman" w:cs="Times New Roman"/>
          <w:sz w:val="28"/>
          <w:szCs w:val="28"/>
        </w:rPr>
        <w:t>加油工艺，且国内汽车加油站工艺、技术已经成熟，加油、卸油和油品储存过程简单，没有高温、高压或吸热放热等现象，不发生化学反应，不会由此而出现系统反应失控、超温超压而引发爆炸等重大事故发生。</w:t>
      </w:r>
    </w:p>
    <w:p w14:paraId="088A4330">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default" w:ascii="Times New Roman" w:hAnsi="Times New Roman" w:eastAsia="黑体" w:cs="Times New Roman"/>
          <w:b/>
          <w:bCs/>
          <w:color w:val="auto"/>
          <w:kern w:val="2"/>
          <w:sz w:val="28"/>
          <w:szCs w:val="32"/>
          <w:lang w:val="en-US" w:eastAsia="zh-CN" w:bidi="ar-SA"/>
        </w:rPr>
      </w:pPr>
      <w:r>
        <w:rPr>
          <w:rFonts w:hint="eastAsia" w:ascii="Times New Roman" w:hAnsi="Times New Roman" w:eastAsia="黑体" w:cs="Times New Roman"/>
          <w:b/>
          <w:bCs/>
          <w:color w:val="auto"/>
          <w:kern w:val="2"/>
          <w:sz w:val="28"/>
          <w:szCs w:val="32"/>
          <w:lang w:val="en-US" w:eastAsia="zh-CN" w:bidi="ar-SA"/>
        </w:rPr>
        <w:t>7.1.2设备可靠性</w:t>
      </w:r>
    </w:p>
    <w:p w14:paraId="32C3E61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本项目主要设备选用有资质单位生产的合格产品，加油、卸油具有油气回收系统来减少油气散发到大气中，避免环境污染和人员接触到油气造成职业健康危害，降低隐患，减少能源流失和浪费。拟设的埋地油罐采用埋地内钢、外玻璃纤维增强塑料的双层罐，管道采用双层导静电热塑性管道，在防止油罐和管道出现渗漏方面具有双保险作用，两层罐壁间隙实施在线监测和人工检测，无论是内层罐还是外层罐发生渗漏，都能在贯通间隙内被发现，从而可有效地避免渗漏油品进入环境，污染环境和地下水。同时，拟设储罐卸油防溢阀、液位监测报警系统以及储罐、管道泄漏监测报警系统和紧急切断系统，大大提高了本项目的安全运营。</w:t>
      </w:r>
    </w:p>
    <w:bookmarkEnd w:id="281"/>
    <w:bookmarkEnd w:id="282"/>
    <w:bookmarkEnd w:id="283"/>
    <w:bookmarkEnd w:id="284"/>
    <w:bookmarkEnd w:id="285"/>
    <w:p w14:paraId="74A51812">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286" w:name="_Toc410311909"/>
      <w:bookmarkStart w:id="287" w:name="_Toc410311986"/>
      <w:bookmarkStart w:id="288" w:name="_Toc41246717"/>
      <w:bookmarkStart w:id="289" w:name="_Toc11196"/>
      <w:bookmarkStart w:id="290" w:name="_Toc7348"/>
      <w:r>
        <w:rPr>
          <w:rFonts w:hint="default" w:ascii="Times New Roman" w:hAnsi="Times New Roman" w:eastAsia="楷体" w:cs="Times New Roman"/>
          <w:color w:val="auto"/>
          <w:sz w:val="32"/>
          <w:szCs w:val="32"/>
          <w:lang w:val="en-US" w:eastAsia="zh-CN"/>
        </w:rPr>
        <w:t>7.2</w:t>
      </w:r>
      <w:bookmarkEnd w:id="286"/>
      <w:bookmarkEnd w:id="287"/>
      <w:r>
        <w:rPr>
          <w:rFonts w:hint="default" w:ascii="Times New Roman" w:hAnsi="Times New Roman" w:eastAsia="楷体" w:cs="Times New Roman"/>
          <w:color w:val="auto"/>
          <w:sz w:val="32"/>
          <w:szCs w:val="32"/>
          <w:lang w:val="en-US" w:eastAsia="zh-CN"/>
        </w:rPr>
        <w:t>主要装置、设备或者设施与危险化学品生产或者储存过程的匹配情况</w:t>
      </w:r>
      <w:bookmarkEnd w:id="288"/>
      <w:bookmarkEnd w:id="289"/>
      <w:bookmarkEnd w:id="290"/>
    </w:p>
    <w:p w14:paraId="50B253F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bookmarkStart w:id="291" w:name="_Toc410311987"/>
      <w:bookmarkStart w:id="292" w:name="_Toc410311910"/>
      <w:r>
        <w:rPr>
          <w:rFonts w:hint="default" w:ascii="Times New Roman" w:hAnsi="Times New Roman" w:cs="Times New Roman"/>
          <w:sz w:val="28"/>
          <w:szCs w:val="28"/>
        </w:rPr>
        <w:t>本项目设</w:t>
      </w:r>
      <w:r>
        <w:rPr>
          <w:rFonts w:hint="default" w:ascii="Times New Roman" w:hAnsi="Times New Roman" w:cs="Times New Roman"/>
          <w:sz w:val="28"/>
          <w:szCs w:val="28"/>
          <w:lang w:val="en-US" w:eastAsia="zh-CN"/>
        </w:rPr>
        <w:t>4</w:t>
      </w:r>
      <w:r>
        <w:rPr>
          <w:rFonts w:hint="default" w:ascii="Times New Roman" w:hAnsi="Times New Roman" w:cs="Times New Roman"/>
          <w:sz w:val="28"/>
          <w:szCs w:val="28"/>
        </w:rPr>
        <w:t>座埋地卧式</w:t>
      </w:r>
      <w:r>
        <w:rPr>
          <w:rFonts w:hint="eastAsia" w:cs="Times New Roman"/>
          <w:sz w:val="28"/>
          <w:szCs w:val="28"/>
          <w:lang w:val="en-US" w:eastAsia="zh-CN"/>
        </w:rPr>
        <w:t>S</w:t>
      </w:r>
      <w:r>
        <w:rPr>
          <w:rFonts w:hint="default" w:ascii="Times New Roman" w:hAnsi="Times New Roman" w:cs="Times New Roman"/>
          <w:sz w:val="28"/>
          <w:szCs w:val="28"/>
        </w:rPr>
        <w:t>F双层储罐，其中</w:t>
      </w:r>
      <w:r>
        <w:rPr>
          <w:rFonts w:hint="eastAsia" w:cs="Times New Roman"/>
          <w:sz w:val="28"/>
          <w:szCs w:val="28"/>
          <w:lang w:val="en-US" w:eastAsia="zh-CN"/>
        </w:rPr>
        <w:t>3</w:t>
      </w:r>
      <w:r>
        <w:rPr>
          <w:rFonts w:hint="default" w:ascii="Times New Roman" w:hAnsi="Times New Roman" w:cs="Times New Roman"/>
          <w:sz w:val="28"/>
          <w:szCs w:val="28"/>
        </w:rPr>
        <w:t>座</w:t>
      </w:r>
      <w:r>
        <w:rPr>
          <w:rFonts w:hint="eastAsia" w:cs="Times New Roman"/>
          <w:sz w:val="28"/>
          <w:szCs w:val="28"/>
          <w:lang w:eastAsia="zh-CN"/>
        </w:rPr>
        <w:t>乙醇汽油</w:t>
      </w:r>
      <w:r>
        <w:rPr>
          <w:rFonts w:hint="default" w:ascii="Times New Roman" w:hAnsi="Times New Roman" w:cs="Times New Roman"/>
          <w:sz w:val="28"/>
          <w:szCs w:val="28"/>
        </w:rPr>
        <w:t>储罐，储量均为</w:t>
      </w:r>
      <w:r>
        <w:rPr>
          <w:rFonts w:hint="eastAsia" w:cs="Times New Roman"/>
          <w:sz w:val="28"/>
          <w:szCs w:val="28"/>
          <w:lang w:val="en-US" w:eastAsia="zh-CN"/>
        </w:rPr>
        <w:t>3</w:t>
      </w:r>
      <w:r>
        <w:rPr>
          <w:rFonts w:hint="default" w:ascii="Times New Roman" w:hAnsi="Times New Roman" w:cs="Times New Roman"/>
          <w:sz w:val="28"/>
          <w:szCs w:val="28"/>
        </w:rPr>
        <w:t>0m³；</w:t>
      </w:r>
      <w:r>
        <w:rPr>
          <w:rFonts w:hint="eastAsia" w:cs="Times New Roman"/>
          <w:sz w:val="28"/>
          <w:szCs w:val="28"/>
          <w:lang w:val="en-US" w:eastAsia="zh-CN"/>
        </w:rPr>
        <w:t>1</w:t>
      </w:r>
      <w:r>
        <w:rPr>
          <w:rFonts w:hint="default" w:ascii="Times New Roman" w:hAnsi="Times New Roman" w:cs="Times New Roman"/>
          <w:sz w:val="28"/>
          <w:szCs w:val="28"/>
        </w:rPr>
        <w:t>座柴油储罐，储量均为</w:t>
      </w:r>
      <w:r>
        <w:rPr>
          <w:rFonts w:hint="eastAsia" w:cs="Times New Roman"/>
          <w:sz w:val="28"/>
          <w:szCs w:val="28"/>
          <w:lang w:val="en-US" w:eastAsia="zh-CN"/>
        </w:rPr>
        <w:t>30</w:t>
      </w:r>
      <w:r>
        <w:rPr>
          <w:rFonts w:hint="default" w:ascii="Times New Roman" w:hAnsi="Times New Roman" w:cs="Times New Roman"/>
          <w:sz w:val="28"/>
          <w:szCs w:val="28"/>
        </w:rPr>
        <w:t>m³；站内设有1个卸油点位，内设</w:t>
      </w:r>
      <w:r>
        <w:rPr>
          <w:rFonts w:hint="eastAsia" w:cs="Times New Roman"/>
          <w:sz w:val="28"/>
          <w:szCs w:val="28"/>
          <w:lang w:val="en-US" w:eastAsia="zh-CN"/>
        </w:rPr>
        <w:t>5</w:t>
      </w:r>
      <w:r>
        <w:rPr>
          <w:rFonts w:hint="default" w:ascii="Times New Roman" w:hAnsi="Times New Roman" w:cs="Times New Roman"/>
          <w:sz w:val="28"/>
          <w:szCs w:val="28"/>
        </w:rPr>
        <w:t>个卸油口</w:t>
      </w:r>
      <w:r>
        <w:rPr>
          <w:rFonts w:hint="eastAsia" w:cs="Times New Roman"/>
          <w:sz w:val="28"/>
          <w:szCs w:val="28"/>
          <w:lang w:eastAsia="zh-CN"/>
        </w:rPr>
        <w:t>（</w:t>
      </w:r>
      <w:r>
        <w:rPr>
          <w:rFonts w:hint="eastAsia" w:cs="Times New Roman"/>
          <w:sz w:val="28"/>
          <w:szCs w:val="28"/>
          <w:lang w:val="en-US" w:eastAsia="zh-CN"/>
        </w:rPr>
        <w:t>其中3个乙醇汽油卸油口、2个柴油卸油口</w:t>
      </w:r>
      <w:r>
        <w:rPr>
          <w:rFonts w:hint="eastAsia" w:cs="Times New Roman"/>
          <w:sz w:val="28"/>
          <w:szCs w:val="28"/>
          <w:lang w:eastAsia="zh-CN"/>
        </w:rPr>
        <w:t>）</w:t>
      </w:r>
      <w:r>
        <w:rPr>
          <w:rFonts w:hint="default" w:ascii="Times New Roman" w:hAnsi="Times New Roman" w:cs="Times New Roman"/>
          <w:sz w:val="28"/>
          <w:szCs w:val="28"/>
        </w:rPr>
        <w:t>，每个卸油口独立与一个油罐相连通。</w:t>
      </w:r>
    </w:p>
    <w:p w14:paraId="7F98746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加油站场地设罩棚，罩棚下设加油机</w:t>
      </w:r>
      <w:r>
        <w:rPr>
          <w:rFonts w:hint="eastAsia" w:cs="Times New Roman"/>
          <w:sz w:val="28"/>
          <w:szCs w:val="28"/>
          <w:lang w:val="en-US" w:eastAsia="zh-CN"/>
        </w:rPr>
        <w:t>4台</w:t>
      </w:r>
      <w:r>
        <w:rPr>
          <w:rFonts w:hint="default" w:ascii="Times New Roman" w:hAnsi="Times New Roman" w:cs="Times New Roman"/>
          <w:sz w:val="28"/>
          <w:szCs w:val="28"/>
        </w:rPr>
        <w:t>（其中</w:t>
      </w:r>
      <w:r>
        <w:rPr>
          <w:rFonts w:hint="eastAsia" w:cs="Times New Roman"/>
          <w:sz w:val="28"/>
          <w:szCs w:val="28"/>
          <w:lang w:val="en-US" w:eastAsia="zh-CN"/>
        </w:rPr>
        <w:t>1台乙醇汽油、</w:t>
      </w:r>
      <w:r>
        <w:rPr>
          <w:rFonts w:hint="default" w:ascii="Times New Roman" w:hAnsi="Times New Roman" w:cs="Times New Roman"/>
          <w:sz w:val="28"/>
          <w:szCs w:val="28"/>
        </w:rPr>
        <w:t>柴油加油机</w:t>
      </w:r>
      <w:r>
        <w:rPr>
          <w:rFonts w:hint="eastAsia" w:cs="Times New Roman"/>
          <w:sz w:val="28"/>
          <w:szCs w:val="28"/>
          <w:lang w:eastAsia="zh-CN"/>
        </w:rPr>
        <w:t>、</w:t>
      </w:r>
      <w:r>
        <w:rPr>
          <w:rFonts w:hint="eastAsia" w:cs="Times New Roman"/>
          <w:sz w:val="28"/>
          <w:szCs w:val="28"/>
          <w:lang w:val="en-US" w:eastAsia="zh-CN"/>
        </w:rPr>
        <w:t>3台乙醇汽油</w:t>
      </w:r>
      <w:r>
        <w:rPr>
          <w:rFonts w:hint="default" w:ascii="Times New Roman" w:hAnsi="Times New Roman" w:cs="Times New Roman"/>
          <w:sz w:val="28"/>
          <w:szCs w:val="28"/>
        </w:rPr>
        <w:t>加油机）；埋地油罐布置在罩棚下，为承重汽、柴油罐区；站房布置在罩棚的</w:t>
      </w:r>
      <w:r>
        <w:rPr>
          <w:rFonts w:hint="eastAsia" w:cs="Times New Roman"/>
          <w:sz w:val="28"/>
          <w:szCs w:val="28"/>
          <w:lang w:val="en-US" w:eastAsia="zh-CN"/>
        </w:rPr>
        <w:t>南</w:t>
      </w:r>
      <w:r>
        <w:rPr>
          <w:rFonts w:hint="default" w:ascii="Times New Roman" w:hAnsi="Times New Roman" w:cs="Times New Roman"/>
          <w:sz w:val="28"/>
          <w:szCs w:val="28"/>
        </w:rPr>
        <w:t>侧</w:t>
      </w:r>
      <w:r>
        <w:rPr>
          <w:rFonts w:hint="eastAsia" w:ascii="Times New Roman" w:hAnsi="Times New Roman" w:cs="Times New Roman"/>
          <w:sz w:val="28"/>
          <w:szCs w:val="28"/>
          <w:lang w:eastAsia="zh-CN"/>
        </w:rPr>
        <w:t>。</w:t>
      </w:r>
      <w:r>
        <w:rPr>
          <w:rFonts w:hint="default" w:ascii="Times New Roman" w:hAnsi="Times New Roman" w:cs="Times New Roman"/>
          <w:sz w:val="28"/>
          <w:szCs w:val="28"/>
        </w:rPr>
        <w:t>本项目选择的加油设备与油品储存过程相匹配。</w:t>
      </w:r>
    </w:p>
    <w:p w14:paraId="6706C5F4">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highlight w:val="none"/>
          <w:lang w:val="en-US" w:eastAsia="zh-CN"/>
        </w:rPr>
      </w:pPr>
      <w:bookmarkStart w:id="293" w:name="_Toc11980"/>
      <w:bookmarkStart w:id="294" w:name="_Toc29922"/>
      <w:bookmarkStart w:id="295" w:name="_Toc41246718"/>
      <w:r>
        <w:rPr>
          <w:rFonts w:hint="default" w:ascii="Times New Roman" w:hAnsi="Times New Roman" w:eastAsia="楷体" w:cs="Times New Roman"/>
          <w:color w:val="auto"/>
          <w:sz w:val="32"/>
          <w:szCs w:val="32"/>
          <w:highlight w:val="none"/>
          <w:lang w:val="en-US" w:eastAsia="zh-CN"/>
        </w:rPr>
        <w:t>7.3生产或者储存过程配套和辅助工程分析</w:t>
      </w:r>
      <w:bookmarkEnd w:id="291"/>
      <w:bookmarkEnd w:id="292"/>
      <w:bookmarkEnd w:id="293"/>
      <w:bookmarkEnd w:id="294"/>
      <w:bookmarkEnd w:id="295"/>
    </w:p>
    <w:p w14:paraId="3F3D2A1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本项目配套和辅助工程的需求和供应情况，见表7</w:t>
      </w:r>
      <w:r>
        <w:rPr>
          <w:rFonts w:hint="eastAsia" w:ascii="Times New Roman" w:hAnsi="Times New Roman" w:cs="Times New Roman"/>
          <w:sz w:val="28"/>
          <w:szCs w:val="28"/>
          <w:lang w:val="en-US" w:eastAsia="zh-CN"/>
        </w:rPr>
        <w:t>.3</w:t>
      </w:r>
      <w:r>
        <w:rPr>
          <w:rFonts w:hint="default" w:ascii="Times New Roman" w:hAnsi="Times New Roman" w:cs="Times New Roman"/>
          <w:sz w:val="28"/>
          <w:szCs w:val="28"/>
        </w:rPr>
        <w:t>-1。</w:t>
      </w:r>
    </w:p>
    <w:p w14:paraId="5D6E1B22">
      <w:pPr>
        <w:keepNext w:val="0"/>
        <w:keepLines w:val="0"/>
        <w:pageBreakBefore w:val="0"/>
        <w:widowControl w:val="0"/>
        <w:kinsoku/>
        <w:wordWrap/>
        <w:overflowPunct/>
        <w:topLinePunct w:val="0"/>
        <w:autoSpaceDE/>
        <w:autoSpaceDN/>
        <w:bidi w:val="0"/>
        <w:adjustRightInd/>
        <w:snapToGrid/>
        <w:spacing w:before="164" w:beforeLines="50" w:after="164" w:afterLines="50" w:line="24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sz w:val="24"/>
          <w:szCs w:val="24"/>
        </w:rPr>
        <w:t>表7</w:t>
      </w:r>
      <w:r>
        <w:rPr>
          <w:rFonts w:hint="eastAsia" w:ascii="Times New Roman" w:hAnsi="Times New Roman" w:eastAsia="黑体" w:cs="Times New Roman"/>
          <w:sz w:val="24"/>
          <w:szCs w:val="24"/>
          <w:lang w:val="en-US" w:eastAsia="zh-CN"/>
        </w:rPr>
        <w:t>.3</w:t>
      </w:r>
      <w:r>
        <w:rPr>
          <w:rFonts w:hint="default" w:ascii="Times New Roman" w:hAnsi="Times New Roman" w:eastAsia="黑体" w:cs="Times New Roman"/>
          <w:sz w:val="24"/>
          <w:szCs w:val="24"/>
        </w:rPr>
        <w:t>-1</w:t>
      </w:r>
      <w:r>
        <w:rPr>
          <w:rFonts w:hint="eastAsia" w:ascii="Times New Roman" w:hAnsi="Times New Roman" w:eastAsia="黑体" w:cs="Times New Roman"/>
          <w:sz w:val="24"/>
          <w:szCs w:val="24"/>
          <w:lang w:val="en-US" w:eastAsia="zh-CN"/>
        </w:rPr>
        <w:t xml:space="preserve">  </w:t>
      </w:r>
      <w:r>
        <w:rPr>
          <w:rFonts w:hint="default" w:ascii="Times New Roman" w:hAnsi="Times New Roman" w:eastAsia="黑体" w:cs="Times New Roman"/>
          <w:sz w:val="24"/>
          <w:szCs w:val="24"/>
        </w:rPr>
        <w:t>本项目配套和辅助工程的需求和供应情况统计表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452"/>
        <w:gridCol w:w="1983"/>
        <w:gridCol w:w="5186"/>
      </w:tblGrid>
      <w:tr w14:paraId="1C38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1" w:hRule="atLeast"/>
          <w:tblHeader/>
          <w:jc w:val="center"/>
        </w:trPr>
        <w:tc>
          <w:tcPr>
            <w:tcW w:w="414" w:type="pct"/>
            <w:vAlign w:val="center"/>
          </w:tcPr>
          <w:p w14:paraId="353E3E34">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序号</w:t>
            </w:r>
          </w:p>
        </w:tc>
        <w:tc>
          <w:tcPr>
            <w:tcW w:w="772" w:type="pct"/>
            <w:vAlign w:val="center"/>
          </w:tcPr>
          <w:p w14:paraId="7CD6B554">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配套和辅助</w:t>
            </w:r>
          </w:p>
          <w:p w14:paraId="50D1B4C7">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工程名称</w:t>
            </w:r>
          </w:p>
        </w:tc>
        <w:tc>
          <w:tcPr>
            <w:tcW w:w="1054" w:type="pct"/>
            <w:vAlign w:val="center"/>
          </w:tcPr>
          <w:p w14:paraId="5E6021FA">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需求情况</w:t>
            </w:r>
          </w:p>
        </w:tc>
        <w:tc>
          <w:tcPr>
            <w:tcW w:w="2757" w:type="pct"/>
            <w:vAlign w:val="center"/>
          </w:tcPr>
          <w:p w14:paraId="37AE6894">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供应情况</w:t>
            </w:r>
          </w:p>
        </w:tc>
      </w:tr>
      <w:tr w14:paraId="3C7E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4" w:type="pct"/>
            <w:vAlign w:val="center"/>
          </w:tcPr>
          <w:p w14:paraId="27D356CD">
            <w:pPr>
              <w:jc w:val="center"/>
              <w:rPr>
                <w:rFonts w:hint="default" w:ascii="Times New Roman" w:hAnsi="Times New Roman" w:cs="Times New Roman"/>
                <w:szCs w:val="21"/>
              </w:rPr>
            </w:pPr>
            <w:r>
              <w:rPr>
                <w:rFonts w:hint="default" w:ascii="Times New Roman" w:hAnsi="Times New Roman" w:cs="Times New Roman"/>
                <w:szCs w:val="21"/>
              </w:rPr>
              <w:t>1</w:t>
            </w:r>
          </w:p>
        </w:tc>
        <w:tc>
          <w:tcPr>
            <w:tcW w:w="772" w:type="pct"/>
            <w:vAlign w:val="center"/>
          </w:tcPr>
          <w:p w14:paraId="4912F902">
            <w:pPr>
              <w:jc w:val="center"/>
              <w:rPr>
                <w:rFonts w:hint="default" w:ascii="Times New Roman" w:hAnsi="Times New Roman" w:cs="Times New Roman"/>
                <w:szCs w:val="21"/>
              </w:rPr>
            </w:pPr>
            <w:r>
              <w:rPr>
                <w:rFonts w:hint="default" w:ascii="Times New Roman" w:hAnsi="Times New Roman" w:cs="Times New Roman"/>
                <w:szCs w:val="21"/>
              </w:rPr>
              <w:t>给水</w:t>
            </w:r>
          </w:p>
        </w:tc>
        <w:tc>
          <w:tcPr>
            <w:tcW w:w="1054" w:type="pct"/>
            <w:vAlign w:val="center"/>
          </w:tcPr>
          <w:p w14:paraId="28C8731D">
            <w:pPr>
              <w:jc w:val="center"/>
              <w:rPr>
                <w:rFonts w:hint="default" w:ascii="Times New Roman" w:hAnsi="Times New Roman" w:cs="Times New Roman"/>
                <w:szCs w:val="21"/>
              </w:rPr>
            </w:pPr>
            <w:r>
              <w:rPr>
                <w:rFonts w:hint="default" w:ascii="Times New Roman" w:hAnsi="Times New Roman" w:cs="Times New Roman"/>
                <w:szCs w:val="21"/>
              </w:rPr>
              <w:t>生活用水</w:t>
            </w:r>
          </w:p>
        </w:tc>
        <w:tc>
          <w:tcPr>
            <w:tcW w:w="2757" w:type="pct"/>
            <w:vAlign w:val="center"/>
          </w:tcPr>
          <w:p w14:paraId="32239809">
            <w:pPr>
              <w:jc w:val="left"/>
              <w:rPr>
                <w:rFonts w:hint="default" w:ascii="Times New Roman" w:hAnsi="Times New Roman" w:cs="Times New Roman"/>
                <w:szCs w:val="21"/>
                <w:lang w:bidi="en-US"/>
              </w:rPr>
            </w:pPr>
            <w:r>
              <w:rPr>
                <w:rFonts w:hint="default" w:ascii="Times New Roman" w:hAnsi="Times New Roman" w:cs="Times New Roman"/>
                <w:szCs w:val="21"/>
              </w:rPr>
              <w:t>站内给水依托</w:t>
            </w:r>
            <w:r>
              <w:rPr>
                <w:rFonts w:hint="default" w:ascii="Times New Roman" w:hAnsi="Times New Roman" w:cs="Times New Roman"/>
                <w:szCs w:val="21"/>
                <w:lang w:val="en-US" w:eastAsia="zh-CN"/>
              </w:rPr>
              <w:t>市政</w:t>
            </w:r>
            <w:r>
              <w:rPr>
                <w:rFonts w:hint="default" w:ascii="Times New Roman" w:hAnsi="Times New Roman" w:cs="Times New Roman"/>
                <w:szCs w:val="21"/>
              </w:rPr>
              <w:t>供给，供水设施能够满足本项目用水需求。</w:t>
            </w:r>
          </w:p>
        </w:tc>
      </w:tr>
      <w:tr w14:paraId="66DE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6" w:hRule="atLeast"/>
          <w:jc w:val="center"/>
        </w:trPr>
        <w:tc>
          <w:tcPr>
            <w:tcW w:w="414" w:type="pct"/>
            <w:vAlign w:val="center"/>
          </w:tcPr>
          <w:p w14:paraId="4B3BE453">
            <w:pPr>
              <w:jc w:val="center"/>
              <w:rPr>
                <w:rFonts w:hint="default" w:ascii="Times New Roman" w:hAnsi="Times New Roman" w:cs="Times New Roman"/>
                <w:szCs w:val="21"/>
              </w:rPr>
            </w:pPr>
            <w:r>
              <w:rPr>
                <w:rFonts w:hint="default" w:ascii="Times New Roman" w:hAnsi="Times New Roman" w:cs="Times New Roman"/>
                <w:szCs w:val="21"/>
              </w:rPr>
              <w:t>2</w:t>
            </w:r>
          </w:p>
        </w:tc>
        <w:tc>
          <w:tcPr>
            <w:tcW w:w="772" w:type="pct"/>
            <w:vAlign w:val="center"/>
          </w:tcPr>
          <w:p w14:paraId="19503A31">
            <w:pPr>
              <w:jc w:val="center"/>
              <w:rPr>
                <w:rFonts w:hint="default" w:ascii="Times New Roman" w:hAnsi="Times New Roman" w:cs="Times New Roman"/>
                <w:szCs w:val="21"/>
                <w:lang w:bidi="en-US"/>
              </w:rPr>
            </w:pPr>
            <w:r>
              <w:rPr>
                <w:rFonts w:hint="default" w:ascii="Times New Roman" w:hAnsi="Times New Roman" w:cs="Times New Roman"/>
                <w:szCs w:val="21"/>
                <w:lang w:bidi="en-US"/>
              </w:rPr>
              <w:t>排水</w:t>
            </w:r>
          </w:p>
        </w:tc>
        <w:tc>
          <w:tcPr>
            <w:tcW w:w="1054" w:type="pct"/>
            <w:vAlign w:val="center"/>
          </w:tcPr>
          <w:p w14:paraId="39927240">
            <w:pPr>
              <w:pStyle w:val="5"/>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雨水系统及生活污水系统</w:t>
            </w:r>
          </w:p>
        </w:tc>
        <w:tc>
          <w:tcPr>
            <w:tcW w:w="2757" w:type="pct"/>
            <w:vAlign w:val="center"/>
          </w:tcPr>
          <w:p w14:paraId="01B75A29">
            <w:pPr>
              <w:numPr>
                <w:ilvl w:val="0"/>
                <w:numId w:val="7"/>
              </w:numPr>
              <w:jc w:val="left"/>
              <w:rPr>
                <w:rFonts w:hint="default" w:ascii="Times New Roman" w:hAnsi="Times New Roman" w:cs="Times New Roman"/>
                <w:szCs w:val="21"/>
              </w:rPr>
            </w:pPr>
            <w:r>
              <w:rPr>
                <w:rFonts w:hint="default" w:ascii="Times New Roman" w:hAnsi="Times New Roman" w:cs="Times New Roman"/>
                <w:szCs w:val="21"/>
              </w:rPr>
              <w:t>加油站排水包括生产污水、雨水系统</w:t>
            </w:r>
            <w:r>
              <w:rPr>
                <w:rFonts w:hint="eastAsia" w:cs="Times New Roman"/>
                <w:szCs w:val="21"/>
                <w:lang w:eastAsia="zh-CN"/>
              </w:rPr>
              <w:t>、</w:t>
            </w:r>
            <w:r>
              <w:rPr>
                <w:rFonts w:hint="eastAsia" w:cs="Times New Roman"/>
                <w:szCs w:val="21"/>
                <w:lang w:val="en-US" w:eastAsia="zh-CN"/>
              </w:rPr>
              <w:t>消防用水</w:t>
            </w:r>
            <w:r>
              <w:rPr>
                <w:rFonts w:hint="default" w:ascii="Times New Roman" w:hAnsi="Times New Roman" w:cs="Times New Roman"/>
                <w:szCs w:val="21"/>
              </w:rPr>
              <w:t>及生活污水系统。</w:t>
            </w:r>
          </w:p>
          <w:p w14:paraId="26D79DF6">
            <w:pPr>
              <w:numPr>
                <w:ilvl w:val="0"/>
                <w:numId w:val="0"/>
              </w:numPr>
              <w:jc w:val="left"/>
              <w:rPr>
                <w:rFonts w:hint="default" w:ascii="Times New Roman" w:hAnsi="Times New Roman" w:cs="Times New Roman"/>
                <w:szCs w:val="21"/>
              </w:rPr>
            </w:pPr>
            <w:r>
              <w:rPr>
                <w:rFonts w:hint="eastAsia" w:cs="Times New Roman"/>
                <w:szCs w:val="21"/>
                <w:lang w:val="en-US" w:eastAsia="zh-CN"/>
              </w:rPr>
              <w:t>2、</w:t>
            </w:r>
            <w:r>
              <w:rPr>
                <w:rFonts w:hint="default" w:ascii="Times New Roman" w:hAnsi="Times New Roman" w:cs="Times New Roman"/>
                <w:szCs w:val="21"/>
              </w:rPr>
              <w:t>生产污水主要源自储罐清洗。清洗油罐污水由有资质的单位外运至危废处置单位进行处理。</w:t>
            </w:r>
          </w:p>
          <w:p w14:paraId="189F3D00">
            <w:pPr>
              <w:numPr>
                <w:ilvl w:val="0"/>
                <w:numId w:val="7"/>
              </w:numPr>
              <w:jc w:val="left"/>
              <w:rPr>
                <w:rFonts w:hint="default" w:ascii="Times New Roman" w:hAnsi="Times New Roman" w:cs="Times New Roman"/>
                <w:szCs w:val="21"/>
              </w:rPr>
            </w:pPr>
            <w:r>
              <w:rPr>
                <w:rFonts w:hint="default" w:ascii="Times New Roman" w:hAnsi="Times New Roman" w:cs="Times New Roman"/>
                <w:szCs w:val="21"/>
              </w:rPr>
              <w:t>站内生活污水经化粪池沉淀后排入市政污水管网。</w:t>
            </w:r>
          </w:p>
          <w:p w14:paraId="0821A1B7">
            <w:pPr>
              <w:numPr>
                <w:ilvl w:val="0"/>
                <w:numId w:val="7"/>
              </w:numPr>
              <w:jc w:val="left"/>
              <w:rPr>
                <w:rFonts w:hint="default" w:ascii="Times New Roman" w:hAnsi="Times New Roman" w:cs="Times New Roman"/>
                <w:szCs w:val="21"/>
              </w:rPr>
            </w:pPr>
            <w:r>
              <w:rPr>
                <w:rFonts w:hint="default" w:ascii="Times New Roman" w:hAnsi="Times New Roman" w:cs="Times New Roman"/>
                <w:szCs w:val="21"/>
              </w:rPr>
              <w:t>罩棚雨水通过新建雨水管道排放到市政雨水系统，地面雨水部分随地形坡度散排至站外，部分排入截水沟，由截水沟排入市政雨水系统。</w:t>
            </w:r>
          </w:p>
        </w:tc>
      </w:tr>
      <w:tr w14:paraId="3EF8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4" w:type="pct"/>
            <w:vAlign w:val="center"/>
          </w:tcPr>
          <w:p w14:paraId="05520172">
            <w:pPr>
              <w:jc w:val="center"/>
              <w:rPr>
                <w:rFonts w:hint="default" w:ascii="Times New Roman" w:hAnsi="Times New Roman" w:cs="Times New Roman"/>
                <w:szCs w:val="21"/>
              </w:rPr>
            </w:pPr>
            <w:r>
              <w:rPr>
                <w:rFonts w:hint="default" w:ascii="Times New Roman" w:hAnsi="Times New Roman" w:cs="Times New Roman"/>
                <w:szCs w:val="21"/>
              </w:rPr>
              <w:t>3</w:t>
            </w:r>
          </w:p>
        </w:tc>
        <w:tc>
          <w:tcPr>
            <w:tcW w:w="772" w:type="pct"/>
            <w:vAlign w:val="center"/>
          </w:tcPr>
          <w:p w14:paraId="0CA5BF3D">
            <w:pPr>
              <w:jc w:val="center"/>
              <w:rPr>
                <w:rFonts w:hint="default" w:ascii="Times New Roman" w:hAnsi="Times New Roman" w:cs="Times New Roman"/>
                <w:szCs w:val="21"/>
              </w:rPr>
            </w:pPr>
            <w:r>
              <w:rPr>
                <w:rFonts w:hint="default" w:ascii="Times New Roman" w:hAnsi="Times New Roman" w:cs="Times New Roman"/>
                <w:szCs w:val="21"/>
              </w:rPr>
              <w:t>供配电</w:t>
            </w:r>
          </w:p>
        </w:tc>
        <w:tc>
          <w:tcPr>
            <w:tcW w:w="1054" w:type="pct"/>
            <w:vAlign w:val="center"/>
          </w:tcPr>
          <w:p w14:paraId="13594254">
            <w:pPr>
              <w:jc w:val="left"/>
              <w:rPr>
                <w:rFonts w:hint="default" w:ascii="Times New Roman" w:hAnsi="Times New Roman" w:cs="Times New Roman"/>
                <w:szCs w:val="21"/>
              </w:rPr>
            </w:pPr>
            <w:r>
              <w:rPr>
                <w:rFonts w:hint="default" w:ascii="Times New Roman" w:hAnsi="Times New Roman" w:cs="Times New Roman"/>
                <w:szCs w:val="21"/>
              </w:rPr>
              <w:t>信息系统应设不间断供电电源；站房、罩棚</w:t>
            </w:r>
            <w:r>
              <w:rPr>
                <w:rFonts w:hint="default" w:ascii="Times New Roman" w:hAnsi="Times New Roman" w:cs="Times New Roman"/>
                <w:szCs w:val="21"/>
                <w:lang w:eastAsia="zh-CN"/>
              </w:rPr>
              <w:t>、</w:t>
            </w:r>
            <w:r>
              <w:rPr>
                <w:rFonts w:hint="default" w:ascii="Times New Roman" w:hAnsi="Times New Roman" w:cs="Times New Roman"/>
                <w:szCs w:val="21"/>
              </w:rPr>
              <w:t>配电</w:t>
            </w:r>
            <w:r>
              <w:rPr>
                <w:rFonts w:hint="default" w:ascii="Times New Roman" w:hAnsi="Times New Roman" w:cs="Times New Roman"/>
                <w:szCs w:val="21"/>
                <w:lang w:val="en-US" w:eastAsia="zh-CN"/>
              </w:rPr>
              <w:t>间</w:t>
            </w:r>
            <w:r>
              <w:rPr>
                <w:rFonts w:hint="default" w:ascii="Times New Roman" w:hAnsi="Times New Roman" w:cs="Times New Roman"/>
                <w:szCs w:val="21"/>
              </w:rPr>
              <w:t>等处设置应急照明；爆炸危险区域内电气设备选用防爆型</w:t>
            </w:r>
          </w:p>
        </w:tc>
        <w:tc>
          <w:tcPr>
            <w:tcW w:w="2757" w:type="pct"/>
            <w:vAlign w:val="center"/>
          </w:tcPr>
          <w:p w14:paraId="758B0C81">
            <w:pPr>
              <w:numPr>
                <w:ilvl w:val="0"/>
                <w:numId w:val="8"/>
              </w:numPr>
              <w:jc w:val="left"/>
              <w:rPr>
                <w:rFonts w:hint="default" w:ascii="Times New Roman" w:hAnsi="Times New Roman" w:cs="Times New Roman"/>
                <w:szCs w:val="21"/>
                <w:highlight w:val="none"/>
              </w:rPr>
            </w:pPr>
            <w:r>
              <w:rPr>
                <w:rFonts w:hint="default" w:ascii="Times New Roman" w:hAnsi="Times New Roman" w:cs="Times New Roman"/>
                <w:szCs w:val="21"/>
                <w:highlight w:val="none"/>
              </w:rPr>
              <w:t>供电负荷为三级负荷，电源引自</w:t>
            </w:r>
            <w:r>
              <w:rPr>
                <w:rFonts w:hint="default" w:ascii="Times New Roman" w:hAnsi="Times New Roman" w:cs="Times New Roman"/>
                <w:szCs w:val="21"/>
                <w:highlight w:val="none"/>
                <w:lang w:val="en-US" w:eastAsia="zh-CN"/>
              </w:rPr>
              <w:t>市政</w:t>
            </w:r>
            <w:r>
              <w:rPr>
                <w:rFonts w:hint="default" w:ascii="Times New Roman" w:hAnsi="Times New Roman" w:cs="Times New Roman"/>
                <w:szCs w:val="21"/>
                <w:highlight w:val="none"/>
              </w:rPr>
              <w:t>供电线路</w:t>
            </w:r>
          </w:p>
          <w:p w14:paraId="31D1230D">
            <w:pPr>
              <w:numPr>
                <w:ilvl w:val="0"/>
                <w:numId w:val="8"/>
              </w:numPr>
              <w:jc w:val="left"/>
              <w:rPr>
                <w:rFonts w:hint="default" w:ascii="Times New Roman" w:hAnsi="Times New Roman" w:cs="Times New Roman"/>
                <w:szCs w:val="21"/>
                <w:highlight w:val="none"/>
              </w:rPr>
            </w:pPr>
            <w:r>
              <w:rPr>
                <w:rFonts w:hint="eastAsia" w:cs="Times New Roman"/>
                <w:szCs w:val="21"/>
                <w:highlight w:val="none"/>
                <w:lang w:val="en-US" w:eastAsia="zh-CN"/>
              </w:rPr>
              <w:t>信息</w:t>
            </w:r>
            <w:r>
              <w:rPr>
                <w:rFonts w:hint="default" w:ascii="Times New Roman" w:hAnsi="Times New Roman" w:cs="Times New Roman"/>
                <w:szCs w:val="21"/>
                <w:highlight w:val="none"/>
              </w:rPr>
              <w:t>系统由 UPS 提供稳定的电源</w:t>
            </w:r>
            <w:r>
              <w:rPr>
                <w:rFonts w:hint="eastAsia" w:cs="Times New Roman"/>
                <w:szCs w:val="21"/>
                <w:highlight w:val="none"/>
                <w:lang w:eastAsia="zh-CN"/>
              </w:rPr>
              <w:t>，</w:t>
            </w:r>
            <w:r>
              <w:rPr>
                <w:rFonts w:hint="default" w:ascii="Times New Roman" w:hAnsi="Times New Roman" w:cs="Times New Roman"/>
                <w:szCs w:val="21"/>
                <w:highlight w:val="none"/>
              </w:rPr>
              <w:t>后备电池容量可在电源故障时持续稳定供电</w:t>
            </w:r>
            <w:r>
              <w:rPr>
                <w:rFonts w:hint="eastAsia" w:cs="Times New Roman"/>
                <w:szCs w:val="21"/>
                <w:highlight w:val="none"/>
                <w:lang w:val="en-US" w:eastAsia="zh-CN"/>
              </w:rPr>
              <w:t>60</w:t>
            </w:r>
            <w:r>
              <w:rPr>
                <w:rFonts w:hint="default" w:ascii="Times New Roman" w:hAnsi="Times New Roman" w:cs="Times New Roman"/>
                <w:szCs w:val="21"/>
                <w:highlight w:val="none"/>
              </w:rPr>
              <w:t>分钟</w:t>
            </w:r>
            <w:r>
              <w:rPr>
                <w:rFonts w:hint="default" w:ascii="Times New Roman" w:hAnsi="Times New Roman" w:cs="Times New Roman"/>
                <w:szCs w:val="21"/>
                <w:highlight w:val="none"/>
                <w:lang w:eastAsia="zh-CN"/>
              </w:rPr>
              <w:t>；</w:t>
            </w:r>
          </w:p>
          <w:p w14:paraId="2A7CE32B">
            <w:pPr>
              <w:jc w:val="left"/>
              <w:rPr>
                <w:rFonts w:hint="default" w:ascii="Times New Roman" w:hAnsi="Times New Roman" w:cs="Times New Roman"/>
                <w:szCs w:val="21"/>
                <w:highlight w:val="none"/>
              </w:rPr>
            </w:pPr>
            <w:r>
              <w:rPr>
                <w:rFonts w:hint="default" w:ascii="Times New Roman" w:hAnsi="Times New Roman" w:cs="Times New Roman"/>
                <w:szCs w:val="21"/>
                <w:highlight w:val="none"/>
              </w:rPr>
              <w:t>3、站房、罩棚、控制室、配电室设应急照明灯，应急照明电源采用自带蓄电池，连续供电时间不少于90min。</w:t>
            </w:r>
          </w:p>
          <w:p w14:paraId="0752B5DC">
            <w:pPr>
              <w:jc w:val="left"/>
              <w:rPr>
                <w:rFonts w:hint="default" w:ascii="Times New Roman" w:hAnsi="Times New Roman" w:cs="Times New Roman"/>
                <w:szCs w:val="21"/>
                <w:highlight w:val="none"/>
              </w:rPr>
            </w:pPr>
            <w:r>
              <w:rPr>
                <w:rFonts w:hint="eastAsia" w:cs="Times New Roman"/>
                <w:szCs w:val="21"/>
                <w:highlight w:val="none"/>
                <w:lang w:val="en-US" w:eastAsia="zh-CN"/>
              </w:rPr>
              <w:t>4、</w:t>
            </w:r>
            <w:r>
              <w:rPr>
                <w:rFonts w:hint="default" w:ascii="Times New Roman" w:hAnsi="Times New Roman" w:cs="Times New Roman"/>
                <w:szCs w:val="21"/>
                <w:highlight w:val="none"/>
              </w:rPr>
              <w:t>罩棚、站房等建构筑物的照明灯具，选用非防爆型，罩棚下的灯具选用防护等级IP</w:t>
            </w:r>
            <w:r>
              <w:rPr>
                <w:rFonts w:hint="eastAsia" w:cs="Times New Roman"/>
                <w:szCs w:val="21"/>
                <w:highlight w:val="none"/>
                <w:lang w:val="en-US" w:eastAsia="zh-CN"/>
              </w:rPr>
              <w:t>44</w:t>
            </w:r>
            <w:r>
              <w:rPr>
                <w:rFonts w:hint="default" w:ascii="Times New Roman" w:hAnsi="Times New Roman" w:cs="Times New Roman"/>
                <w:szCs w:val="21"/>
                <w:highlight w:val="none"/>
              </w:rPr>
              <w:t>的LED灯具。</w:t>
            </w:r>
          </w:p>
          <w:p w14:paraId="31BDDD49">
            <w:pPr>
              <w:jc w:val="left"/>
              <w:rPr>
                <w:rFonts w:hint="default" w:ascii="Times New Roman" w:hAnsi="Times New Roman" w:cs="Times New Roman"/>
                <w:szCs w:val="21"/>
                <w:highlight w:val="none"/>
              </w:rPr>
            </w:pPr>
            <w:r>
              <w:rPr>
                <w:rFonts w:hint="eastAsia" w:cs="Times New Roman"/>
                <w:szCs w:val="21"/>
                <w:highlight w:val="none"/>
                <w:lang w:val="en-US" w:eastAsia="zh-CN"/>
              </w:rPr>
              <w:t>5、爆炸危险区域内安装的电气设备、仪表选用符合相应等级的防爆型设备，爆炸危险区域电气设备电缆接线采用防爆挠性管保护，电气线路套管穿过不同区域之间的孔洞采用非燃性材料严密封堵，在爆炸性气体环境1区、2区内钢管配线的电气线路用防爆胶泥做隔离密封。电气电缆埋地选用铠装电缆，其它电缆选用聚氯乙烯电缆。仪表电缆及导线均采用阻燃型、聚氯乙烯绝缘聚氯乙烯护套，护套颜色采用天兰色；其他回路选用一般控制电缆，护套颜色采用黑色。</w:t>
            </w:r>
          </w:p>
          <w:p w14:paraId="06D49A3E">
            <w:pPr>
              <w:jc w:val="left"/>
              <w:rPr>
                <w:rFonts w:hint="default" w:ascii="Times New Roman" w:hAnsi="Times New Roman" w:cs="Times New Roman"/>
                <w:szCs w:val="21"/>
              </w:rPr>
            </w:pPr>
            <w:r>
              <w:rPr>
                <w:rFonts w:hint="eastAsia" w:cs="Times New Roman"/>
                <w:szCs w:val="21"/>
                <w:highlight w:val="none"/>
                <w:lang w:val="en-US" w:eastAsia="zh-CN"/>
              </w:rPr>
              <w:t>6、</w:t>
            </w:r>
            <w:r>
              <w:rPr>
                <w:rFonts w:hint="default" w:ascii="Times New Roman" w:hAnsi="Times New Roman" w:cs="Times New Roman"/>
                <w:szCs w:val="21"/>
                <w:highlight w:val="none"/>
              </w:rPr>
              <w:t>爆炸危险区域照明灯具选用防爆型灯具，其防爆等级不低ExdIIBT4级。</w:t>
            </w:r>
          </w:p>
        </w:tc>
      </w:tr>
      <w:tr w14:paraId="7C6B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4" w:type="pct"/>
            <w:vAlign w:val="center"/>
          </w:tcPr>
          <w:p w14:paraId="1BA1F591">
            <w:pPr>
              <w:jc w:val="center"/>
              <w:rPr>
                <w:rFonts w:hint="default" w:ascii="Times New Roman" w:hAnsi="Times New Roman" w:cs="Times New Roman"/>
                <w:szCs w:val="21"/>
              </w:rPr>
            </w:pPr>
            <w:r>
              <w:rPr>
                <w:rFonts w:hint="default" w:ascii="Times New Roman" w:hAnsi="Times New Roman" w:cs="Times New Roman"/>
                <w:szCs w:val="21"/>
              </w:rPr>
              <w:t>4</w:t>
            </w:r>
          </w:p>
        </w:tc>
        <w:tc>
          <w:tcPr>
            <w:tcW w:w="772" w:type="pct"/>
            <w:vAlign w:val="center"/>
          </w:tcPr>
          <w:p w14:paraId="08C20617">
            <w:pPr>
              <w:jc w:val="center"/>
              <w:rPr>
                <w:rFonts w:hint="default" w:ascii="Times New Roman" w:hAnsi="Times New Roman" w:cs="Times New Roman"/>
                <w:szCs w:val="21"/>
              </w:rPr>
            </w:pPr>
            <w:r>
              <w:rPr>
                <w:rFonts w:hint="default" w:ascii="Times New Roman" w:hAnsi="Times New Roman" w:cs="Times New Roman"/>
                <w:szCs w:val="21"/>
              </w:rPr>
              <w:t>防雷、防静电接地</w:t>
            </w:r>
          </w:p>
        </w:tc>
        <w:tc>
          <w:tcPr>
            <w:tcW w:w="1054" w:type="pct"/>
            <w:vAlign w:val="center"/>
          </w:tcPr>
          <w:p w14:paraId="6A5939D2">
            <w:pPr>
              <w:numPr>
                <w:ilvl w:val="0"/>
                <w:numId w:val="9"/>
              </w:numPr>
              <w:jc w:val="left"/>
              <w:rPr>
                <w:rFonts w:hint="default" w:ascii="Times New Roman" w:hAnsi="Times New Roman" w:cs="Times New Roman"/>
                <w:szCs w:val="21"/>
              </w:rPr>
            </w:pPr>
            <w:r>
              <w:rPr>
                <w:rFonts w:hint="default" w:ascii="Times New Roman" w:hAnsi="Times New Roman" w:cs="Times New Roman"/>
                <w:szCs w:val="21"/>
              </w:rPr>
              <w:t>油品储存区、加油岛等为</w:t>
            </w:r>
            <w:r>
              <w:rPr>
                <w:rFonts w:hint="default" w:ascii="Times New Roman" w:hAnsi="Times New Roman" w:cs="Times New Roman"/>
                <w:szCs w:val="21"/>
                <w:lang w:val="en-US" w:eastAsia="zh-CN"/>
              </w:rPr>
              <w:t>第</w:t>
            </w:r>
            <w:r>
              <w:rPr>
                <w:rFonts w:hint="default" w:ascii="Times New Roman" w:hAnsi="Times New Roman" w:cs="Times New Roman"/>
                <w:szCs w:val="21"/>
              </w:rPr>
              <w:t>二类防雷建筑物，加油机、油罐、电气设备金属外壳应做接地，法兰应跨接</w:t>
            </w:r>
          </w:p>
        </w:tc>
        <w:tc>
          <w:tcPr>
            <w:tcW w:w="2757" w:type="pct"/>
            <w:vAlign w:val="center"/>
          </w:tcPr>
          <w:p w14:paraId="656266DA">
            <w:pPr>
              <w:pStyle w:val="5"/>
              <w:spacing w:line="240" w:lineRule="auto"/>
              <w:ind w:firstLine="0" w:firstLineChars="0"/>
              <w:jc w:val="left"/>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1、站房其屋面设有避雷带。罩棚为二类防雷构筑物，利用钢结构支柱及基础圈梁内的钢筋作接地极，组成防雷接地系统；埋地油罐区的油罐做防雷接地，埋地油罐和罐内的各金属部件，与非埋地部分的工艺金属管道相互做电气连接并接地。</w:t>
            </w:r>
          </w:p>
          <w:p w14:paraId="020BF4F5">
            <w:pPr>
              <w:pStyle w:val="5"/>
              <w:spacing w:line="240" w:lineRule="auto"/>
              <w:ind w:firstLine="0" w:firstLineChars="0"/>
              <w:jc w:val="left"/>
              <w:rPr>
                <w:rFonts w:hint="default" w:ascii="Times New Roman" w:hAnsi="Times New Roman" w:cs="Times New Roman"/>
                <w:sz w:val="21"/>
                <w:szCs w:val="21"/>
                <w:highlight w:val="none"/>
                <w:lang w:val="en-US" w:eastAsia="zh-CN"/>
              </w:rPr>
            </w:pPr>
            <w:r>
              <w:rPr>
                <w:rFonts w:hint="eastAsia" w:cs="Times New Roman"/>
                <w:sz w:val="21"/>
                <w:szCs w:val="21"/>
                <w:highlight w:val="none"/>
                <w:lang w:val="en-US" w:eastAsia="zh-CN"/>
              </w:rPr>
              <w:t>2.</w:t>
            </w:r>
            <w:r>
              <w:rPr>
                <w:rFonts w:hint="default" w:ascii="Times New Roman" w:hAnsi="Times New Roman" w:cs="Times New Roman"/>
                <w:sz w:val="21"/>
                <w:szCs w:val="21"/>
                <w:highlight w:val="none"/>
                <w:lang w:val="en-US" w:eastAsia="zh-CN"/>
              </w:rPr>
              <w:t>防雷接地、防静电接地、电气设备的工作接地、保护接地及信息系统的接地采用共用接地装置，接地电阻不应大于4Ω。</w:t>
            </w:r>
          </w:p>
          <w:p w14:paraId="73A59625">
            <w:pPr>
              <w:pStyle w:val="5"/>
              <w:spacing w:line="240" w:lineRule="auto"/>
              <w:ind w:firstLine="0" w:firstLineChars="0"/>
              <w:jc w:val="left"/>
              <w:rPr>
                <w:rFonts w:hint="default" w:ascii="Times New Roman" w:hAnsi="Times New Roman" w:cs="Times New Roman"/>
                <w:sz w:val="21"/>
                <w:szCs w:val="21"/>
                <w:highlight w:val="none"/>
                <w:lang w:val="en-US" w:eastAsia="zh-CN"/>
              </w:rPr>
            </w:pPr>
            <w:r>
              <w:rPr>
                <w:rFonts w:hint="eastAsia" w:cs="Times New Roman"/>
                <w:sz w:val="21"/>
                <w:szCs w:val="21"/>
                <w:highlight w:val="none"/>
                <w:lang w:val="en-US" w:eastAsia="zh-CN"/>
              </w:rPr>
              <w:t>3.</w:t>
            </w:r>
            <w:r>
              <w:rPr>
                <w:rFonts w:hint="default" w:ascii="Times New Roman" w:hAnsi="Times New Roman" w:cs="Times New Roman"/>
                <w:sz w:val="21"/>
                <w:szCs w:val="21"/>
                <w:highlight w:val="none"/>
                <w:lang w:val="en-US" w:eastAsia="zh-CN"/>
              </w:rPr>
              <w:t>装有阻火器的通气管与接地装置可靠连接；卸油场地设有卸车静电接地报警器和本安型人体导除静电装置。</w:t>
            </w:r>
          </w:p>
          <w:p w14:paraId="0176BB32">
            <w:pPr>
              <w:pStyle w:val="5"/>
              <w:spacing w:line="240" w:lineRule="auto"/>
              <w:ind w:firstLine="0" w:firstLineChars="0"/>
              <w:jc w:val="left"/>
              <w:rPr>
                <w:rFonts w:hint="default"/>
                <w:lang w:val="en-US" w:eastAsia="zh-CN"/>
              </w:rPr>
            </w:pPr>
            <w:r>
              <w:rPr>
                <w:rFonts w:hint="eastAsia" w:cs="Times New Roman"/>
                <w:sz w:val="21"/>
                <w:szCs w:val="21"/>
                <w:highlight w:val="none"/>
                <w:lang w:val="en-US" w:eastAsia="zh-CN"/>
              </w:rPr>
              <w:t>4.</w:t>
            </w:r>
            <w:r>
              <w:rPr>
                <w:rFonts w:hint="default" w:ascii="Times New Roman" w:hAnsi="Times New Roman" w:cs="Times New Roman"/>
                <w:sz w:val="21"/>
                <w:szCs w:val="21"/>
                <w:highlight w:val="none"/>
                <w:lang w:val="en-US" w:eastAsia="zh-CN"/>
              </w:rPr>
              <w:t>对金属管道的法兰等的连接处采取导线跨接；在供配电系统的电源端安装与设备耐压水平相适应的过电压（电涌）保护器。</w:t>
            </w:r>
          </w:p>
        </w:tc>
      </w:tr>
      <w:tr w14:paraId="1E70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414" w:type="pct"/>
            <w:vAlign w:val="center"/>
          </w:tcPr>
          <w:p w14:paraId="419D2BA9">
            <w:pPr>
              <w:jc w:val="center"/>
              <w:rPr>
                <w:rFonts w:hint="default" w:ascii="Times New Roman" w:hAnsi="Times New Roman" w:cs="Times New Roman"/>
                <w:szCs w:val="21"/>
              </w:rPr>
            </w:pPr>
            <w:r>
              <w:rPr>
                <w:rFonts w:hint="default" w:ascii="Times New Roman" w:hAnsi="Times New Roman" w:cs="Times New Roman"/>
                <w:szCs w:val="21"/>
              </w:rPr>
              <w:t>5</w:t>
            </w:r>
          </w:p>
        </w:tc>
        <w:tc>
          <w:tcPr>
            <w:tcW w:w="772" w:type="pct"/>
            <w:vAlign w:val="center"/>
          </w:tcPr>
          <w:p w14:paraId="2A94C0E8">
            <w:pPr>
              <w:jc w:val="center"/>
              <w:rPr>
                <w:rFonts w:hint="default" w:ascii="Times New Roman" w:hAnsi="Times New Roman" w:cs="Times New Roman"/>
                <w:szCs w:val="21"/>
              </w:rPr>
            </w:pPr>
            <w:r>
              <w:rPr>
                <w:rFonts w:hint="default" w:ascii="Times New Roman" w:hAnsi="Times New Roman" w:cs="Times New Roman"/>
                <w:szCs w:val="21"/>
              </w:rPr>
              <w:t>采暖</w:t>
            </w:r>
          </w:p>
        </w:tc>
        <w:tc>
          <w:tcPr>
            <w:tcW w:w="1054" w:type="pct"/>
            <w:vAlign w:val="center"/>
          </w:tcPr>
          <w:p w14:paraId="7585E585">
            <w:pPr>
              <w:jc w:val="center"/>
              <w:rPr>
                <w:rFonts w:hint="eastAsia" w:ascii="Times New Roman" w:hAnsi="Times New Roman" w:eastAsia="宋体" w:cs="Times New Roman"/>
                <w:szCs w:val="21"/>
                <w:highlight w:val="none"/>
                <w:lang w:eastAsia="zh-CN"/>
              </w:rPr>
            </w:pPr>
            <w:r>
              <w:rPr>
                <w:rFonts w:hint="eastAsia" w:cs="Times New Roman"/>
                <w:szCs w:val="21"/>
                <w:highlight w:val="none"/>
                <w:lang w:val="en-US" w:eastAsia="zh-CN"/>
              </w:rPr>
              <w:t>市政</w:t>
            </w:r>
          </w:p>
        </w:tc>
        <w:tc>
          <w:tcPr>
            <w:tcW w:w="2757" w:type="pct"/>
            <w:vAlign w:val="center"/>
          </w:tcPr>
          <w:p w14:paraId="2F04CB03">
            <w:pPr>
              <w:numPr>
                <w:ilvl w:val="0"/>
                <w:numId w:val="0"/>
              </w:numPr>
              <w:rPr>
                <w:rFonts w:hint="default" w:ascii="Times New Roman" w:hAnsi="Times New Roman" w:eastAsia="宋体" w:cs="Times New Roman"/>
                <w:sz w:val="21"/>
                <w:szCs w:val="21"/>
                <w:highlight w:val="none"/>
                <w:lang w:eastAsia="zh-CN"/>
              </w:rPr>
            </w:pPr>
            <w:r>
              <w:rPr>
                <w:rFonts w:hint="default"/>
                <w:highlight w:val="none"/>
                <w:lang w:val="zh-CN" w:eastAsia="zh-CN"/>
              </w:rPr>
              <w:t>冬季采暖依托市政供暖。</w:t>
            </w:r>
          </w:p>
        </w:tc>
      </w:tr>
      <w:tr w14:paraId="21D3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4" w:hRule="atLeast"/>
          <w:jc w:val="center"/>
        </w:trPr>
        <w:tc>
          <w:tcPr>
            <w:tcW w:w="414" w:type="pct"/>
            <w:vAlign w:val="center"/>
          </w:tcPr>
          <w:p w14:paraId="10D61B45">
            <w:pPr>
              <w:jc w:val="center"/>
              <w:rPr>
                <w:rFonts w:hint="default" w:ascii="Times New Roman" w:hAnsi="Times New Roman" w:cs="Times New Roman"/>
                <w:szCs w:val="21"/>
              </w:rPr>
            </w:pPr>
            <w:r>
              <w:rPr>
                <w:rFonts w:hint="default" w:ascii="Times New Roman" w:hAnsi="Times New Roman" w:cs="Times New Roman"/>
                <w:szCs w:val="21"/>
              </w:rPr>
              <w:t>6</w:t>
            </w:r>
          </w:p>
        </w:tc>
        <w:tc>
          <w:tcPr>
            <w:tcW w:w="772" w:type="pct"/>
            <w:vAlign w:val="center"/>
          </w:tcPr>
          <w:p w14:paraId="3D9DB767">
            <w:pPr>
              <w:jc w:val="center"/>
              <w:rPr>
                <w:rFonts w:hint="default" w:ascii="Times New Roman" w:hAnsi="Times New Roman" w:cs="Times New Roman"/>
                <w:szCs w:val="21"/>
              </w:rPr>
            </w:pPr>
            <w:r>
              <w:rPr>
                <w:rFonts w:hint="default" w:ascii="Times New Roman" w:hAnsi="Times New Roman" w:cs="Times New Roman"/>
                <w:szCs w:val="21"/>
                <w:lang w:val="en-US" w:eastAsia="zh-CN"/>
              </w:rPr>
              <w:t>自动化</w:t>
            </w:r>
            <w:r>
              <w:rPr>
                <w:rFonts w:hint="default" w:ascii="Times New Roman" w:hAnsi="Times New Roman" w:cs="Times New Roman"/>
                <w:szCs w:val="21"/>
              </w:rPr>
              <w:t>控制系统</w:t>
            </w:r>
          </w:p>
        </w:tc>
        <w:tc>
          <w:tcPr>
            <w:tcW w:w="1054" w:type="pct"/>
            <w:vAlign w:val="center"/>
          </w:tcPr>
          <w:p w14:paraId="4108F2BE">
            <w:pPr>
              <w:numPr>
                <w:ilvl w:val="0"/>
                <w:numId w:val="10"/>
              </w:numPr>
              <w:jc w:val="left"/>
              <w:rPr>
                <w:rFonts w:hint="default" w:ascii="Times New Roman" w:hAnsi="Times New Roman" w:cs="Times New Roman"/>
                <w:szCs w:val="21"/>
              </w:rPr>
            </w:pPr>
            <w:r>
              <w:rPr>
                <w:rFonts w:hint="default" w:ascii="Times New Roman" w:hAnsi="Times New Roman" w:cs="Times New Roman"/>
                <w:szCs w:val="21"/>
              </w:rPr>
              <w:t>液位监控系统、检漏系统</w:t>
            </w:r>
          </w:p>
          <w:p w14:paraId="06140B4E">
            <w:pPr>
              <w:numPr>
                <w:ilvl w:val="0"/>
                <w:numId w:val="10"/>
              </w:numPr>
              <w:jc w:val="left"/>
              <w:rPr>
                <w:rFonts w:hint="default" w:ascii="Times New Roman" w:hAnsi="Times New Roman" w:cs="Times New Roman"/>
                <w:szCs w:val="21"/>
              </w:rPr>
            </w:pPr>
            <w:r>
              <w:rPr>
                <w:rFonts w:hint="default" w:ascii="Times New Roman" w:hAnsi="Times New Roman" w:cs="Times New Roman"/>
                <w:szCs w:val="21"/>
              </w:rPr>
              <w:t>检漏系统</w:t>
            </w:r>
          </w:p>
          <w:p w14:paraId="17A51135">
            <w:pPr>
              <w:numPr>
                <w:ilvl w:val="0"/>
                <w:numId w:val="10"/>
              </w:numPr>
              <w:jc w:val="left"/>
              <w:rPr>
                <w:rFonts w:hint="default" w:ascii="Times New Roman" w:hAnsi="Times New Roman" w:cs="Times New Roman"/>
                <w:sz w:val="21"/>
                <w:szCs w:val="21"/>
              </w:rPr>
            </w:pPr>
            <w:r>
              <w:rPr>
                <w:rFonts w:hint="default" w:ascii="Times New Roman" w:hAnsi="Times New Roman" w:cs="Times New Roman"/>
                <w:szCs w:val="21"/>
              </w:rPr>
              <w:t>视频监控系统</w:t>
            </w:r>
          </w:p>
          <w:p w14:paraId="2D73F4B9">
            <w:pPr>
              <w:numPr>
                <w:ilvl w:val="0"/>
                <w:numId w:val="10"/>
              </w:numPr>
              <w:jc w:val="left"/>
              <w:rPr>
                <w:rFonts w:hint="default" w:ascii="Times New Roman" w:hAnsi="Times New Roman" w:cs="Times New Roman"/>
                <w:sz w:val="21"/>
                <w:szCs w:val="21"/>
              </w:rPr>
            </w:pPr>
            <w:r>
              <w:rPr>
                <w:rFonts w:hint="default" w:ascii="Times New Roman" w:hAnsi="Times New Roman" w:cs="Times New Roman"/>
                <w:szCs w:val="21"/>
              </w:rPr>
              <w:t>紧急切断系统</w:t>
            </w:r>
          </w:p>
        </w:tc>
        <w:tc>
          <w:tcPr>
            <w:tcW w:w="2757" w:type="pct"/>
            <w:vAlign w:val="center"/>
          </w:tcPr>
          <w:p w14:paraId="31BE3049">
            <w:pPr>
              <w:pStyle w:val="5"/>
              <w:spacing w:line="240" w:lineRule="auto"/>
              <w:ind w:firstLine="0" w:firstLineChars="0"/>
              <w:jc w:val="left"/>
              <w:rPr>
                <w:sz w:val="21"/>
                <w:szCs w:val="21"/>
              </w:rPr>
            </w:pPr>
            <w:r>
              <w:rPr>
                <w:rFonts w:hint="eastAsia"/>
                <w:sz w:val="21"/>
                <w:szCs w:val="21"/>
              </w:rPr>
              <w:t>1、</w:t>
            </w:r>
            <w:r>
              <w:rPr>
                <w:sz w:val="21"/>
                <w:szCs w:val="21"/>
              </w:rPr>
              <w:t>油罐采用液位监控系统，每台油罐上设置一台具有高液位报警功能的远传液位计，仪表检测信号远传至</w:t>
            </w:r>
            <w:r>
              <w:rPr>
                <w:rFonts w:hint="eastAsia"/>
                <w:sz w:val="21"/>
                <w:szCs w:val="21"/>
              </w:rPr>
              <w:t>控制室</w:t>
            </w:r>
            <w:r>
              <w:rPr>
                <w:sz w:val="21"/>
                <w:szCs w:val="21"/>
              </w:rPr>
              <w:t>。油罐采取卸油时的防满溢措施。油料达到油罐容量的90%时，能触动高液位报警装置；油料达到油罐容量95%时，能自动停止油料继续进罐。高液位报警装置设置在</w:t>
            </w:r>
            <w:r>
              <w:rPr>
                <w:rFonts w:hint="eastAsia"/>
                <w:sz w:val="21"/>
                <w:szCs w:val="21"/>
              </w:rPr>
              <w:t>站房控制室</w:t>
            </w:r>
            <w:r>
              <w:rPr>
                <w:sz w:val="21"/>
                <w:szCs w:val="21"/>
              </w:rPr>
              <w:t>内。</w:t>
            </w:r>
          </w:p>
          <w:p w14:paraId="0B5F552F">
            <w:pPr>
              <w:pStyle w:val="5"/>
              <w:spacing w:line="240" w:lineRule="auto"/>
              <w:ind w:firstLine="0" w:firstLineChars="0"/>
              <w:jc w:val="left"/>
              <w:rPr>
                <w:sz w:val="21"/>
                <w:szCs w:val="21"/>
              </w:rPr>
            </w:pPr>
            <w:r>
              <w:rPr>
                <w:rFonts w:hint="eastAsia"/>
                <w:sz w:val="21"/>
                <w:szCs w:val="21"/>
              </w:rPr>
              <w:t>2、油罐和双层管道分别设有油气渗漏检测报警装置。</w:t>
            </w:r>
          </w:p>
          <w:p w14:paraId="46BEEA88">
            <w:pPr>
              <w:pStyle w:val="5"/>
              <w:spacing w:line="240" w:lineRule="auto"/>
              <w:ind w:firstLine="0" w:firstLineChars="0"/>
              <w:jc w:val="left"/>
              <w:rPr>
                <w:sz w:val="21"/>
                <w:szCs w:val="21"/>
              </w:rPr>
            </w:pPr>
            <w:r>
              <w:rPr>
                <w:rFonts w:hint="eastAsia"/>
                <w:sz w:val="21"/>
                <w:szCs w:val="21"/>
              </w:rPr>
              <w:t>3、</w:t>
            </w:r>
            <w:r>
              <w:rPr>
                <w:sz w:val="21"/>
                <w:szCs w:val="21"/>
              </w:rPr>
              <w:t>该站设有视频监控系统，显示器设置在营业室内，监控范围可覆盖作业区。录像存储时间不少于</w:t>
            </w:r>
            <w:r>
              <w:rPr>
                <w:rFonts w:hint="eastAsia"/>
                <w:sz w:val="21"/>
                <w:szCs w:val="21"/>
                <w:lang w:val="en-US" w:eastAsia="zh-CN"/>
              </w:rPr>
              <w:t>9</w:t>
            </w:r>
            <w:r>
              <w:rPr>
                <w:sz w:val="21"/>
                <w:szCs w:val="21"/>
              </w:rPr>
              <w:t>0天。</w:t>
            </w:r>
          </w:p>
          <w:p w14:paraId="44D4791D">
            <w:pPr>
              <w:pStyle w:val="5"/>
              <w:spacing w:line="240" w:lineRule="auto"/>
              <w:ind w:firstLine="0" w:firstLineChars="0"/>
              <w:jc w:val="left"/>
              <w:rPr>
                <w:rFonts w:hint="default" w:ascii="Times New Roman" w:hAnsi="Times New Roman" w:cs="Times New Roman"/>
                <w:sz w:val="21"/>
                <w:szCs w:val="21"/>
              </w:rPr>
            </w:pPr>
            <w:r>
              <w:rPr>
                <w:rFonts w:hint="eastAsia"/>
                <w:sz w:val="21"/>
                <w:szCs w:val="21"/>
              </w:rPr>
              <w:t>4、</w:t>
            </w:r>
            <w:r>
              <w:rPr>
                <w:sz w:val="21"/>
                <w:szCs w:val="21"/>
              </w:rPr>
              <w:t>罩棚支柱</w:t>
            </w:r>
            <w:r>
              <w:rPr>
                <w:rFonts w:hint="eastAsia"/>
                <w:sz w:val="21"/>
                <w:szCs w:val="21"/>
              </w:rPr>
              <w:t>和</w:t>
            </w:r>
            <w:r>
              <w:rPr>
                <w:sz w:val="21"/>
                <w:szCs w:val="21"/>
              </w:rPr>
              <w:t>营业室</w:t>
            </w:r>
            <w:r>
              <w:rPr>
                <w:rFonts w:hint="eastAsia"/>
                <w:sz w:val="21"/>
                <w:szCs w:val="21"/>
                <w:lang w:val="en-US" w:eastAsia="zh-CN"/>
              </w:rPr>
              <w:t>及充电区附近</w:t>
            </w:r>
            <w:r>
              <w:rPr>
                <w:sz w:val="21"/>
                <w:szCs w:val="21"/>
              </w:rPr>
              <w:t>便于操作的位置设置紧急切断按钮。紧急切断系统只能手动复位。</w:t>
            </w:r>
          </w:p>
        </w:tc>
      </w:tr>
      <w:tr w14:paraId="2AC2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4" w:type="pct"/>
            <w:vMerge w:val="restart"/>
            <w:vAlign w:val="center"/>
          </w:tcPr>
          <w:p w14:paraId="10DCF9D8">
            <w:pPr>
              <w:jc w:val="center"/>
              <w:rPr>
                <w:rFonts w:hint="default" w:ascii="Times New Roman" w:hAnsi="Times New Roman" w:cs="Times New Roman"/>
                <w:szCs w:val="21"/>
              </w:rPr>
            </w:pPr>
            <w:r>
              <w:rPr>
                <w:rFonts w:hint="default" w:ascii="Times New Roman" w:hAnsi="Times New Roman" w:cs="Times New Roman"/>
                <w:szCs w:val="21"/>
              </w:rPr>
              <w:t>7</w:t>
            </w:r>
          </w:p>
        </w:tc>
        <w:tc>
          <w:tcPr>
            <w:tcW w:w="772" w:type="pct"/>
            <w:vMerge w:val="restart"/>
            <w:vAlign w:val="center"/>
          </w:tcPr>
          <w:p w14:paraId="239120BD">
            <w:pPr>
              <w:jc w:val="center"/>
              <w:rPr>
                <w:rFonts w:hint="default" w:ascii="Times New Roman" w:hAnsi="Times New Roman" w:cs="Times New Roman"/>
                <w:szCs w:val="21"/>
              </w:rPr>
            </w:pPr>
            <w:r>
              <w:rPr>
                <w:rFonts w:hint="default" w:ascii="Times New Roman" w:hAnsi="Times New Roman" w:cs="Times New Roman"/>
                <w:szCs w:val="21"/>
              </w:rPr>
              <w:t>消防系统</w:t>
            </w:r>
          </w:p>
        </w:tc>
        <w:tc>
          <w:tcPr>
            <w:tcW w:w="1054" w:type="pct"/>
            <w:vAlign w:val="center"/>
          </w:tcPr>
          <w:p w14:paraId="43488C2E">
            <w:pPr>
              <w:jc w:val="center"/>
              <w:rPr>
                <w:rFonts w:hint="default" w:ascii="Times New Roman" w:hAnsi="Times New Roman" w:cs="Times New Roman"/>
                <w:szCs w:val="21"/>
              </w:rPr>
            </w:pPr>
            <w:r>
              <w:rPr>
                <w:rFonts w:hint="default" w:ascii="Times New Roman" w:hAnsi="Times New Roman" w:cs="Times New Roman"/>
                <w:szCs w:val="21"/>
              </w:rPr>
              <w:t>灭火器</w:t>
            </w:r>
          </w:p>
        </w:tc>
        <w:tc>
          <w:tcPr>
            <w:tcW w:w="2757" w:type="pct"/>
            <w:vAlign w:val="center"/>
          </w:tcPr>
          <w:p w14:paraId="59A32AC1">
            <w:pPr>
              <w:pStyle w:val="5"/>
              <w:spacing w:line="240" w:lineRule="auto"/>
              <w:ind w:firstLine="0" w:firstLineChars="0"/>
              <w:jc w:val="left"/>
              <w:rPr>
                <w:rFonts w:hint="default" w:ascii="Times New Roman" w:hAnsi="Times New Roman" w:cs="Times New Roman"/>
                <w:sz w:val="21"/>
                <w:szCs w:val="21"/>
              </w:rPr>
            </w:pPr>
            <w:r>
              <w:rPr>
                <w:rFonts w:hint="eastAsia" w:cs="Times New Roman"/>
                <w:sz w:val="21"/>
                <w:szCs w:val="21"/>
                <w:lang w:val="en-US" w:eastAsia="zh-CN"/>
              </w:rPr>
              <w:t>1</w:t>
            </w:r>
            <w:r>
              <w:rPr>
                <w:rFonts w:hint="default" w:ascii="Times New Roman" w:hAnsi="Times New Roman" w:cs="Times New Roman"/>
                <w:sz w:val="21"/>
                <w:szCs w:val="21"/>
              </w:rPr>
              <w:t>、该站汽</w:t>
            </w:r>
            <w:r>
              <w:rPr>
                <w:rFonts w:hint="eastAsia" w:cs="Times New Roman"/>
                <w:sz w:val="21"/>
                <w:szCs w:val="21"/>
                <w:lang w:eastAsia="zh-CN"/>
              </w:rPr>
              <w:t>、</w:t>
            </w:r>
            <w:r>
              <w:rPr>
                <w:rFonts w:hint="default" w:ascii="Times New Roman" w:hAnsi="Times New Roman" w:cs="Times New Roman"/>
                <w:sz w:val="21"/>
                <w:szCs w:val="21"/>
              </w:rPr>
              <w:t>柴油储罐区配备</w:t>
            </w:r>
            <w:r>
              <w:rPr>
                <w:rFonts w:hint="eastAsia" w:cs="Times New Roman"/>
                <w:sz w:val="21"/>
                <w:szCs w:val="21"/>
                <w:lang w:val="en-US" w:eastAsia="zh-CN"/>
              </w:rPr>
              <w:t>1</w:t>
            </w:r>
            <w:r>
              <w:rPr>
                <w:rFonts w:hint="default" w:ascii="Times New Roman" w:hAnsi="Times New Roman" w:cs="Times New Roman"/>
                <w:sz w:val="21"/>
                <w:szCs w:val="21"/>
              </w:rPr>
              <w:t>台35kg推车式干粉灭火器，加油机附近配备</w:t>
            </w:r>
            <w:r>
              <w:rPr>
                <w:rFonts w:hint="eastAsia" w:cs="Times New Roman"/>
                <w:sz w:val="21"/>
                <w:szCs w:val="21"/>
                <w:lang w:val="en-US" w:eastAsia="zh-CN"/>
              </w:rPr>
              <w:t>8</w:t>
            </w:r>
            <w:r>
              <w:rPr>
                <w:rFonts w:hint="default" w:ascii="Times New Roman" w:hAnsi="Times New Roman" w:cs="Times New Roman"/>
                <w:sz w:val="21"/>
                <w:szCs w:val="21"/>
              </w:rPr>
              <w:t>具MF/ABC5式灭火器，站房配备</w:t>
            </w:r>
            <w:r>
              <w:rPr>
                <w:rFonts w:hint="eastAsia" w:cs="Times New Roman"/>
                <w:sz w:val="21"/>
                <w:szCs w:val="21"/>
                <w:lang w:val="en-US" w:eastAsia="zh-CN"/>
              </w:rPr>
              <w:t>6</w:t>
            </w:r>
            <w:r>
              <w:rPr>
                <w:rFonts w:hint="default" w:ascii="Times New Roman" w:hAnsi="Times New Roman" w:cs="Times New Roman"/>
                <w:sz w:val="21"/>
                <w:szCs w:val="21"/>
              </w:rPr>
              <w:t>具MF/ABC5式灭火器</w:t>
            </w:r>
            <w:r>
              <w:rPr>
                <w:rFonts w:hint="eastAsia" w:cs="Times New Roman"/>
                <w:sz w:val="21"/>
                <w:szCs w:val="21"/>
                <w:lang w:eastAsia="zh-CN"/>
              </w:rPr>
              <w:t>，</w:t>
            </w:r>
            <w:r>
              <w:rPr>
                <w:rFonts w:hint="default" w:ascii="Times New Roman" w:hAnsi="Times New Roman" w:cs="Times New Roman"/>
                <w:sz w:val="21"/>
                <w:szCs w:val="21"/>
              </w:rPr>
              <w:t>变压器附近配备2具MF/ABC5式灭火器。消防器材箱里配备灭火毯 5 块、并配备消防斧、消防桶、消防锨、消防钩等消防器材。消防器材箱旁设消防砂 2m</w:t>
            </w:r>
            <w:r>
              <w:rPr>
                <w:rFonts w:hint="default" w:ascii="Times New Roman" w:hAnsi="Times New Roman" w:cs="Times New Roman"/>
                <w:sz w:val="21"/>
                <w:szCs w:val="21"/>
                <w:vertAlign w:val="superscript"/>
              </w:rPr>
              <w:t>3</w:t>
            </w:r>
            <w:r>
              <w:rPr>
                <w:rFonts w:hint="default" w:ascii="Times New Roman" w:hAnsi="Times New Roman" w:cs="Times New Roman"/>
                <w:sz w:val="21"/>
                <w:szCs w:val="21"/>
              </w:rPr>
              <w:t>，储砂箱为地上式。</w:t>
            </w:r>
          </w:p>
        </w:tc>
      </w:tr>
      <w:tr w14:paraId="28F3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4" w:type="pct"/>
            <w:vMerge w:val="continue"/>
            <w:vAlign w:val="center"/>
          </w:tcPr>
          <w:p w14:paraId="78654794">
            <w:pPr>
              <w:jc w:val="center"/>
              <w:rPr>
                <w:rFonts w:hint="default" w:ascii="Times New Roman" w:hAnsi="Times New Roman" w:cs="Times New Roman"/>
                <w:szCs w:val="21"/>
              </w:rPr>
            </w:pPr>
          </w:p>
        </w:tc>
        <w:tc>
          <w:tcPr>
            <w:tcW w:w="772" w:type="pct"/>
            <w:vMerge w:val="continue"/>
            <w:vAlign w:val="center"/>
          </w:tcPr>
          <w:p w14:paraId="61E2383D">
            <w:pPr>
              <w:jc w:val="center"/>
              <w:rPr>
                <w:rFonts w:hint="default" w:ascii="Times New Roman" w:hAnsi="Times New Roman" w:cs="Times New Roman"/>
                <w:szCs w:val="21"/>
              </w:rPr>
            </w:pPr>
          </w:p>
        </w:tc>
        <w:tc>
          <w:tcPr>
            <w:tcW w:w="1054" w:type="pct"/>
            <w:vAlign w:val="center"/>
          </w:tcPr>
          <w:p w14:paraId="0C60076B">
            <w:pPr>
              <w:jc w:val="center"/>
              <w:rPr>
                <w:rFonts w:hint="eastAsia" w:ascii="Times New Roman" w:hAnsi="Times New Roman" w:eastAsia="宋体" w:cs="Times New Roman"/>
                <w:szCs w:val="21"/>
                <w:lang w:val="en-US" w:eastAsia="zh-CN"/>
              </w:rPr>
            </w:pPr>
            <w:r>
              <w:rPr>
                <w:rFonts w:hint="eastAsia" w:cs="Times New Roman"/>
                <w:szCs w:val="21"/>
                <w:lang w:val="en-US" w:eastAsia="zh-CN"/>
              </w:rPr>
              <w:t>消防水</w:t>
            </w:r>
          </w:p>
        </w:tc>
        <w:tc>
          <w:tcPr>
            <w:tcW w:w="2757" w:type="pct"/>
            <w:vAlign w:val="center"/>
          </w:tcPr>
          <w:p w14:paraId="4BA520BD">
            <w:pPr>
              <w:pStyle w:val="5"/>
              <w:spacing w:line="240" w:lineRule="auto"/>
              <w:ind w:firstLine="0" w:firstLineChars="0"/>
              <w:jc w:val="left"/>
              <w:rPr>
                <w:rFonts w:hint="eastAsia" w:cs="Times New Roman"/>
                <w:sz w:val="21"/>
                <w:szCs w:val="21"/>
                <w:lang w:val="en-US" w:eastAsia="zh-CN"/>
              </w:rPr>
            </w:pPr>
            <w:r>
              <w:rPr>
                <w:rFonts w:hint="eastAsia" w:cs="Times New Roman"/>
                <w:sz w:val="21"/>
                <w:szCs w:val="21"/>
                <w:lang w:val="en-US" w:eastAsia="zh-CN"/>
              </w:rPr>
              <w:t>室外消火栓系统由市政给水管网直接供水，采用环状管网，管网压力为0.3MPa。室内消火栓系统由一体化消防泵站供水，采用环状管网供水，用于综合楼消防给水。</w:t>
            </w:r>
          </w:p>
        </w:tc>
      </w:tr>
    </w:tbl>
    <w:p w14:paraId="6A42B981">
      <w:pPr>
        <w:keepNext w:val="0"/>
        <w:keepLines w:val="0"/>
        <w:pageBreakBefore w:val="0"/>
        <w:widowControl w:val="0"/>
        <w:kinsoku/>
        <w:wordWrap/>
        <w:overflowPunct/>
        <w:topLinePunct w:val="0"/>
        <w:autoSpaceDE/>
        <w:autoSpaceDN/>
        <w:bidi w:val="0"/>
        <w:adjustRightInd w:val="0"/>
        <w:snapToGrid w:val="0"/>
        <w:spacing w:before="164" w:beforeLines="50" w:line="360" w:lineRule="auto"/>
        <w:textAlignment w:val="auto"/>
        <w:rPr>
          <w:rFonts w:hint="default" w:ascii="Times New Roman" w:hAnsi="Times New Roman" w:cs="Times New Roman"/>
          <w:sz w:val="28"/>
          <w:szCs w:val="28"/>
        </w:rPr>
        <w:sectPr>
          <w:pgSz w:w="11906" w:h="16838"/>
          <w:pgMar w:top="1418" w:right="1134" w:bottom="1134" w:left="1588" w:header="851" w:footer="992" w:gutter="0"/>
          <w:pgBorders>
            <w:top w:val="none" w:sz="0" w:space="0"/>
            <w:left w:val="none" w:sz="0" w:space="0"/>
            <w:bottom w:val="none" w:sz="0" w:space="0"/>
            <w:right w:val="none" w:sz="0" w:space="0"/>
          </w:pgBorders>
          <w:pgNumType w:fmt="decimal"/>
          <w:cols w:space="720" w:num="1"/>
          <w:docGrid w:type="lines" w:linePitch="326" w:charSpace="6144"/>
        </w:sectPr>
      </w:pPr>
      <w:r>
        <w:rPr>
          <w:rFonts w:hint="default" w:ascii="Times New Roman" w:hAnsi="Times New Roman" w:cs="Times New Roman"/>
          <w:sz w:val="28"/>
          <w:szCs w:val="28"/>
        </w:rPr>
        <w:t>本项目配套与辅助工程的供应量可以满足本项目的需求量，匹配情况较好。</w:t>
      </w:r>
    </w:p>
    <w:p w14:paraId="313981A1">
      <w:pPr>
        <w:keepNext w:val="0"/>
        <w:keepLines w:val="0"/>
        <w:pageBreakBefore w:val="0"/>
        <w:widowControl w:val="0"/>
        <w:kinsoku/>
        <w:wordWrap/>
        <w:overflowPunct/>
        <w:topLinePunct w:val="0"/>
        <w:autoSpaceDE/>
        <w:autoSpaceDN/>
        <w:bidi w:val="0"/>
        <w:adjustRightInd/>
        <w:snapToGrid/>
        <w:spacing w:before="490" w:beforeLines="150" w:after="490" w:afterLines="150" w:line="360" w:lineRule="auto"/>
        <w:ind w:firstLine="0"/>
        <w:jc w:val="center"/>
        <w:textAlignment w:val="auto"/>
        <w:outlineLvl w:val="0"/>
        <w:rPr>
          <w:rFonts w:hint="default" w:ascii="Times New Roman" w:hAnsi="Times New Roman" w:eastAsia="黑体" w:cs="Times New Roman"/>
          <w:b/>
          <w:bCs/>
          <w:kern w:val="2"/>
          <w:sz w:val="32"/>
          <w:szCs w:val="32"/>
          <w:lang w:val="en-US" w:eastAsia="zh-CN" w:bidi="ar-SA"/>
        </w:rPr>
      </w:pPr>
      <w:bookmarkStart w:id="296" w:name="_Toc848"/>
      <w:bookmarkStart w:id="297" w:name="_Toc21831"/>
      <w:bookmarkStart w:id="298" w:name="_Toc410311911"/>
      <w:bookmarkStart w:id="299" w:name="_Toc410311988"/>
      <w:bookmarkStart w:id="300" w:name="_Toc41246719"/>
      <w:r>
        <w:rPr>
          <w:rFonts w:hint="default" w:ascii="Times New Roman" w:hAnsi="Times New Roman" w:eastAsia="黑体" w:cs="Times New Roman"/>
          <w:b/>
          <w:bCs w:val="0"/>
          <w:kern w:val="32"/>
          <w:sz w:val="32"/>
          <w:szCs w:val="32"/>
          <w:lang w:val="en-US" w:eastAsia="zh-CN" w:bidi="ar-SA"/>
        </w:rPr>
        <w:t>8安全对策与建议</w:t>
      </w:r>
      <w:bookmarkEnd w:id="296"/>
      <w:bookmarkEnd w:id="297"/>
      <w:bookmarkEnd w:id="298"/>
      <w:bookmarkEnd w:id="299"/>
      <w:bookmarkEnd w:id="300"/>
    </w:p>
    <w:p w14:paraId="507BBACF">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301" w:name="_Toc410311912"/>
      <w:bookmarkStart w:id="302" w:name="_Toc410311989"/>
      <w:bookmarkStart w:id="303" w:name="_Toc28738"/>
      <w:bookmarkStart w:id="304" w:name="_Toc6102"/>
      <w:bookmarkStart w:id="305" w:name="_Toc41246720"/>
      <w:r>
        <w:rPr>
          <w:rFonts w:hint="default" w:ascii="Times New Roman" w:hAnsi="Times New Roman" w:eastAsia="楷体" w:cs="Times New Roman"/>
          <w:color w:val="auto"/>
          <w:sz w:val="32"/>
          <w:szCs w:val="32"/>
          <w:lang w:val="en-US" w:eastAsia="zh-CN"/>
        </w:rPr>
        <w:t>8.1</w:t>
      </w:r>
      <w:bookmarkEnd w:id="301"/>
      <w:bookmarkEnd w:id="302"/>
      <w:r>
        <w:rPr>
          <w:rFonts w:hint="default" w:ascii="Times New Roman" w:hAnsi="Times New Roman" w:eastAsia="楷体" w:cs="Times New Roman"/>
          <w:color w:val="auto"/>
          <w:sz w:val="32"/>
          <w:szCs w:val="32"/>
          <w:lang w:val="en-US" w:eastAsia="zh-CN"/>
        </w:rPr>
        <w:t>建设项目的选址</w:t>
      </w:r>
      <w:bookmarkEnd w:id="303"/>
      <w:bookmarkEnd w:id="304"/>
      <w:bookmarkEnd w:id="305"/>
    </w:p>
    <w:p w14:paraId="2B0248B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采用安全检查表法对本项目的选址进行评价，符合相关要求。本次评价不再补充相关安全对策措施。</w:t>
      </w:r>
    </w:p>
    <w:p w14:paraId="319D1F78">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306" w:name="_Toc41246722"/>
      <w:bookmarkStart w:id="307" w:name="_Toc17917"/>
      <w:bookmarkStart w:id="308" w:name="_Toc25225"/>
      <w:r>
        <w:rPr>
          <w:rFonts w:hint="default" w:ascii="Times New Roman" w:hAnsi="Times New Roman" w:eastAsia="楷体" w:cs="Times New Roman"/>
          <w:color w:val="auto"/>
          <w:sz w:val="32"/>
          <w:szCs w:val="32"/>
          <w:lang w:val="en-US" w:eastAsia="zh-CN"/>
        </w:rPr>
        <w:t>8.</w:t>
      </w:r>
      <w:bookmarkEnd w:id="306"/>
      <w:r>
        <w:rPr>
          <w:rFonts w:hint="default" w:ascii="Times New Roman" w:hAnsi="Times New Roman" w:eastAsia="楷体" w:cs="Times New Roman"/>
          <w:color w:val="auto"/>
          <w:sz w:val="32"/>
          <w:szCs w:val="32"/>
          <w:lang w:val="en-US" w:eastAsia="zh-CN"/>
        </w:rPr>
        <w:t>2主要技术、工艺或者方式和装置、设备、设施</w:t>
      </w:r>
      <w:bookmarkEnd w:id="307"/>
      <w:bookmarkEnd w:id="308"/>
    </w:p>
    <w:p w14:paraId="70D79802">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default" w:ascii="Times New Roman" w:hAnsi="Times New Roman" w:eastAsia="黑体" w:cs="Times New Roman"/>
          <w:b/>
          <w:bCs/>
          <w:color w:val="auto"/>
          <w:kern w:val="2"/>
          <w:sz w:val="28"/>
          <w:szCs w:val="32"/>
          <w:lang w:val="en-US" w:eastAsia="zh-CN" w:bidi="ar-SA"/>
        </w:rPr>
      </w:pPr>
      <w:bookmarkStart w:id="309" w:name="_Toc146488892"/>
      <w:bookmarkStart w:id="310" w:name="_Toc6902"/>
      <w:bookmarkStart w:id="311" w:name="_Toc41246723"/>
      <w:r>
        <w:rPr>
          <w:rFonts w:hint="default" w:ascii="Times New Roman" w:hAnsi="Times New Roman" w:eastAsia="黑体" w:cs="Times New Roman"/>
          <w:b/>
          <w:bCs/>
          <w:color w:val="auto"/>
          <w:kern w:val="2"/>
          <w:sz w:val="28"/>
          <w:szCs w:val="32"/>
          <w:lang w:val="en-US" w:eastAsia="zh-CN" w:bidi="ar-SA"/>
        </w:rPr>
        <w:t>8.2.1油罐</w:t>
      </w:r>
      <w:bookmarkEnd w:id="309"/>
      <w:bookmarkEnd w:id="310"/>
      <w:bookmarkEnd w:id="311"/>
    </w:p>
    <w:p w14:paraId="6BF7F635">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根据《汽车加油加气加氢站技术标准》（GB50156-2021）第6.1.1条，加油站的</w:t>
      </w:r>
      <w:r>
        <w:rPr>
          <w:rFonts w:hint="eastAsia" w:hAnsi="Times New Roman" w:cs="Times New Roman"/>
          <w:lang w:eastAsia="zh-CN"/>
        </w:rPr>
        <w:t>乙醇汽油</w:t>
      </w:r>
      <w:r>
        <w:rPr>
          <w:rFonts w:hint="default" w:ascii="Times New Roman" w:hAnsi="Times New Roman" w:cs="Times New Roman"/>
        </w:rPr>
        <w:t>罐和柴油罐应埋地设置，严禁设在室内或地下室内。</w:t>
      </w:r>
    </w:p>
    <w:p w14:paraId="0FA26B82">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根据《汽车加油加气加氢站技术标准》（GB50156-2021）第6.1.2条，汽车加油站的储油罐应采用卧式油罐。</w:t>
      </w:r>
    </w:p>
    <w:p w14:paraId="64470128">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根据《汽车加油加气加氢站技术标准》（GB50156-2021）第6.1.5条，选用的</w:t>
      </w:r>
      <w:r>
        <w:rPr>
          <w:rFonts w:hint="eastAsia" w:hAnsi="Times New Roman" w:cs="Times New Roman"/>
          <w:lang w:val="en-US" w:eastAsia="zh-CN"/>
        </w:rPr>
        <w:t>钢-外玻璃纤维增强</w:t>
      </w:r>
      <w:r>
        <w:rPr>
          <w:rFonts w:hint="default" w:ascii="Times New Roman" w:hAnsi="Times New Roman" w:cs="Times New Roman"/>
        </w:rPr>
        <w:t>塑料</w:t>
      </w:r>
      <w:r>
        <w:rPr>
          <w:rFonts w:hint="eastAsia" w:hAnsi="Times New Roman" w:cs="Times New Roman"/>
          <w:lang w:val="en-US" w:eastAsia="zh-CN"/>
        </w:rPr>
        <w:t>双层</w:t>
      </w:r>
      <w:r>
        <w:rPr>
          <w:rFonts w:hint="default" w:ascii="Times New Roman" w:hAnsi="Times New Roman" w:cs="Times New Roman"/>
        </w:rPr>
        <w:t>油罐应符合现行行业标准《加油站用埋地钢-玻璃纤维增强塑料双层油罐工程技术规范》SH/T317</w:t>
      </w:r>
      <w:r>
        <w:rPr>
          <w:rFonts w:hint="eastAsia" w:hAnsi="Times New Roman" w:cs="Times New Roman"/>
          <w:lang w:val="en-US" w:eastAsia="zh-CN"/>
        </w:rPr>
        <w:t>8</w:t>
      </w:r>
      <w:r>
        <w:rPr>
          <w:rFonts w:hint="default" w:ascii="Times New Roman" w:hAnsi="Times New Roman" w:cs="Times New Roman"/>
        </w:rPr>
        <w:t>的有关规定。</w:t>
      </w:r>
    </w:p>
    <w:p w14:paraId="168DF6CF">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根据《汽车加油加气加氢站技术标准》（GB50156-2021）第6.1.9条，双层油罐内壁与外壁之间应有满足渗漏检测要求的贯通间隙。</w:t>
      </w:r>
    </w:p>
    <w:p w14:paraId="4A6523BD">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根据《汽车加油加气加氢站技术标准》（GB50156-2021）第6.1.10条，</w:t>
      </w:r>
      <w:r>
        <w:rPr>
          <w:rFonts w:hint="eastAsia" w:hAnsi="Times New Roman" w:cs="Times New Roman"/>
          <w:lang w:val="en-US" w:eastAsia="zh-CN"/>
        </w:rPr>
        <w:t>内钢-外玻璃纤维增强</w:t>
      </w:r>
      <w:r>
        <w:rPr>
          <w:rFonts w:hint="default" w:ascii="Times New Roman" w:hAnsi="Times New Roman" w:cs="Times New Roman"/>
        </w:rPr>
        <w:t>塑料</w:t>
      </w:r>
      <w:r>
        <w:rPr>
          <w:rFonts w:hint="eastAsia" w:hAnsi="Times New Roman" w:cs="Times New Roman"/>
          <w:lang w:val="en-US" w:eastAsia="zh-CN"/>
        </w:rPr>
        <w:t>双层</w:t>
      </w:r>
      <w:r>
        <w:rPr>
          <w:rFonts w:hint="default" w:ascii="Times New Roman" w:hAnsi="Times New Roman" w:cs="Times New Roman"/>
        </w:rPr>
        <w:t>油罐玻璃纤维增强塑料双层油罐应设渗漏检测立管，并应符合下列规定：①检测立管应采用钢管，直径宜为80mm，壁厚不宜小于4mm；</w:t>
      </w:r>
      <w:bookmarkStart w:id="312" w:name="_Toc19944"/>
      <w:r>
        <w:rPr>
          <w:rFonts w:hint="default" w:ascii="Times New Roman" w:hAnsi="Times New Roman" w:cs="Times New Roman"/>
        </w:rPr>
        <w:t>②检测立管应位于油罐顶部的纵向中心线上；</w:t>
      </w:r>
      <w:bookmarkEnd w:id="312"/>
      <w:r>
        <w:rPr>
          <w:rFonts w:hint="default" w:ascii="Times New Roman" w:hAnsi="Times New Roman" w:cs="Times New Roman"/>
        </w:rPr>
        <w:t>③检测立管的底部管口应与油罐内、外壁间隙相连通，顶部管口应装防尘盖；④检测立管应满足人工检测和在线监测的要求，并应保证油罐内、外壁任何部位出现渗漏均能被发现。</w:t>
      </w:r>
    </w:p>
    <w:p w14:paraId="3E95F405">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根据《汽车加油加气加氢站技术标准》（GB50156-2021）第6.1.11条，油罐应采用钢制人孔盖。</w:t>
      </w:r>
    </w:p>
    <w:p w14:paraId="41BAC49D">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根据《汽车加油加气加氢站技术标准》（GB50156-2021）第6.1.12条，油罐设在车行道下面时，罐顶</w:t>
      </w:r>
      <w:r>
        <w:rPr>
          <w:rFonts w:hint="eastAsia" w:hAnsi="Times New Roman" w:cs="Times New Roman"/>
          <w:lang w:val="en-US" w:eastAsia="zh-CN"/>
        </w:rPr>
        <w:t>低于混凝土路面不宜</w:t>
      </w:r>
      <w:r>
        <w:rPr>
          <w:rFonts w:hint="default" w:ascii="Times New Roman" w:hAnsi="Times New Roman" w:cs="Times New Roman"/>
        </w:rPr>
        <w:t>小于0.</w:t>
      </w:r>
      <w:r>
        <w:rPr>
          <w:rFonts w:hint="eastAsia" w:hAnsi="Times New Roman" w:cs="Times New Roman"/>
          <w:lang w:val="en-US" w:eastAsia="zh-CN"/>
        </w:rPr>
        <w:t>9</w:t>
      </w:r>
      <w:r>
        <w:rPr>
          <w:rFonts w:hint="default" w:ascii="Times New Roman" w:hAnsi="Times New Roman" w:cs="Times New Roman"/>
        </w:rPr>
        <w:t>m。</w:t>
      </w:r>
      <w:r>
        <w:rPr>
          <w:rFonts w:hint="eastAsia" w:hAnsi="Times New Roman" w:cs="Times New Roman"/>
          <w:lang w:val="en-US" w:eastAsia="zh-CN"/>
        </w:rPr>
        <w:t>钢制油罐周围应回填中性沙或细土，其厚度不应小于0.3m；</w:t>
      </w:r>
      <w:r>
        <w:rPr>
          <w:rFonts w:hint="default" w:ascii="Times New Roman" w:hAnsi="Times New Roman" w:cs="Times New Roman"/>
        </w:rPr>
        <w:t>外层为玻璃纤维增强塑料材料的油罐，回填料应符合产品说明书的要求。</w:t>
      </w:r>
    </w:p>
    <w:p w14:paraId="347293EA">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根据《汽车加油加气加氢站技术标准》（GB50156-2021）第6.1.13条，当埋地油罐受地下水或雨水作用有上浮的可能时，应采取防止油罐上浮的措施。</w:t>
      </w:r>
    </w:p>
    <w:p w14:paraId="0FA2F41E">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根据《汽车加油加气加氢站技术标准》（GB50156-2021）第6.1.14条，埋地油罐的人孔应设操作井。</w:t>
      </w:r>
    </w:p>
    <w:p w14:paraId="449B4FDB">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6.1.15条，油罐卸油应采取防满溢措施。油料达到油罐容量的90%时，应能触动高液位报警装置；油料达到油罐容量的95%时，应能自动停止油料继续进罐。高液位报警装置应位于工作人员便于觉察的地点。</w:t>
      </w:r>
    </w:p>
    <w:p w14:paraId="69DC7367">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根据《汽车加油加气加氢站技术标准》（GB50156-2021）第6.1.16条，设有油气回收系统的加油站，站内油罐应设带有高液位报警功能的液位监测系统。</w:t>
      </w:r>
    </w:p>
    <w:p w14:paraId="615AD8D6">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根据《钢制常压储罐 第1部分：储存对水有污染的易燃和不燃液体的埋地卧式圆筒形单层和双层储罐》（AQ 3020-2008）第6.3条，焊接到罐体上的附件所用材料，应与罐体材料相容。</w:t>
      </w:r>
    </w:p>
    <w:p w14:paraId="634E1023">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根据《钢制常压储罐 第1部分：储存对水有污染的易燃和不燃液体的埋地卧式圆筒形单层和双层储罐》（AQ 3020-2008）第7.3条，对双层罐而言，第二层罐应包焊住内罐，构成一个套装的不可渗漏的储罐。第二层罐至少应包覆内罐公称体积的97%。为了持续检测罐体的完整性，罐壁间隙最高点至少应设两个接口，与罐体渗漏检测系统相联接。</w:t>
      </w:r>
    </w:p>
    <w:p w14:paraId="53313073">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根据《加油站用埋地钢-玻璃纤维增强塑料双层油罐工程技术规范》（SH/T3178-2015）第5.1条，油罐用材料的选用应考虑使用条件、材料的性能、制造工艺以及经济合理性。</w:t>
      </w:r>
    </w:p>
    <w:p w14:paraId="33062DCD">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加油站用埋地钢-玻璃纤维增强塑料双层油罐工程技术规范》（SH/T3178-2015）第5.2条，油罐用材料应具有材料生产单位的质量证明文件。制造单位应按照质量证明文件进行验收，必要时制造单位应对所使用的材料进行复验；制造单位应对所取得的材料及材料证明文件的真实性和一致性负责。</w:t>
      </w:r>
    </w:p>
    <w:p w14:paraId="4F73779D">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加油站用埋地钢-玻璃纤维增强塑料双层油罐工程技术规范》（SH/T3178-2015）第5.3条，油罐材料应符合相应安全技术规范、标准的规定，满足油罐安全使用要求。制造单位自行制作或配制的油罐主体用材料应符合本规范的要求，并对材料质量负责。用于制造油罐壳体的树脂，应复验热变形温度。</w:t>
      </w:r>
    </w:p>
    <w:p w14:paraId="320E5958">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加油站用埋地钢-玻璃纤维增强塑料双层油罐工程技术规范》（SH/T3178-2015）第6.1.1条，油罐内侧壳体为钢制，外层壳体为玻璃纤维增强塑料，外层罐应完整包容内层罐，外层罐壳体和内层罐壳体之间应形成连续的贯通间隙，油罐内层罐和外层罐壳体之间应设置可靠的支撑。</w:t>
      </w:r>
    </w:p>
    <w:p w14:paraId="42658629">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根据《双层罐渗漏检测系统 第1部分：通则》（GB/T30040.1-2013）第5.1.1条，渗漏检测系统应在发生渗漏或出现系统故障的情况下发出警报。任何渗漏检测系统都应由声光报警器指示每一次渗漏。渗漏检测系统还应符合如下要求：①电源中断后，渗漏检测系统应在供电恢复时自动启动；②渗漏检测系统应能在0.08MPa～0.11MPa之间的大气压条件下工作；③安装在露天的渗漏检测系统及其部件的适用温度为-40℃～40℃；④安装在防霜冻区域的渗漏检测系统及其部件的适用温度为-5℃～50℃；⑤埋地储罐使用的渗漏检测系统及其部件的适用温度为-5℃～30℃。</w:t>
      </w:r>
    </w:p>
    <w:p w14:paraId="1FAD53F6">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根据《双层罐渗漏检测系统 第1部分：通则》（GB/T30040.1-2013）第5.1.2条，安装于存在潜在爆炸性环境中的渗漏检测系统及其部件应防爆。如果系统及其部件内部存在爆炸性环境的可能，也应防爆。</w:t>
      </w:r>
    </w:p>
    <w:p w14:paraId="693A56A9">
      <w:pPr>
        <w:pStyle w:val="20"/>
        <w:numPr>
          <w:ilvl w:val="0"/>
          <w:numId w:val="11"/>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根据《双层罐渗漏检测系统 第1部分：通则》（GB/T30040.1-2013）第5.1.7条，若渗漏检测系统用于监测不止一个储罐或管道设施，警报发生时应能够显示或检测出是哪一个储罐或那一条管道发生了渗漏。</w:t>
      </w:r>
    </w:p>
    <w:p w14:paraId="6E0847DD">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default" w:ascii="Times New Roman" w:hAnsi="Times New Roman" w:eastAsia="宋体" w:cs="Times New Roman"/>
          <w:b/>
          <w:bCs/>
          <w:sz w:val="28"/>
          <w:szCs w:val="28"/>
        </w:rPr>
      </w:pPr>
      <w:bookmarkStart w:id="313" w:name="_Toc31486"/>
      <w:bookmarkStart w:id="314" w:name="_Toc41246724"/>
      <w:bookmarkStart w:id="315" w:name="_Toc146488893"/>
      <w:bookmarkStart w:id="316" w:name="_Toc1976"/>
      <w:r>
        <w:rPr>
          <w:rFonts w:hint="default" w:ascii="Times New Roman" w:hAnsi="Times New Roman" w:eastAsia="宋体" w:cs="Times New Roman"/>
          <w:b/>
          <w:bCs/>
          <w:sz w:val="28"/>
          <w:szCs w:val="28"/>
        </w:rPr>
        <w:t>8</w:t>
      </w:r>
      <w:r>
        <w:rPr>
          <w:rFonts w:hint="default" w:ascii="Times New Roman" w:hAnsi="Times New Roman" w:eastAsia="黑体" w:cs="Times New Roman"/>
          <w:b/>
          <w:bCs/>
          <w:color w:val="auto"/>
          <w:kern w:val="2"/>
          <w:sz w:val="28"/>
          <w:szCs w:val="32"/>
          <w:lang w:val="en-US" w:eastAsia="zh-CN" w:bidi="ar-SA"/>
        </w:rPr>
        <w:t>.2.2加油机</w:t>
      </w:r>
      <w:bookmarkEnd w:id="313"/>
      <w:bookmarkEnd w:id="314"/>
      <w:bookmarkEnd w:id="315"/>
      <w:bookmarkEnd w:id="316"/>
    </w:p>
    <w:p w14:paraId="2739D2F9">
      <w:pPr>
        <w:pStyle w:val="20"/>
        <w:numPr>
          <w:ilvl w:val="0"/>
          <w:numId w:val="12"/>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根据《汽车加油加气加氢站技术标准》（GB50156-2021）第6.2.1条，加油机不得设置在室内。</w:t>
      </w:r>
    </w:p>
    <w:p w14:paraId="652A6525">
      <w:pPr>
        <w:pStyle w:val="20"/>
        <w:numPr>
          <w:ilvl w:val="0"/>
          <w:numId w:val="12"/>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根据《汽车加油加气加氢站技术标准》（GB50156-2021）第6.2.2条，加油枪应采用自封式加油枪，</w:t>
      </w:r>
      <w:r>
        <w:rPr>
          <w:rFonts w:hint="eastAsia" w:hAnsi="Times New Roman" w:cs="Times New Roman"/>
          <w:lang w:eastAsia="zh-CN"/>
        </w:rPr>
        <w:t>乙醇汽油</w:t>
      </w:r>
      <w:r>
        <w:rPr>
          <w:rFonts w:hint="default" w:ascii="Times New Roman" w:hAnsi="Times New Roman" w:cs="Times New Roman"/>
        </w:rPr>
        <w:t>加油枪的流量不应大于50L/min。</w:t>
      </w:r>
    </w:p>
    <w:p w14:paraId="175C819E">
      <w:pPr>
        <w:pStyle w:val="20"/>
        <w:numPr>
          <w:ilvl w:val="0"/>
          <w:numId w:val="12"/>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根据《汽车加油加气加氢站技术标准》（GB50156-2021）第6.2.3条，加油软管上宜设安全拉断阀。</w:t>
      </w:r>
    </w:p>
    <w:p w14:paraId="1FB7F7D4">
      <w:pPr>
        <w:pStyle w:val="20"/>
        <w:numPr>
          <w:ilvl w:val="0"/>
          <w:numId w:val="12"/>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根据《汽车加油加气加氢站技术标准》（GB50156-2021）第6.2.5条，采用一机多油品的加油机时，加油机上的放枪位应有各油品的文字标识，加油枪应有颜色标识。</w:t>
      </w:r>
    </w:p>
    <w:p w14:paraId="6C924DD2">
      <w:pPr>
        <w:pStyle w:val="20"/>
        <w:numPr>
          <w:ilvl w:val="0"/>
          <w:numId w:val="12"/>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14.2.3.4条，加油岛端部的加油机等岛上的工艺设备应有防止车辆误碰撞的措施和警示标识，采用钢管防撞柱（栏）时，其钢管的直径不应小于100mm，高度不应小于0.5m，并应设置牢固。</w:t>
      </w:r>
    </w:p>
    <w:p w14:paraId="6FD280FC">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317" w:name="_Toc41246725"/>
      <w:bookmarkStart w:id="318" w:name="_Toc6764"/>
      <w:bookmarkStart w:id="319" w:name="_Toc146488894"/>
      <w:bookmarkStart w:id="320" w:name="_Toc22972"/>
      <w:r>
        <w:rPr>
          <w:rFonts w:hint="default" w:ascii="Times New Roman" w:hAnsi="Times New Roman" w:eastAsia="黑体" w:cs="Times New Roman"/>
          <w:b/>
          <w:bCs/>
          <w:color w:val="auto"/>
          <w:sz w:val="28"/>
          <w:szCs w:val="32"/>
          <w:lang w:val="en-US" w:eastAsia="zh-CN"/>
        </w:rPr>
        <w:t>8.2.3</w:t>
      </w:r>
      <w:r>
        <w:rPr>
          <w:rFonts w:hint="eastAsia" w:eastAsia="黑体" w:cs="Times New Roman"/>
          <w:b/>
          <w:bCs/>
          <w:color w:val="auto"/>
          <w:sz w:val="28"/>
          <w:szCs w:val="32"/>
          <w:lang w:val="en-US" w:eastAsia="zh-CN"/>
        </w:rPr>
        <w:t>加油</w:t>
      </w:r>
      <w:r>
        <w:rPr>
          <w:rFonts w:hint="default" w:ascii="Times New Roman" w:hAnsi="Times New Roman" w:eastAsia="黑体" w:cs="Times New Roman"/>
          <w:b/>
          <w:bCs/>
          <w:color w:val="auto"/>
          <w:sz w:val="28"/>
          <w:szCs w:val="32"/>
          <w:lang w:val="en-US" w:eastAsia="zh-CN"/>
        </w:rPr>
        <w:t>工艺管道系统</w:t>
      </w:r>
      <w:bookmarkEnd w:id="317"/>
      <w:bookmarkEnd w:id="318"/>
      <w:bookmarkEnd w:id="319"/>
      <w:bookmarkEnd w:id="320"/>
    </w:p>
    <w:p w14:paraId="715FB622">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根据《汽车加油加气加氢站技术标准》（GB50156-2021）第6.3.1条，</w:t>
      </w:r>
      <w:r>
        <w:rPr>
          <w:rFonts w:hint="eastAsia" w:hAnsi="Times New Roman" w:cs="Times New Roman"/>
          <w:lang w:eastAsia="zh-CN"/>
        </w:rPr>
        <w:t>乙醇汽油</w:t>
      </w:r>
      <w:r>
        <w:rPr>
          <w:rFonts w:hint="default" w:ascii="Times New Roman" w:hAnsi="Times New Roman" w:cs="Times New Roman"/>
        </w:rPr>
        <w:t>和柴油油罐车卸油必须采用密闭卸油方式。</w:t>
      </w:r>
      <w:r>
        <w:rPr>
          <w:rFonts w:hint="eastAsia" w:hAnsi="Times New Roman" w:cs="Times New Roman"/>
          <w:lang w:eastAsia="zh-CN"/>
        </w:rPr>
        <w:t>乙醇汽油</w:t>
      </w:r>
      <w:r>
        <w:rPr>
          <w:rFonts w:hint="default" w:ascii="Times New Roman" w:hAnsi="Times New Roman" w:cs="Times New Roman"/>
        </w:rPr>
        <w:t>油罐车应具有卸油油气回收系统。</w:t>
      </w:r>
    </w:p>
    <w:p w14:paraId="29DA1B58">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根据《汽车加油加气加氢站技术标准》（GB50156-2021）第6.3.2条，每个油罐应各自设置卸油管道和卸油接口。各卸油接口及油气回收接口应有明显的标识。</w:t>
      </w:r>
    </w:p>
    <w:p w14:paraId="06547949">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根据《汽车加油加气加氢站技术标准》（GB50156-2021）第6.3.3条，卸油接口应装设快速接头及密封盖。</w:t>
      </w:r>
    </w:p>
    <w:p w14:paraId="47EB3103">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根据《汽车加油加气加氢站技术标准》（GB50156-2021）第6.3.4条，加油站卸油油气回收系统的设计应符合下列规定：</w:t>
      </w:r>
      <w:bookmarkStart w:id="321" w:name="_Toc28821"/>
      <w:r>
        <w:rPr>
          <w:rFonts w:hint="default" w:ascii="Times New Roman" w:hAnsi="Times New Roman" w:cs="Times New Roman"/>
        </w:rPr>
        <w:t>①</w:t>
      </w:r>
      <w:r>
        <w:rPr>
          <w:rFonts w:hint="eastAsia" w:hAnsi="Times New Roman" w:cs="Times New Roman"/>
          <w:lang w:eastAsia="zh-CN"/>
        </w:rPr>
        <w:t>乙醇汽油</w:t>
      </w:r>
      <w:r>
        <w:rPr>
          <w:rFonts w:hint="default" w:ascii="Times New Roman" w:hAnsi="Times New Roman" w:cs="Times New Roman"/>
        </w:rPr>
        <w:t>罐车向站内油罐卸油应采用平衡式密闭油气回收系统；</w:t>
      </w:r>
      <w:bookmarkEnd w:id="321"/>
      <w:r>
        <w:rPr>
          <w:rFonts w:hint="default" w:ascii="Times New Roman" w:hAnsi="Times New Roman" w:cs="Times New Roman"/>
        </w:rPr>
        <w:t>②各</w:t>
      </w:r>
      <w:r>
        <w:rPr>
          <w:rFonts w:hint="eastAsia" w:hAnsi="Times New Roman" w:cs="Times New Roman"/>
          <w:lang w:eastAsia="zh-CN"/>
        </w:rPr>
        <w:t>乙醇汽油</w:t>
      </w:r>
      <w:r>
        <w:rPr>
          <w:rFonts w:hint="default" w:ascii="Times New Roman" w:hAnsi="Times New Roman" w:cs="Times New Roman"/>
        </w:rPr>
        <w:t>罐可共用一根卸油油气回收主管，回收主管的公称直径不宜小于100mm；③卸油油气回收管道的接口宜采用自闭式快速接头和盖帽，采用非自闭式快速接头时，应在靠近快速接头的连接管道上装设阀门和盖帽。</w:t>
      </w:r>
    </w:p>
    <w:p w14:paraId="6E5CCC77">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根据《汽车加油加气加氢站技术标准》（GB50156-2021）第6.3.6条，加油站应采用加油油气回收系统。</w:t>
      </w:r>
    </w:p>
    <w:p w14:paraId="49A6924C">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根据《汽车加油加气加氢站技术标准》（GB50156-2021）第6.3.7条，加油油气回收系统的设计应符合下列规定：</w:t>
      </w:r>
      <w:bookmarkStart w:id="322" w:name="_Toc5950"/>
      <w:r>
        <w:rPr>
          <w:rFonts w:hint="default" w:ascii="Times New Roman" w:hAnsi="Times New Roman" w:cs="Times New Roman"/>
        </w:rPr>
        <w:t>①应采用真空辅助式油气回收系统；</w:t>
      </w:r>
      <w:bookmarkEnd w:id="322"/>
      <w:r>
        <w:rPr>
          <w:rFonts w:hint="default" w:ascii="Times New Roman" w:hAnsi="Times New Roman" w:cs="Times New Roman"/>
        </w:rPr>
        <w:t>②</w:t>
      </w:r>
      <w:r>
        <w:rPr>
          <w:rFonts w:hint="eastAsia" w:hAnsi="Times New Roman" w:cs="Times New Roman"/>
          <w:lang w:eastAsia="zh-CN"/>
        </w:rPr>
        <w:t>乙醇汽油</w:t>
      </w:r>
      <w:r>
        <w:rPr>
          <w:rFonts w:hint="default" w:ascii="Times New Roman" w:hAnsi="Times New Roman" w:cs="Times New Roman"/>
        </w:rPr>
        <w:t>加油机与油罐之间应设油气回收管道，多台</w:t>
      </w:r>
      <w:r>
        <w:rPr>
          <w:rFonts w:hint="eastAsia" w:hAnsi="Times New Roman" w:cs="Times New Roman"/>
          <w:lang w:eastAsia="zh-CN"/>
        </w:rPr>
        <w:t>乙醇汽油</w:t>
      </w:r>
      <w:r>
        <w:rPr>
          <w:rFonts w:hint="default" w:ascii="Times New Roman" w:hAnsi="Times New Roman" w:cs="Times New Roman"/>
        </w:rPr>
        <w:t>加油机可共用一根油气回收主管，油气回收主管的公称直径不应小于50mm；</w:t>
      </w:r>
      <w:bookmarkStart w:id="323" w:name="_Toc27655"/>
      <w:r>
        <w:rPr>
          <w:rFonts w:hint="default" w:ascii="Times New Roman" w:hAnsi="Times New Roman" w:cs="Times New Roman"/>
        </w:rPr>
        <w:t>③加油油气回收系统应采取防止油气反向流至加油枪的措施；</w:t>
      </w:r>
      <w:bookmarkEnd w:id="323"/>
      <w:r>
        <w:rPr>
          <w:rFonts w:hint="default" w:ascii="Times New Roman" w:hAnsi="Times New Roman" w:cs="Times New Roman"/>
        </w:rPr>
        <w:t>④加油机应具备回收油气功能，其气液比宜设定为1.0～1.2；⑤在加油机底部与油气回收立管的连接处，应安装一个用于检测液阻和系统密闭性的丝接三通，其旁通短管上应设公称直径为25mm的球阀及丝堵。</w:t>
      </w:r>
    </w:p>
    <w:p w14:paraId="1AF9F0C7">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根据《汽车加油加气加氢站技术标准》（GB50156-2021）第6.3.8条，油罐的接合管设置应符合下列规定：</w:t>
      </w:r>
      <w:bookmarkStart w:id="324" w:name="_Toc1739"/>
      <w:r>
        <w:rPr>
          <w:rFonts w:hint="default" w:ascii="Times New Roman" w:hAnsi="Times New Roman" w:cs="Times New Roman"/>
        </w:rPr>
        <w:t>①接合管应为金属材质；</w:t>
      </w:r>
      <w:bookmarkEnd w:id="324"/>
      <w:r>
        <w:rPr>
          <w:rFonts w:hint="default" w:ascii="Times New Roman" w:hAnsi="Times New Roman" w:cs="Times New Roman"/>
        </w:rPr>
        <w:t>②接合管应设在油罐的顶部，其中进油接合管、出油接合管应设在人孔盖上；③进油管应伸至罐内距罐底50mm～100mm 处，进油立管的底端应为45°斜管口或T形管口。进油管管壁上不得有与油罐气相空间相通的开口；</w:t>
      </w:r>
      <w:bookmarkStart w:id="325" w:name="_Toc20693"/>
      <w:r>
        <w:rPr>
          <w:rFonts w:hint="default" w:ascii="Times New Roman" w:hAnsi="Times New Roman" w:cs="Times New Roman"/>
        </w:rPr>
        <w:t>④</w:t>
      </w:r>
      <w:bookmarkEnd w:id="325"/>
      <w:r>
        <w:rPr>
          <w:rFonts w:hint="default" w:ascii="Times New Roman" w:hAnsi="Times New Roman" w:cs="Times New Roman"/>
        </w:rPr>
        <w:t>油罐的量油孔应设带锁的量油帽，量油孔下部的接合管宜向下伸至罐内距罐底200mm处，并应有检尺时使接合管内液位与罐内液位相一致的技术措施；</w:t>
      </w:r>
      <w:bookmarkStart w:id="326" w:name="_Toc12962"/>
      <w:r>
        <w:rPr>
          <w:rFonts w:hint="default" w:ascii="Times New Roman" w:hAnsi="Times New Roman" w:cs="Times New Roman"/>
        </w:rPr>
        <w:t>⑤油罐人孔井内的管道及设备应保证油罐人孔盖的可拆装性；</w:t>
      </w:r>
      <w:bookmarkEnd w:id="326"/>
      <w:r>
        <w:rPr>
          <w:rFonts w:hint="default" w:ascii="Times New Roman" w:hAnsi="Times New Roman" w:cs="Times New Roman"/>
        </w:rPr>
        <w:t>⑥人孔盖上的接合管与引出井外管道的连接，宜采用金属软管过渡连接。</w:t>
      </w:r>
    </w:p>
    <w:p w14:paraId="1FAC1856">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根据《汽车加油加气加氢站技术标准》（GB50156-2021）第6.3.9条，</w:t>
      </w:r>
      <w:r>
        <w:rPr>
          <w:rFonts w:hint="eastAsia" w:hAnsi="Times New Roman" w:cs="Times New Roman"/>
          <w:lang w:eastAsia="zh-CN"/>
        </w:rPr>
        <w:t>乙醇汽油</w:t>
      </w:r>
      <w:r>
        <w:rPr>
          <w:rFonts w:hint="default" w:ascii="Times New Roman" w:hAnsi="Times New Roman" w:cs="Times New Roman"/>
        </w:rPr>
        <w:t>罐与柴油罐的通气管应分开设置。</w:t>
      </w:r>
      <w:r>
        <w:rPr>
          <w:rFonts w:hint="eastAsia" w:hAnsi="Times New Roman" w:cs="Times New Roman"/>
          <w:lang w:val="en-US" w:eastAsia="zh-CN"/>
        </w:rPr>
        <w:t>沿建构筑物的柱向上敷设的通气管，管口应高出建筑物的顶面2m及以上。通气管管口应设置阻火器</w:t>
      </w:r>
      <w:r>
        <w:rPr>
          <w:rFonts w:hint="default" w:ascii="Times New Roman" w:hAnsi="Times New Roman" w:cs="Times New Roman"/>
        </w:rPr>
        <w:t>。</w:t>
      </w:r>
    </w:p>
    <w:p w14:paraId="5B362CE7">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根据《汽车加油加气加氢站技术标准》（GB50156-2021）第6.3.10条，通气管的公称直径不应小于50mm。</w:t>
      </w:r>
    </w:p>
    <w:p w14:paraId="1934F2F9">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根据《汽车加油加气加氢站技术标准》（GB50156-2021）第6.3.11条，当加油站采用油气回收系统时，</w:t>
      </w:r>
      <w:r>
        <w:rPr>
          <w:rFonts w:hint="eastAsia" w:hAnsi="Times New Roman" w:cs="Times New Roman"/>
          <w:lang w:eastAsia="zh-CN"/>
        </w:rPr>
        <w:t>乙醇汽油</w:t>
      </w:r>
      <w:r>
        <w:rPr>
          <w:rFonts w:hint="default" w:ascii="Times New Roman" w:hAnsi="Times New Roman" w:cs="Times New Roman"/>
        </w:rPr>
        <w:t>罐的通气管管口除应装设阻火器外，尚应装设呼吸阀。呼吸阀的工作正压宜为2kPa～3kPa，工作负压宜为1.5kPa~2kPa。</w:t>
      </w:r>
    </w:p>
    <w:p w14:paraId="37707C9E">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6.3.12条，加油站工艺管道的选用应符合下列规定：①地面敷设的工艺管道应采用符合现行国家标准《输送流体用无缝钢管》GB/T8163的无缝钢管；②其他管道应采用输送流体用无缝钢管或适于输送油品的热塑性塑料管道，所采用的热塑性塑料管道应有质量证明文件，非烃类车用燃料不得采用不导静电的热塑性塑料管道；③无缝钢管的公称壁厚不应小于4mm，埋地钢管的连接应采用焊接；④热塑性塑料管道的主体结构层应为无孔隙聚乙烯材料，壁厚不应小于4mm，埋地部分的热塑性塑料管道应采用配套的专用连接管件电熔连接；⑤导静电热塑性塑料管道导静电衬层的体电阻率应小于10</w:t>
      </w:r>
      <w:r>
        <w:rPr>
          <w:rFonts w:hint="default" w:ascii="Times New Roman" w:hAnsi="Times New Roman" w:cs="Times New Roman"/>
          <w:vertAlign w:val="superscript"/>
        </w:rPr>
        <w:t>8</w:t>
      </w:r>
      <w:r>
        <w:rPr>
          <w:rFonts w:hint="default" w:ascii="Times New Roman" w:hAnsi="Times New Roman" w:cs="Times New Roman"/>
        </w:rPr>
        <w:t>Ω·m，表面电阻率应小于10</w:t>
      </w:r>
      <w:r>
        <w:rPr>
          <w:rFonts w:hint="default" w:ascii="Times New Roman" w:hAnsi="Times New Roman" w:cs="Times New Roman"/>
          <w:vertAlign w:val="superscript"/>
        </w:rPr>
        <w:t>10</w:t>
      </w:r>
      <w:r>
        <w:rPr>
          <w:rFonts w:hint="default" w:ascii="Times New Roman" w:hAnsi="Times New Roman" w:cs="Times New Roman"/>
        </w:rPr>
        <w:t>Ω。</w:t>
      </w:r>
    </w:p>
    <w:p w14:paraId="2F601D1E">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根据《汽车加油加气加氢站技术标准》（GB50156-2021）第6.3.13条，油罐车卸油时用的卸油连通软管、油气回收连通软管，应采用导静电耐油软管，其体电阻率应小于10</w:t>
      </w:r>
      <w:r>
        <w:rPr>
          <w:rFonts w:hint="default" w:ascii="Times New Roman" w:hAnsi="Times New Roman" w:cs="Times New Roman"/>
          <w:vertAlign w:val="superscript"/>
        </w:rPr>
        <w:t>8</w:t>
      </w:r>
      <w:r>
        <w:rPr>
          <w:rFonts w:hint="default" w:ascii="Times New Roman" w:hAnsi="Times New Roman" w:cs="Times New Roman"/>
        </w:rPr>
        <w:t>Ω·m，表面电阻率应小于10</w:t>
      </w:r>
      <w:r>
        <w:rPr>
          <w:rFonts w:hint="default" w:ascii="Times New Roman" w:hAnsi="Times New Roman" w:cs="Times New Roman"/>
          <w:vertAlign w:val="superscript"/>
        </w:rPr>
        <w:t>10</w:t>
      </w:r>
      <w:r>
        <w:rPr>
          <w:rFonts w:hint="default" w:ascii="Times New Roman" w:hAnsi="Times New Roman" w:cs="Times New Roman"/>
        </w:rPr>
        <w:t>Ω，或采用内附金属丝（网）的橡胶软管。</w:t>
      </w:r>
    </w:p>
    <w:p w14:paraId="56D4DAB4">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根据《汽车加油加气加氢站技术标准》（GB50156-2021）第6.3.14条，加油站内的工艺管道除必须露出地面的以外，均应埋地敷设。当采用管沟敷设时，管沟必须用中性沙子或细土填满、填实。</w:t>
      </w:r>
    </w:p>
    <w:p w14:paraId="4BF48EFF">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6.3.15条，卸油管道、卸油油气回收管道、加油油气回收管道和油罐通气管横管，应坡向埋地油罐。卸油管道的坡度不应小于2%，卸油油气回收管道、加油油气回收管道和油罐通气管横管的坡度，不应小于1%。</w:t>
      </w:r>
    </w:p>
    <w:p w14:paraId="553B5A5F">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6.3.16条，受地形限制，加油油气回收管道坡向油罐的坡度无法满足本标准第6.3.14条的要求时，可在管道靠近油罐的位置设置集液器，且管道坡向集液器的坡度不应小于1%。</w:t>
      </w:r>
    </w:p>
    <w:p w14:paraId="3B70014F">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6.3.17条，埋地工艺管道的埋设深度不得小于0.4m。敷设在混凝土场地或道路下面的管道，管顶低于混凝土层下表面不得小于0.2m。管道周围应回填不小于100mm厚的中性沙子或细土。</w:t>
      </w:r>
    </w:p>
    <w:p w14:paraId="33663BBF">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根据《汽车加油加气加氢站技术标准》（GB50156-2021）第6.3.18条，工艺管道不应穿过或跨越站房等与其无直接关系的建（构）筑物；与管沟、电缆沟和排水沟相交叉时，应采取相应的防护措施。</w:t>
      </w:r>
    </w:p>
    <w:p w14:paraId="24DFFB64">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根据《汽车加油加气加氢站技术标准》（GB50156-2021）第6.3.20条，埋地钢质管道外表面的防腐设计，应符合现行国家标准《钢质管道外腐蚀控制规范》GB/T21447的有关规定。</w:t>
      </w:r>
    </w:p>
    <w:p w14:paraId="67EA8F72">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根据《加油站作业安全规范》（AQ3010-2022）第5.2.11条，经双方检查确认具备开阀卸油条件后，将卸油口对应油罐进油阀门打开，在缓慢开启油罐车卸油阀门，通过采取调节阀开度等措施控制卸油流速不大于4.5m/s。</w:t>
      </w:r>
    </w:p>
    <w:p w14:paraId="1CE23DD7">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根据《汽车加油加气加氢站技术标准》（GB50156-2021）第6.5.5条，加油站埋地加油管道应采用双层管道。双层管道的设计应符合下列规定：</w:t>
      </w:r>
      <w:bookmarkStart w:id="327" w:name="_Toc24746"/>
      <w:r>
        <w:rPr>
          <w:rFonts w:hint="default" w:ascii="Times New Roman" w:hAnsi="Times New Roman" w:cs="Times New Roman"/>
        </w:rPr>
        <w:t>①双层管道的内层管应符合本标准第6.3节的有关规定；</w:t>
      </w:r>
      <w:bookmarkEnd w:id="327"/>
      <w:r>
        <w:rPr>
          <w:rFonts w:hint="default" w:ascii="Times New Roman" w:hAnsi="Times New Roman" w:cs="Times New Roman"/>
        </w:rPr>
        <w:t>②采用双层非金属管道时，外层管应满足耐油、耐腐蚀、耐老化和系统试验压力的要求；③双层管道系统的内层管与外层管之间的缝隙应贯通；④双层管道系统的最低点应设检漏点；⑤双层管道坡向检漏点的坡度不应小于5‰，并应保证内层管和外层管任何部位出现渗漏均能在检漏点处被发现；</w:t>
      </w:r>
      <w:bookmarkStart w:id="328" w:name="_Toc25270"/>
      <w:r>
        <w:rPr>
          <w:rFonts w:hint="default" w:ascii="Times New Roman" w:hAnsi="Times New Roman" w:cs="Times New Roman"/>
        </w:rPr>
        <w:t>⑥管道系统的渗漏检测宜采用在线监测系统。</w:t>
      </w:r>
      <w:bookmarkEnd w:id="328"/>
    </w:p>
    <w:p w14:paraId="329517C2">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根据《汽车加油加气加氢站技术标准》（GB50156-2021）第6.5.6条，双层油罐的渗漏检测宜采用在线监测系统。采用液体传感器监测时，传感器的检测精度不应大于3.5mm。</w:t>
      </w:r>
    </w:p>
    <w:p w14:paraId="21B1D101">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根据《油气回收系统防爆技术要求》（GB/T34661-2017）第5.2.1条，加油站油品管道的设计压力应为0.5MPa，油气回收系统回气管道的设计压力不应小于0.13MPa。</w:t>
      </w:r>
    </w:p>
    <w:p w14:paraId="6744CDA9">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油气回收系统防爆技术要求》（GB/T34661-2017）第5.2.2.1条，油罐车卸油管道的公称直径宜为DN100或DN80，油气回收管道直径宜为DN80，比卸油管道直径小一个规格等级（即：DN100的卸油管道应配DN80的油气回收管道，DN80的卸油管道应配DN50的油气回收管道），且不应小于DN50。卸油连通软管、油气回收连通软管，应采用电阻率不大于10</w:t>
      </w:r>
      <w:r>
        <w:rPr>
          <w:rFonts w:hint="default" w:ascii="Times New Roman" w:hAnsi="Times New Roman" w:cs="Times New Roman"/>
          <w:vertAlign w:val="superscript"/>
        </w:rPr>
        <w:t>5</w:t>
      </w:r>
      <w:r>
        <w:rPr>
          <w:rFonts w:hint="default" w:ascii="Times New Roman" w:hAnsi="Times New Roman" w:cs="Times New Roman"/>
        </w:rPr>
        <w:t>Ω·m的耐油软管。</w:t>
      </w:r>
    </w:p>
    <w:p w14:paraId="22AE27DF">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根据《油气回收系统防爆技术要求》（GB/T34661-2017）第5.2.2.2条，油罐车上的油气回收管道接口，应装设手动阀门。</w:t>
      </w:r>
    </w:p>
    <w:p w14:paraId="24C4ACAA">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根据《油气回收系统防爆技术要求》（GB/T34661-2017）第5.2.3.2条，多台</w:t>
      </w:r>
      <w:r>
        <w:rPr>
          <w:rFonts w:hint="eastAsia" w:hAnsi="Times New Roman" w:cs="Times New Roman"/>
          <w:lang w:eastAsia="zh-CN"/>
        </w:rPr>
        <w:t>乙醇汽油</w:t>
      </w:r>
      <w:r>
        <w:rPr>
          <w:rFonts w:hint="default" w:ascii="Times New Roman" w:hAnsi="Times New Roman" w:cs="Times New Roman"/>
        </w:rPr>
        <w:t>加油机公用一根油气回收总管的，各支路油气回收管道与总管之间应分别设置阻火器，油气回收总管直径不应小于DN50。</w:t>
      </w:r>
    </w:p>
    <w:p w14:paraId="28303BEE">
      <w:pPr>
        <w:pStyle w:val="20"/>
        <w:numPr>
          <w:ilvl w:val="0"/>
          <w:numId w:val="13"/>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根据《油气回收系统防爆技术要求》（GB/T34661-2017）第5.2.3.2条，加装油气回收系统的加油机应以油气回收加油枪作为终端。油气回收油枪应具有或通过阀门控制油路、气路同时开启、关闭和自封功能。</w:t>
      </w:r>
    </w:p>
    <w:p w14:paraId="0D0C136A">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329" w:name="_Toc41246727"/>
      <w:bookmarkStart w:id="330" w:name="_Toc11760"/>
      <w:bookmarkStart w:id="331" w:name="_Toc21134"/>
      <w:r>
        <w:rPr>
          <w:rFonts w:hint="default" w:ascii="Times New Roman" w:hAnsi="Times New Roman" w:eastAsia="楷体" w:cs="Times New Roman"/>
          <w:color w:val="auto"/>
          <w:sz w:val="32"/>
          <w:szCs w:val="32"/>
          <w:lang w:val="en-US" w:eastAsia="zh-CN"/>
        </w:rPr>
        <w:t>8.</w:t>
      </w:r>
      <w:bookmarkEnd w:id="329"/>
      <w:r>
        <w:rPr>
          <w:rFonts w:hint="default" w:ascii="Times New Roman" w:hAnsi="Times New Roman" w:eastAsia="楷体" w:cs="Times New Roman"/>
          <w:color w:val="auto"/>
          <w:sz w:val="32"/>
          <w:szCs w:val="32"/>
          <w:lang w:val="en-US" w:eastAsia="zh-CN"/>
        </w:rPr>
        <w:t>3配套和辅助工程</w:t>
      </w:r>
      <w:bookmarkEnd w:id="330"/>
      <w:bookmarkEnd w:id="331"/>
      <w:bookmarkStart w:id="332" w:name="_Toc1267"/>
      <w:bookmarkStart w:id="333" w:name="_Toc41246728"/>
    </w:p>
    <w:p w14:paraId="25F4FA23">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334" w:name="_Toc22844"/>
      <w:bookmarkStart w:id="335" w:name="_Toc146488896"/>
      <w:r>
        <w:rPr>
          <w:rFonts w:hint="default" w:ascii="Times New Roman" w:hAnsi="Times New Roman" w:eastAsia="黑体" w:cs="Times New Roman"/>
          <w:b/>
          <w:bCs/>
          <w:color w:val="auto"/>
          <w:sz w:val="28"/>
          <w:szCs w:val="32"/>
          <w:lang w:val="en-US" w:eastAsia="zh-CN"/>
        </w:rPr>
        <w:t>8.3.1</w:t>
      </w:r>
      <w:bookmarkEnd w:id="332"/>
      <w:r>
        <w:rPr>
          <w:rFonts w:hint="default" w:ascii="Times New Roman" w:hAnsi="Times New Roman" w:eastAsia="黑体" w:cs="Times New Roman"/>
          <w:b/>
          <w:bCs/>
          <w:color w:val="auto"/>
          <w:sz w:val="28"/>
          <w:szCs w:val="32"/>
          <w:lang w:val="en-US" w:eastAsia="zh-CN"/>
        </w:rPr>
        <w:t>供配电</w:t>
      </w:r>
      <w:bookmarkEnd w:id="333"/>
      <w:bookmarkEnd w:id="334"/>
      <w:bookmarkEnd w:id="335"/>
    </w:p>
    <w:p w14:paraId="09C8460C">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根据《汽车加油加气加氢站技术标准》（GB50156-2021）第13.1.1条，加油站的供电负荷等级可为三级，信息系统应设不间断供电电源。</w:t>
      </w:r>
    </w:p>
    <w:p w14:paraId="2F9997F0">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根据《汽车加油加气加氢站技术标准》（GB50156-2021）第13.1.2条，加油站的供电电源宜采用电压为380/220</w:t>
      </w:r>
      <w:r>
        <w:rPr>
          <w:rFonts w:hint="eastAsia" w:hAnsi="Times New Roman" w:cs="Times New Roman"/>
          <w:lang w:val="en-US" w:eastAsia="zh-CN"/>
        </w:rPr>
        <w:t>V</w:t>
      </w:r>
      <w:r>
        <w:rPr>
          <w:rFonts w:hint="default" w:ascii="Times New Roman" w:hAnsi="Times New Roman" w:cs="Times New Roman"/>
        </w:rPr>
        <w:t>的外接电源。</w:t>
      </w:r>
    </w:p>
    <w:p w14:paraId="461FDA04">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根据《汽车加油加气加氢站技术标准》（GB50156-2021）第13.1.3条，本项目罩棚、站房、控制室等处设置的事故照明连续供电时间不应少于90min。</w:t>
      </w:r>
    </w:p>
    <w:p w14:paraId="615F90CD">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根据《汽车加油加气加氢站技术标准》（GB50156-2021）第13.1.5条，加油站的电缆宜采用直埋或电缆穿管敷设。电缆穿越行车道部分应穿钢管保护。</w:t>
      </w:r>
    </w:p>
    <w:p w14:paraId="1A3EF06F">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根据《汽车加油加气加氢站技术标准》（GB50156-2021）第13.1.6条，当采用电缆沟敷设电缆时，作业区内的电缆沟内必须充沙填实。电缆不得与油品管道以及热力管道敷设在同一沟内。</w:t>
      </w:r>
    </w:p>
    <w:p w14:paraId="640F4720">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13.1.7条，爆炸危险区域内的电气设备选型、安装、电力线路敷设等，应符合现行国家标准《爆炸危险环境电力装置设计规范》GB50058的有关规定。根据《爆炸危险环境电力装置设计规范》（GB50058-2014）附录C，爆炸危险区域内电气设备的防爆等级不低于Exd</w:t>
      </w:r>
      <w:r>
        <w:rPr>
          <w:rFonts w:hint="default" w:ascii="Times New Roman" w:hAnsi="Times New Roman" w:cs="Times New Roman"/>
        </w:rPr>
        <w:fldChar w:fldCharType="begin"/>
      </w:r>
      <w:r>
        <w:rPr>
          <w:rFonts w:hint="default" w:ascii="Times New Roman" w:hAnsi="Times New Roman" w:cs="Times New Roman"/>
        </w:rPr>
        <w:instrText xml:space="preserve">= 2 \* ROMAN</w:instrText>
      </w:r>
      <w:r>
        <w:rPr>
          <w:rFonts w:hint="default" w:ascii="Times New Roman" w:hAnsi="Times New Roman" w:cs="Times New Roman"/>
        </w:rPr>
        <w:fldChar w:fldCharType="separate"/>
      </w:r>
      <w:r>
        <w:rPr>
          <w:rFonts w:hint="default" w:ascii="Times New Roman" w:hAnsi="Times New Roman" w:cs="Times New Roman"/>
        </w:rPr>
        <w:t>II</w:t>
      </w:r>
      <w:r>
        <w:rPr>
          <w:rFonts w:hint="default" w:ascii="Times New Roman" w:hAnsi="Times New Roman" w:cs="Times New Roman"/>
        </w:rPr>
        <w:fldChar w:fldCharType="end"/>
      </w:r>
      <w:r>
        <w:rPr>
          <w:rFonts w:hint="default" w:ascii="Times New Roman" w:hAnsi="Times New Roman" w:cs="Times New Roman"/>
        </w:rPr>
        <w:t>BT4级。</w:t>
      </w:r>
    </w:p>
    <w:p w14:paraId="7854A3AA">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根据《汽车加油加气加氢站技术标准》（GB50156-2021）第13.1.8条，加油站内爆炸危险区域以外的照明灯具，可选用非防爆型。罩棚下处于非爆炸危险区域的灯具应选用防护等级不低于IP44级的照明灯具。</w:t>
      </w:r>
    </w:p>
    <w:p w14:paraId="7275FD4E">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根据《电气装置安装工程 接地装置施工及验收规范》（GB50169-2016）第3.0.4条，电气装置的下列金属部分，均必须接地：①电气设备的金属底座、框架及外壳和传动装置；②携带式或移动式用电器具的金属底座和外壳；③配电、控制、保护作用的屏（柜、箱）及操作台的金属框架和底座；④电力电缆的金属护层、接头盒终端头和金属保护管及二次电缆的屏蔽层；⑤配电装置的金属遮拦；⑥电热设备的金属外壳。</w:t>
      </w:r>
    </w:p>
    <w:p w14:paraId="579FF1BC">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根据《爆炸危险环境电力装置设计规范》（GB50058-2014）第5.4.1.2条，加油作业区电线采用金属导管配线。无护套的电线不应作为供配电线路。</w:t>
      </w:r>
    </w:p>
    <w:p w14:paraId="09762855">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爆炸危险环境电力装置设计规范》（GB50058-2014）第5.4.1.4条，加油作业区的电缆明设或在沟内敷设时电缆的最小截面应符合下列规定：①在1区内应采用铜芯电缆；除本质安全电路外，在2区内宜采用铜芯电缆。铜芯电力电缆横截面尺不应小于2.5mm</w:t>
      </w:r>
      <w:r>
        <w:rPr>
          <w:rFonts w:hint="default" w:ascii="Times New Roman" w:hAnsi="Times New Roman" w:cs="Times New Roman"/>
          <w:vertAlign w:val="superscript"/>
        </w:rPr>
        <w:t>2</w:t>
      </w:r>
      <w:r>
        <w:rPr>
          <w:rFonts w:hint="default" w:ascii="Times New Roman" w:hAnsi="Times New Roman" w:cs="Times New Roman"/>
        </w:rPr>
        <w:t>，控制电缆铜芯横截面不应小于1.0mm</w:t>
      </w:r>
      <w:r>
        <w:rPr>
          <w:rFonts w:hint="default" w:ascii="Times New Roman" w:hAnsi="Times New Roman" w:cs="Times New Roman"/>
          <w:vertAlign w:val="superscript"/>
        </w:rPr>
        <w:t>2</w:t>
      </w:r>
      <w:r>
        <w:rPr>
          <w:rFonts w:hint="default" w:ascii="Times New Roman" w:hAnsi="Times New Roman" w:cs="Times New Roman"/>
        </w:rPr>
        <w:t>；②在2区内，电力铜芯电缆不应小于1.5mm</w:t>
      </w:r>
      <w:r>
        <w:rPr>
          <w:rFonts w:hint="default" w:ascii="Times New Roman" w:hAnsi="Times New Roman" w:cs="Times New Roman"/>
          <w:vertAlign w:val="superscript"/>
        </w:rPr>
        <w:t>2</w:t>
      </w:r>
      <w:r>
        <w:rPr>
          <w:rFonts w:hint="default" w:ascii="Times New Roman" w:hAnsi="Times New Roman" w:cs="Times New Roman"/>
        </w:rPr>
        <w:t>，照明铜芯电缆不应小于1.5mm</w:t>
      </w:r>
      <w:r>
        <w:rPr>
          <w:rFonts w:hint="default" w:ascii="Times New Roman" w:hAnsi="Times New Roman" w:cs="Times New Roman"/>
          <w:vertAlign w:val="superscript"/>
        </w:rPr>
        <w:t>2</w:t>
      </w:r>
      <w:r>
        <w:rPr>
          <w:rFonts w:hint="default" w:ascii="Times New Roman" w:hAnsi="Times New Roman" w:cs="Times New Roman"/>
        </w:rPr>
        <w:t>，控制铜芯电缆不应小于1.0 mm</w:t>
      </w:r>
      <w:r>
        <w:rPr>
          <w:rFonts w:hint="default" w:ascii="Times New Roman" w:hAnsi="Times New Roman" w:cs="Times New Roman"/>
          <w:vertAlign w:val="superscript"/>
        </w:rPr>
        <w:t>2</w:t>
      </w:r>
      <w:r>
        <w:rPr>
          <w:rFonts w:hint="default" w:ascii="Times New Roman" w:hAnsi="Times New Roman" w:cs="Times New Roman"/>
        </w:rPr>
        <w:t>。</w:t>
      </w:r>
    </w:p>
    <w:p w14:paraId="544FFAB7">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爆炸危险环境电力装置设计规范》（GB50058-2014）第5.4.3条，电气线路宜直接埋地敷设，采用电缆沟敷设时沟内应充砂。敷设电气线路的沟道或导管，所穿过的不同区域之间墙或楼板处的孔洞应用用非燃烧材料严密封堵。</w:t>
      </w:r>
    </w:p>
    <w:p w14:paraId="36332700">
      <w:pPr>
        <w:pStyle w:val="20"/>
        <w:numPr>
          <w:ilvl w:val="0"/>
          <w:numId w:val="14"/>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根据《爆炸危险环境电力装置设计规范》（GB50058-2014）第5.4.3.5条，加油机作业区在爆炸性气体环境内钢管配线的电气线路应做好隔离密封。在1区加油机内和操作井内电缆线路严禁有中间接头。</w:t>
      </w:r>
    </w:p>
    <w:p w14:paraId="7F1D8509">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336" w:name="_Toc6885"/>
      <w:bookmarkStart w:id="337" w:name="_Toc41246729"/>
      <w:bookmarkStart w:id="338" w:name="_Toc13322"/>
      <w:bookmarkStart w:id="339" w:name="_Toc146488897"/>
      <w:bookmarkStart w:id="340" w:name="_Toc41246730"/>
      <w:r>
        <w:rPr>
          <w:rFonts w:hint="default" w:ascii="Times New Roman" w:hAnsi="Times New Roman" w:eastAsia="黑体" w:cs="Times New Roman"/>
          <w:b/>
          <w:bCs/>
          <w:color w:val="auto"/>
          <w:sz w:val="28"/>
          <w:szCs w:val="32"/>
          <w:lang w:val="en-US" w:eastAsia="zh-CN"/>
        </w:rPr>
        <w:t>8.3.2</w:t>
      </w:r>
      <w:bookmarkEnd w:id="336"/>
      <w:r>
        <w:rPr>
          <w:rFonts w:hint="default" w:ascii="Times New Roman" w:hAnsi="Times New Roman" w:eastAsia="黑体" w:cs="Times New Roman"/>
          <w:b/>
          <w:bCs/>
          <w:color w:val="auto"/>
          <w:sz w:val="28"/>
          <w:szCs w:val="32"/>
          <w:lang w:val="en-US" w:eastAsia="zh-CN"/>
        </w:rPr>
        <w:t>防雷、防静电</w:t>
      </w:r>
      <w:bookmarkEnd w:id="337"/>
      <w:bookmarkEnd w:id="338"/>
      <w:bookmarkEnd w:id="339"/>
    </w:p>
    <w:p w14:paraId="18E9BFEF">
      <w:pPr>
        <w:pStyle w:val="20"/>
        <w:numPr>
          <w:ilvl w:val="0"/>
          <w:numId w:val="15"/>
        </w:numPr>
        <w:tabs>
          <w:tab w:val="left" w:pos="1280"/>
        </w:tabs>
        <w:overflowPunct w:val="0"/>
        <w:ind w:firstLine="560" w:firstLineChars="200"/>
        <w:jc w:val="both"/>
        <w:rPr>
          <w:rFonts w:hint="default" w:ascii="Times New Roman" w:hAnsi="Times New Roman" w:cs="Times New Roman"/>
        </w:rPr>
      </w:pPr>
      <w:bookmarkStart w:id="341" w:name="_Toc545"/>
      <w:r>
        <w:rPr>
          <w:rFonts w:hint="default" w:ascii="Times New Roman" w:hAnsi="Times New Roman" w:cs="Times New Roman"/>
        </w:rPr>
        <w:t>根据《汽车加油加气加氢站技术标准》（GB50156-2021）第13.2.1条，储油罐必须进行防雷接地，接地点不应少于两处。</w:t>
      </w:r>
    </w:p>
    <w:p w14:paraId="2FD37E73">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根据《汽车加油加气加氢站技术标准》（GB50156-2021）第13.2.2条，本项目防雷接地、防静电接地、电气设备的工作接地、保护接地及信息系统的接地等，宜共用接地装置，接地电阻不应大于4Ω。</w:t>
      </w:r>
    </w:p>
    <w:p w14:paraId="022B3F9B">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根据《汽车加油加气加氢站技术标准》（GB50156-2021）第13.2.4条，埋地钢制油罐以及非金属油罐顶部的金属部件和罐内的各金属部件，必须与非埋地部分的工艺金属管道相互做电气连接并接地。</w:t>
      </w:r>
    </w:p>
    <w:p w14:paraId="75FEF391">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根据《汽车加油加气加氢站技术标准》（GB50156-2021）第13.2.5条，加油站内油气放空管在接入全站共用接地装置后，可不单独做防雷接地。</w:t>
      </w:r>
    </w:p>
    <w:p w14:paraId="3B802A4F">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13.2.6条，当汽车加油站内的站房和罩棚等建筑物需要防直击雷时，应采用接闪带（网）保护。当罩棚采用金属屋面时，宜利用屋面作为接闪器，但应符合下列规定：①板间的连接应是持久的电气贯通，可采用铜锌合金焊、熔焊、卷边压接、缝接、螺钉或螺栓连接；②金属板下面不应有易燃物品，热镀锌钢板的厚度不应小于0.5mm，铝板的厚度不应小于0.65mm，锌板的厚度不应小于0.7mm；</w:t>
      </w:r>
      <w:bookmarkStart w:id="342" w:name="_Toc24131"/>
      <w:r>
        <w:rPr>
          <w:rFonts w:hint="default" w:ascii="Times New Roman" w:hAnsi="Times New Roman" w:cs="Times New Roman"/>
        </w:rPr>
        <w:t>③金属板应无绝缘被覆层。</w:t>
      </w:r>
      <w:bookmarkEnd w:id="342"/>
    </w:p>
    <w:p w14:paraId="31464D08">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根据《汽车加油加气加氢站技术标准》（GB50156-2021）第13.2.7条，储罐液位、泄漏监测系统应采用铠装电缆或导线穿钢管配线。配线电缆金属层两端、保护钢管两端均应接地。</w:t>
      </w:r>
    </w:p>
    <w:p w14:paraId="7881E0F7">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根据《汽车加油加气加氢站技术标准》（GB50156-2021）第13.2.8条，加油站信息系统的配电线路首、末端与电子器件连接时，应装设与电子器件耐压水平相适应的过电压(电涌)保护器。</w:t>
      </w:r>
    </w:p>
    <w:p w14:paraId="45135065">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13.2.9条，380/220V供配电系统宜采用TN-S系统，当外供电源为380V时，可采用TN-C-S系统。供电系统的电缆金属外皮或电缆金属保护管两端均应接地，在供配电系统的电源端应安装与设备耐压水平相适应的过电压（电涌）保护器。</w:t>
      </w:r>
    </w:p>
    <w:p w14:paraId="458A352A">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根据《汽车加油加气加氢站技术标准》（GB50156-2021）第13.2.11条，加油站的油罐车卸车场地应设卸车用的防静电接地装置，并应设置能检测跨接线及监视接地装置状态的静电接地仪。</w:t>
      </w:r>
    </w:p>
    <w:p w14:paraId="6EAEF3B2">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根据《汽车加油加气加氢站技术标准》（GB50156-2021）第13.2.12条，在爆炸危险区域内工艺管道上的法兰、胶管两端等连接处应用金属线跨接。当法兰的连接螺栓不少于5根时，在非腐蚀环境下可不跨接。</w:t>
      </w:r>
    </w:p>
    <w:p w14:paraId="184798EC">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根据《汽车加油加气加氢站技术标准》（GB50156-2021）第13.2.13条，油罐车卸油用的卸油软管、油气回收软管与两端接头，应保证可靠的电气连接。</w:t>
      </w:r>
    </w:p>
    <w:p w14:paraId="0687F4D4">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根据《汽车加油加气加氢站技术标准》（GB50156-2021）第13.2.14条，采用导静电的热塑性塑料管道时，导电内衬应接地。</w:t>
      </w:r>
    </w:p>
    <w:p w14:paraId="60F85196">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根据《汽车加油加气加氢站技术标准》（GB50156-2021）第13.2.16条，油罐车卸车场地内用于防静电跨接的固定接地装置不应设置在爆炸危险1区。</w:t>
      </w:r>
    </w:p>
    <w:p w14:paraId="07D932CC">
      <w:pPr>
        <w:pStyle w:val="20"/>
        <w:numPr>
          <w:ilvl w:val="0"/>
          <w:numId w:val="15"/>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根据《防雷减灾管理办法》（气象局令[20</w:t>
      </w:r>
      <w:r>
        <w:rPr>
          <w:rFonts w:hint="eastAsia" w:hAnsi="Times New Roman" w:cs="Times New Roman"/>
          <w:lang w:val="en-US" w:eastAsia="zh-CN"/>
        </w:rPr>
        <w:t>25</w:t>
      </w:r>
      <w:r>
        <w:rPr>
          <w:rFonts w:hint="default" w:ascii="Times New Roman" w:hAnsi="Times New Roman" w:cs="Times New Roman"/>
        </w:rPr>
        <w:t>]第</w:t>
      </w:r>
      <w:r>
        <w:rPr>
          <w:rFonts w:hint="eastAsia" w:hAnsi="Times New Roman" w:cs="Times New Roman"/>
          <w:lang w:val="en-US" w:eastAsia="zh-CN"/>
        </w:rPr>
        <w:t>44</w:t>
      </w:r>
      <w:r>
        <w:rPr>
          <w:rFonts w:hint="default" w:ascii="Times New Roman" w:hAnsi="Times New Roman" w:cs="Times New Roman"/>
        </w:rPr>
        <w:t>号）第</w:t>
      </w:r>
      <w:r>
        <w:rPr>
          <w:rFonts w:hint="eastAsia" w:hAnsi="Times New Roman" w:cs="Times New Roman"/>
          <w:lang w:val="en-US" w:eastAsia="zh-CN"/>
        </w:rPr>
        <w:t>十三</w:t>
      </w:r>
      <w:r>
        <w:rPr>
          <w:rFonts w:hint="default" w:ascii="Times New Roman" w:hAnsi="Times New Roman" w:cs="Times New Roman"/>
        </w:rPr>
        <w:t>条，投入使用后的雷电防护装置应当根据国家有关建筑物防雷标准实行定期检测制度。雷电防护装置应当每年检测一次，对爆炸和火灾危险环境场所的雷电防护装置应当每半年检测一次。</w:t>
      </w:r>
    </w:p>
    <w:p w14:paraId="4A3EEC14">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343" w:name="_Toc146488898"/>
      <w:bookmarkStart w:id="344" w:name="_Toc20542"/>
      <w:bookmarkStart w:id="345" w:name="_Toc16154"/>
      <w:r>
        <w:rPr>
          <w:rFonts w:hint="default" w:ascii="Times New Roman" w:hAnsi="Times New Roman" w:eastAsia="黑体" w:cs="Times New Roman"/>
          <w:b/>
          <w:bCs/>
          <w:color w:val="auto"/>
          <w:sz w:val="28"/>
          <w:szCs w:val="32"/>
          <w:lang w:val="en-US" w:eastAsia="zh-CN"/>
        </w:rPr>
        <w:t>8.3.3</w:t>
      </w:r>
      <w:bookmarkEnd w:id="341"/>
      <w:r>
        <w:rPr>
          <w:rFonts w:hint="default" w:ascii="Times New Roman" w:hAnsi="Times New Roman" w:eastAsia="黑体" w:cs="Times New Roman"/>
          <w:b/>
          <w:bCs/>
          <w:color w:val="auto"/>
          <w:sz w:val="28"/>
          <w:szCs w:val="32"/>
          <w:lang w:val="en-US" w:eastAsia="zh-CN"/>
        </w:rPr>
        <w:t>紧急切断系统</w:t>
      </w:r>
      <w:bookmarkEnd w:id="343"/>
      <w:bookmarkEnd w:id="344"/>
      <w:bookmarkEnd w:id="345"/>
    </w:p>
    <w:p w14:paraId="0FEFB06D">
      <w:pPr>
        <w:pStyle w:val="20"/>
        <w:numPr>
          <w:ilvl w:val="0"/>
          <w:numId w:val="16"/>
        </w:numPr>
        <w:tabs>
          <w:tab w:val="left" w:pos="1280"/>
        </w:tabs>
        <w:overflowPunct w:val="0"/>
        <w:ind w:firstLine="560" w:firstLineChars="200"/>
        <w:jc w:val="both"/>
        <w:rPr>
          <w:rFonts w:hint="default" w:ascii="Times New Roman" w:hAnsi="Times New Roman" w:cs="Times New Roman"/>
        </w:rPr>
      </w:pPr>
      <w:bookmarkStart w:id="346" w:name="_Toc30563"/>
      <w:r>
        <w:rPr>
          <w:rFonts w:hint="default" w:ascii="Times New Roman" w:hAnsi="Times New Roman" w:cs="Times New Roman"/>
        </w:rPr>
        <w:t>根据《汽车加油加气加氢站技术标准》（GB50156-2021）第13.5.</w:t>
      </w:r>
      <w:r>
        <w:rPr>
          <w:rFonts w:hint="eastAsia" w:hAnsi="Times New Roman" w:cs="Times New Roman"/>
          <w:lang w:val="en-US" w:eastAsia="zh-CN"/>
        </w:rPr>
        <w:t>1</w:t>
      </w:r>
      <w:r>
        <w:rPr>
          <w:rFonts w:hint="default" w:ascii="Times New Roman" w:hAnsi="Times New Roman" w:cs="Times New Roman"/>
        </w:rPr>
        <w:t>条，</w:t>
      </w:r>
      <w:r>
        <w:rPr>
          <w:rFonts w:hint="eastAsia" w:hAnsi="Times New Roman" w:cs="Times New Roman"/>
          <w:lang w:val="en-US" w:eastAsia="zh-CN"/>
        </w:rPr>
        <w:t>加油站应设置紧急切断系统，该系统应能在事故状态下实现紧急停车和关闭紧急切断阀的保护功能。</w:t>
      </w:r>
    </w:p>
    <w:p w14:paraId="781AC4E2">
      <w:pPr>
        <w:pStyle w:val="20"/>
        <w:numPr>
          <w:ilvl w:val="0"/>
          <w:numId w:val="16"/>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13.5.2条，紧急切断系统应至少在下列位置设置紧急切断按钮：①在汽车加油站现场工作人员容易接近且较为安全的位置；②在控制室、值班室内或站房收银台等有人员值守的位置。</w:t>
      </w:r>
    </w:p>
    <w:p w14:paraId="1722042F">
      <w:pPr>
        <w:pStyle w:val="20"/>
        <w:numPr>
          <w:ilvl w:val="0"/>
          <w:numId w:val="16"/>
        </w:numPr>
        <w:tabs>
          <w:tab w:val="left" w:pos="1280"/>
        </w:tabs>
        <w:overflowPunct w:val="0"/>
        <w:ind w:firstLine="560" w:firstLineChars="200"/>
        <w:jc w:val="both"/>
        <w:rPr>
          <w:rFonts w:hint="default" w:ascii="Times New Roman" w:hAnsi="Times New Roman" w:cs="Times New Roman"/>
          <w:highlight w:val="none"/>
        </w:rPr>
      </w:pPr>
      <w:r>
        <w:rPr>
          <w:rFonts w:hint="default" w:ascii="Times New Roman" w:hAnsi="Times New Roman" w:cs="Times New Roman"/>
          <w:highlight w:val="none"/>
        </w:rPr>
        <w:t>根据《汽车加油加气加氢站技术标准》（GB50156-2021）第13.5.3条，工艺设备的电源</w:t>
      </w:r>
      <w:r>
        <w:rPr>
          <w:rFonts w:hint="eastAsia" w:hAnsi="Times New Roman" w:cs="Times New Roman"/>
          <w:highlight w:val="none"/>
          <w:lang w:val="en-US" w:eastAsia="zh-CN"/>
        </w:rPr>
        <w:t>和工艺管道上的紧急切断阀应能由手动</w:t>
      </w:r>
      <w:r>
        <w:rPr>
          <w:rFonts w:hint="default" w:ascii="Times New Roman" w:hAnsi="Times New Roman" w:cs="Times New Roman"/>
          <w:highlight w:val="none"/>
        </w:rPr>
        <w:t>启动的远程控制切断系统操纵关闭。</w:t>
      </w:r>
    </w:p>
    <w:p w14:paraId="14C2708A">
      <w:pPr>
        <w:pStyle w:val="20"/>
        <w:numPr>
          <w:ilvl w:val="0"/>
          <w:numId w:val="16"/>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根据《汽车加油加气加氢站技术标准》（GB50156-2021）第13.5.4条，紧急切断系统应只能手动复位。</w:t>
      </w:r>
    </w:p>
    <w:p w14:paraId="2D631348">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347" w:name="_Toc146488899"/>
      <w:bookmarkStart w:id="348" w:name="_Toc28090"/>
      <w:r>
        <w:rPr>
          <w:rFonts w:hint="default" w:ascii="Times New Roman" w:hAnsi="Times New Roman" w:eastAsia="黑体" w:cs="Times New Roman"/>
          <w:b/>
          <w:bCs/>
          <w:color w:val="auto"/>
          <w:sz w:val="28"/>
          <w:szCs w:val="32"/>
          <w:lang w:val="en-US" w:eastAsia="zh-CN"/>
        </w:rPr>
        <w:t>8.3.4消防设施及排水</w:t>
      </w:r>
      <w:bookmarkEnd w:id="347"/>
      <w:bookmarkEnd w:id="348"/>
    </w:p>
    <w:p w14:paraId="23F1E4FE">
      <w:pPr>
        <w:pStyle w:val="20"/>
        <w:numPr>
          <w:ilvl w:val="0"/>
          <w:numId w:val="17"/>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12.1.1条，加油作业区每2台加油机应配置不少于2具5kg手提式干粉灭火器，或1具5kg手提式干粉灭火器和1具6L泡沫灭火器。地下储罐应配置1台不小于35kg推车式干粉灭火器。</w:t>
      </w:r>
      <w:r>
        <w:rPr>
          <w:rFonts w:hint="eastAsia" w:hAnsi="Times New Roman" w:cs="Times New Roman"/>
          <w:lang w:val="en-US" w:eastAsia="zh-CN"/>
        </w:rPr>
        <w:t>二级加油加气合建站</w:t>
      </w:r>
      <w:r>
        <w:rPr>
          <w:rFonts w:hint="default" w:ascii="Times New Roman" w:hAnsi="Times New Roman" w:cs="Times New Roman"/>
        </w:rPr>
        <w:t>应配置灭火毯5块、沙子2m</w:t>
      </w:r>
      <w:r>
        <w:rPr>
          <w:rFonts w:hint="default" w:ascii="Times New Roman" w:hAnsi="Times New Roman" w:cs="Times New Roman"/>
          <w:vertAlign w:val="superscript"/>
        </w:rPr>
        <w:t>3</w:t>
      </w:r>
      <w:r>
        <w:rPr>
          <w:rFonts w:hint="default" w:ascii="Times New Roman" w:hAnsi="Times New Roman" w:cs="Times New Roman"/>
        </w:rPr>
        <w:t>。</w:t>
      </w:r>
    </w:p>
    <w:p w14:paraId="60F94E13">
      <w:pPr>
        <w:pStyle w:val="20"/>
        <w:numPr>
          <w:ilvl w:val="0"/>
          <w:numId w:val="17"/>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lang w:val="zh-CN"/>
        </w:rPr>
        <w:t>根据</w:t>
      </w:r>
      <w:r>
        <w:rPr>
          <w:rFonts w:hint="default" w:ascii="Times New Roman" w:hAnsi="Times New Roman" w:cs="Times New Roman"/>
        </w:rPr>
        <w:t>《汽车加油加气加氢站技术标准》（GB50156-2021）</w:t>
      </w:r>
      <w:r>
        <w:rPr>
          <w:rFonts w:hint="default" w:ascii="Times New Roman" w:hAnsi="Times New Roman" w:cs="Times New Roman"/>
          <w:lang w:val="zh-CN"/>
        </w:rPr>
        <w:t>第1</w:t>
      </w:r>
      <w:r>
        <w:rPr>
          <w:rFonts w:hint="default" w:ascii="Times New Roman" w:hAnsi="Times New Roman" w:cs="Times New Roman"/>
        </w:rPr>
        <w:t>2</w:t>
      </w:r>
      <w:r>
        <w:rPr>
          <w:rFonts w:hint="default" w:ascii="Times New Roman" w:hAnsi="Times New Roman" w:cs="Times New Roman"/>
          <w:lang w:val="zh-CN"/>
        </w:rPr>
        <w:t>.1.2条，其余建筑的灭火器配置，应符合现行国家标准《建筑灭火器配置设计规范》（GB 50140-2005）的规定。</w:t>
      </w:r>
    </w:p>
    <w:p w14:paraId="538E1440">
      <w:pPr>
        <w:pStyle w:val="20"/>
        <w:numPr>
          <w:ilvl w:val="0"/>
          <w:numId w:val="17"/>
        </w:numPr>
        <w:tabs>
          <w:tab w:val="left" w:pos="1280"/>
        </w:tabs>
        <w:overflowPunct w:val="0"/>
        <w:ind w:firstLine="560" w:firstLineChars="200"/>
        <w:jc w:val="both"/>
        <w:rPr>
          <w:rFonts w:hint="default" w:ascii="Times New Roman" w:hAnsi="Times New Roman" w:cs="Times New Roman"/>
          <w:highlight w:val="none"/>
        </w:rPr>
      </w:pPr>
      <w:r>
        <w:rPr>
          <w:rFonts w:hint="default" w:ascii="Times New Roman" w:hAnsi="Times New Roman" w:cs="Times New Roman"/>
          <w:highlight w:val="none"/>
        </w:rPr>
        <w:t>根据《汽车加油加气加氢站技术标准》（GB50156-2021）第12.3.2条，加油站的排水应符合下列规定：①站内地面雨水可散流排出站外②加油站排出建筑物或围墙的污水，在建筑物墙外或围墙内应分别设水封井。水封井的水封高度不应小于0.25m；水封井应设沉泥段，沉泥段高度不应小于0.25m；③清洗油罐的污水应集中收集处理，不应直接进入排水管道；④排出站外的污水应符合国家有关的污水排放标准；⑤加油站不应采用暗沟排水。</w:t>
      </w:r>
    </w:p>
    <w:p w14:paraId="2C6F93C8">
      <w:pPr>
        <w:pStyle w:val="20"/>
        <w:numPr>
          <w:ilvl w:val="0"/>
          <w:numId w:val="17"/>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根据《加油站作业安全规范》（AQ3010-2022）第8.1.13条，清出的罐底污杂应存放在油桶或指定容器内并作出危险废弃物的标识，不应随意倾倒。</w:t>
      </w:r>
    </w:p>
    <w:p w14:paraId="2803EE02">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349" w:name="_Toc146488900"/>
      <w:bookmarkStart w:id="350" w:name="_Toc5934"/>
      <w:r>
        <w:rPr>
          <w:rFonts w:hint="default" w:ascii="Times New Roman" w:hAnsi="Times New Roman" w:eastAsia="黑体" w:cs="Times New Roman"/>
          <w:b/>
          <w:bCs/>
          <w:color w:val="auto"/>
          <w:sz w:val="28"/>
          <w:szCs w:val="32"/>
          <w:lang w:val="en-US" w:eastAsia="zh-CN"/>
        </w:rPr>
        <w:t>8.3.5建（构）筑物</w:t>
      </w:r>
      <w:bookmarkEnd w:id="349"/>
      <w:bookmarkEnd w:id="350"/>
    </w:p>
    <w:bookmarkEnd w:id="340"/>
    <w:bookmarkEnd w:id="346"/>
    <w:p w14:paraId="10D67652">
      <w:pPr>
        <w:pStyle w:val="20"/>
        <w:numPr>
          <w:ilvl w:val="0"/>
          <w:numId w:val="18"/>
        </w:numPr>
        <w:tabs>
          <w:tab w:val="left" w:pos="1280"/>
        </w:tabs>
        <w:overflowPunct w:val="0"/>
        <w:ind w:firstLine="560" w:firstLineChars="200"/>
        <w:jc w:val="both"/>
        <w:rPr>
          <w:rFonts w:hint="default" w:ascii="Times New Roman" w:hAnsi="Times New Roman" w:cs="Times New Roman"/>
        </w:rPr>
      </w:pPr>
      <w:bookmarkStart w:id="351" w:name="_Toc41246731"/>
      <w:r>
        <w:rPr>
          <w:rFonts w:hint="default" w:ascii="Times New Roman" w:hAnsi="Times New Roman" w:cs="Times New Roman"/>
        </w:rPr>
        <w:t>根据《汽车加油加气加氢站技术标准》（GB50156-2021）第14.2.1条，加油作业区内的站房及其它附属建筑物的耐火等级不应低于二级。罩棚顶棚可采用无防火保护的钢结构。</w:t>
      </w:r>
    </w:p>
    <w:p w14:paraId="41AD888D">
      <w:pPr>
        <w:pStyle w:val="20"/>
        <w:numPr>
          <w:ilvl w:val="0"/>
          <w:numId w:val="18"/>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根据《汽车加油加气加氢站技术标准》（GB50156-2021）第14.2.2条，汽车加油场地罩棚柱应有防止车辆碰撞的技术措施。</w:t>
      </w:r>
    </w:p>
    <w:p w14:paraId="5766E9AE">
      <w:pPr>
        <w:pStyle w:val="20"/>
        <w:numPr>
          <w:ilvl w:val="0"/>
          <w:numId w:val="18"/>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14.2.3条，加油岛的设计应符合下列规定：①加油岛应高出停车位的地坪0.15-0.20m；②加油岛两端的宽度不应小于1.2m；③加油岛上的罩棚立柱边缘距离端部不应小于0.6m；④靠近岛端部的加油机等岛上的工艺设备应有防止车辆误碰撞的措施和警示标识。采用钢管防撞柱（栏）时，其钢管的直径不应小于100mm，高度不应小于0.5m，并应设置牢固。</w:t>
      </w:r>
    </w:p>
    <w:p w14:paraId="5FF8CC7C">
      <w:pPr>
        <w:pStyle w:val="20"/>
        <w:numPr>
          <w:ilvl w:val="0"/>
          <w:numId w:val="18"/>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根据《汽车加油加气加氢站技术标准》（GB50156-2021）第14.2.9条，站房可由办公室、值班室、营业室、控制室、变配电室、卫生间和便利店等组成，站房内可设非明火餐厨设备。</w:t>
      </w:r>
    </w:p>
    <w:p w14:paraId="162F0A22">
      <w:pPr>
        <w:pStyle w:val="20"/>
        <w:numPr>
          <w:ilvl w:val="0"/>
          <w:numId w:val="18"/>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根据《汽车加油加气加氢站技术标准》（GB50156-2021）第14.2.10条，站房的一部分位于加油站作业区时，该加油站房的建筑面积不宜超过300m</w:t>
      </w:r>
      <w:r>
        <w:rPr>
          <w:rFonts w:hint="default" w:ascii="Times New Roman" w:hAnsi="Times New Roman" w:cs="Times New Roman"/>
          <w:vertAlign w:val="superscript"/>
        </w:rPr>
        <w:t>2</w:t>
      </w:r>
      <w:r>
        <w:rPr>
          <w:rFonts w:hint="default" w:ascii="Times New Roman" w:hAnsi="Times New Roman" w:cs="Times New Roman"/>
        </w:rPr>
        <w:t>，且该加油站房内不得有明火设备。</w:t>
      </w:r>
    </w:p>
    <w:p w14:paraId="0545D993">
      <w:pPr>
        <w:pStyle w:val="20"/>
        <w:numPr>
          <w:ilvl w:val="0"/>
          <w:numId w:val="18"/>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根据《汽车加油加气加氢站技术标准》（GB50156-2021）第14.2.12条，站房与餐厅、汽车服务、锅炉房、厨房、员工宿舍、司机休息室等设施合建，之间应设置无门窗洞口，且耐火极限不低于3.00h的实体墙。</w:t>
      </w:r>
    </w:p>
    <w:p w14:paraId="396FEC7A">
      <w:pPr>
        <w:pStyle w:val="20"/>
        <w:numPr>
          <w:ilvl w:val="0"/>
          <w:numId w:val="18"/>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根据《汽车加油加气加氢站技术标准》（GB50156-2021）第14.2.15条，加油站内不应建地下和半地下室。</w:t>
      </w:r>
    </w:p>
    <w:p w14:paraId="014D051E">
      <w:pPr>
        <w:pStyle w:val="20"/>
        <w:numPr>
          <w:ilvl w:val="0"/>
          <w:numId w:val="18"/>
        </w:numPr>
        <w:tabs>
          <w:tab w:val="left" w:pos="1280"/>
        </w:tabs>
        <w:overflowPunct w:val="0"/>
        <w:ind w:firstLine="560" w:firstLineChars="200"/>
        <w:jc w:val="both"/>
        <w:rPr>
          <w:rFonts w:hint="default" w:ascii="Times New Roman" w:hAnsi="Times New Roman" w:cs="Times New Roman"/>
        </w:rPr>
      </w:pPr>
      <w:r>
        <w:rPr>
          <w:rFonts w:hint="default" w:ascii="Times New Roman" w:hAnsi="Times New Roman" w:cs="Times New Roman"/>
        </w:rPr>
        <w:t>根据《汽车加油加气加氢站技术标准》（GB50156-2021）第14.2.16条，埋地油罐的操作井、位于作业区的排水井应采取防渗漏措施，位于爆炸危险区域内的操作井和排水井应有防止产生火花的措施。</w:t>
      </w:r>
    </w:p>
    <w:p w14:paraId="6D133273">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352" w:name="_Toc12528"/>
      <w:bookmarkStart w:id="353" w:name="_Toc146488902"/>
      <w:r>
        <w:rPr>
          <w:rFonts w:hint="default" w:ascii="Times New Roman" w:hAnsi="Times New Roman" w:eastAsia="黑体" w:cs="Times New Roman"/>
          <w:b/>
          <w:bCs/>
          <w:color w:val="auto"/>
          <w:sz w:val="28"/>
          <w:szCs w:val="32"/>
          <w:lang w:val="en-US" w:eastAsia="zh-CN"/>
        </w:rPr>
        <w:t>8.3.</w:t>
      </w:r>
      <w:r>
        <w:rPr>
          <w:rFonts w:hint="eastAsia" w:eastAsia="黑体" w:cs="Times New Roman"/>
          <w:b/>
          <w:bCs/>
          <w:color w:val="auto"/>
          <w:sz w:val="28"/>
          <w:szCs w:val="32"/>
          <w:lang w:val="en-US" w:eastAsia="zh-CN"/>
        </w:rPr>
        <w:t>6</w:t>
      </w:r>
      <w:r>
        <w:rPr>
          <w:rFonts w:hint="default" w:ascii="Times New Roman" w:hAnsi="Times New Roman" w:eastAsia="黑体" w:cs="Times New Roman"/>
          <w:b/>
          <w:bCs/>
          <w:color w:val="auto"/>
          <w:sz w:val="28"/>
          <w:szCs w:val="32"/>
          <w:lang w:val="en-US" w:eastAsia="zh-CN"/>
        </w:rPr>
        <w:t>绿化</w:t>
      </w:r>
      <w:bookmarkEnd w:id="352"/>
      <w:bookmarkEnd w:id="353"/>
    </w:p>
    <w:p w14:paraId="7812C3F3">
      <w:pPr>
        <w:pStyle w:val="5"/>
        <w:keepNext w:val="0"/>
        <w:keepLines w:val="0"/>
        <w:pageBreakBefore w:val="0"/>
        <w:widowControl w:val="0"/>
        <w:numPr>
          <w:ilvl w:val="0"/>
          <w:numId w:val="19"/>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根据《汽车加油加气加氢站技术标准》（GB50156-2021）第14.3.1条，汽车加油加气加氢站作业区内不得种植油性植物。</w:t>
      </w:r>
      <w:bookmarkEnd w:id="351"/>
    </w:p>
    <w:p w14:paraId="782F9B4F">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354" w:name="_Toc13029"/>
      <w:r>
        <w:rPr>
          <w:rFonts w:hint="default" w:ascii="Times New Roman" w:hAnsi="Times New Roman" w:eastAsia="黑体" w:cs="Times New Roman"/>
          <w:b/>
          <w:bCs/>
          <w:color w:val="auto"/>
          <w:sz w:val="28"/>
          <w:szCs w:val="32"/>
          <w:lang w:val="en-US" w:eastAsia="zh-CN"/>
        </w:rPr>
        <w:t>8.3.</w:t>
      </w:r>
      <w:r>
        <w:rPr>
          <w:rFonts w:hint="eastAsia" w:eastAsia="黑体" w:cs="Times New Roman"/>
          <w:b/>
          <w:bCs/>
          <w:color w:val="auto"/>
          <w:sz w:val="28"/>
          <w:szCs w:val="32"/>
          <w:lang w:val="en-US" w:eastAsia="zh-CN"/>
        </w:rPr>
        <w:t>7</w:t>
      </w:r>
      <w:r>
        <w:rPr>
          <w:rFonts w:hint="default" w:ascii="Times New Roman" w:hAnsi="Times New Roman" w:eastAsia="黑体" w:cs="Times New Roman"/>
          <w:b/>
          <w:bCs/>
          <w:color w:val="auto"/>
          <w:sz w:val="28"/>
          <w:szCs w:val="32"/>
          <w:lang w:val="en-US" w:eastAsia="zh-CN"/>
        </w:rPr>
        <w:t>其他</w:t>
      </w:r>
      <w:bookmarkEnd w:id="354"/>
    </w:p>
    <w:p w14:paraId="66F82633">
      <w:pPr>
        <w:pStyle w:val="5"/>
        <w:keepNext w:val="0"/>
        <w:keepLines w:val="0"/>
        <w:pageBreakBefore w:val="0"/>
        <w:widowControl w:val="0"/>
        <w:numPr>
          <w:ilvl w:val="0"/>
          <w:numId w:val="20"/>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根据《加油站作业安全规范》（AQ3010-2022）第5.2.4条，卸油作业现场应设置隔离警示标识；</w:t>
      </w:r>
    </w:p>
    <w:p w14:paraId="2C887131">
      <w:pPr>
        <w:pStyle w:val="5"/>
        <w:keepNext w:val="0"/>
        <w:keepLines w:val="0"/>
        <w:pageBreakBefore w:val="0"/>
        <w:widowControl w:val="0"/>
        <w:numPr>
          <w:ilvl w:val="0"/>
          <w:numId w:val="20"/>
        </w:numPr>
        <w:kinsoku/>
        <w:wordWrap/>
        <w:overflowPunct/>
        <w:topLinePunct w:val="0"/>
        <w:autoSpaceDE/>
        <w:autoSpaceDN/>
        <w:bidi w:val="0"/>
        <w:adjustRightInd w:val="0"/>
        <w:snapToGrid w:val="0"/>
        <w:ind w:firstLine="561" w:firstLineChars="0"/>
        <w:jc w:val="both"/>
        <w:textAlignment w:val="auto"/>
        <w:rPr>
          <w:rFonts w:hint="eastAsia" w:ascii="Times New Roman" w:hAnsi="Times New Roman" w:eastAsia="宋体" w:cs="Times New Roman"/>
          <w:bCs/>
          <w:kern w:val="0"/>
          <w:sz w:val="28"/>
          <w:szCs w:val="28"/>
          <w:lang w:val="en-US" w:eastAsia="zh-CN" w:bidi="ar-SA"/>
        </w:rPr>
      </w:pPr>
      <w:r>
        <w:rPr>
          <w:rFonts w:hint="default" w:ascii="Times New Roman" w:hAnsi="Times New Roman" w:cs="Times New Roman"/>
        </w:rPr>
        <w:t>根据《加油站作业安全规范》（AQ3010-2022）第5.2.5条，手提式灭火器宜摆放在距卸油口2m-3m处。</w:t>
      </w:r>
    </w:p>
    <w:p w14:paraId="405DD785">
      <w:pPr>
        <w:pStyle w:val="5"/>
        <w:keepNext w:val="0"/>
        <w:keepLines w:val="0"/>
        <w:pageBreakBefore w:val="0"/>
        <w:widowControl w:val="0"/>
        <w:numPr>
          <w:ilvl w:val="0"/>
          <w:numId w:val="20"/>
        </w:numPr>
        <w:kinsoku/>
        <w:wordWrap/>
        <w:overflowPunct/>
        <w:topLinePunct w:val="0"/>
        <w:autoSpaceDE/>
        <w:autoSpaceDN/>
        <w:bidi w:val="0"/>
        <w:adjustRightInd w:val="0"/>
        <w:snapToGrid w:val="0"/>
        <w:ind w:firstLine="561" w:firstLineChars="0"/>
        <w:jc w:val="both"/>
        <w:textAlignment w:val="auto"/>
        <w:rPr>
          <w:rFonts w:hint="eastAsia" w:ascii="Times New Roman" w:hAnsi="Times New Roman" w:eastAsia="宋体" w:cs="Times New Roman"/>
          <w:bCs/>
          <w:kern w:val="0"/>
          <w:sz w:val="28"/>
          <w:szCs w:val="28"/>
          <w:lang w:val="en-US" w:eastAsia="zh-CN" w:bidi="ar-SA"/>
        </w:rPr>
      </w:pPr>
      <w:r>
        <w:rPr>
          <w:rFonts w:hint="eastAsia" w:ascii="Times New Roman" w:hAnsi="Times New Roman" w:eastAsia="宋体" w:cs="Times New Roman"/>
          <w:bCs/>
          <w:kern w:val="0"/>
          <w:sz w:val="28"/>
          <w:szCs w:val="28"/>
          <w:lang w:val="en-US" w:eastAsia="zh-CN" w:bidi="ar-SA"/>
        </w:rPr>
        <w:t>根据《加油站作业安全规范》（AQ3010-2022）第4.5条，设有可燃气体声光报警装置的加油作业区内可允许客户使用手机支付，当现场报警器报警时，应立即停止使用手机和停止加油相关作业，并按应急预案进行应急处置。可燃气体检测报警设计应符合GB/T 50493的规定。</w:t>
      </w:r>
    </w:p>
    <w:p w14:paraId="306FABEC">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355" w:name="_Toc41246721"/>
      <w:bookmarkStart w:id="356" w:name="_Toc28487"/>
      <w:bookmarkStart w:id="357" w:name="_Toc5969"/>
      <w:bookmarkStart w:id="358" w:name="_Toc41246732"/>
      <w:r>
        <w:rPr>
          <w:rFonts w:hint="default" w:ascii="Times New Roman" w:hAnsi="Times New Roman" w:eastAsia="楷体" w:cs="Times New Roman"/>
          <w:color w:val="auto"/>
          <w:sz w:val="32"/>
          <w:szCs w:val="32"/>
          <w:lang w:val="en-US" w:eastAsia="zh-CN"/>
        </w:rPr>
        <w:t>8.4</w:t>
      </w:r>
      <w:bookmarkEnd w:id="355"/>
      <w:r>
        <w:rPr>
          <w:rFonts w:hint="default" w:ascii="Times New Roman" w:hAnsi="Times New Roman" w:eastAsia="楷体" w:cs="Times New Roman"/>
          <w:color w:val="auto"/>
          <w:sz w:val="32"/>
          <w:szCs w:val="32"/>
          <w:lang w:val="en-US" w:eastAsia="zh-CN"/>
        </w:rPr>
        <w:t>主要装置、设备、设施的布局</w:t>
      </w:r>
      <w:bookmarkEnd w:id="356"/>
      <w:bookmarkEnd w:id="357"/>
    </w:p>
    <w:p w14:paraId="4F3DC365">
      <w:pPr>
        <w:pStyle w:val="5"/>
        <w:keepNext w:val="0"/>
        <w:keepLines w:val="0"/>
        <w:pageBreakBefore w:val="0"/>
        <w:widowControl w:val="0"/>
        <w:numPr>
          <w:ilvl w:val="0"/>
          <w:numId w:val="21"/>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根据《汽车加油加气加氢站技术标准》（GB50156-2021）第5.0.3条，作业区与辅助服务区之间应有界线标识。</w:t>
      </w:r>
    </w:p>
    <w:p w14:paraId="32DB9CFF">
      <w:pPr>
        <w:pStyle w:val="5"/>
        <w:keepNext w:val="0"/>
        <w:keepLines w:val="0"/>
        <w:pageBreakBefore w:val="0"/>
        <w:widowControl w:val="0"/>
        <w:numPr>
          <w:ilvl w:val="0"/>
          <w:numId w:val="21"/>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根据《汽车加油加气加氢站技术标准》（GB50156-2021）第5.0.5条，作业区内，不得有“明火地点”或“散发火花地点”。</w:t>
      </w:r>
    </w:p>
    <w:p w14:paraId="6D20C69E">
      <w:pPr>
        <w:pStyle w:val="5"/>
        <w:keepNext w:val="0"/>
        <w:keepLines w:val="0"/>
        <w:pageBreakBefore w:val="0"/>
        <w:widowControl w:val="0"/>
        <w:numPr>
          <w:ilvl w:val="0"/>
          <w:numId w:val="21"/>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根据《汽车加油加气加氢站技术标准》（GB50156-2021）第5.0.11条，加油站内的爆炸危险区域，不应超出站区围墙和可用地界线。</w:t>
      </w:r>
    </w:p>
    <w:p w14:paraId="1597965B">
      <w:pPr>
        <w:pStyle w:val="5"/>
        <w:keepNext w:val="0"/>
        <w:keepLines w:val="0"/>
        <w:pageBreakBefore w:val="0"/>
        <w:widowControl w:val="0"/>
        <w:numPr>
          <w:ilvl w:val="0"/>
          <w:numId w:val="21"/>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汽车加油加气加氢站技术标准》（GB50156-2021）第5.0.12条，工艺设备与站外建（构）筑物之间，宜设置不燃烧体实体围墙，围墙高度相对于站内和站外地坪均不宜低于2.2m。当加油站的工艺设备与站外建（构）筑物之间的距离大于本标准表4.0.4~表4.0.8中安全间距的1.5倍，且大于25m时，可设置非实体围墙。面向车辆入口和出口道路的一侧可设非实体围墙或不设围墙。与站区限毗邻的一、二级耐火等级的站外建（构）筑物，其面向加油站侧无门、窗、孔洞的外墙，可视为站区实体围墙的一部分，但站内工艺设备与其的安全距离应符合本标准表4.0.4的相关规定。</w:t>
      </w:r>
    </w:p>
    <w:p w14:paraId="0849043A">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359" w:name="_Toc19028"/>
      <w:bookmarkStart w:id="360" w:name="_Toc15109"/>
      <w:r>
        <w:rPr>
          <w:rFonts w:hint="default" w:ascii="Times New Roman" w:hAnsi="Times New Roman" w:eastAsia="楷体" w:cs="Times New Roman"/>
          <w:color w:val="auto"/>
          <w:sz w:val="32"/>
          <w:szCs w:val="32"/>
          <w:lang w:val="en-US" w:eastAsia="zh-CN"/>
        </w:rPr>
        <w:t>8.5安全管理</w:t>
      </w:r>
      <w:bookmarkEnd w:id="358"/>
      <w:bookmarkEnd w:id="359"/>
      <w:bookmarkEnd w:id="360"/>
    </w:p>
    <w:p w14:paraId="56803820">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中华人民共和国安全生产法》（中华人民共和国主席令[2021]第八十八号，2021年09月01日施行）第三十一条，生产经营单位新建、改建、扩建工程项目（以下统称建设项目）的安全设施，必须与主体工程同时设计、同时施工、同时投入生产和使用。安全设施投资应当纳入建设项目概算。</w:t>
      </w:r>
    </w:p>
    <w:p w14:paraId="13958044">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危险化学品建设项目安全监督管理办法》（国家安全生产监督管理总局令[2012]第45号，依据总局令[2015]第79号修正）第七条规定，建设单位应当分别选择具备相应资质单位进行设计、施工和监理。涉及重点监管危险化工工艺、重点监管危险化学品或者危险 化学品重大危险源的建设项目，应当由具有石油化工医药行业相 应资质的设计单位设计。</w:t>
      </w:r>
    </w:p>
    <w:p w14:paraId="0708C201">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根据《危险化学品建设项目安全监督管理办法》（国家安全生产监督管理总局令 第45号）第十六条，建设单位应当在建设项目初步设计完成后、详细设计开始前，向出具建设项目设立安全评价意见书的安全生产监督管理部门申请建设项目安全设施设计审查。</w:t>
      </w:r>
    </w:p>
    <w:p w14:paraId="78E720C7">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根据《中华人民共和国安全生产法》（中华人民共和国主席令[2021]第八十八号，2021年09月01日施行）第二十四条，危险物品的经营、储存单位，应当设置安全生产管理机构或者配备专职安全生产管理人员。</w:t>
      </w:r>
    </w:p>
    <w:p w14:paraId="1F6DF902">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中华人民共和国安全生产法》（中华人民共和国主席令[2021]第八十八号，2021年09月01日施行）第二十七条，生产经营单位的主要负责人和安全生产管理人员必须具备与本单位所从事的生产经营活动相应的安全生产知识和管理能力。</w:t>
      </w:r>
    </w:p>
    <w:p w14:paraId="7FC48FAC">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中华人民共和国安全生产法》（中华人民共和国主席令[2021]第八十八号，2021年09月01日施行）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53D934C2">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根据《辽宁省雷电灾害防御管理规定》第九条规定，加油站防雷接地设施安装完毕后，必须按规范要求委托具有资质的防雷设施检测机构对其进行测试，并取得防雷防静电检测合格报告。</w:t>
      </w:r>
    </w:p>
    <w:p w14:paraId="34C291B5">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根据《辽宁省企业安全生产主体责任规定》（辽宁省人民政府令第264号，辽宁省人民政府令[2021]第341号修正）第二十条，加油站应当依法参加工伤保险，为从业人员缴纳保险费。</w:t>
      </w:r>
    </w:p>
    <w:p w14:paraId="7194D86E">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根据《辽宁省企业安全生产主体责任规定》（辽宁省人民政府令第264号，辽宁省人民政府令[2021]第341号修正）第六条，建立健全主要负责人、安全管理人员的责任制，建立健全安全生产管理制度和操作规程。</w:t>
      </w:r>
    </w:p>
    <w:p w14:paraId="032E6C42">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生产安全事故应急预案管理办法》（应急管理部令第2号，2019年9月1日起实施）第五条，生产经营单位主要负责人负责组织编制和实施本单位的应急预案，并对应急预案的真实性和实用性负责；各分管负责人应当按照职责分工落实应急预案规定的职责。</w:t>
      </w:r>
    </w:p>
    <w:p w14:paraId="4BCC3476">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生产安全事故应急预案管理办法》（应急管理部令第2号，2019年9月1日起实施），第二十六条，危险化学品经营、储存单位应当在应急预案公布之日起20个工作日内，按照分级属地原则，向县级以上人民政府应急管理部门和其他负有安全生产监督管理职责的部门进行备案。</w:t>
      </w:r>
    </w:p>
    <w:p w14:paraId="12737B6A">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生产安全事故应急预案管理办法》（应急管理部令第2号，2019年9月1日起实施），生产经营单位应当制定本单位的应急预案演练计划，根据本单位的事故风险特点，每年至少组织一次综合应急预案演练或者专项应急预案演练，每半年至少组织一次现场处置方案演练。</w:t>
      </w:r>
    </w:p>
    <w:p w14:paraId="2B730764">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default" w:ascii="Times New Roman" w:hAnsi="Times New Roman" w:cs="Times New Roman"/>
        </w:rPr>
      </w:pPr>
      <w:r>
        <w:rPr>
          <w:rFonts w:hint="default" w:ascii="Times New Roman" w:hAnsi="Times New Roman" w:cs="Times New Roman"/>
        </w:rPr>
        <w:t>根据《生产经营单位安全培训规定》（国家安全生产监督管理总局令第3号，2015年5月29日国家安全监督管理局令第80号修订）第三条，生产经营单位应当依照安全生产法和有关法律、行政法规和本规定，建立健全安全培训工作制度。</w:t>
      </w:r>
    </w:p>
    <w:p w14:paraId="364EB1F8">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eastAsia" w:ascii="Times New Roman" w:hAnsi="Times New Roman" w:cs="Times New Roman"/>
          <w:lang w:eastAsia="zh-CN"/>
        </w:rPr>
      </w:pPr>
      <w:r>
        <w:rPr>
          <w:rFonts w:hint="eastAsia" w:cs="Times New Roman"/>
          <w:lang w:val="en-US" w:eastAsia="zh-CN"/>
        </w:rPr>
        <w:t>根据</w:t>
      </w:r>
      <w:r>
        <w:rPr>
          <w:rFonts w:hint="eastAsia" w:ascii="Times New Roman" w:hAnsi="Times New Roman" w:cs="Times New Roman"/>
          <w:lang w:eastAsia="zh-CN"/>
        </w:rPr>
        <w:t>《辽宁省危险化学品建设项目管理实施细则》第三十八条</w:t>
      </w:r>
      <w:r>
        <w:rPr>
          <w:rFonts w:hint="eastAsia" w:cs="Times New Roman"/>
          <w:lang w:eastAsia="zh-CN"/>
        </w:rPr>
        <w:t>，安全生产监管管理部门对实行简易程序建设项目的安全条件审查、安全设施设计审查合并进行。安全条件审查通过后，再进行安全设施设计审查。审查决定同意的，向建设单位同时出具《安全条件审查意见书》和《设计审查意见书》。</w:t>
      </w:r>
    </w:p>
    <w:p w14:paraId="26DB56D6">
      <w:pPr>
        <w:pStyle w:val="5"/>
        <w:keepNext w:val="0"/>
        <w:keepLines w:val="0"/>
        <w:pageBreakBefore w:val="0"/>
        <w:widowControl w:val="0"/>
        <w:numPr>
          <w:ilvl w:val="0"/>
          <w:numId w:val="22"/>
        </w:numPr>
        <w:kinsoku/>
        <w:wordWrap/>
        <w:overflowPunct/>
        <w:topLinePunct w:val="0"/>
        <w:autoSpaceDE/>
        <w:autoSpaceDN/>
        <w:bidi w:val="0"/>
        <w:adjustRightInd w:val="0"/>
        <w:snapToGrid w:val="0"/>
        <w:ind w:firstLine="561" w:firstLineChars="0"/>
        <w:jc w:val="both"/>
        <w:textAlignment w:val="auto"/>
        <w:rPr>
          <w:rFonts w:hint="eastAsia" w:ascii="Times New Roman" w:hAnsi="Times New Roman" w:eastAsia="黑体" w:cs="Times New Roman"/>
          <w:sz w:val="32"/>
          <w:szCs w:val="32"/>
          <w:lang w:eastAsia="zh-CN"/>
        </w:rPr>
      </w:pPr>
      <w:r>
        <w:rPr>
          <w:rFonts w:hint="eastAsia" w:ascii="Times New Roman" w:hAnsi="Times New Roman" w:cs="Times New Roman"/>
          <w:lang w:val="en-US" w:eastAsia="zh-CN"/>
        </w:rPr>
        <w:t>根据</w:t>
      </w:r>
      <w:r>
        <w:rPr>
          <w:rFonts w:hint="default" w:ascii="Times New Roman" w:hAnsi="Times New Roman" w:cs="Times New Roman"/>
        </w:rPr>
        <w:t>《危险化学品经营许可证管理办法》（国家安全生产监</w:t>
      </w:r>
      <w:r>
        <w:rPr>
          <w:rFonts w:hint="default" w:ascii="Times New Roman" w:hAnsi="Times New Roman" w:eastAsia="宋体" w:cs="Times New Roman"/>
        </w:rPr>
        <w:t>督管理总局令第55号，国家安全生产监督管理总局令第79号修订，2015年07月01日实施）</w:t>
      </w:r>
      <w:r>
        <w:rPr>
          <w:rFonts w:hint="eastAsia" w:ascii="Times New Roman" w:hAnsi="Times New Roman" w:eastAsia="宋体" w:cs="Times New Roman"/>
          <w:lang w:val="en-US" w:eastAsia="zh-CN"/>
        </w:rPr>
        <w:t>第六条，①经营和储存场所、设施、建筑物符合《建筑设计防火规范》（GB50016）、《石油化工企业设计防火规范》（GB50160）、《汽车加油加气站设计与施工规范》（GB50156）、《石油库设计规范》（GB50074）等相关国家标准、行业标准的规定；②企业主要负责人和安全生产管理人员具备与本企业危险化学品经营活动相适应的安全生产知识和管理能力，经专门的安全生产培训和安全生产监督管理部门考核合格，取得相应安全资格证书；特种作业人员经专门的安全作业培训，取得特种作业操作证书；其他从业人员依照有关规定经安全生产教育和专业技术培训合格；③有健全的安全生产规章制度和岗位操作规程；④有符合国家规定的危险化学品事故应急预案，并配备必要的应急救援器材、设备；⑤法律、法规和国家标准或者行业标准规定的其他安全生产条件。</w:t>
      </w:r>
      <w:bookmarkStart w:id="361" w:name="_Toc410311917"/>
      <w:bookmarkStart w:id="362" w:name="_Toc410311994"/>
      <w:bookmarkStart w:id="363" w:name="_Toc41246733"/>
    </w:p>
    <w:p w14:paraId="64E9C14C">
      <w:pPr>
        <w:jc w:val="both"/>
        <w:outlineLvl w:val="9"/>
        <w:rPr>
          <w:rFonts w:hint="eastAsia" w:ascii="Times New Roman" w:hAnsi="Times New Roman" w:eastAsia="黑体" w:cs="Times New Roman"/>
          <w:sz w:val="32"/>
          <w:szCs w:val="32"/>
          <w:lang w:eastAsia="zh-CN"/>
        </w:rPr>
        <w:sectPr>
          <w:pgSz w:w="11906" w:h="16838"/>
          <w:pgMar w:top="1418" w:right="1134" w:bottom="1134" w:left="1588" w:header="851" w:footer="992" w:gutter="0"/>
          <w:pgBorders>
            <w:top w:val="none" w:sz="0" w:space="0"/>
            <w:left w:val="none" w:sz="0" w:space="0"/>
            <w:bottom w:val="none" w:sz="0" w:space="0"/>
            <w:right w:val="none" w:sz="0" w:space="0"/>
          </w:pgBorders>
          <w:pgNumType w:fmt="decimal"/>
          <w:cols w:space="720" w:num="1"/>
          <w:docGrid w:type="lines" w:linePitch="326" w:charSpace="6144"/>
        </w:sectPr>
      </w:pPr>
    </w:p>
    <w:p w14:paraId="73EE3FC2">
      <w:pPr>
        <w:pStyle w:val="2"/>
        <w:keepNext w:val="0"/>
        <w:keepLines w:val="0"/>
        <w:pageBreakBefore/>
        <w:widowControl w:val="0"/>
        <w:numPr>
          <w:ilvl w:val="0"/>
          <w:numId w:val="0"/>
        </w:numPr>
        <w:kinsoku/>
        <w:wordWrap/>
        <w:overflowPunct/>
        <w:topLinePunct w:val="0"/>
        <w:autoSpaceDE/>
        <w:autoSpaceDN/>
        <w:bidi w:val="0"/>
        <w:adjustRightInd/>
        <w:snapToGrid/>
        <w:spacing w:before="469" w:beforeLines="150" w:after="469" w:afterLines="150" w:line="360" w:lineRule="auto"/>
        <w:ind w:leftChars="0"/>
        <w:jc w:val="center"/>
        <w:textAlignment w:val="auto"/>
        <w:rPr>
          <w:rFonts w:hint="default" w:ascii="Times New Roman" w:hAnsi="Times New Roman" w:eastAsia="黑体" w:cs="Times New Roman"/>
          <w:b/>
          <w:bCs w:val="0"/>
          <w:kern w:val="32"/>
          <w:sz w:val="32"/>
          <w:szCs w:val="32"/>
          <w:lang w:val="en-US" w:eastAsia="zh-CN"/>
        </w:rPr>
      </w:pPr>
      <w:bookmarkStart w:id="364" w:name="_Toc10405"/>
      <w:bookmarkStart w:id="365" w:name="_Toc11968"/>
      <w:r>
        <w:rPr>
          <w:rFonts w:hint="default" w:ascii="Times New Roman" w:hAnsi="Times New Roman" w:eastAsia="黑体" w:cs="Times New Roman"/>
          <w:b/>
          <w:bCs w:val="0"/>
          <w:kern w:val="32"/>
          <w:sz w:val="32"/>
          <w:szCs w:val="32"/>
          <w:lang w:val="en-US" w:eastAsia="zh-CN"/>
        </w:rPr>
        <w:t>9</w:t>
      </w:r>
      <w:bookmarkEnd w:id="361"/>
      <w:bookmarkEnd w:id="362"/>
      <w:r>
        <w:rPr>
          <w:rFonts w:hint="default" w:ascii="Times New Roman" w:hAnsi="Times New Roman" w:eastAsia="黑体" w:cs="Times New Roman"/>
          <w:b/>
          <w:bCs w:val="0"/>
          <w:kern w:val="32"/>
          <w:sz w:val="32"/>
          <w:szCs w:val="32"/>
          <w:lang w:val="en-US" w:eastAsia="zh-CN"/>
        </w:rPr>
        <w:t>评价结论</w:t>
      </w:r>
      <w:bookmarkEnd w:id="363"/>
      <w:bookmarkEnd w:id="364"/>
      <w:bookmarkEnd w:id="365"/>
    </w:p>
    <w:p w14:paraId="2CC757E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bookmarkStart w:id="366" w:name="_Toc410311995"/>
      <w:bookmarkStart w:id="367" w:name="_Toc410311918"/>
      <w:r>
        <w:rPr>
          <w:rFonts w:hint="default" w:ascii="Times New Roman" w:hAnsi="Times New Roman" w:cs="Times New Roman"/>
          <w:sz w:val="28"/>
          <w:szCs w:val="28"/>
        </w:rPr>
        <w:t>根据本项目危险、有害因素分析和定性、定量评价结果，辽宁诺诚安全科技有限公司对</w:t>
      </w:r>
      <w:r>
        <w:rPr>
          <w:rFonts w:hint="eastAsia" w:cs="Times New Roman"/>
          <w:bCs/>
          <w:kern w:val="0"/>
          <w:sz w:val="28"/>
          <w:szCs w:val="28"/>
          <w:lang w:eastAsia="zh-CN"/>
        </w:rPr>
        <w:t>中国石化销售股份有限公司辽宁葫芦岛海飞路加能站</w:t>
      </w:r>
      <w:r>
        <w:rPr>
          <w:rFonts w:hint="eastAsia" w:cs="Times New Roman"/>
          <w:bCs/>
          <w:kern w:val="0"/>
          <w:sz w:val="28"/>
          <w:szCs w:val="28"/>
          <w:lang w:val="en-US" w:eastAsia="zh-CN"/>
        </w:rPr>
        <w:t>新建项目</w:t>
      </w:r>
      <w:r>
        <w:rPr>
          <w:rFonts w:hint="default" w:ascii="Times New Roman" w:hAnsi="Times New Roman" w:cs="Times New Roman"/>
          <w:sz w:val="28"/>
          <w:szCs w:val="28"/>
        </w:rPr>
        <w:t>设立安全评价结论如下：</w:t>
      </w:r>
    </w:p>
    <w:p w14:paraId="4036FA91">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368" w:name="_Toc2433"/>
      <w:bookmarkStart w:id="369" w:name="_Toc28208"/>
      <w:bookmarkStart w:id="370" w:name="_Toc41246734"/>
      <w:r>
        <w:rPr>
          <w:rFonts w:hint="default" w:ascii="Times New Roman" w:hAnsi="Times New Roman" w:eastAsia="楷体" w:cs="Times New Roman"/>
          <w:color w:val="auto"/>
          <w:sz w:val="32"/>
          <w:szCs w:val="32"/>
          <w:lang w:val="en-US" w:eastAsia="zh-CN"/>
        </w:rPr>
        <w:t>9.1</w:t>
      </w:r>
      <w:bookmarkEnd w:id="366"/>
      <w:bookmarkEnd w:id="367"/>
      <w:r>
        <w:rPr>
          <w:rFonts w:hint="default" w:ascii="Times New Roman" w:hAnsi="Times New Roman" w:eastAsia="楷体" w:cs="Times New Roman"/>
          <w:color w:val="auto"/>
          <w:sz w:val="32"/>
          <w:szCs w:val="32"/>
          <w:lang w:val="en-US" w:eastAsia="zh-CN"/>
        </w:rPr>
        <w:t>主要危险、有害因素分析结果</w:t>
      </w:r>
      <w:bookmarkEnd w:id="368"/>
      <w:bookmarkEnd w:id="369"/>
      <w:bookmarkEnd w:id="370"/>
    </w:p>
    <w:p w14:paraId="1FA9FDD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zh-CN"/>
        </w:rPr>
      </w:pPr>
      <w:bookmarkStart w:id="371" w:name="_Toc446312577"/>
      <w:bookmarkStart w:id="372" w:name="_Toc274467299"/>
      <w:bookmarkStart w:id="373" w:name="_Toc278879233"/>
      <w:r>
        <w:rPr>
          <w:rFonts w:hint="default" w:ascii="Times New Roman" w:hAnsi="Times New Roman" w:cs="Times New Roman"/>
          <w:sz w:val="28"/>
          <w:szCs w:val="28"/>
          <w:lang w:val="zh-CN"/>
        </w:rPr>
        <w:t>（1）危险、有害物质辨识</w:t>
      </w:r>
    </w:p>
    <w:p w14:paraId="7CB6D40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zh-CN"/>
        </w:rPr>
      </w:pPr>
      <w:r>
        <w:rPr>
          <w:rFonts w:hint="default" w:ascii="Times New Roman" w:hAnsi="Times New Roman" w:cs="Times New Roman"/>
          <w:sz w:val="28"/>
          <w:szCs w:val="28"/>
        </w:rPr>
        <w:t>本</w:t>
      </w:r>
      <w:r>
        <w:rPr>
          <w:rFonts w:hint="default" w:ascii="Times New Roman" w:hAnsi="Times New Roman" w:cs="Times New Roman"/>
          <w:sz w:val="28"/>
          <w:szCs w:val="28"/>
          <w:lang w:val="zh-CN"/>
        </w:rPr>
        <w:t>项目经营的危险、有害物质是</w:t>
      </w:r>
      <w:r>
        <w:rPr>
          <w:rFonts w:hint="eastAsia" w:cs="Times New Roman"/>
          <w:sz w:val="28"/>
          <w:szCs w:val="28"/>
          <w:lang w:val="zh-CN"/>
        </w:rPr>
        <w:t>乙醇汽油</w:t>
      </w:r>
      <w:r>
        <w:rPr>
          <w:rFonts w:hint="default" w:ascii="Times New Roman" w:hAnsi="Times New Roman" w:cs="Times New Roman"/>
          <w:sz w:val="28"/>
          <w:szCs w:val="28"/>
          <w:lang w:val="zh-CN"/>
        </w:rPr>
        <w:t>、柴油。</w:t>
      </w:r>
      <w:r>
        <w:rPr>
          <w:rFonts w:hint="eastAsia" w:cs="Times New Roman"/>
          <w:sz w:val="28"/>
          <w:szCs w:val="28"/>
          <w:lang w:val="zh-CN"/>
        </w:rPr>
        <w:t>乙醇汽油</w:t>
      </w:r>
      <w:r>
        <w:rPr>
          <w:rFonts w:hint="default" w:ascii="Times New Roman" w:hAnsi="Times New Roman" w:cs="Times New Roman"/>
          <w:sz w:val="28"/>
          <w:szCs w:val="28"/>
          <w:lang w:val="zh-CN"/>
        </w:rPr>
        <w:t>是国家首批重点监管的危险化学品。</w:t>
      </w:r>
    </w:p>
    <w:p w14:paraId="2AA6F64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zh-CN"/>
        </w:rPr>
      </w:pPr>
      <w:r>
        <w:rPr>
          <w:rFonts w:hint="default" w:ascii="Times New Roman" w:hAnsi="Times New Roman" w:cs="Times New Roman"/>
          <w:sz w:val="28"/>
          <w:szCs w:val="28"/>
          <w:lang w:val="zh-CN"/>
        </w:rPr>
        <w:t>（2）危险化工工艺辨识</w:t>
      </w:r>
    </w:p>
    <w:p w14:paraId="0B75F77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lang w:val="zh-CN"/>
        </w:rPr>
      </w:pPr>
      <w:r>
        <w:rPr>
          <w:rFonts w:hint="default" w:ascii="Times New Roman" w:hAnsi="Times New Roman" w:cs="Times New Roman"/>
          <w:sz w:val="28"/>
          <w:szCs w:val="28"/>
        </w:rPr>
        <w:t>本</w:t>
      </w:r>
      <w:r>
        <w:rPr>
          <w:rFonts w:hint="default" w:ascii="Times New Roman" w:hAnsi="Times New Roman" w:cs="Times New Roman"/>
          <w:sz w:val="28"/>
          <w:szCs w:val="28"/>
          <w:lang w:val="zh-CN"/>
        </w:rPr>
        <w:t>项目采用的工艺不属于国家重点监管的危险化工工艺。</w:t>
      </w:r>
    </w:p>
    <w:p w14:paraId="55B65AD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highlight w:val="none"/>
          <w:lang w:val="zh-CN"/>
        </w:rPr>
      </w:pPr>
      <w:r>
        <w:rPr>
          <w:rFonts w:hint="default" w:ascii="Times New Roman" w:hAnsi="Times New Roman" w:cs="Times New Roman"/>
          <w:sz w:val="28"/>
          <w:szCs w:val="28"/>
          <w:highlight w:val="none"/>
          <w:lang w:val="zh-CN"/>
        </w:rPr>
        <w:t>（3）危险、有害因素</w:t>
      </w:r>
    </w:p>
    <w:p w14:paraId="7CD7D97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本项目存在的主要危险、有害因素有：火灾、可燃液体蒸汽爆炸、管道爆炸、泄漏</w:t>
      </w:r>
      <w:r>
        <w:rPr>
          <w:rFonts w:hint="eastAsia" w:cs="Times New Roman"/>
          <w:sz w:val="28"/>
          <w:szCs w:val="28"/>
          <w:highlight w:val="none"/>
          <w:lang w:eastAsia="zh-CN"/>
        </w:rPr>
        <w:t>、</w:t>
      </w:r>
      <w:r>
        <w:rPr>
          <w:rFonts w:hint="default" w:ascii="Times New Roman" w:hAnsi="Times New Roman" w:cs="Times New Roman"/>
          <w:sz w:val="28"/>
          <w:szCs w:val="28"/>
          <w:highlight w:val="none"/>
        </w:rPr>
        <w:t>中毒、窒息、触电、厂（场）内车辆致害、高处坠落、机械致害、物体打击、坍塌和其他（噪声）等。</w:t>
      </w:r>
    </w:p>
    <w:p w14:paraId="370BC58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（4）危险化学品重大危险源辨识</w:t>
      </w:r>
    </w:p>
    <w:p w14:paraId="32652A3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根据《危险化学品重大危险源辨识》（GB18218-2018）进行辨识，本项目未构成危险化学品重大危险源。</w:t>
      </w:r>
    </w:p>
    <w:p w14:paraId="3E96F160">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374" w:name="_Toc16761"/>
      <w:bookmarkStart w:id="375" w:name="_Toc3563"/>
      <w:bookmarkStart w:id="376" w:name="_Toc41246735"/>
      <w:bookmarkStart w:id="377" w:name="_Toc19394"/>
      <w:bookmarkStart w:id="378" w:name="_Toc24354"/>
      <w:bookmarkStart w:id="379" w:name="_Toc41246737"/>
      <w:r>
        <w:rPr>
          <w:rFonts w:hint="default" w:ascii="Times New Roman" w:hAnsi="Times New Roman" w:eastAsia="楷体" w:cs="Times New Roman"/>
          <w:color w:val="auto"/>
          <w:sz w:val="32"/>
          <w:szCs w:val="32"/>
          <w:lang w:val="en-US" w:eastAsia="zh-CN"/>
        </w:rPr>
        <w:t>9.2评价结果</w:t>
      </w:r>
      <w:bookmarkEnd w:id="374"/>
      <w:bookmarkEnd w:id="375"/>
      <w:bookmarkEnd w:id="376"/>
    </w:p>
    <w:p w14:paraId="0434439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（1）通过安全检查表法对本项目的选址和总平面布置进行评价，本项目选址符合规划，站址所在地的地质条件良好，</w:t>
      </w:r>
      <w:r>
        <w:rPr>
          <w:rFonts w:hint="eastAsia" w:cs="Times New Roman"/>
          <w:sz w:val="28"/>
          <w:szCs w:val="28"/>
          <w:lang w:eastAsia="zh-CN"/>
        </w:rPr>
        <w:t>乙醇汽油</w:t>
      </w:r>
      <w:r>
        <w:rPr>
          <w:rFonts w:hint="default" w:ascii="Times New Roman" w:hAnsi="Times New Roman" w:cs="Times New Roman"/>
          <w:sz w:val="28"/>
          <w:szCs w:val="28"/>
        </w:rPr>
        <w:t>、柴油工艺设施与站外、内建（构）筑物之间的安全间距符合要求。</w:t>
      </w:r>
    </w:p>
    <w:p w14:paraId="764EE04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通过预先危险性评价法对加油站工艺过程单元进行分析，火灾、可燃液体蒸汽爆炸、管道爆炸、泄漏的危险程度为Ⅲ级，危险程度为危险的，需要采取相应安全措施并予以重视；中毒、窒息、触电、厂（场）内车辆致害、高处坠落、机械致害、物体打击、坍塌和其他（噪声）的危险等级为Ⅱ级，临界的，需要注意。</w:t>
      </w:r>
    </w:p>
    <w:p w14:paraId="0D6A9391">
      <w:pPr>
        <w:keepNext w:val="0"/>
        <w:keepLines w:val="0"/>
        <w:pageBreakBefore w:val="0"/>
        <w:widowControl w:val="0"/>
        <w:tabs>
          <w:tab w:val="left" w:pos="1134"/>
        </w:tabs>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highlight w:val="none"/>
          <w:lang w:eastAsia="zh-CN"/>
        </w:rPr>
      </w:pPr>
      <w:r>
        <w:rPr>
          <w:rFonts w:hint="default" w:ascii="Times New Roman" w:hAnsi="Times New Roman" w:cs="Times New Roman"/>
          <w:sz w:val="28"/>
          <w:szCs w:val="28"/>
          <w:highlight w:val="none"/>
        </w:rPr>
        <w:t>（3）采用</w:t>
      </w:r>
      <w:r>
        <w:rPr>
          <w:rFonts w:hint="eastAsia" w:cs="Times New Roman"/>
          <w:sz w:val="28"/>
          <w:szCs w:val="28"/>
          <w:highlight w:val="none"/>
          <w:lang w:eastAsia="zh-CN"/>
        </w:rPr>
        <w:t>乙醇汽油</w:t>
      </w:r>
      <w:r>
        <w:rPr>
          <w:rFonts w:hint="default" w:ascii="Times New Roman" w:hAnsi="Times New Roman" w:cs="Times New Roman"/>
          <w:sz w:val="28"/>
          <w:szCs w:val="28"/>
          <w:highlight w:val="none"/>
        </w:rPr>
        <w:t>泄漏蒸气云爆炸计算结果：</w:t>
      </w:r>
      <w:r>
        <w:rPr>
          <w:rFonts w:hint="eastAsia" w:cs="Times New Roman"/>
          <w:sz w:val="28"/>
          <w:szCs w:val="28"/>
          <w:highlight w:val="none"/>
          <w:lang w:eastAsia="zh-CN"/>
        </w:rPr>
        <w:t>乙醇汽油</w:t>
      </w:r>
      <w:r>
        <w:rPr>
          <w:rFonts w:hint="default" w:ascii="Times New Roman" w:hAnsi="Times New Roman" w:cs="Times New Roman"/>
          <w:sz w:val="28"/>
          <w:szCs w:val="28"/>
          <w:highlight w:val="none"/>
        </w:rPr>
        <w:t>罐发生泄漏引发蒸气云爆炸，死亡半径为</w:t>
      </w:r>
      <w:r>
        <w:rPr>
          <w:rFonts w:hint="eastAsia" w:ascii="Times New Roman" w:hAnsi="Times New Roman" w:cs="Times New Roman"/>
          <w:sz w:val="28"/>
          <w:szCs w:val="28"/>
          <w:highlight w:val="none"/>
          <w:lang w:val="en-US" w:eastAsia="zh-CN"/>
        </w:rPr>
        <w:t>1</w:t>
      </w:r>
      <w:r>
        <w:rPr>
          <w:rFonts w:hint="eastAsia" w:cs="Times New Roman"/>
          <w:sz w:val="28"/>
          <w:szCs w:val="28"/>
          <w:highlight w:val="none"/>
          <w:lang w:val="en-US" w:eastAsia="zh-CN"/>
        </w:rPr>
        <w:t>6.76</w:t>
      </w:r>
      <w:r>
        <w:rPr>
          <w:rFonts w:hint="default" w:ascii="Times New Roman" w:hAnsi="Times New Roman" w:cs="Times New Roman"/>
          <w:sz w:val="28"/>
          <w:szCs w:val="28"/>
          <w:highlight w:val="none"/>
        </w:rPr>
        <w:t>m。站内站房在死亡半径之</w:t>
      </w:r>
      <w:r>
        <w:rPr>
          <w:rFonts w:hint="eastAsia" w:ascii="Times New Roman" w:hAnsi="Times New Roman" w:cs="Times New Roman"/>
          <w:sz w:val="28"/>
          <w:szCs w:val="28"/>
          <w:highlight w:val="none"/>
          <w:lang w:val="en-US" w:eastAsia="zh-CN"/>
        </w:rPr>
        <w:t>内</w:t>
      </w:r>
      <w:r>
        <w:rPr>
          <w:rFonts w:hint="default" w:ascii="Times New Roman" w:hAnsi="Times New Roman" w:cs="Times New Roman"/>
          <w:sz w:val="28"/>
          <w:szCs w:val="28"/>
          <w:highlight w:val="none"/>
        </w:rPr>
        <w:t>，如果发生蒸气云爆炸，站房及其内人员会受到死亡威胁</w:t>
      </w:r>
      <w:r>
        <w:rPr>
          <w:rFonts w:hint="eastAsia" w:ascii="Times New Roman" w:hAnsi="Times New Roman" w:cs="Times New Roman"/>
          <w:sz w:val="28"/>
          <w:szCs w:val="28"/>
          <w:highlight w:val="none"/>
          <w:lang w:eastAsia="zh-CN"/>
        </w:rPr>
        <w:t>。</w:t>
      </w:r>
    </w:p>
    <w:p w14:paraId="5E4D3DB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本项目选用双层管道及油罐，油罐安装有液位仪及测漏仪等安全技术手段，发生油品泄漏的概率较小，因此，对周边造成的影响较小。</w:t>
      </w:r>
    </w:p>
    <w:p w14:paraId="644B4A9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（4）本项目采用</w:t>
      </w:r>
      <w:r>
        <w:rPr>
          <w:rFonts w:hint="eastAsia" w:cs="Times New Roman"/>
          <w:sz w:val="28"/>
          <w:szCs w:val="28"/>
          <w:lang w:val="en-US" w:eastAsia="zh-CN"/>
        </w:rPr>
        <w:t>潜油泵</w:t>
      </w:r>
      <w:r>
        <w:rPr>
          <w:rFonts w:hint="default" w:ascii="Times New Roman" w:hAnsi="Times New Roman" w:cs="Times New Roman"/>
          <w:sz w:val="28"/>
          <w:szCs w:val="28"/>
        </w:rPr>
        <w:t>式加油和密闭卸油方式，其工艺在国内均有使用，其工艺流程成熟，埋地内钢外玻璃双层罐安全性能良好。</w:t>
      </w:r>
    </w:p>
    <w:p w14:paraId="4C227AE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通过总结设立安全评价工作的成果以及较充分的行业调研，针对本项目存在的危险有害因素，在平面布局、工艺设备、安全设施、综合管理等方面提出了安全对策措施与建议，建设单位如能采纳和落实本评价报告提出的安全对策措施与建议，项目建成后，能够保证各项安全生产规章制度的实施与监督，就能有效地将风险控制在可接受的程度内，实现建设项目安全运行。</w:t>
      </w:r>
    </w:p>
    <w:p w14:paraId="0A43DF8E">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9.</w:t>
      </w:r>
      <w:bookmarkEnd w:id="371"/>
      <w:bookmarkEnd w:id="372"/>
      <w:bookmarkEnd w:id="373"/>
      <w:r>
        <w:rPr>
          <w:rFonts w:hint="default" w:ascii="Times New Roman" w:hAnsi="Times New Roman" w:eastAsia="楷体" w:cs="Times New Roman"/>
          <w:color w:val="auto"/>
          <w:sz w:val="32"/>
          <w:szCs w:val="32"/>
          <w:lang w:val="en-US" w:eastAsia="zh-CN"/>
        </w:rPr>
        <w:t>3设立安全评价结论</w:t>
      </w:r>
      <w:bookmarkEnd w:id="377"/>
      <w:bookmarkEnd w:id="378"/>
      <w:bookmarkEnd w:id="379"/>
    </w:p>
    <w:p w14:paraId="33C720F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根据《中华人民共和国安全生产法》（中华人民共和国主席令[2021]第八十八号，2021年09月01日施行）、《危险化学品安全管理条例》（中华人民共和国国务院令[2011]第591号，中华人民共和国国务院令[2013]第645号修订，2013年12月7日实施）、《危险化学品建设项目安全监督管理办法》（原国家安全生产督监管理总局令[2012]第45号，原国家安全监督管理局令[2015]第79号修订，2015年07月01日实施）、《</w:t>
      </w:r>
      <w:r>
        <w:rPr>
          <w:rFonts w:hint="default" w:ascii="Times New Roman" w:hAnsi="Times New Roman" w:cs="Times New Roman"/>
        </w:rPr>
        <w:fldChar w:fldCharType="begin"/>
      </w:r>
      <w:r>
        <w:rPr>
          <w:rFonts w:hint="default" w:ascii="Times New Roman" w:hAnsi="Times New Roman" w:cs="Times New Roman"/>
        </w:rPr>
        <w:instrText xml:space="preserve"> HYPERLINK "https://gf.1190119.com/list-170.htm" </w:instrText>
      </w:r>
      <w:r>
        <w:rPr>
          <w:rFonts w:hint="default" w:ascii="Times New Roman" w:hAnsi="Times New Roman" w:cs="Times New Roman"/>
        </w:rPr>
        <w:fldChar w:fldCharType="separate"/>
      </w:r>
      <w:r>
        <w:rPr>
          <w:rFonts w:hint="default" w:ascii="Times New Roman" w:hAnsi="Times New Roman" w:cs="Times New Roman"/>
          <w:sz w:val="28"/>
          <w:szCs w:val="28"/>
        </w:rPr>
        <w:t>汽车加油加气加氢站技术标准</w:t>
      </w:r>
      <w:r>
        <w:rPr>
          <w:rFonts w:hint="default" w:ascii="Times New Roman" w:hAnsi="Times New Roman" w:cs="Times New Roman"/>
          <w:sz w:val="28"/>
          <w:szCs w:val="28"/>
        </w:rPr>
        <w:fldChar w:fldCharType="end"/>
      </w:r>
      <w:r>
        <w:rPr>
          <w:rFonts w:hint="default" w:ascii="Times New Roman" w:hAnsi="Times New Roman" w:cs="Times New Roman"/>
          <w:sz w:val="28"/>
          <w:szCs w:val="28"/>
        </w:rPr>
        <w:t>》（GB50156-2021）和《建筑设计防火规范（2018年版）》（GB50016-2014）等国家及行业相关技术标准的要求，对</w:t>
      </w:r>
      <w:r>
        <w:rPr>
          <w:rFonts w:hint="eastAsia" w:cs="Times New Roman"/>
          <w:sz w:val="28"/>
          <w:szCs w:val="28"/>
          <w:lang w:eastAsia="zh-CN"/>
        </w:rPr>
        <w:t>中国石化销售股份有限公司辽宁葫芦岛海飞路加能站新建项目</w:t>
      </w:r>
      <w:r>
        <w:rPr>
          <w:rFonts w:hint="default" w:ascii="Times New Roman" w:hAnsi="Times New Roman" w:cs="Times New Roman"/>
          <w:sz w:val="28"/>
          <w:szCs w:val="28"/>
        </w:rPr>
        <w:t>进行了全面的分析和评价。</w:t>
      </w:r>
    </w:p>
    <w:p w14:paraId="6FA37DE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eastAsia" w:cs="Times New Roman"/>
          <w:sz w:val="28"/>
          <w:szCs w:val="28"/>
          <w:lang w:eastAsia="zh-CN"/>
        </w:rPr>
        <w:t>中国石化销售股份有限公司辽宁葫芦岛海飞路加能站新建项目</w:t>
      </w:r>
      <w:r>
        <w:rPr>
          <w:rFonts w:hint="default" w:ascii="Times New Roman" w:hAnsi="Times New Roman" w:cs="Times New Roman"/>
          <w:sz w:val="28"/>
          <w:szCs w:val="28"/>
        </w:rPr>
        <w:t>在日后的设计、施工过程中，如能落实本评价报告提出的安全对策措施。项目投产后，能够保证各项安全生产规章制度的实施与监督，就能有效地控制储存、经营过程中的危险因素和有害因素，符合安全生产的要求。</w:t>
      </w:r>
    </w:p>
    <w:p w14:paraId="51EF15C3">
      <w:pPr>
        <w:rPr>
          <w:rFonts w:hint="default" w:ascii="Times New Roman" w:hAnsi="Times New Roman" w:cs="Times New Roman"/>
          <w:bCs/>
          <w:sz w:val="28"/>
          <w:szCs w:val="28"/>
        </w:rPr>
      </w:pPr>
    </w:p>
    <w:p w14:paraId="4793DE6B">
      <w:pPr>
        <w:pStyle w:val="5"/>
        <w:rPr>
          <w:rFonts w:hint="default" w:ascii="Times New Roman" w:hAnsi="Times New Roman" w:cs="Times New Roman"/>
        </w:rPr>
      </w:pPr>
    </w:p>
    <w:p w14:paraId="530EF624">
      <w:pPr>
        <w:rPr>
          <w:rFonts w:hint="default" w:ascii="Times New Roman" w:hAnsi="Times New Roman" w:cs="Times New Roman"/>
        </w:rPr>
      </w:pPr>
    </w:p>
    <w:p w14:paraId="7B7D4045">
      <w:pPr>
        <w:pStyle w:val="5"/>
        <w:rPr>
          <w:rFonts w:hint="default" w:ascii="Times New Roman" w:hAnsi="Times New Roman" w:cs="Times New Roman"/>
        </w:rPr>
      </w:pPr>
    </w:p>
    <w:p w14:paraId="2528C91F">
      <w:pPr>
        <w:pStyle w:val="5"/>
        <w:rPr>
          <w:rFonts w:hint="default" w:ascii="Times New Roman" w:hAnsi="Times New Roman" w:cs="Times New Roman"/>
        </w:rPr>
      </w:pPr>
    </w:p>
    <w:p w14:paraId="158D5A2C">
      <w:pPr>
        <w:pStyle w:val="5"/>
        <w:rPr>
          <w:rFonts w:hint="default" w:ascii="Times New Roman" w:hAnsi="Times New Roman" w:cs="Times New Roman"/>
        </w:rPr>
      </w:pPr>
    </w:p>
    <w:p w14:paraId="515154B6">
      <w:pPr>
        <w:pStyle w:val="5"/>
        <w:rPr>
          <w:rFonts w:hint="default" w:ascii="Times New Roman" w:hAnsi="Times New Roman" w:cs="Times New Roman"/>
        </w:rPr>
      </w:pPr>
    </w:p>
    <w:p w14:paraId="15DE9EE5">
      <w:pPr>
        <w:pStyle w:val="5"/>
        <w:rPr>
          <w:rFonts w:hint="default" w:ascii="Times New Roman" w:hAnsi="Times New Roman" w:cs="Times New Roman"/>
        </w:rPr>
      </w:pPr>
    </w:p>
    <w:p w14:paraId="3038BE1D">
      <w:pPr>
        <w:pStyle w:val="5"/>
        <w:ind w:left="0" w:leftChars="0" w:firstLine="0" w:firstLineChars="0"/>
        <w:jc w:val="both"/>
        <w:rPr>
          <w:rFonts w:hint="default" w:ascii="Times New Roman" w:hAnsi="Times New Roman" w:cs="Times New Roman"/>
        </w:rPr>
      </w:pPr>
    </w:p>
    <w:p w14:paraId="4229DB89">
      <w:pPr>
        <w:pStyle w:val="5"/>
        <w:rPr>
          <w:rFonts w:hint="default" w:ascii="Times New Roman" w:hAnsi="Times New Roman" w:cs="Times New Roman"/>
        </w:rPr>
      </w:pPr>
    </w:p>
    <w:p w14:paraId="0C6E5134">
      <w:pPr>
        <w:ind w:firstLine="320"/>
        <w:jc w:val="center"/>
        <w:rPr>
          <w:rFonts w:hint="default" w:ascii="Times New Roman" w:hAnsi="Times New Roman" w:eastAsia="黑体" w:cs="Times New Roman"/>
          <w:sz w:val="32"/>
          <w:szCs w:val="32"/>
        </w:rPr>
        <w:sectPr>
          <w:pgSz w:w="11906" w:h="16838"/>
          <w:pgMar w:top="1418" w:right="1134" w:bottom="1134" w:left="1588" w:header="851" w:footer="992" w:gutter="0"/>
          <w:pgBorders>
            <w:top w:val="none" w:sz="0" w:space="0"/>
            <w:left w:val="none" w:sz="0" w:space="0"/>
            <w:bottom w:val="none" w:sz="0" w:space="0"/>
            <w:right w:val="none" w:sz="0" w:space="0"/>
          </w:pgBorders>
          <w:pgNumType w:fmt="decimal"/>
          <w:cols w:space="720" w:num="1"/>
          <w:docGrid w:type="lines" w:linePitch="326" w:charSpace="6144"/>
        </w:sectPr>
      </w:pPr>
      <w:bookmarkStart w:id="380" w:name="_Toc41246738"/>
      <w:bookmarkStart w:id="381" w:name="_Toc410311920"/>
      <w:bookmarkStart w:id="382" w:name="_Toc410311997"/>
    </w:p>
    <w:p w14:paraId="39CD8934">
      <w:pPr>
        <w:pStyle w:val="2"/>
        <w:keepNext w:val="0"/>
        <w:keepLines w:val="0"/>
        <w:pageBreakBefore/>
        <w:widowControl w:val="0"/>
        <w:numPr>
          <w:ilvl w:val="0"/>
          <w:numId w:val="0"/>
        </w:numPr>
        <w:kinsoku/>
        <w:wordWrap/>
        <w:overflowPunct/>
        <w:topLinePunct w:val="0"/>
        <w:autoSpaceDE/>
        <w:autoSpaceDN/>
        <w:bidi w:val="0"/>
        <w:adjustRightInd/>
        <w:snapToGrid/>
        <w:spacing w:before="469" w:beforeLines="150" w:after="469" w:afterLines="150" w:line="360" w:lineRule="auto"/>
        <w:ind w:leftChars="0"/>
        <w:jc w:val="center"/>
        <w:textAlignment w:val="auto"/>
        <w:rPr>
          <w:rFonts w:hint="default" w:ascii="Times New Roman" w:hAnsi="Times New Roman" w:eastAsia="黑体" w:cs="Times New Roman"/>
          <w:b/>
          <w:bCs w:val="0"/>
          <w:kern w:val="32"/>
          <w:sz w:val="32"/>
          <w:szCs w:val="32"/>
          <w:lang w:val="en-US" w:eastAsia="zh-CN"/>
        </w:rPr>
      </w:pPr>
      <w:bookmarkStart w:id="383" w:name="_Toc13739"/>
      <w:bookmarkStart w:id="384" w:name="_Toc5578"/>
      <w:r>
        <w:rPr>
          <w:rFonts w:hint="default" w:ascii="Times New Roman" w:hAnsi="Times New Roman" w:eastAsia="黑体" w:cs="Times New Roman"/>
          <w:b/>
          <w:bCs w:val="0"/>
          <w:kern w:val="32"/>
          <w:sz w:val="32"/>
          <w:szCs w:val="32"/>
          <w:lang w:val="en-US" w:eastAsia="zh-CN"/>
        </w:rPr>
        <w:t>10与建设单位交换意见</w:t>
      </w:r>
      <w:bookmarkEnd w:id="380"/>
      <w:bookmarkEnd w:id="381"/>
      <w:bookmarkEnd w:id="382"/>
      <w:bookmarkEnd w:id="383"/>
      <w:bookmarkEnd w:id="384"/>
    </w:p>
    <w:p w14:paraId="5919D6B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在本次评价过程中多次与建设单位联系，从各个方面互通情况，充分商讨、研究、交换意见，对提出的一些建设性的意见，建设单位均引起了足够重视，协调解决。本报告编制完成后发给企业进行确认核实，本报告内容及评价结论均得到了企业认同。</w:t>
      </w:r>
    </w:p>
    <w:p w14:paraId="579E5554">
      <w:pPr>
        <w:ind w:firstLine="280"/>
        <w:rPr>
          <w:rFonts w:hint="default" w:ascii="Times New Roman" w:hAnsi="Times New Roman" w:cs="Times New Roman"/>
          <w:sz w:val="28"/>
          <w:szCs w:val="28"/>
        </w:rPr>
      </w:pPr>
    </w:p>
    <w:p w14:paraId="08EA2952">
      <w:pPr>
        <w:ind w:firstLine="560" w:firstLineChars="200"/>
        <w:rPr>
          <w:rFonts w:hint="default" w:ascii="Times New Roman" w:hAnsi="Times New Roman" w:cs="Times New Roman"/>
          <w:sz w:val="28"/>
          <w:szCs w:val="28"/>
        </w:rPr>
      </w:pPr>
    </w:p>
    <w:p w14:paraId="0FA7E8FC">
      <w:pPr>
        <w:ind w:firstLine="280"/>
        <w:rPr>
          <w:rFonts w:hint="default" w:ascii="Times New Roman" w:hAnsi="Times New Roman" w:cs="Times New Roman"/>
          <w:spacing w:val="10"/>
          <w:szCs w:val="21"/>
        </w:rPr>
      </w:pPr>
      <w:r>
        <w:rPr>
          <w:rFonts w:hint="default" w:ascii="Times New Roman" w:hAnsi="Times New Roman" w:cs="Times New Roman"/>
          <w:sz w:val="28"/>
          <w:szCs w:val="28"/>
        </w:rPr>
        <w:br w:type="page"/>
      </w:r>
      <w:bookmarkStart w:id="385" w:name="_Toc41246746"/>
      <w:bookmarkStart w:id="386" w:name="_Toc41246745"/>
    </w:p>
    <w:p w14:paraId="7C517DCF">
      <w:pPr>
        <w:pStyle w:val="2"/>
        <w:keepNext w:val="0"/>
        <w:keepLines w:val="0"/>
        <w:pageBreakBefore/>
        <w:widowControl w:val="0"/>
        <w:numPr>
          <w:ilvl w:val="0"/>
          <w:numId w:val="0"/>
        </w:numPr>
        <w:kinsoku/>
        <w:wordWrap/>
        <w:overflowPunct/>
        <w:topLinePunct w:val="0"/>
        <w:autoSpaceDE/>
        <w:autoSpaceDN/>
        <w:bidi w:val="0"/>
        <w:adjustRightInd/>
        <w:snapToGrid/>
        <w:spacing w:before="469" w:beforeLines="150" w:after="469" w:afterLines="150" w:line="360" w:lineRule="auto"/>
        <w:ind w:leftChars="0"/>
        <w:jc w:val="center"/>
        <w:textAlignment w:val="auto"/>
        <w:rPr>
          <w:rFonts w:hint="default" w:ascii="Times New Roman" w:hAnsi="Times New Roman" w:eastAsia="黑体" w:cs="Times New Roman"/>
          <w:b/>
          <w:bCs w:val="0"/>
          <w:kern w:val="32"/>
          <w:sz w:val="32"/>
          <w:szCs w:val="32"/>
          <w:lang w:val="en-US" w:eastAsia="zh-CN"/>
        </w:rPr>
      </w:pPr>
      <w:bookmarkStart w:id="387" w:name="_Toc24079"/>
      <w:bookmarkStart w:id="388" w:name="_Toc25047"/>
      <w:r>
        <w:rPr>
          <w:rFonts w:hint="default" w:ascii="Times New Roman" w:hAnsi="Times New Roman" w:eastAsia="黑体" w:cs="Times New Roman"/>
          <w:b/>
          <w:bCs w:val="0"/>
          <w:kern w:val="32"/>
          <w:sz w:val="32"/>
          <w:szCs w:val="32"/>
          <w:lang w:val="en-US" w:eastAsia="zh-CN"/>
        </w:rPr>
        <w:t>附录1评价依据</w:t>
      </w:r>
      <w:bookmarkEnd w:id="387"/>
      <w:bookmarkEnd w:id="388"/>
    </w:p>
    <w:p w14:paraId="1F2C167C">
      <w:pPr>
        <w:pStyle w:val="3"/>
        <w:keepNext/>
        <w:keepLines/>
        <w:pageBreakBefore w:val="0"/>
        <w:widowControl w:val="0"/>
        <w:kinsoku/>
        <w:wordWrap/>
        <w:overflowPunct/>
        <w:topLinePunct w:val="0"/>
        <w:autoSpaceDE/>
        <w:autoSpaceDN/>
        <w:bidi w:val="0"/>
        <w:adjustRightInd w:val="0"/>
        <w:snapToGrid w:val="0"/>
        <w:spacing w:before="313" w:beforeLines="100" w:after="313" w:afterLines="100" w:line="360" w:lineRule="auto"/>
        <w:jc w:val="center"/>
        <w:textAlignment w:val="auto"/>
        <w:rPr>
          <w:rFonts w:hint="default" w:ascii="Times New Roman" w:hAnsi="Times New Roman" w:eastAsia="楷体" w:cs="Times New Roman"/>
          <w:color w:val="auto"/>
          <w:sz w:val="32"/>
          <w:szCs w:val="32"/>
          <w:lang w:val="en-US" w:eastAsia="zh-CN"/>
        </w:rPr>
      </w:pPr>
      <w:bookmarkStart w:id="389" w:name="_Toc8405"/>
      <w:bookmarkStart w:id="390" w:name="_Toc4682"/>
      <w:bookmarkStart w:id="391" w:name="_Toc41246777"/>
      <w:bookmarkStart w:id="392" w:name="_Toc410311941"/>
      <w:bookmarkStart w:id="393" w:name="_Toc9359"/>
      <w:bookmarkStart w:id="394" w:name="_Toc410312018"/>
      <w:bookmarkStart w:id="395" w:name="_Toc3112542"/>
      <w:r>
        <w:rPr>
          <w:rFonts w:hint="default" w:ascii="Times New Roman" w:hAnsi="Times New Roman" w:eastAsia="楷体" w:cs="Times New Roman"/>
          <w:color w:val="auto"/>
          <w:sz w:val="32"/>
          <w:szCs w:val="32"/>
          <w:lang w:val="en-US" w:eastAsia="zh-CN"/>
        </w:rPr>
        <w:t>F1.1法律</w:t>
      </w:r>
      <w:bookmarkEnd w:id="389"/>
      <w:bookmarkEnd w:id="390"/>
    </w:p>
    <w:p w14:paraId="63A60653">
      <w:pPr>
        <w:pStyle w:val="26"/>
        <w:numPr>
          <w:ilvl w:val="0"/>
          <w:numId w:val="23"/>
        </w:numPr>
        <w:tabs>
          <w:tab w:val="left" w:pos="1260"/>
        </w:tabs>
        <w:kinsoku w:val="0"/>
        <w:overflowPunct w:val="0"/>
        <w:autoSpaceDE w:val="0"/>
        <w:autoSpaceDN w:val="0"/>
        <w:ind w:firstLine="56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《中华人民共和国安全生产法》（中华人民共和国主席令</w:t>
      </w:r>
      <w:r>
        <w:rPr>
          <w:rFonts w:hint="eastAsia" w:ascii="Times New Roman" w:hAnsi="Times New Roman" w:eastAsia="宋体" w:cs="Times New Roman"/>
          <w:color w:val="auto"/>
          <w:highlight w:val="none"/>
        </w:rPr>
        <w:t>[2021]</w:t>
      </w:r>
      <w:r>
        <w:rPr>
          <w:rFonts w:ascii="Times New Roman" w:hAnsi="Times New Roman" w:eastAsia="宋体" w:cs="Times New Roman"/>
          <w:color w:val="auto"/>
          <w:highlight w:val="none"/>
        </w:rPr>
        <w:t>第八十八号，2021年09月01日</w:t>
      </w:r>
      <w:r>
        <w:rPr>
          <w:rFonts w:hint="eastAsia" w:ascii="Times New Roman" w:hAnsi="Times New Roman" w:eastAsia="宋体" w:cs="Times New Roman"/>
          <w:color w:val="auto"/>
          <w:highlight w:val="none"/>
        </w:rPr>
        <w:t>实施</w:t>
      </w:r>
      <w:r>
        <w:rPr>
          <w:rFonts w:ascii="Times New Roman" w:hAnsi="Times New Roman" w:eastAsia="宋体" w:cs="Times New Roman"/>
          <w:color w:val="auto"/>
          <w:highlight w:val="none"/>
        </w:rPr>
        <w:t>）</w:t>
      </w:r>
    </w:p>
    <w:p w14:paraId="1A3F8D6B">
      <w:pPr>
        <w:widowControl w:val="0"/>
        <w:numPr>
          <w:ilvl w:val="0"/>
          <w:numId w:val="23"/>
        </w:numPr>
        <w:tabs>
          <w:tab w:val="left" w:pos="1260"/>
        </w:tabs>
        <w:kinsoku w:val="0"/>
        <w:overflowPunct w:val="0"/>
        <w:autoSpaceDE w:val="0"/>
        <w:autoSpaceDN w:val="0"/>
        <w:adjustRightInd w:val="0"/>
        <w:snapToGrid w:val="0"/>
        <w:spacing w:line="360" w:lineRule="auto"/>
        <w:ind w:firstLine="560" w:firstLineChars="200"/>
        <w:jc w:val="both"/>
        <w:rPr>
          <w:rFonts w:ascii="Times New Roman" w:hAnsi="Times New Roman" w:eastAsia="宋体" w:cs="Times New Roman"/>
          <w:color w:val="auto"/>
          <w:kern w:val="28"/>
          <w:sz w:val="28"/>
          <w:szCs w:val="20"/>
          <w:highlight w:val="none"/>
          <w:lang w:val="en-US" w:eastAsia="zh-CN" w:bidi="ar-SA"/>
        </w:rPr>
      </w:pPr>
      <w:r>
        <w:rPr>
          <w:rFonts w:ascii="Times New Roman" w:hAnsi="Times New Roman" w:eastAsia="宋体" w:cs="Times New Roman"/>
          <w:color w:val="auto"/>
          <w:kern w:val="28"/>
          <w:sz w:val="28"/>
          <w:szCs w:val="20"/>
          <w:highlight w:val="none"/>
          <w:lang w:val="en-US" w:eastAsia="zh-CN" w:bidi="ar-SA"/>
        </w:rPr>
        <w:t>《中华人民共和国消防法》（中华人民共和国主席令</w:t>
      </w:r>
      <w:r>
        <w:rPr>
          <w:rFonts w:hint="eastAsia" w:ascii="Times New Roman" w:hAnsi="Times New Roman" w:eastAsia="宋体" w:cs="Times New Roman"/>
          <w:color w:val="auto"/>
          <w:kern w:val="28"/>
          <w:sz w:val="28"/>
          <w:szCs w:val="20"/>
          <w:highlight w:val="none"/>
          <w:lang w:val="en-US" w:eastAsia="zh-CN" w:bidi="ar-SA"/>
        </w:rPr>
        <w:t>[2021]</w:t>
      </w:r>
      <w:r>
        <w:rPr>
          <w:rFonts w:ascii="Times New Roman" w:hAnsi="Times New Roman" w:eastAsia="宋体" w:cs="Times New Roman"/>
          <w:color w:val="auto"/>
          <w:kern w:val="28"/>
          <w:sz w:val="28"/>
          <w:szCs w:val="20"/>
          <w:highlight w:val="none"/>
          <w:lang w:val="en-US" w:eastAsia="zh-CN" w:bidi="ar-SA"/>
        </w:rPr>
        <w:t>第</w:t>
      </w:r>
      <w:r>
        <w:rPr>
          <w:rFonts w:hint="eastAsia" w:ascii="Times New Roman" w:hAnsi="Times New Roman" w:eastAsia="宋体" w:cs="Times New Roman"/>
          <w:color w:val="auto"/>
          <w:kern w:val="28"/>
          <w:sz w:val="28"/>
          <w:szCs w:val="20"/>
          <w:highlight w:val="none"/>
          <w:lang w:val="en-US" w:eastAsia="zh-CN" w:bidi="ar-SA"/>
        </w:rPr>
        <w:t>八十一</w:t>
      </w:r>
      <w:r>
        <w:rPr>
          <w:rFonts w:ascii="Times New Roman" w:hAnsi="Times New Roman" w:eastAsia="宋体" w:cs="Times New Roman"/>
          <w:color w:val="auto"/>
          <w:kern w:val="28"/>
          <w:sz w:val="28"/>
          <w:szCs w:val="20"/>
          <w:highlight w:val="none"/>
          <w:lang w:val="en-US" w:eastAsia="zh-CN" w:bidi="ar-SA"/>
        </w:rPr>
        <w:t>号，20</w:t>
      </w:r>
      <w:r>
        <w:rPr>
          <w:rFonts w:hint="eastAsia" w:ascii="Times New Roman" w:hAnsi="Times New Roman" w:eastAsia="宋体" w:cs="Times New Roman"/>
          <w:color w:val="auto"/>
          <w:kern w:val="28"/>
          <w:sz w:val="28"/>
          <w:szCs w:val="20"/>
          <w:highlight w:val="none"/>
          <w:lang w:val="en-US" w:eastAsia="zh-CN" w:bidi="ar-SA"/>
        </w:rPr>
        <w:t>21</w:t>
      </w:r>
      <w:r>
        <w:rPr>
          <w:rFonts w:ascii="Times New Roman" w:hAnsi="Times New Roman" w:eastAsia="宋体" w:cs="Times New Roman"/>
          <w:color w:val="auto"/>
          <w:kern w:val="28"/>
          <w:sz w:val="28"/>
          <w:szCs w:val="20"/>
          <w:highlight w:val="none"/>
          <w:lang w:val="en-US" w:eastAsia="zh-CN" w:bidi="ar-SA"/>
        </w:rPr>
        <w:t>年04月</w:t>
      </w:r>
      <w:r>
        <w:rPr>
          <w:rFonts w:hint="eastAsia" w:ascii="Times New Roman" w:hAnsi="Times New Roman" w:eastAsia="宋体" w:cs="Times New Roman"/>
          <w:color w:val="auto"/>
          <w:kern w:val="28"/>
          <w:sz w:val="28"/>
          <w:szCs w:val="20"/>
          <w:highlight w:val="none"/>
          <w:lang w:val="en-US" w:eastAsia="zh-CN" w:bidi="ar-SA"/>
        </w:rPr>
        <w:t>29</w:t>
      </w:r>
      <w:r>
        <w:rPr>
          <w:rFonts w:ascii="Times New Roman" w:hAnsi="Times New Roman" w:eastAsia="宋体" w:cs="Times New Roman"/>
          <w:color w:val="auto"/>
          <w:kern w:val="28"/>
          <w:sz w:val="28"/>
          <w:szCs w:val="20"/>
          <w:highlight w:val="none"/>
          <w:lang w:val="en-US" w:eastAsia="zh-CN" w:bidi="ar-SA"/>
        </w:rPr>
        <w:t>日</w:t>
      </w:r>
      <w:r>
        <w:rPr>
          <w:rFonts w:hint="eastAsia" w:ascii="Times New Roman" w:hAnsi="Times New Roman" w:eastAsia="宋体" w:cs="Times New Roman"/>
          <w:color w:val="auto"/>
          <w:kern w:val="28"/>
          <w:sz w:val="28"/>
          <w:szCs w:val="20"/>
          <w:highlight w:val="none"/>
          <w:lang w:val="en-US" w:eastAsia="zh-CN" w:bidi="ar-SA"/>
        </w:rPr>
        <w:t>实施</w:t>
      </w:r>
      <w:r>
        <w:rPr>
          <w:rFonts w:ascii="Times New Roman" w:hAnsi="Times New Roman" w:eastAsia="宋体" w:cs="Times New Roman"/>
          <w:color w:val="auto"/>
          <w:kern w:val="28"/>
          <w:sz w:val="28"/>
          <w:szCs w:val="20"/>
          <w:highlight w:val="none"/>
          <w:lang w:val="en-US" w:eastAsia="zh-CN" w:bidi="ar-SA"/>
        </w:rPr>
        <w:t>）</w:t>
      </w:r>
    </w:p>
    <w:p w14:paraId="00671DBB">
      <w:pPr>
        <w:widowControl w:val="0"/>
        <w:numPr>
          <w:ilvl w:val="0"/>
          <w:numId w:val="23"/>
        </w:numPr>
        <w:tabs>
          <w:tab w:val="left" w:pos="1260"/>
        </w:tabs>
        <w:kinsoku w:val="0"/>
        <w:overflowPunct w:val="0"/>
        <w:autoSpaceDE w:val="0"/>
        <w:autoSpaceDN w:val="0"/>
        <w:adjustRightInd w:val="0"/>
        <w:snapToGrid w:val="0"/>
        <w:spacing w:line="360" w:lineRule="auto"/>
        <w:ind w:firstLine="560" w:firstLineChars="200"/>
        <w:jc w:val="both"/>
        <w:rPr>
          <w:rFonts w:ascii="Times New Roman" w:hAnsi="Times New Roman" w:eastAsia="宋体" w:cs="Times New Roman"/>
          <w:color w:val="auto"/>
          <w:kern w:val="28"/>
          <w:sz w:val="28"/>
          <w:szCs w:val="20"/>
          <w:highlight w:val="none"/>
          <w:lang w:val="en-US" w:eastAsia="zh-CN" w:bidi="ar-SA"/>
        </w:rPr>
      </w:pPr>
      <w:r>
        <w:rPr>
          <w:rFonts w:ascii="Times New Roman" w:hAnsi="Times New Roman" w:eastAsia="宋体" w:cs="Times New Roman"/>
          <w:color w:val="auto"/>
          <w:kern w:val="28"/>
          <w:sz w:val="28"/>
          <w:szCs w:val="20"/>
          <w:highlight w:val="none"/>
          <w:lang w:val="en-US" w:eastAsia="zh-CN" w:bidi="ar-SA"/>
        </w:rPr>
        <w:t>《中华人民共和国职业病防治法》（中华人民共和国主席令</w:t>
      </w:r>
      <w:r>
        <w:rPr>
          <w:rFonts w:hint="eastAsia" w:ascii="Times New Roman" w:hAnsi="Times New Roman" w:eastAsia="宋体" w:cs="Times New Roman"/>
          <w:color w:val="auto"/>
          <w:kern w:val="28"/>
          <w:sz w:val="28"/>
          <w:szCs w:val="20"/>
          <w:highlight w:val="none"/>
          <w:lang w:val="en-US" w:eastAsia="zh-CN" w:bidi="ar-SA"/>
        </w:rPr>
        <w:t>[2018]</w:t>
      </w:r>
      <w:r>
        <w:rPr>
          <w:rFonts w:ascii="Times New Roman" w:hAnsi="Times New Roman" w:eastAsia="宋体" w:cs="Times New Roman"/>
          <w:color w:val="auto"/>
          <w:kern w:val="28"/>
          <w:sz w:val="28"/>
          <w:szCs w:val="20"/>
          <w:highlight w:val="none"/>
          <w:lang w:val="en-US" w:eastAsia="zh-CN" w:bidi="ar-SA"/>
        </w:rPr>
        <w:t>第</w:t>
      </w:r>
      <w:r>
        <w:rPr>
          <w:rFonts w:hint="eastAsia" w:ascii="Times New Roman" w:hAnsi="Times New Roman" w:eastAsia="宋体" w:cs="Times New Roman"/>
          <w:color w:val="auto"/>
          <w:kern w:val="28"/>
          <w:sz w:val="28"/>
          <w:szCs w:val="20"/>
          <w:highlight w:val="none"/>
          <w:lang w:val="en-US" w:eastAsia="zh-CN" w:bidi="ar-SA"/>
        </w:rPr>
        <w:t>二十四</w:t>
      </w:r>
      <w:r>
        <w:rPr>
          <w:rFonts w:ascii="Times New Roman" w:hAnsi="Times New Roman" w:eastAsia="宋体" w:cs="Times New Roman"/>
          <w:color w:val="auto"/>
          <w:kern w:val="28"/>
          <w:sz w:val="28"/>
          <w:szCs w:val="20"/>
          <w:highlight w:val="none"/>
          <w:lang w:val="en-US" w:eastAsia="zh-CN" w:bidi="ar-SA"/>
        </w:rPr>
        <w:t>号，201</w:t>
      </w:r>
      <w:r>
        <w:rPr>
          <w:rFonts w:hint="eastAsia" w:ascii="Times New Roman" w:hAnsi="Times New Roman" w:eastAsia="宋体" w:cs="Times New Roman"/>
          <w:color w:val="auto"/>
          <w:kern w:val="28"/>
          <w:sz w:val="28"/>
          <w:szCs w:val="20"/>
          <w:highlight w:val="none"/>
          <w:lang w:val="en-US" w:eastAsia="zh-CN" w:bidi="ar-SA"/>
        </w:rPr>
        <w:t>8</w:t>
      </w:r>
      <w:r>
        <w:rPr>
          <w:rFonts w:ascii="Times New Roman" w:hAnsi="Times New Roman" w:eastAsia="宋体" w:cs="Times New Roman"/>
          <w:color w:val="auto"/>
          <w:kern w:val="28"/>
          <w:sz w:val="28"/>
          <w:szCs w:val="20"/>
          <w:highlight w:val="none"/>
          <w:lang w:val="en-US" w:eastAsia="zh-CN" w:bidi="ar-SA"/>
        </w:rPr>
        <w:t>年12月</w:t>
      </w:r>
      <w:r>
        <w:rPr>
          <w:rFonts w:hint="eastAsia" w:ascii="Times New Roman" w:hAnsi="Times New Roman" w:eastAsia="宋体" w:cs="Times New Roman"/>
          <w:color w:val="auto"/>
          <w:kern w:val="28"/>
          <w:sz w:val="28"/>
          <w:szCs w:val="20"/>
          <w:highlight w:val="none"/>
          <w:lang w:val="en-US" w:eastAsia="zh-CN" w:bidi="ar-SA"/>
        </w:rPr>
        <w:t>29</w:t>
      </w:r>
      <w:r>
        <w:rPr>
          <w:rFonts w:ascii="Times New Roman" w:hAnsi="Times New Roman" w:eastAsia="宋体" w:cs="Times New Roman"/>
          <w:color w:val="auto"/>
          <w:kern w:val="28"/>
          <w:sz w:val="28"/>
          <w:szCs w:val="20"/>
          <w:highlight w:val="none"/>
          <w:lang w:val="en-US" w:eastAsia="zh-CN" w:bidi="ar-SA"/>
        </w:rPr>
        <w:t>日</w:t>
      </w:r>
      <w:r>
        <w:rPr>
          <w:rFonts w:hint="eastAsia" w:ascii="Times New Roman" w:hAnsi="Times New Roman" w:eastAsia="宋体" w:cs="Times New Roman"/>
          <w:color w:val="auto"/>
          <w:kern w:val="28"/>
          <w:sz w:val="28"/>
          <w:szCs w:val="20"/>
          <w:highlight w:val="none"/>
          <w:lang w:val="en-US" w:eastAsia="zh-CN" w:bidi="ar-SA"/>
        </w:rPr>
        <w:t>实施</w:t>
      </w:r>
      <w:r>
        <w:rPr>
          <w:rFonts w:ascii="Times New Roman" w:hAnsi="Times New Roman" w:eastAsia="宋体" w:cs="Times New Roman"/>
          <w:color w:val="auto"/>
          <w:kern w:val="28"/>
          <w:sz w:val="28"/>
          <w:szCs w:val="20"/>
          <w:highlight w:val="none"/>
          <w:lang w:val="en-US" w:eastAsia="zh-CN" w:bidi="ar-SA"/>
        </w:rPr>
        <w:t>）</w:t>
      </w:r>
    </w:p>
    <w:p w14:paraId="745D605C">
      <w:pPr>
        <w:widowControl w:val="0"/>
        <w:numPr>
          <w:ilvl w:val="0"/>
          <w:numId w:val="23"/>
        </w:numPr>
        <w:tabs>
          <w:tab w:val="left" w:pos="1260"/>
        </w:tabs>
        <w:kinsoku w:val="0"/>
        <w:overflowPunct w:val="0"/>
        <w:autoSpaceDE w:val="0"/>
        <w:autoSpaceDN w:val="0"/>
        <w:adjustRightInd w:val="0"/>
        <w:snapToGrid w:val="0"/>
        <w:spacing w:line="360" w:lineRule="auto"/>
        <w:ind w:firstLine="560" w:firstLineChars="200"/>
        <w:jc w:val="both"/>
        <w:rPr>
          <w:rFonts w:ascii="Times New Roman" w:hAnsi="Times New Roman" w:eastAsia="宋体" w:cs="Times New Roman"/>
          <w:color w:val="auto"/>
          <w:kern w:val="28"/>
          <w:sz w:val="28"/>
          <w:szCs w:val="20"/>
          <w:highlight w:val="none"/>
          <w:lang w:val="en-US" w:eastAsia="zh-CN" w:bidi="ar-SA"/>
        </w:rPr>
      </w:pPr>
      <w:r>
        <w:rPr>
          <w:rFonts w:ascii="Times New Roman" w:hAnsi="Times New Roman" w:eastAsia="宋体" w:cs="Times New Roman"/>
          <w:color w:val="auto"/>
          <w:kern w:val="28"/>
          <w:sz w:val="28"/>
          <w:szCs w:val="20"/>
          <w:highlight w:val="none"/>
          <w:lang w:val="en-US" w:eastAsia="zh-CN" w:bidi="ar-SA"/>
        </w:rPr>
        <w:t>《中华人民共和国气象法》（中华人民共和国主席令</w:t>
      </w:r>
      <w:r>
        <w:rPr>
          <w:rFonts w:hint="eastAsia" w:ascii="Times New Roman" w:hAnsi="Times New Roman" w:eastAsia="宋体" w:cs="Times New Roman"/>
          <w:color w:val="auto"/>
          <w:kern w:val="28"/>
          <w:sz w:val="28"/>
          <w:szCs w:val="20"/>
          <w:highlight w:val="none"/>
          <w:lang w:val="en-US" w:eastAsia="zh-CN" w:bidi="ar-SA"/>
        </w:rPr>
        <w:t>[2016]</w:t>
      </w:r>
      <w:r>
        <w:rPr>
          <w:rFonts w:ascii="Times New Roman" w:hAnsi="Times New Roman" w:eastAsia="宋体" w:cs="Times New Roman"/>
          <w:color w:val="auto"/>
          <w:kern w:val="28"/>
          <w:sz w:val="28"/>
          <w:szCs w:val="20"/>
          <w:highlight w:val="none"/>
          <w:lang w:val="en-US" w:eastAsia="zh-CN" w:bidi="ar-SA"/>
        </w:rPr>
        <w:t>第</w:t>
      </w:r>
      <w:r>
        <w:rPr>
          <w:rFonts w:hint="eastAsia" w:ascii="Times New Roman" w:hAnsi="Times New Roman" w:eastAsia="宋体" w:cs="Times New Roman"/>
          <w:color w:val="auto"/>
          <w:kern w:val="28"/>
          <w:sz w:val="28"/>
          <w:szCs w:val="20"/>
          <w:highlight w:val="none"/>
          <w:lang w:val="en-US" w:eastAsia="zh-CN" w:bidi="ar-SA"/>
        </w:rPr>
        <w:t>五十七</w:t>
      </w:r>
      <w:r>
        <w:rPr>
          <w:rFonts w:ascii="Times New Roman" w:hAnsi="Times New Roman" w:eastAsia="宋体" w:cs="Times New Roman"/>
          <w:color w:val="auto"/>
          <w:kern w:val="28"/>
          <w:sz w:val="28"/>
          <w:szCs w:val="20"/>
          <w:highlight w:val="none"/>
          <w:lang w:val="en-US" w:eastAsia="zh-CN" w:bidi="ar-SA"/>
        </w:rPr>
        <w:t>号，20</w:t>
      </w:r>
      <w:r>
        <w:rPr>
          <w:rFonts w:hint="eastAsia" w:ascii="Times New Roman" w:hAnsi="Times New Roman" w:eastAsia="宋体" w:cs="Times New Roman"/>
          <w:color w:val="auto"/>
          <w:kern w:val="28"/>
          <w:sz w:val="28"/>
          <w:szCs w:val="20"/>
          <w:highlight w:val="none"/>
          <w:lang w:val="en-US" w:eastAsia="zh-CN" w:bidi="ar-SA"/>
        </w:rPr>
        <w:t>16</w:t>
      </w:r>
      <w:r>
        <w:rPr>
          <w:rFonts w:ascii="Times New Roman" w:hAnsi="Times New Roman" w:eastAsia="宋体" w:cs="Times New Roman"/>
          <w:color w:val="auto"/>
          <w:kern w:val="28"/>
          <w:sz w:val="28"/>
          <w:szCs w:val="20"/>
          <w:highlight w:val="none"/>
          <w:lang w:val="en-US" w:eastAsia="zh-CN" w:bidi="ar-SA"/>
        </w:rPr>
        <w:t>年</w:t>
      </w:r>
      <w:r>
        <w:rPr>
          <w:rFonts w:hint="eastAsia" w:ascii="Times New Roman" w:hAnsi="Times New Roman" w:eastAsia="宋体" w:cs="Times New Roman"/>
          <w:color w:val="auto"/>
          <w:kern w:val="28"/>
          <w:sz w:val="28"/>
          <w:szCs w:val="20"/>
          <w:highlight w:val="none"/>
          <w:lang w:val="en-US" w:eastAsia="zh-CN" w:bidi="ar-SA"/>
        </w:rPr>
        <w:t>11</w:t>
      </w:r>
      <w:r>
        <w:rPr>
          <w:rFonts w:ascii="Times New Roman" w:hAnsi="Times New Roman" w:eastAsia="宋体" w:cs="Times New Roman"/>
          <w:color w:val="auto"/>
          <w:kern w:val="28"/>
          <w:sz w:val="28"/>
          <w:szCs w:val="20"/>
          <w:highlight w:val="none"/>
          <w:lang w:val="en-US" w:eastAsia="zh-CN" w:bidi="ar-SA"/>
        </w:rPr>
        <w:t>月</w:t>
      </w:r>
      <w:r>
        <w:rPr>
          <w:rFonts w:hint="eastAsia" w:ascii="Times New Roman" w:hAnsi="Times New Roman" w:eastAsia="宋体" w:cs="Times New Roman"/>
          <w:color w:val="auto"/>
          <w:kern w:val="28"/>
          <w:sz w:val="28"/>
          <w:szCs w:val="20"/>
          <w:highlight w:val="none"/>
          <w:lang w:val="en-US" w:eastAsia="zh-CN" w:bidi="ar-SA"/>
        </w:rPr>
        <w:t>07</w:t>
      </w:r>
      <w:r>
        <w:rPr>
          <w:rFonts w:ascii="Times New Roman" w:hAnsi="Times New Roman" w:eastAsia="宋体" w:cs="Times New Roman"/>
          <w:color w:val="auto"/>
          <w:kern w:val="28"/>
          <w:sz w:val="28"/>
          <w:szCs w:val="20"/>
          <w:highlight w:val="none"/>
          <w:lang w:val="en-US" w:eastAsia="zh-CN" w:bidi="ar-SA"/>
        </w:rPr>
        <w:t>日</w:t>
      </w:r>
      <w:r>
        <w:rPr>
          <w:rFonts w:hint="eastAsia" w:ascii="Times New Roman" w:hAnsi="Times New Roman" w:eastAsia="宋体" w:cs="Times New Roman"/>
          <w:color w:val="auto"/>
          <w:kern w:val="28"/>
          <w:sz w:val="28"/>
          <w:szCs w:val="20"/>
          <w:highlight w:val="none"/>
          <w:lang w:val="en-US" w:eastAsia="zh-CN" w:bidi="ar-SA"/>
        </w:rPr>
        <w:t>实施</w:t>
      </w:r>
      <w:r>
        <w:rPr>
          <w:rFonts w:ascii="Times New Roman" w:hAnsi="Times New Roman" w:eastAsia="宋体" w:cs="Times New Roman"/>
          <w:color w:val="auto"/>
          <w:kern w:val="28"/>
          <w:sz w:val="28"/>
          <w:szCs w:val="20"/>
          <w:highlight w:val="none"/>
          <w:lang w:val="en-US" w:eastAsia="zh-CN" w:bidi="ar-SA"/>
        </w:rPr>
        <w:t>）</w:t>
      </w:r>
    </w:p>
    <w:p w14:paraId="61D84480">
      <w:pPr>
        <w:widowControl w:val="0"/>
        <w:numPr>
          <w:ilvl w:val="0"/>
          <w:numId w:val="23"/>
        </w:numPr>
        <w:tabs>
          <w:tab w:val="left" w:pos="1260"/>
        </w:tabs>
        <w:kinsoku w:val="0"/>
        <w:overflowPunct w:val="0"/>
        <w:autoSpaceDE w:val="0"/>
        <w:autoSpaceDN w:val="0"/>
        <w:adjustRightInd w:val="0"/>
        <w:snapToGrid w:val="0"/>
        <w:spacing w:line="360" w:lineRule="auto"/>
        <w:ind w:firstLine="560" w:firstLineChars="200"/>
        <w:jc w:val="both"/>
        <w:rPr>
          <w:rFonts w:ascii="Times New Roman" w:hAnsi="Times New Roman" w:eastAsia="宋体" w:cs="Times New Roman"/>
          <w:color w:val="auto"/>
          <w:kern w:val="28"/>
          <w:sz w:val="28"/>
          <w:szCs w:val="20"/>
          <w:highlight w:val="none"/>
          <w:lang w:val="en-US" w:eastAsia="zh-CN" w:bidi="ar-SA"/>
        </w:rPr>
      </w:pPr>
      <w:r>
        <w:rPr>
          <w:rFonts w:ascii="Times New Roman" w:hAnsi="Times New Roman" w:eastAsia="宋体" w:cs="Times New Roman"/>
          <w:color w:val="auto"/>
          <w:kern w:val="28"/>
          <w:sz w:val="28"/>
          <w:szCs w:val="20"/>
          <w:highlight w:val="none"/>
          <w:lang w:val="en-US" w:eastAsia="zh-CN" w:bidi="ar-SA"/>
        </w:rPr>
        <w:t>《中华人民共和国突发事件应对法》（中华人民共和国主席令</w:t>
      </w:r>
      <w:r>
        <w:rPr>
          <w:rFonts w:hint="eastAsia" w:ascii="Times New Roman" w:hAnsi="Times New Roman" w:eastAsia="宋体" w:cs="Times New Roman"/>
          <w:color w:val="auto"/>
          <w:kern w:val="28"/>
          <w:sz w:val="28"/>
          <w:szCs w:val="20"/>
          <w:highlight w:val="none"/>
          <w:lang w:val="en-US" w:eastAsia="zh-CN" w:bidi="ar-SA"/>
        </w:rPr>
        <w:t>[2024]</w:t>
      </w:r>
      <w:r>
        <w:rPr>
          <w:rFonts w:ascii="Times New Roman" w:hAnsi="Times New Roman" w:eastAsia="宋体" w:cs="Times New Roman"/>
          <w:color w:val="auto"/>
          <w:kern w:val="28"/>
          <w:sz w:val="28"/>
          <w:szCs w:val="20"/>
          <w:highlight w:val="none"/>
          <w:lang w:val="en-US" w:eastAsia="zh-CN" w:bidi="ar-SA"/>
        </w:rPr>
        <w:t>第</w:t>
      </w:r>
      <w:r>
        <w:rPr>
          <w:rFonts w:hint="eastAsia" w:ascii="Times New Roman" w:hAnsi="Times New Roman" w:eastAsia="宋体" w:cs="Times New Roman"/>
          <w:color w:val="auto"/>
          <w:kern w:val="28"/>
          <w:sz w:val="28"/>
          <w:szCs w:val="20"/>
          <w:highlight w:val="none"/>
          <w:lang w:val="en-US" w:eastAsia="zh-CN" w:bidi="ar-SA"/>
        </w:rPr>
        <w:t>二十五</w:t>
      </w:r>
      <w:r>
        <w:rPr>
          <w:rFonts w:ascii="Times New Roman" w:hAnsi="Times New Roman" w:eastAsia="宋体" w:cs="Times New Roman"/>
          <w:color w:val="auto"/>
          <w:kern w:val="28"/>
          <w:sz w:val="28"/>
          <w:szCs w:val="20"/>
          <w:highlight w:val="none"/>
          <w:lang w:val="en-US" w:eastAsia="zh-CN" w:bidi="ar-SA"/>
        </w:rPr>
        <w:t>号，20</w:t>
      </w:r>
      <w:r>
        <w:rPr>
          <w:rFonts w:hint="eastAsia" w:ascii="Times New Roman" w:hAnsi="Times New Roman" w:eastAsia="宋体" w:cs="Times New Roman"/>
          <w:color w:val="auto"/>
          <w:kern w:val="28"/>
          <w:sz w:val="28"/>
          <w:szCs w:val="20"/>
          <w:highlight w:val="none"/>
          <w:lang w:val="en-US" w:eastAsia="zh-CN" w:bidi="ar-SA"/>
        </w:rPr>
        <w:t>24</w:t>
      </w:r>
      <w:r>
        <w:rPr>
          <w:rFonts w:ascii="Times New Roman" w:hAnsi="Times New Roman" w:eastAsia="宋体" w:cs="Times New Roman"/>
          <w:color w:val="auto"/>
          <w:kern w:val="28"/>
          <w:sz w:val="28"/>
          <w:szCs w:val="20"/>
          <w:highlight w:val="none"/>
          <w:lang w:val="en-US" w:eastAsia="zh-CN" w:bidi="ar-SA"/>
        </w:rPr>
        <w:t>年11月01日</w:t>
      </w:r>
      <w:r>
        <w:rPr>
          <w:rFonts w:hint="eastAsia" w:ascii="Times New Roman" w:hAnsi="Times New Roman" w:eastAsia="宋体" w:cs="Times New Roman"/>
          <w:color w:val="auto"/>
          <w:kern w:val="28"/>
          <w:sz w:val="28"/>
          <w:szCs w:val="20"/>
          <w:highlight w:val="none"/>
          <w:lang w:val="en-US" w:eastAsia="zh-CN" w:bidi="ar-SA"/>
        </w:rPr>
        <w:t>实施</w:t>
      </w:r>
      <w:r>
        <w:rPr>
          <w:rFonts w:ascii="Times New Roman" w:hAnsi="Times New Roman" w:eastAsia="宋体" w:cs="Times New Roman"/>
          <w:color w:val="auto"/>
          <w:kern w:val="28"/>
          <w:sz w:val="28"/>
          <w:szCs w:val="20"/>
          <w:highlight w:val="none"/>
          <w:lang w:val="en-US" w:eastAsia="zh-CN" w:bidi="ar-SA"/>
        </w:rPr>
        <w:t>）</w:t>
      </w:r>
    </w:p>
    <w:p w14:paraId="580F286B">
      <w:pPr>
        <w:widowControl w:val="0"/>
        <w:numPr>
          <w:ilvl w:val="0"/>
          <w:numId w:val="23"/>
        </w:numPr>
        <w:tabs>
          <w:tab w:val="left" w:pos="1260"/>
        </w:tabs>
        <w:kinsoku w:val="0"/>
        <w:overflowPunct w:val="0"/>
        <w:autoSpaceDE w:val="0"/>
        <w:autoSpaceDN w:val="0"/>
        <w:adjustRightInd w:val="0"/>
        <w:snapToGrid w:val="0"/>
        <w:spacing w:line="360" w:lineRule="auto"/>
        <w:ind w:firstLine="560" w:firstLineChars="200"/>
        <w:jc w:val="both"/>
        <w:rPr>
          <w:rFonts w:ascii="Times New Roman" w:hAnsi="Times New Roman" w:eastAsia="宋体" w:cs="Times New Roman"/>
          <w:color w:val="auto"/>
          <w:kern w:val="28"/>
          <w:sz w:val="28"/>
          <w:szCs w:val="20"/>
          <w:highlight w:val="none"/>
          <w:lang w:val="en-US" w:eastAsia="zh-CN" w:bidi="ar-SA"/>
        </w:rPr>
      </w:pPr>
      <w:r>
        <w:rPr>
          <w:rFonts w:hint="eastAsia" w:ascii="Times New Roman" w:hAnsi="Times New Roman" w:eastAsia="宋体" w:cs="Times New Roman"/>
          <w:color w:val="auto"/>
          <w:kern w:val="28"/>
          <w:sz w:val="28"/>
          <w:szCs w:val="20"/>
          <w:highlight w:val="none"/>
          <w:lang w:val="en-US" w:eastAsia="zh-CN" w:bidi="ar-SA"/>
        </w:rPr>
        <w:t>《中华人民共和国环境保护法》（中华人民共和国主席令[2014]第九号，2015年01月01日实施）</w:t>
      </w:r>
    </w:p>
    <w:p w14:paraId="1575C6D8">
      <w:pPr>
        <w:widowControl w:val="0"/>
        <w:numPr>
          <w:ilvl w:val="0"/>
          <w:numId w:val="23"/>
        </w:numPr>
        <w:tabs>
          <w:tab w:val="left" w:pos="1260"/>
        </w:tabs>
        <w:kinsoku w:val="0"/>
        <w:overflowPunct w:val="0"/>
        <w:autoSpaceDE w:val="0"/>
        <w:autoSpaceDN w:val="0"/>
        <w:adjustRightInd w:val="0"/>
        <w:snapToGrid w:val="0"/>
        <w:spacing w:line="360" w:lineRule="auto"/>
        <w:ind w:firstLine="560" w:firstLineChars="200"/>
        <w:jc w:val="both"/>
        <w:rPr>
          <w:rFonts w:ascii="Times New Roman" w:hAnsi="Times New Roman" w:eastAsia="宋体" w:cs="Times New Roman"/>
          <w:color w:val="auto"/>
          <w:kern w:val="28"/>
          <w:sz w:val="28"/>
          <w:szCs w:val="20"/>
          <w:highlight w:val="none"/>
          <w:lang w:val="en-US" w:eastAsia="zh-CN" w:bidi="ar-SA"/>
        </w:rPr>
      </w:pPr>
      <w:r>
        <w:rPr>
          <w:rFonts w:hint="eastAsia" w:ascii="Times New Roman" w:hAnsi="Times New Roman" w:eastAsia="宋体" w:cs="Times New Roman"/>
          <w:color w:val="auto"/>
          <w:kern w:val="28"/>
          <w:sz w:val="28"/>
          <w:szCs w:val="20"/>
          <w:highlight w:val="none"/>
          <w:lang w:val="en-US" w:eastAsia="zh-CN" w:bidi="ar-SA"/>
        </w:rPr>
        <w:t>《中华人民共和国消防法》（中华人民共和国主席令[2021]第八十一号，2021年04月29日实施）</w:t>
      </w:r>
    </w:p>
    <w:p w14:paraId="4187868A">
      <w:pPr>
        <w:widowControl w:val="0"/>
        <w:numPr>
          <w:ilvl w:val="0"/>
          <w:numId w:val="23"/>
        </w:numPr>
        <w:tabs>
          <w:tab w:val="left" w:pos="1260"/>
        </w:tabs>
        <w:kinsoku w:val="0"/>
        <w:overflowPunct w:val="0"/>
        <w:autoSpaceDE w:val="0"/>
        <w:autoSpaceDN w:val="0"/>
        <w:adjustRightInd w:val="0"/>
        <w:snapToGrid w:val="0"/>
        <w:spacing w:line="360" w:lineRule="auto"/>
        <w:ind w:firstLine="560" w:firstLineChars="200"/>
        <w:jc w:val="both"/>
        <w:rPr>
          <w:rFonts w:ascii="Times New Roman" w:hAnsi="Times New Roman" w:eastAsia="宋体" w:cs="Times New Roman"/>
          <w:color w:val="auto"/>
          <w:kern w:val="28"/>
          <w:sz w:val="28"/>
          <w:szCs w:val="20"/>
          <w:highlight w:val="none"/>
          <w:lang w:val="en-US" w:eastAsia="zh-CN" w:bidi="ar-SA"/>
        </w:rPr>
      </w:pPr>
      <w:r>
        <w:rPr>
          <w:rFonts w:ascii="Times New Roman" w:hAnsi="Times New Roman" w:eastAsia="宋体" w:cs="Times New Roman"/>
          <w:color w:val="auto"/>
          <w:kern w:val="28"/>
          <w:sz w:val="28"/>
          <w:szCs w:val="20"/>
          <w:highlight w:val="none"/>
          <w:lang w:val="en-US" w:eastAsia="zh-CN" w:bidi="ar-SA"/>
        </w:rPr>
        <w:t>《中华人民共和国水污染防治法》（中华人民共和国主席令</w:t>
      </w:r>
      <w:r>
        <w:rPr>
          <w:rFonts w:hint="eastAsia" w:ascii="Times New Roman" w:hAnsi="Times New Roman" w:eastAsia="宋体" w:cs="Times New Roman"/>
          <w:color w:val="auto"/>
          <w:kern w:val="28"/>
          <w:sz w:val="28"/>
          <w:szCs w:val="20"/>
          <w:highlight w:val="none"/>
          <w:lang w:val="en-US" w:eastAsia="zh-CN" w:bidi="ar-SA"/>
        </w:rPr>
        <w:t>[2017]</w:t>
      </w:r>
      <w:r>
        <w:rPr>
          <w:rFonts w:ascii="Times New Roman" w:hAnsi="Times New Roman" w:eastAsia="宋体" w:cs="Times New Roman"/>
          <w:color w:val="auto"/>
          <w:kern w:val="28"/>
          <w:sz w:val="28"/>
          <w:szCs w:val="20"/>
          <w:highlight w:val="none"/>
          <w:lang w:val="en-US" w:eastAsia="zh-CN" w:bidi="ar-SA"/>
        </w:rPr>
        <w:t>第</w:t>
      </w:r>
      <w:r>
        <w:rPr>
          <w:rFonts w:hint="eastAsia" w:ascii="Times New Roman" w:hAnsi="Times New Roman" w:eastAsia="宋体" w:cs="Times New Roman"/>
          <w:color w:val="auto"/>
          <w:kern w:val="28"/>
          <w:sz w:val="28"/>
          <w:szCs w:val="20"/>
          <w:highlight w:val="none"/>
          <w:lang w:val="en-US" w:eastAsia="zh-CN" w:bidi="ar-SA"/>
        </w:rPr>
        <w:t>七十</w:t>
      </w:r>
      <w:r>
        <w:rPr>
          <w:rFonts w:ascii="Times New Roman" w:hAnsi="Times New Roman" w:eastAsia="宋体" w:cs="Times New Roman"/>
          <w:color w:val="auto"/>
          <w:kern w:val="28"/>
          <w:sz w:val="28"/>
          <w:szCs w:val="20"/>
          <w:highlight w:val="none"/>
          <w:lang w:val="en-US" w:eastAsia="zh-CN" w:bidi="ar-SA"/>
        </w:rPr>
        <w:t>号，20</w:t>
      </w:r>
      <w:r>
        <w:rPr>
          <w:rFonts w:hint="eastAsia" w:ascii="Times New Roman" w:hAnsi="Times New Roman" w:eastAsia="宋体" w:cs="Times New Roman"/>
          <w:color w:val="auto"/>
          <w:kern w:val="28"/>
          <w:sz w:val="28"/>
          <w:szCs w:val="20"/>
          <w:highlight w:val="none"/>
          <w:lang w:val="en-US" w:eastAsia="zh-CN" w:bidi="ar-SA"/>
        </w:rPr>
        <w:t>18</w:t>
      </w:r>
      <w:r>
        <w:rPr>
          <w:rFonts w:ascii="Times New Roman" w:hAnsi="Times New Roman" w:eastAsia="宋体" w:cs="Times New Roman"/>
          <w:color w:val="auto"/>
          <w:kern w:val="28"/>
          <w:sz w:val="28"/>
          <w:szCs w:val="20"/>
          <w:highlight w:val="none"/>
          <w:lang w:val="en-US" w:eastAsia="zh-CN" w:bidi="ar-SA"/>
        </w:rPr>
        <w:t>年0</w:t>
      </w:r>
      <w:r>
        <w:rPr>
          <w:rFonts w:hint="eastAsia" w:ascii="Times New Roman" w:hAnsi="Times New Roman" w:eastAsia="宋体" w:cs="Times New Roman"/>
          <w:color w:val="auto"/>
          <w:kern w:val="28"/>
          <w:sz w:val="28"/>
          <w:szCs w:val="20"/>
          <w:highlight w:val="none"/>
          <w:lang w:val="en-US" w:eastAsia="zh-CN" w:bidi="ar-SA"/>
        </w:rPr>
        <w:t>1</w:t>
      </w:r>
      <w:r>
        <w:rPr>
          <w:rFonts w:ascii="Times New Roman" w:hAnsi="Times New Roman" w:eastAsia="宋体" w:cs="Times New Roman"/>
          <w:color w:val="auto"/>
          <w:kern w:val="28"/>
          <w:sz w:val="28"/>
          <w:szCs w:val="20"/>
          <w:highlight w:val="none"/>
          <w:lang w:val="en-US" w:eastAsia="zh-CN" w:bidi="ar-SA"/>
        </w:rPr>
        <w:t>月01日</w:t>
      </w:r>
      <w:r>
        <w:rPr>
          <w:rFonts w:hint="eastAsia" w:ascii="Times New Roman" w:hAnsi="Times New Roman" w:eastAsia="宋体" w:cs="Times New Roman"/>
          <w:color w:val="auto"/>
          <w:kern w:val="28"/>
          <w:sz w:val="28"/>
          <w:szCs w:val="20"/>
          <w:highlight w:val="none"/>
          <w:lang w:val="en-US" w:eastAsia="zh-CN" w:bidi="ar-SA"/>
        </w:rPr>
        <w:t>实施</w:t>
      </w:r>
      <w:r>
        <w:rPr>
          <w:rFonts w:ascii="Times New Roman" w:hAnsi="Times New Roman" w:eastAsia="宋体" w:cs="Times New Roman"/>
          <w:color w:val="auto"/>
          <w:kern w:val="28"/>
          <w:sz w:val="28"/>
          <w:szCs w:val="20"/>
          <w:highlight w:val="none"/>
          <w:lang w:val="en-US" w:eastAsia="zh-CN" w:bidi="ar-SA"/>
        </w:rPr>
        <w:t>）</w:t>
      </w:r>
    </w:p>
    <w:p w14:paraId="58367EC7">
      <w:pPr>
        <w:widowControl w:val="0"/>
        <w:numPr>
          <w:ilvl w:val="0"/>
          <w:numId w:val="23"/>
        </w:numPr>
        <w:tabs>
          <w:tab w:val="left" w:pos="1260"/>
        </w:tabs>
        <w:kinsoku w:val="0"/>
        <w:overflowPunct w:val="0"/>
        <w:autoSpaceDE w:val="0"/>
        <w:autoSpaceDN w:val="0"/>
        <w:adjustRightInd w:val="0"/>
        <w:snapToGrid w:val="0"/>
        <w:spacing w:line="360" w:lineRule="auto"/>
        <w:ind w:firstLine="560" w:firstLineChars="200"/>
        <w:jc w:val="both"/>
        <w:rPr>
          <w:rFonts w:ascii="Times New Roman" w:hAnsi="Times New Roman" w:eastAsia="宋体" w:cs="Times New Roman"/>
          <w:color w:val="auto"/>
          <w:kern w:val="28"/>
          <w:sz w:val="28"/>
          <w:szCs w:val="20"/>
          <w:highlight w:val="none"/>
          <w:lang w:val="en-US" w:eastAsia="zh-CN" w:bidi="ar-SA"/>
        </w:rPr>
      </w:pPr>
      <w:r>
        <w:rPr>
          <w:rFonts w:hint="eastAsia" w:ascii="Times New Roman" w:hAnsi="Times New Roman" w:eastAsia="宋体" w:cs="Times New Roman"/>
          <w:color w:val="auto"/>
          <w:kern w:val="28"/>
          <w:sz w:val="28"/>
          <w:szCs w:val="20"/>
          <w:highlight w:val="none"/>
          <w:lang w:val="en-US" w:eastAsia="zh-CN" w:bidi="ar-SA"/>
        </w:rPr>
        <w:t>《中华人民共和国大气污染防治法》（中华人民共和国主席令[2018]第十六号，2018年10月26日实施）</w:t>
      </w:r>
    </w:p>
    <w:p w14:paraId="7DD905A1">
      <w:pPr>
        <w:widowControl w:val="0"/>
        <w:numPr>
          <w:ilvl w:val="0"/>
          <w:numId w:val="23"/>
        </w:numPr>
        <w:tabs>
          <w:tab w:val="left" w:pos="1260"/>
        </w:tabs>
        <w:kinsoku w:val="0"/>
        <w:overflowPunct w:val="0"/>
        <w:autoSpaceDE w:val="0"/>
        <w:autoSpaceDN w:val="0"/>
        <w:adjustRightInd w:val="0"/>
        <w:snapToGrid w:val="0"/>
        <w:spacing w:line="360" w:lineRule="auto"/>
        <w:ind w:firstLine="560" w:firstLineChars="200"/>
        <w:jc w:val="both"/>
        <w:rPr>
          <w:rFonts w:ascii="Times New Roman" w:hAnsi="Times New Roman" w:eastAsia="宋体" w:cs="Times New Roman"/>
          <w:color w:val="auto"/>
          <w:kern w:val="28"/>
          <w:sz w:val="28"/>
          <w:szCs w:val="20"/>
          <w:highlight w:val="none"/>
          <w:lang w:val="en-US" w:eastAsia="zh-CN" w:bidi="ar-SA"/>
        </w:rPr>
      </w:pPr>
      <w:r>
        <w:rPr>
          <w:rFonts w:hint="eastAsia" w:ascii="Times New Roman" w:hAnsi="Times New Roman" w:eastAsia="宋体" w:cs="Times New Roman"/>
          <w:color w:val="auto"/>
          <w:kern w:val="28"/>
          <w:sz w:val="28"/>
          <w:szCs w:val="20"/>
          <w:highlight w:val="none"/>
          <w:lang w:val="en-US" w:eastAsia="zh-CN" w:bidi="ar-SA"/>
        </w:rPr>
        <w:t>《中华人民共和国土壤污染防治法》（中华人民共和国主席令[2018]第八号，2019年01月01日实施）</w:t>
      </w:r>
    </w:p>
    <w:p w14:paraId="5DEB13D5">
      <w:pPr>
        <w:widowControl w:val="0"/>
        <w:numPr>
          <w:ilvl w:val="0"/>
          <w:numId w:val="23"/>
        </w:numPr>
        <w:tabs>
          <w:tab w:val="left" w:pos="1260"/>
        </w:tabs>
        <w:kinsoku w:val="0"/>
        <w:overflowPunct w:val="0"/>
        <w:autoSpaceDE w:val="0"/>
        <w:autoSpaceDN w:val="0"/>
        <w:adjustRightInd w:val="0"/>
        <w:snapToGrid w:val="0"/>
        <w:spacing w:line="360" w:lineRule="auto"/>
        <w:ind w:firstLine="560" w:firstLineChars="200"/>
        <w:jc w:val="both"/>
        <w:rPr>
          <w:rFonts w:ascii="Times New Roman" w:hAnsi="Times New Roman" w:eastAsia="宋体" w:cs="Times New Roman"/>
          <w:color w:val="auto"/>
          <w:kern w:val="28"/>
          <w:sz w:val="28"/>
          <w:szCs w:val="20"/>
          <w:highlight w:val="none"/>
          <w:lang w:val="en-US" w:eastAsia="zh-CN" w:bidi="ar-SA"/>
        </w:rPr>
      </w:pPr>
      <w:r>
        <w:rPr>
          <w:rFonts w:hint="eastAsia" w:ascii="Times New Roman" w:hAnsi="Times New Roman" w:eastAsia="宋体" w:cs="Times New Roman"/>
          <w:color w:val="auto"/>
          <w:kern w:val="28"/>
          <w:sz w:val="28"/>
          <w:szCs w:val="20"/>
          <w:highlight w:val="none"/>
          <w:lang w:val="en-US" w:eastAsia="zh-CN" w:bidi="ar-SA"/>
        </w:rPr>
        <w:t>《中华人民共和国危险化学品安全法》（中华人民共和国主席令[2025]第六十四号，2026年05月01日实施）</w:t>
      </w:r>
    </w:p>
    <w:p w14:paraId="4124A461">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396" w:name="_Toc41246773"/>
      <w:bookmarkStart w:id="397" w:name="_Toc12681"/>
      <w:bookmarkStart w:id="398" w:name="_Toc24790"/>
      <w:r>
        <w:rPr>
          <w:rFonts w:hint="default" w:ascii="Times New Roman" w:hAnsi="Times New Roman" w:eastAsia="楷体" w:cs="Times New Roman"/>
          <w:b/>
          <w:bCs/>
          <w:sz w:val="32"/>
          <w:szCs w:val="32"/>
          <w:lang w:val="en-US" w:eastAsia="zh-CN"/>
        </w:rPr>
        <w:t>F1.2法规</w:t>
      </w:r>
      <w:bookmarkEnd w:id="396"/>
      <w:bookmarkEnd w:id="397"/>
      <w:r>
        <w:rPr>
          <w:rFonts w:hint="default" w:ascii="Times New Roman" w:hAnsi="Times New Roman" w:eastAsia="楷体" w:cs="Times New Roman"/>
          <w:b/>
          <w:bCs/>
          <w:sz w:val="32"/>
          <w:szCs w:val="32"/>
          <w:lang w:val="en-US" w:eastAsia="zh-CN"/>
        </w:rPr>
        <w:t>、地方法规</w:t>
      </w:r>
      <w:bookmarkEnd w:id="398"/>
    </w:p>
    <w:p w14:paraId="1D43DADB">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《建设工程安全生产管理条例》（国务院令第393号，2004年2月1日施行）</w:t>
      </w:r>
    </w:p>
    <w:p w14:paraId="7DD8FA72">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《建设工程抗震管理条例》（国务院令第744号，2021年09月01日施行）</w:t>
      </w:r>
    </w:p>
    <w:p w14:paraId="4D299A21">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《生产安全事故应急条例》（国务院令第708号，2019年04月01日施行）</w:t>
      </w:r>
    </w:p>
    <w:p w14:paraId="4E9E0D32">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《生产安全事故报告和调查处理条例》（国务院令第493号，2007年06月01日施行）</w:t>
      </w:r>
    </w:p>
    <w:p w14:paraId="2A81667F">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《危险化学品安全管理条例（2013年修订）》（国务院令第645号，2011年12月01日施行）</w:t>
      </w:r>
    </w:p>
    <w:p w14:paraId="00ABC9EF">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《工伤保险条例》（国务院令第586号，2011年01月01日施行）</w:t>
      </w:r>
    </w:p>
    <w:p w14:paraId="49E3F1BE">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《气象灾害防御条例（201</w:t>
      </w:r>
      <w:r>
        <w:rPr>
          <w:rFonts w:hint="default" w:ascii="Times New Roman" w:hAnsi="Times New Roman" w:cs="Times New Roman"/>
          <w:sz w:val="28"/>
          <w:szCs w:val="28"/>
          <w:lang w:val="en-US" w:eastAsia="zh-CN"/>
        </w:rPr>
        <w:t>7</w:t>
      </w:r>
      <w:r>
        <w:rPr>
          <w:rFonts w:hint="default" w:ascii="Times New Roman" w:hAnsi="Times New Roman" w:cs="Times New Roman"/>
          <w:sz w:val="28"/>
          <w:szCs w:val="28"/>
        </w:rPr>
        <w:t>年修订）》（国务院令</w:t>
      </w:r>
      <w:r>
        <w:rPr>
          <w:rFonts w:hint="default" w:ascii="Times New Roman" w:hAnsi="Times New Roman" w:cs="Times New Roman"/>
          <w:sz w:val="28"/>
          <w:szCs w:val="28"/>
          <w:lang w:val="en-US" w:eastAsia="zh-CN"/>
        </w:rPr>
        <w:t>第</w:t>
      </w:r>
      <w:r>
        <w:rPr>
          <w:rFonts w:hint="default" w:ascii="Times New Roman" w:hAnsi="Times New Roman" w:cs="Times New Roman"/>
          <w:sz w:val="28"/>
          <w:szCs w:val="28"/>
        </w:rPr>
        <w:t>687号，201</w:t>
      </w:r>
      <w:r>
        <w:rPr>
          <w:rFonts w:hint="eastAsia" w:cs="Times New Roman"/>
          <w:sz w:val="28"/>
          <w:szCs w:val="28"/>
          <w:lang w:val="en-US" w:eastAsia="zh-CN"/>
        </w:rPr>
        <w:t>7</w:t>
      </w:r>
      <w:r>
        <w:rPr>
          <w:rFonts w:hint="default" w:ascii="Times New Roman" w:hAnsi="Times New Roman" w:cs="Times New Roman"/>
          <w:sz w:val="28"/>
          <w:szCs w:val="28"/>
        </w:rPr>
        <w:t>年</w:t>
      </w:r>
      <w:r>
        <w:rPr>
          <w:rFonts w:hint="eastAsia" w:cs="Times New Roman"/>
          <w:sz w:val="28"/>
          <w:szCs w:val="28"/>
          <w:lang w:val="en-US" w:eastAsia="zh-CN"/>
        </w:rPr>
        <w:t>10</w:t>
      </w:r>
      <w:r>
        <w:rPr>
          <w:rFonts w:hint="default" w:ascii="Times New Roman" w:hAnsi="Times New Roman" w:cs="Times New Roman"/>
          <w:sz w:val="28"/>
          <w:szCs w:val="28"/>
        </w:rPr>
        <w:t>月</w:t>
      </w:r>
      <w:r>
        <w:rPr>
          <w:rFonts w:hint="eastAsia" w:cs="Times New Roman"/>
          <w:sz w:val="28"/>
          <w:szCs w:val="28"/>
          <w:lang w:val="en-US" w:eastAsia="zh-CN"/>
        </w:rPr>
        <w:t>7</w:t>
      </w:r>
      <w:r>
        <w:rPr>
          <w:rFonts w:hint="default" w:ascii="Times New Roman" w:hAnsi="Times New Roman" w:cs="Times New Roman"/>
          <w:sz w:val="28"/>
          <w:szCs w:val="28"/>
        </w:rPr>
        <w:t>日施行）</w:t>
      </w:r>
    </w:p>
    <w:p w14:paraId="4256EDD9">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《国务院关于进一步加强企业安全生产工作的通知》（国发[2010]23号，2010年7月19日施行）</w:t>
      </w:r>
    </w:p>
    <w:p w14:paraId="32E8A74E">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《辽宁省安全生产条例》（辽宁省第十四届人民代表大会常务委员会第十六次会议修正，自2025年05月29日实施）</w:t>
      </w:r>
    </w:p>
    <w:p w14:paraId="63261872">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《辽宁省突发事件应对条例》（辽宁省十三届大会常委会第十七次会议修订，自2020年3月30日实施）</w:t>
      </w:r>
    </w:p>
    <w:p w14:paraId="0384D316">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《辽宁省防震减灾条例》（辽宁省第十一届人民代表大会常务委员会公告，2011年6月1日施行）</w:t>
      </w:r>
    </w:p>
    <w:p w14:paraId="113C9B73">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《辽宁省消防条例》（辽宁省第十三届人民代表大会常务委员会第二十五次会议修订，2022年11月9日施行）</w:t>
      </w:r>
    </w:p>
    <w:p w14:paraId="4E3265E6">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highlight w:val="none"/>
          <w:lang w:val="en-US" w:eastAsia="zh-CN"/>
        </w:rPr>
      </w:pPr>
      <w:bookmarkStart w:id="399" w:name="_Toc41246774"/>
      <w:bookmarkStart w:id="400" w:name="_Toc410311938"/>
      <w:bookmarkStart w:id="401" w:name="_Toc3450"/>
      <w:bookmarkStart w:id="402" w:name="_Toc410312015"/>
      <w:bookmarkStart w:id="403" w:name="_Toc3112539"/>
      <w:bookmarkStart w:id="404" w:name="_Toc13970"/>
      <w:r>
        <w:rPr>
          <w:rFonts w:hint="default" w:ascii="Times New Roman" w:hAnsi="Times New Roman" w:eastAsia="楷体" w:cs="Times New Roman"/>
          <w:b/>
          <w:bCs/>
          <w:sz w:val="32"/>
          <w:szCs w:val="32"/>
          <w:highlight w:val="none"/>
          <w:lang w:val="en-US" w:eastAsia="zh-CN"/>
        </w:rPr>
        <w:t>F1.3</w:t>
      </w:r>
      <w:bookmarkEnd w:id="399"/>
      <w:bookmarkEnd w:id="400"/>
      <w:bookmarkEnd w:id="401"/>
      <w:bookmarkEnd w:id="402"/>
      <w:bookmarkEnd w:id="403"/>
      <w:r>
        <w:rPr>
          <w:rFonts w:hint="default" w:ascii="Times New Roman" w:hAnsi="Times New Roman" w:eastAsia="楷体" w:cs="Times New Roman"/>
          <w:b/>
          <w:bCs/>
          <w:sz w:val="32"/>
          <w:szCs w:val="32"/>
          <w:highlight w:val="none"/>
          <w:lang w:val="en-US" w:eastAsia="zh-CN"/>
        </w:rPr>
        <w:t>部门规章、地方规章</w:t>
      </w:r>
      <w:bookmarkEnd w:id="404"/>
    </w:p>
    <w:p w14:paraId="6CE9FBCB">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bookmarkStart w:id="405" w:name="_Toc3112540"/>
      <w:bookmarkStart w:id="406" w:name="_Toc41246775"/>
      <w:bookmarkStart w:id="407" w:name="_Toc410311939"/>
      <w:bookmarkStart w:id="408" w:name="_Toc410312016"/>
      <w:r>
        <w:rPr>
          <w:rFonts w:hint="default" w:ascii="Times New Roman" w:hAnsi="Times New Roman" w:cs="Times New Roman"/>
          <w:sz w:val="28"/>
          <w:szCs w:val="28"/>
        </w:rPr>
        <w:t>《危险化学品建设项目安全监督管理办法》（国家安全生产监督管理总局令第79号，2015年7月1日施行）</w:t>
      </w:r>
    </w:p>
    <w:p w14:paraId="08703478">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en-US" w:eastAsia="zh-CN"/>
        </w:rPr>
        <w:t>关于印发</w:t>
      </w:r>
      <w:r>
        <w:rPr>
          <w:rFonts w:hint="default" w:ascii="Times New Roman" w:hAnsi="Times New Roman" w:eastAsia="宋体" w:cs="Times New Roman"/>
          <w:iCs/>
          <w:sz w:val="28"/>
        </w:rPr>
        <w:t>&lt;</w:t>
      </w:r>
      <w:r>
        <w:rPr>
          <w:rFonts w:hint="default" w:ascii="Times New Roman" w:hAnsi="Times New Roman" w:cs="Times New Roman"/>
          <w:sz w:val="28"/>
          <w:szCs w:val="28"/>
        </w:rPr>
        <w:t>危险化学品建设项目安全评价细则</w:t>
      </w:r>
      <w:r>
        <w:rPr>
          <w:rFonts w:hint="default" w:ascii="Times New Roman" w:hAnsi="Times New Roman" w:cs="Times New Roman"/>
          <w:sz w:val="28"/>
          <w:szCs w:val="28"/>
          <w:lang w:eastAsia="zh-CN"/>
        </w:rPr>
        <w:t>（</w:t>
      </w:r>
      <w:r>
        <w:rPr>
          <w:rFonts w:hint="default" w:ascii="Times New Roman" w:hAnsi="Times New Roman" w:cs="Times New Roman"/>
          <w:sz w:val="28"/>
          <w:szCs w:val="28"/>
        </w:rPr>
        <w:t>试行</w:t>
      </w:r>
      <w:r>
        <w:rPr>
          <w:rFonts w:hint="default" w:ascii="Times New Roman" w:hAnsi="Times New Roman" w:cs="Times New Roman"/>
          <w:sz w:val="28"/>
          <w:szCs w:val="28"/>
          <w:lang w:eastAsia="zh-CN"/>
        </w:rPr>
        <w:t>）</w:t>
      </w:r>
      <w:r>
        <w:rPr>
          <w:rFonts w:hint="default" w:ascii="Times New Roman" w:hAnsi="Times New Roman" w:eastAsia="宋体" w:cs="Times New Roman"/>
          <w:bCs/>
          <w:kern w:val="2"/>
          <w:sz w:val="28"/>
          <w:szCs w:val="28"/>
          <w:highlight w:val="none"/>
          <w:lang w:eastAsia="zh-CN" w:bidi="ar-SA"/>
        </w:rPr>
        <w:t>&gt;</w:t>
      </w:r>
      <w:r>
        <w:rPr>
          <w:rFonts w:hint="default" w:ascii="Times New Roman" w:hAnsi="Times New Roman" w:cs="Times New Roman"/>
          <w:sz w:val="28"/>
          <w:szCs w:val="28"/>
        </w:rPr>
        <w:t>的通知》（安监总危化255号</w:t>
      </w: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2008年01月01日施行</w:t>
      </w:r>
      <w:r>
        <w:rPr>
          <w:rFonts w:hint="default" w:ascii="Times New Roman" w:hAnsi="Times New Roman" w:cs="Times New Roman"/>
          <w:sz w:val="28"/>
          <w:szCs w:val="28"/>
        </w:rPr>
        <w:t>）</w:t>
      </w:r>
    </w:p>
    <w:p w14:paraId="24A670B0">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《生产安全事故应急预案管理办法》（应急管理部令第2号，2019年09月01日</w:t>
      </w:r>
      <w:r>
        <w:rPr>
          <w:rFonts w:hint="default" w:ascii="Times New Roman" w:hAnsi="Times New Roman" w:cs="Times New Roman"/>
          <w:sz w:val="28"/>
          <w:szCs w:val="28"/>
          <w:lang w:val="en-US" w:eastAsia="zh-CN"/>
        </w:rPr>
        <w:t>施行</w:t>
      </w:r>
      <w:r>
        <w:rPr>
          <w:rFonts w:hint="default" w:ascii="Times New Roman" w:hAnsi="Times New Roman" w:cs="Times New Roman"/>
          <w:sz w:val="28"/>
          <w:szCs w:val="28"/>
        </w:rPr>
        <w:t>）</w:t>
      </w:r>
    </w:p>
    <w:p w14:paraId="7EC45F06">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bCs/>
          <w:sz w:val="28"/>
          <w:szCs w:val="28"/>
        </w:rPr>
      </w:pPr>
      <w:r>
        <w:rPr>
          <w:rFonts w:hint="default" w:ascii="Times New Roman" w:hAnsi="Times New Roman" w:cs="Times New Roman"/>
          <w:sz w:val="28"/>
          <w:szCs w:val="28"/>
        </w:rPr>
        <w:t>《生产经营单位安全培训规定》（国家安全生产监督管理总局令第80号，2015年07月01日</w:t>
      </w:r>
      <w:r>
        <w:rPr>
          <w:rFonts w:hint="default" w:ascii="Times New Roman" w:hAnsi="Times New Roman" w:cs="Times New Roman"/>
          <w:sz w:val="28"/>
          <w:szCs w:val="28"/>
          <w:lang w:val="en-US" w:eastAsia="zh-CN"/>
        </w:rPr>
        <w:t>施行</w:t>
      </w:r>
      <w:r>
        <w:rPr>
          <w:rFonts w:hint="default" w:ascii="Times New Roman" w:hAnsi="Times New Roman" w:cs="Times New Roman"/>
          <w:sz w:val="28"/>
          <w:szCs w:val="28"/>
        </w:rPr>
        <w:t>）</w:t>
      </w:r>
    </w:p>
    <w:p w14:paraId="64FC01CB">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《安全生产培训管理办法》（国家安全生产监督管理总局令第80号，2015年07月01日施行）</w:t>
      </w:r>
    </w:p>
    <w:p w14:paraId="7A5DF49E">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《产业结构调整指导目录（2024年本）》（国家发展和改革委员会令第7号，2024年02月01日施行）</w:t>
      </w:r>
    </w:p>
    <w:p w14:paraId="4565F0A5">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《建设工程消防设计审查验收管理暂行规定（2023年修正）》（住房和城乡建设部令</w:t>
      </w:r>
      <w:r>
        <w:rPr>
          <w:rFonts w:hint="default" w:ascii="Times New Roman" w:hAnsi="Times New Roman" w:cs="Times New Roman"/>
          <w:sz w:val="28"/>
          <w:szCs w:val="28"/>
          <w:lang w:val="en-US" w:eastAsia="zh-CN"/>
        </w:rPr>
        <w:t>第</w:t>
      </w:r>
      <w:r>
        <w:rPr>
          <w:rFonts w:hint="default" w:ascii="Times New Roman" w:hAnsi="Times New Roman" w:cs="Times New Roman"/>
          <w:sz w:val="28"/>
          <w:szCs w:val="28"/>
        </w:rPr>
        <w:t>58号，2023年10月30日施行）</w:t>
      </w:r>
    </w:p>
    <w:p w14:paraId="5186C090">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eastAsia="宋体" w:cs="Times New Roman"/>
          <w:sz w:val="28"/>
          <w:szCs w:val="28"/>
        </w:rPr>
        <w:t>《防雷减灾管理办法》（中国气象局令[2025]44号，2025年6月1日实施）</w:t>
      </w:r>
    </w:p>
    <w:p w14:paraId="112C934E">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《雷电防护装置设计审核和竣工验收规定》（气象局令第37号，2021年01月01日施行）</w:t>
      </w:r>
    </w:p>
    <w:p w14:paraId="2209EDEC">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《辽宁省雷电灾害防御管理规定（2018年修改）》（辽宁省人民政府令[2018]324号，2018年12月04日施行）</w:t>
      </w:r>
    </w:p>
    <w:p w14:paraId="02E44DC4">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《辽宁省企业安全生产主体责任规定（2021年修正）》（辽宁省人民政府令第341号修正，2021年05月18日施行）</w:t>
      </w:r>
    </w:p>
    <w:p w14:paraId="44789371">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《危险化学品生产建设项目安全风险防控指南(试行) 》</w:t>
      </w:r>
      <w:r>
        <w:rPr>
          <w:rFonts w:hint="eastAsia" w:ascii="Times New Roman" w:hAnsi="Times New Roman" w:cs="Times New Roman"/>
          <w:sz w:val="28"/>
          <w:szCs w:val="28"/>
          <w:lang w:eastAsia="zh-CN"/>
        </w:rPr>
        <w:t>（</w:t>
      </w:r>
      <w:r>
        <w:rPr>
          <w:rFonts w:hint="default" w:ascii="Times New Roman" w:hAnsi="Times New Roman" w:cs="Times New Roman"/>
          <w:sz w:val="28"/>
          <w:szCs w:val="28"/>
        </w:rPr>
        <w:t>应急管理部令第</w:t>
      </w:r>
      <w:r>
        <w:rPr>
          <w:rFonts w:hint="eastAsia" w:ascii="Times New Roman" w:hAnsi="Times New Roman" w:cs="Times New Roman"/>
          <w:sz w:val="28"/>
          <w:szCs w:val="28"/>
          <w:lang w:val="en-US" w:eastAsia="zh-CN"/>
        </w:rPr>
        <w:t>5</w:t>
      </w:r>
      <w:r>
        <w:rPr>
          <w:rFonts w:hint="default" w:ascii="Times New Roman" w:hAnsi="Times New Roman" w:cs="Times New Roman"/>
          <w:sz w:val="28"/>
          <w:szCs w:val="28"/>
        </w:rPr>
        <w:t>2号，20</w:t>
      </w:r>
      <w:r>
        <w:rPr>
          <w:rFonts w:hint="eastAsia" w:ascii="Times New Roman" w:hAnsi="Times New Roman" w:cs="Times New Roman"/>
          <w:sz w:val="28"/>
          <w:szCs w:val="28"/>
          <w:lang w:val="en-US" w:eastAsia="zh-CN"/>
        </w:rPr>
        <w:t>22</w:t>
      </w:r>
      <w:r>
        <w:rPr>
          <w:rFonts w:hint="default" w:ascii="Times New Roman" w:hAnsi="Times New Roman" w:cs="Times New Roman"/>
          <w:sz w:val="28"/>
          <w:szCs w:val="28"/>
        </w:rPr>
        <w:t>年0</w:t>
      </w:r>
      <w:r>
        <w:rPr>
          <w:rFonts w:hint="eastAsia" w:ascii="Times New Roman" w:hAnsi="Times New Roman" w:cs="Times New Roman"/>
          <w:sz w:val="28"/>
          <w:szCs w:val="28"/>
          <w:lang w:val="en-US" w:eastAsia="zh-CN"/>
        </w:rPr>
        <w:t>6</w:t>
      </w:r>
      <w:r>
        <w:rPr>
          <w:rFonts w:hint="default" w:ascii="Times New Roman" w:hAnsi="Times New Roman" w:cs="Times New Roman"/>
          <w:sz w:val="28"/>
          <w:szCs w:val="28"/>
        </w:rPr>
        <w:t>月1</w:t>
      </w:r>
      <w:r>
        <w:rPr>
          <w:rFonts w:hint="eastAsia" w:ascii="Times New Roman" w:hAnsi="Times New Roman" w:cs="Times New Roman"/>
          <w:sz w:val="28"/>
          <w:szCs w:val="28"/>
          <w:lang w:val="en-US" w:eastAsia="zh-CN"/>
        </w:rPr>
        <w:t>0</w:t>
      </w:r>
      <w:r>
        <w:rPr>
          <w:rFonts w:hint="default" w:ascii="Times New Roman" w:hAnsi="Times New Roman" w:cs="Times New Roman"/>
          <w:sz w:val="28"/>
          <w:szCs w:val="28"/>
        </w:rPr>
        <w:t>日</w:t>
      </w:r>
      <w:r>
        <w:rPr>
          <w:rFonts w:hint="default" w:ascii="Times New Roman" w:hAnsi="Times New Roman" w:cs="Times New Roman"/>
          <w:sz w:val="28"/>
          <w:szCs w:val="28"/>
          <w:lang w:val="en-US" w:eastAsia="zh-CN"/>
        </w:rPr>
        <w:t>施行</w:t>
      </w:r>
      <w:r>
        <w:rPr>
          <w:rFonts w:hint="default" w:ascii="Times New Roman" w:hAnsi="Times New Roman" w:cs="Times New Roman"/>
          <w:sz w:val="28"/>
          <w:szCs w:val="28"/>
        </w:rPr>
        <w:t>）</w:t>
      </w:r>
    </w:p>
    <w:p w14:paraId="3BF3743F">
      <w:pPr>
        <w:keepNext w:val="0"/>
        <w:keepLines w:val="0"/>
        <w:pageBreakBefore w:val="0"/>
        <w:widowControl w:val="0"/>
        <w:numPr>
          <w:ilvl w:val="0"/>
          <w:numId w:val="25"/>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《危险化学品经营许可证管理办法》（国家安全生产监督管理总局令第55号，国家安全生产监督管理总局令第79号修订，2015年07月01日实施）</w:t>
      </w:r>
    </w:p>
    <w:p w14:paraId="08F16ECD">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09" w:name="_Toc3604"/>
      <w:r>
        <w:rPr>
          <w:rFonts w:hint="default" w:ascii="Times New Roman" w:hAnsi="Times New Roman" w:eastAsia="楷体" w:cs="Times New Roman"/>
          <w:b/>
          <w:bCs/>
          <w:sz w:val="32"/>
          <w:szCs w:val="32"/>
          <w:lang w:val="en-US" w:eastAsia="zh-CN"/>
        </w:rPr>
        <w:t>F1.4规范性文件</w:t>
      </w:r>
      <w:bookmarkEnd w:id="409"/>
    </w:p>
    <w:p w14:paraId="7F9CBAA3">
      <w:pPr>
        <w:keepNext w:val="0"/>
        <w:keepLines w:val="0"/>
        <w:pageBreakBefore w:val="0"/>
        <w:widowControl w:val="0"/>
        <w:numPr>
          <w:ilvl w:val="0"/>
          <w:numId w:val="26"/>
        </w:numPr>
        <w:tabs>
          <w:tab w:val="left" w:pos="1188"/>
        </w:tabs>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kern w:val="2"/>
          <w:sz w:val="28"/>
          <w:szCs w:val="28"/>
          <w:lang w:val="en-US" w:eastAsia="zh-CN" w:bidi="ar-SA"/>
        </w:rPr>
      </w:pPr>
      <w:r>
        <w:rPr>
          <w:color w:val="auto"/>
          <w:sz w:val="28"/>
          <w:szCs w:val="28"/>
        </w:rPr>
        <w:t>《危险化学品目录》（</w:t>
      </w:r>
      <w:r>
        <w:rPr>
          <w:rFonts w:hint="eastAsia"/>
          <w:color w:val="auto"/>
          <w:sz w:val="28"/>
          <w:szCs w:val="28"/>
          <w:lang w:val="en-US" w:eastAsia="zh-CN"/>
        </w:rPr>
        <w:t>2022修正</w:t>
      </w:r>
      <w:r>
        <w:rPr>
          <w:color w:val="auto"/>
          <w:sz w:val="28"/>
          <w:szCs w:val="28"/>
        </w:rPr>
        <w:t>，国家安全生产监督管理总局等十部门公告2015年第5号，20</w:t>
      </w:r>
      <w:r>
        <w:rPr>
          <w:rFonts w:hint="eastAsia"/>
          <w:color w:val="auto"/>
          <w:sz w:val="28"/>
          <w:szCs w:val="28"/>
          <w:lang w:val="en-US" w:eastAsia="zh-CN"/>
        </w:rPr>
        <w:t>23</w:t>
      </w:r>
      <w:r>
        <w:rPr>
          <w:color w:val="auto"/>
          <w:sz w:val="28"/>
          <w:szCs w:val="28"/>
        </w:rPr>
        <w:t>年</w:t>
      </w:r>
      <w:r>
        <w:rPr>
          <w:rFonts w:hint="eastAsia"/>
          <w:color w:val="auto"/>
          <w:sz w:val="28"/>
          <w:szCs w:val="28"/>
          <w:lang w:val="en-US" w:eastAsia="zh-CN"/>
        </w:rPr>
        <w:t>01</w:t>
      </w:r>
      <w:r>
        <w:rPr>
          <w:color w:val="auto"/>
          <w:sz w:val="28"/>
          <w:szCs w:val="28"/>
        </w:rPr>
        <w:t>月</w:t>
      </w:r>
      <w:r>
        <w:rPr>
          <w:rFonts w:hint="eastAsia"/>
          <w:color w:val="auto"/>
          <w:sz w:val="28"/>
          <w:szCs w:val="28"/>
          <w:lang w:val="en-US" w:eastAsia="zh-CN"/>
        </w:rPr>
        <w:t>01</w:t>
      </w:r>
      <w:r>
        <w:rPr>
          <w:color w:val="auto"/>
          <w:sz w:val="28"/>
          <w:szCs w:val="28"/>
        </w:rPr>
        <w:t>日发布）</w:t>
      </w:r>
    </w:p>
    <w:p w14:paraId="1F5667EC">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eastAsia="宋体" w:cs="Times New Roman"/>
          <w:kern w:val="2"/>
          <w:sz w:val="28"/>
          <w:szCs w:val="28"/>
          <w:lang w:val="en-US" w:eastAsia="zh-CN" w:bidi="ar-SA"/>
        </w:rPr>
        <w:t>《国家安全监管总局办公厅关于印发危险化学品目录（2015版）实施指南（试行）的通知》（安监总厅管三[2015]80号，2015年08月19日施行）</w:t>
      </w:r>
    </w:p>
    <w:p w14:paraId="07EDCC03">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eastAsia="宋体" w:cs="Times New Roman"/>
          <w:kern w:val="2"/>
          <w:sz w:val="28"/>
          <w:szCs w:val="28"/>
          <w:lang w:val="en-US" w:eastAsia="zh-CN" w:bidi="ar-SA"/>
        </w:rPr>
      </w:pPr>
      <w:r>
        <w:rPr>
          <w:rFonts w:hint="default" w:ascii="Times New Roman" w:hAnsi="Times New Roman" w:cs="Times New Roman"/>
          <w:sz w:val="28"/>
          <w:szCs w:val="28"/>
        </w:rPr>
        <w:t>《应急管理部办公厅关于修改</w:t>
      </w:r>
      <w:r>
        <w:rPr>
          <w:rFonts w:hint="default" w:ascii="Times New Roman" w:hAnsi="Times New Roman" w:eastAsia="宋体" w:cs="Times New Roman"/>
          <w:iCs/>
          <w:sz w:val="28"/>
        </w:rPr>
        <w:t>&lt;</w:t>
      </w:r>
      <w:r>
        <w:rPr>
          <w:rFonts w:hint="default" w:ascii="Times New Roman" w:hAnsi="Times New Roman" w:cs="Times New Roman"/>
          <w:sz w:val="28"/>
          <w:szCs w:val="28"/>
        </w:rPr>
        <w:t>危险化学品目录（2015版）实施指南（试行）</w:t>
      </w:r>
      <w:r>
        <w:rPr>
          <w:rFonts w:hint="default" w:ascii="Times New Roman" w:hAnsi="Times New Roman" w:eastAsia="宋体" w:cs="Times New Roman"/>
          <w:bCs/>
          <w:kern w:val="2"/>
          <w:sz w:val="28"/>
          <w:szCs w:val="28"/>
          <w:highlight w:val="none"/>
          <w:lang w:eastAsia="zh-CN" w:bidi="ar-SA"/>
        </w:rPr>
        <w:t>&gt;</w:t>
      </w:r>
      <w:r>
        <w:rPr>
          <w:rFonts w:hint="default" w:ascii="Times New Roman" w:hAnsi="Times New Roman" w:cs="Times New Roman"/>
          <w:sz w:val="28"/>
          <w:szCs w:val="28"/>
        </w:rPr>
        <w:t>涉及柴油部分内容的通知》（应急厅[2022]300号，2023年1月1日施行）</w:t>
      </w:r>
    </w:p>
    <w:p w14:paraId="225F6E65">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《关于调整危险化学品目录（2015版）的公告》（应急管理部等十部门公告2022年第8号，2023年01月01日施行）</w:t>
      </w:r>
    </w:p>
    <w:p w14:paraId="2986A52B">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《应急管理部办公厅关于认真做好柴油安全许可有关工作的通知》（应急厅函〔2022〕317号）</w:t>
      </w:r>
    </w:p>
    <w:p w14:paraId="0EBB8631">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《应急管理部办公厅关于印发〈危险化学品企业生产安全事故应急准备指南〉的通知》（应急〔2019〕62号，2019年12月26日发布）</w:t>
      </w:r>
    </w:p>
    <w:p w14:paraId="3630B51B">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《特别管控危险化学品目录（第一版）》（应急管理部、工业信息化部、公安部、交通运输部公告[2020]第</w:t>
      </w:r>
      <w:r>
        <w:rPr>
          <w:rFonts w:hint="eastAsia" w:cs="Times New Roman"/>
          <w:sz w:val="28"/>
          <w:szCs w:val="28"/>
          <w:lang w:val="en-US" w:eastAsia="zh-CN"/>
        </w:rPr>
        <w:t>3</w:t>
      </w:r>
      <w:r>
        <w:rPr>
          <w:rFonts w:hint="default" w:ascii="Times New Roman" w:hAnsi="Times New Roman" w:cs="Times New Roman"/>
          <w:sz w:val="28"/>
          <w:szCs w:val="28"/>
        </w:rPr>
        <w:t>号，2020年06月03日施行）</w:t>
      </w:r>
    </w:p>
    <w:p w14:paraId="4A950770">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《易制毒化学品的分类和品种目录（2021年版）》（国办函[2021]58号，2021年05月28日施行）</w:t>
      </w:r>
    </w:p>
    <w:p w14:paraId="567CDCF5">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《易制爆危险化学品名录（2017年版）》（公安部公告，2017年05月11日）</w:t>
      </w:r>
    </w:p>
    <w:p w14:paraId="03796A25">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《高毒物品目录（2003年版）》（卫法监发[2003]142号，2003年06月10日施行）</w:t>
      </w:r>
    </w:p>
    <w:p w14:paraId="70EF9574">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《国家安全监管总局关于公布首批重点监管的危险化学品目录的通知》（安监总管三[2011]95号，2011年06月21日施行）</w:t>
      </w:r>
    </w:p>
    <w:p w14:paraId="6E5EA2D3">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《国家安全监管总局办公厅关于印发首批重点监管的危险化学品安全措施和应急处置原则的通知》（安监总厅管三[2011]142号，2011年07月01日施行）</w:t>
      </w:r>
    </w:p>
    <w:p w14:paraId="690212D7">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《国家安全监管总局关于公布第二批重点监管危险化学品名录的通知》（安监总管三[2013]12号，2013年02月05日施行）</w:t>
      </w:r>
    </w:p>
    <w:p w14:paraId="3DB1DF3A">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《国家安全监管总局关于公布首批重点监管的危险化工工艺目录的通知》（安监总管三[2009]116号，2009年06月12日施行）</w:t>
      </w:r>
    </w:p>
    <w:p w14:paraId="10AA4F9F">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《国家安全监管总局关于公布第二批重点监管危险化工工艺目录和调整首批重点监管危险化工工艺中部分典型工艺的通知》（安监总管三[2013]3号，2013年02月05日施行）</w:t>
      </w:r>
    </w:p>
    <w:p w14:paraId="0CB7790E">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《关于印发&lt;化工和危险化学品生产经营单位重大生产安全事故隐患判定标准（试行）&gt;和&lt;烟花爆竹生产经营单位重大生产安全事故隐患判定标准（试行）&gt;的通知》（安监总管三121号，2017年11月13日施行）</w:t>
      </w:r>
    </w:p>
    <w:p w14:paraId="2483EA7B">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《国家安全监管总局办公厅关于进一步加强加油站安全生产工作的通知》（安监总厅管三[2016]8号，2016年2月5日施行）</w:t>
      </w:r>
    </w:p>
    <w:p w14:paraId="0110D673">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《关于印发&lt;企业安全生产费用提取和使用管理办法&gt;的通知》（财政部 应急部 财资[2022]136号，2022年11月21日施行）</w:t>
      </w:r>
    </w:p>
    <w:p w14:paraId="685A2CAF">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《关于印发辽宁省安全生产监督管理局贯彻落实〈生产安全事故应急预案管理办法〉实施细则的通知》（辽安监应急5号，2017年9月13日施行）</w:t>
      </w:r>
    </w:p>
    <w:bookmarkEnd w:id="405"/>
    <w:bookmarkEnd w:id="406"/>
    <w:bookmarkEnd w:id="407"/>
    <w:bookmarkEnd w:id="408"/>
    <w:p w14:paraId="7BECD113">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bookmarkStart w:id="410" w:name="_Toc410311940"/>
      <w:bookmarkStart w:id="411" w:name="_Toc410312017"/>
      <w:r>
        <w:rPr>
          <w:rFonts w:hint="default" w:ascii="Times New Roman" w:hAnsi="Times New Roman" w:cs="Times New Roman"/>
          <w:sz w:val="28"/>
          <w:szCs w:val="28"/>
        </w:rPr>
        <w:t>《辽宁省应急管理厅关于修改辽宁省非煤矿矿山建设项目安全设施设计审查/企业安全生产许可安全评价中介服务行业规范标准等5个中介服务行业规范标准的通知》（辽应急规划6号，2019年5月1日施行）</w:t>
      </w:r>
    </w:p>
    <w:p w14:paraId="70F46563">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《关于印发&lt;辽宁省危险化学品建设项目安全监督管理实施细则&gt;的通知》（辽安监管三[2016]第24号，2016年12月01日施行）</w:t>
      </w:r>
    </w:p>
    <w:p w14:paraId="5E525715">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《国务院安全生产委员会关于印发&lt;关于强化危险化学品“一件事”全链条安全管理的措施&gt;的通知》（安委[2025]4号）</w:t>
      </w:r>
    </w:p>
    <w:p w14:paraId="4139B52B">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《国务院办公厅关于推动成品油流通高质量发展的意见》（国办发[2025]5号，2025年1月27日实施）</w:t>
      </w:r>
    </w:p>
    <w:p w14:paraId="75D028F8">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ind w:left="0" w:leftChars="0"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《化工和危险化学品生产经营企业重大生产安全事故隐患判定准则 》</w:t>
      </w:r>
      <w:r>
        <w:rPr>
          <w:rFonts w:hint="eastAsia" w:cs="Times New Roman"/>
          <w:sz w:val="28"/>
          <w:szCs w:val="28"/>
          <w:lang w:eastAsia="zh-CN"/>
        </w:rPr>
        <w:t>（应急部公告[2026]2号，</w:t>
      </w:r>
      <w:r>
        <w:rPr>
          <w:rFonts w:hint="default" w:ascii="Times New Roman" w:hAnsi="Times New Roman" w:cs="Times New Roman"/>
          <w:sz w:val="28"/>
          <w:szCs w:val="28"/>
        </w:rPr>
        <w:t>202</w:t>
      </w:r>
      <w:r>
        <w:rPr>
          <w:rFonts w:hint="eastAsia" w:cs="Times New Roman"/>
          <w:sz w:val="28"/>
          <w:szCs w:val="28"/>
          <w:lang w:val="en-US" w:eastAsia="zh-CN"/>
        </w:rPr>
        <w:t>6</w:t>
      </w:r>
      <w:r>
        <w:rPr>
          <w:rFonts w:hint="default" w:ascii="Times New Roman" w:hAnsi="Times New Roman" w:cs="Times New Roman"/>
          <w:sz w:val="28"/>
          <w:szCs w:val="28"/>
        </w:rPr>
        <w:t>年</w:t>
      </w:r>
      <w:r>
        <w:rPr>
          <w:rFonts w:hint="eastAsia" w:cs="Times New Roman"/>
          <w:sz w:val="28"/>
          <w:szCs w:val="28"/>
          <w:lang w:val="en-US" w:eastAsia="zh-CN"/>
        </w:rPr>
        <w:t>9</w:t>
      </w:r>
      <w:r>
        <w:rPr>
          <w:rFonts w:hint="default" w:ascii="Times New Roman" w:hAnsi="Times New Roman" w:cs="Times New Roman"/>
          <w:sz w:val="28"/>
          <w:szCs w:val="28"/>
        </w:rPr>
        <w:t>月</w:t>
      </w:r>
      <w:r>
        <w:rPr>
          <w:rFonts w:hint="eastAsia" w:cs="Times New Roman"/>
          <w:sz w:val="28"/>
          <w:szCs w:val="28"/>
          <w:lang w:val="en-US" w:eastAsia="zh-CN"/>
        </w:rPr>
        <w:t>30</w:t>
      </w:r>
      <w:r>
        <w:rPr>
          <w:rFonts w:hint="default" w:ascii="Times New Roman" w:hAnsi="Times New Roman" w:cs="Times New Roman"/>
          <w:sz w:val="28"/>
          <w:szCs w:val="28"/>
        </w:rPr>
        <w:t>日实施</w:t>
      </w:r>
      <w:r>
        <w:rPr>
          <w:rFonts w:hint="eastAsia" w:cs="Times New Roman"/>
          <w:sz w:val="28"/>
          <w:szCs w:val="28"/>
          <w:lang w:eastAsia="zh-CN"/>
        </w:rPr>
        <w:t>）</w:t>
      </w:r>
    </w:p>
    <w:p w14:paraId="3274E1C2">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12" w:name="_Toc3259"/>
      <w:bookmarkStart w:id="413" w:name="_Toc3112541"/>
      <w:bookmarkStart w:id="414" w:name="_Toc41246776"/>
      <w:bookmarkStart w:id="415" w:name="_Toc28570"/>
      <w:r>
        <w:rPr>
          <w:rFonts w:hint="default" w:ascii="Times New Roman" w:hAnsi="Times New Roman" w:eastAsia="楷体" w:cs="Times New Roman"/>
          <w:b/>
          <w:bCs/>
          <w:sz w:val="32"/>
          <w:szCs w:val="32"/>
          <w:lang w:val="en-US" w:eastAsia="zh-CN"/>
        </w:rPr>
        <w:t>F1.5国家标准</w:t>
      </w:r>
      <w:bookmarkEnd w:id="410"/>
      <w:bookmarkEnd w:id="411"/>
      <w:bookmarkEnd w:id="412"/>
      <w:bookmarkEnd w:id="413"/>
      <w:bookmarkEnd w:id="414"/>
      <w:bookmarkEnd w:id="415"/>
    </w:p>
    <w:p w14:paraId="541D6FD0">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《汽车加油加气加氢站技术标准》（GB</w:t>
      </w:r>
      <w:r>
        <w:rPr>
          <w:rFonts w:hint="default" w:ascii="Times New Roman" w:hAnsi="Times New Roman" w:eastAsia="宋体" w:cs="Times New Roman"/>
          <w:sz w:val="28"/>
          <w:szCs w:val="28"/>
          <w:lang w:val="en-US" w:eastAsia="zh-CN"/>
        </w:rPr>
        <w:t xml:space="preserve"> </w:t>
      </w:r>
      <w:r>
        <w:rPr>
          <w:rFonts w:hint="default" w:ascii="Times New Roman" w:hAnsi="Times New Roman" w:eastAsia="宋体" w:cs="Times New Roman"/>
          <w:sz w:val="28"/>
          <w:szCs w:val="28"/>
        </w:rPr>
        <w:t>50156-2021）</w:t>
      </w:r>
    </w:p>
    <w:p w14:paraId="31CB43CD">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《车用柴油》（GB 19147-2016/XG1-2018）</w:t>
      </w:r>
    </w:p>
    <w:p w14:paraId="6B57A3FB">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《车用乙醇汽油》（GB 18351-2025）</w:t>
      </w:r>
    </w:p>
    <w:p w14:paraId="57174ADD">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w:t>
      </w:r>
      <w:r>
        <w:rPr>
          <w:rFonts w:hint="eastAsia" w:cs="Times New Roman"/>
          <w:sz w:val="28"/>
          <w:szCs w:val="28"/>
          <w:lang w:eastAsia="zh-CN"/>
        </w:rPr>
        <w:t>乙醇汽油</w:t>
      </w:r>
      <w:r>
        <w:rPr>
          <w:rFonts w:hint="default" w:ascii="Times New Roman" w:hAnsi="Times New Roman" w:cs="Times New Roman"/>
          <w:sz w:val="28"/>
          <w:szCs w:val="28"/>
        </w:rPr>
        <w:t>储运设计规范》（GB/T</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50610-2010）</w:t>
      </w:r>
    </w:p>
    <w:p w14:paraId="5F0467E1">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《加油站大气污染物排放标准》（GB 20952-2020）</w:t>
      </w:r>
    </w:p>
    <w:p w14:paraId="402275FD">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《加油站作业安全规范》（AQ 3010-2022）</w:t>
      </w:r>
    </w:p>
    <w:p w14:paraId="0A8BE9C5">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《危险化学品企业特殊作业安全规范》（GB</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30871-2022）</w:t>
      </w:r>
    </w:p>
    <w:p w14:paraId="369E7D2C">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《建筑设计防火规范（2018年版）》（GB 50016-2014）</w:t>
      </w:r>
    </w:p>
    <w:p w14:paraId="569BEA28">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《建筑防火通用规范》（GB 55037-2022）</w:t>
      </w:r>
    </w:p>
    <w:p w14:paraId="08608F74">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《建筑灭火器配置设计规范》（GB 50140-2005）</w:t>
      </w:r>
    </w:p>
    <w:p w14:paraId="03D51CD3">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《汽车加油加气站消防安全管理》</w:t>
      </w:r>
      <w:r>
        <w:rPr>
          <w:rFonts w:hint="default" w:ascii="Times New Roman" w:hAnsi="Times New Roman" w:cs="Times New Roman"/>
          <w:sz w:val="28"/>
          <w:szCs w:val="28"/>
          <w:lang w:eastAsia="zh-CN"/>
        </w:rPr>
        <w:t>（</w:t>
      </w:r>
      <w:r>
        <w:rPr>
          <w:rFonts w:hint="default" w:ascii="Times New Roman" w:hAnsi="Times New Roman" w:cs="Times New Roman"/>
          <w:sz w:val="28"/>
          <w:szCs w:val="28"/>
        </w:rPr>
        <w:t>XF/T 3004</w:t>
      </w:r>
      <w:r>
        <w:rPr>
          <w:rFonts w:hint="default" w:ascii="Times New Roman" w:hAnsi="Times New Roman" w:cs="Times New Roman"/>
          <w:sz w:val="28"/>
          <w:szCs w:val="28"/>
          <w:lang w:val="en-US" w:eastAsia="zh-CN"/>
        </w:rPr>
        <w:t>-</w:t>
      </w:r>
      <w:r>
        <w:rPr>
          <w:rFonts w:hint="default" w:ascii="Times New Roman" w:hAnsi="Times New Roman" w:cs="Times New Roman"/>
          <w:sz w:val="28"/>
          <w:szCs w:val="28"/>
        </w:rPr>
        <w:t>2020</w:t>
      </w:r>
      <w:r>
        <w:rPr>
          <w:rFonts w:hint="default" w:ascii="Times New Roman" w:hAnsi="Times New Roman" w:cs="Times New Roman"/>
          <w:sz w:val="28"/>
          <w:szCs w:val="28"/>
          <w:lang w:eastAsia="zh-CN"/>
        </w:rPr>
        <w:t>）</w:t>
      </w:r>
    </w:p>
    <w:p w14:paraId="29C8F34A">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《石油化工可燃气体和有毒气体检测报警设计标准》（GB/T 50493-2019）</w:t>
      </w:r>
    </w:p>
    <w:p w14:paraId="4F25C1AC">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《爆炸危险环境电力装置设计规范》（GB 50058-2014）</w:t>
      </w:r>
    </w:p>
    <w:p w14:paraId="5AA4F5FB">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lang w:val="en-US" w:eastAsia="zh-CN"/>
        </w:rPr>
        <w:t>外壳防护等级（IP代码）</w:t>
      </w:r>
      <w:r>
        <w:rPr>
          <w:rFonts w:hint="default" w:ascii="Times New Roman" w:hAnsi="Times New Roman" w:cs="Times New Roman"/>
          <w:sz w:val="28"/>
          <w:szCs w:val="28"/>
        </w:rPr>
        <w:t>》（GB</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500</w:t>
      </w:r>
      <w:r>
        <w:rPr>
          <w:rFonts w:hint="default" w:ascii="Times New Roman" w:hAnsi="Times New Roman" w:cs="Times New Roman"/>
          <w:sz w:val="28"/>
          <w:szCs w:val="28"/>
          <w:lang w:val="en-US" w:eastAsia="zh-CN"/>
        </w:rPr>
        <w:t>34</w:t>
      </w:r>
      <w:r>
        <w:rPr>
          <w:rFonts w:hint="default" w:ascii="Times New Roman" w:hAnsi="Times New Roman" w:cs="Times New Roman"/>
          <w:sz w:val="28"/>
          <w:szCs w:val="28"/>
        </w:rPr>
        <w:t>-201</w:t>
      </w:r>
      <w:r>
        <w:rPr>
          <w:rFonts w:hint="default" w:ascii="Times New Roman" w:hAnsi="Times New Roman" w:cs="Times New Roman"/>
          <w:sz w:val="28"/>
          <w:szCs w:val="28"/>
          <w:lang w:val="en-US" w:eastAsia="zh-CN"/>
        </w:rPr>
        <w:t>3</w:t>
      </w:r>
      <w:r>
        <w:rPr>
          <w:rFonts w:hint="default" w:ascii="Times New Roman" w:hAnsi="Times New Roman" w:cs="Times New Roman"/>
          <w:sz w:val="28"/>
          <w:szCs w:val="28"/>
        </w:rPr>
        <w:t>）</w:t>
      </w:r>
    </w:p>
    <w:p w14:paraId="5FE81C9D">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《供配电系统设计规范》（GB 50052-2009）</w:t>
      </w:r>
    </w:p>
    <w:p w14:paraId="1517C9A9">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《低压配电设计规范》</w:t>
      </w:r>
      <w:r>
        <w:rPr>
          <w:rFonts w:hint="eastAsia" w:cs="Times New Roman"/>
          <w:sz w:val="28"/>
          <w:szCs w:val="28"/>
          <w:lang w:eastAsia="zh-CN"/>
        </w:rPr>
        <w:t>（</w:t>
      </w:r>
      <w:r>
        <w:rPr>
          <w:rFonts w:hint="default" w:ascii="Times New Roman" w:hAnsi="Times New Roman" w:cs="Times New Roman"/>
          <w:sz w:val="28"/>
          <w:szCs w:val="28"/>
        </w:rPr>
        <w:t>GB 50054-2011</w:t>
      </w:r>
      <w:r>
        <w:rPr>
          <w:rFonts w:hint="eastAsia" w:cs="Times New Roman"/>
          <w:sz w:val="28"/>
          <w:szCs w:val="28"/>
          <w:lang w:eastAsia="zh-CN"/>
        </w:rPr>
        <w:t>）</w:t>
      </w:r>
      <w:r>
        <w:rPr>
          <w:rFonts w:hint="default" w:ascii="Times New Roman" w:hAnsi="Times New Roman" w:cs="Times New Roman"/>
          <w:sz w:val="28"/>
          <w:szCs w:val="28"/>
        </w:rPr>
        <w:t xml:space="preserve"> </w:t>
      </w:r>
    </w:p>
    <w:p w14:paraId="16725884">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《用电安全导则》</w:t>
      </w:r>
      <w:r>
        <w:rPr>
          <w:rFonts w:hint="eastAsia" w:cs="Times New Roman"/>
          <w:sz w:val="28"/>
          <w:szCs w:val="28"/>
          <w:lang w:eastAsia="zh-CN"/>
        </w:rPr>
        <w:t>（</w:t>
      </w:r>
      <w:r>
        <w:rPr>
          <w:rFonts w:hint="default" w:ascii="Times New Roman" w:hAnsi="Times New Roman" w:cs="Times New Roman"/>
          <w:sz w:val="28"/>
          <w:szCs w:val="28"/>
        </w:rPr>
        <w:t xml:space="preserve"> GB</w:t>
      </w:r>
      <w:r>
        <w:rPr>
          <w:rFonts w:hint="eastAsia" w:cs="Times New Roman"/>
          <w:sz w:val="28"/>
          <w:szCs w:val="28"/>
          <w:lang w:val="en-US" w:eastAsia="zh-CN"/>
        </w:rPr>
        <w:t>/</w:t>
      </w:r>
      <w:r>
        <w:rPr>
          <w:rFonts w:hint="default" w:ascii="Times New Roman" w:hAnsi="Times New Roman" w:cs="Times New Roman"/>
          <w:sz w:val="28"/>
          <w:szCs w:val="28"/>
        </w:rPr>
        <w:t>T 13869-2017</w:t>
      </w:r>
      <w:r>
        <w:rPr>
          <w:rFonts w:hint="eastAsia" w:cs="Times New Roman"/>
          <w:sz w:val="28"/>
          <w:szCs w:val="28"/>
          <w:lang w:eastAsia="zh-CN"/>
        </w:rPr>
        <w:t>）</w:t>
      </w:r>
    </w:p>
    <w:p w14:paraId="7FB0421E">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《防止静电事故通用要求》（GB 12158-2024）</w:t>
      </w:r>
    </w:p>
    <w:p w14:paraId="43DD1E91">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《建筑物防雷设计规范》（GB 50057-2010）</w:t>
      </w:r>
    </w:p>
    <w:p w14:paraId="24B36543">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《建筑照明设计标准》（GB</w:t>
      </w:r>
      <w:r>
        <w:rPr>
          <w:rFonts w:hint="eastAsia" w:cs="Times New Roman"/>
          <w:sz w:val="28"/>
          <w:szCs w:val="28"/>
          <w:lang w:val="en-US" w:eastAsia="zh-CN"/>
        </w:rPr>
        <w:t>/T</w:t>
      </w:r>
      <w:r>
        <w:rPr>
          <w:rFonts w:hint="default" w:ascii="Times New Roman" w:hAnsi="Times New Roman" w:cs="Times New Roman"/>
          <w:sz w:val="28"/>
          <w:szCs w:val="28"/>
        </w:rPr>
        <w:t>50034-20</w:t>
      </w:r>
      <w:r>
        <w:rPr>
          <w:rFonts w:hint="eastAsia" w:cs="Times New Roman"/>
          <w:sz w:val="28"/>
          <w:szCs w:val="28"/>
          <w:lang w:val="en-US" w:eastAsia="zh-CN"/>
        </w:rPr>
        <w:t>24</w:t>
      </w:r>
      <w:r>
        <w:rPr>
          <w:rFonts w:hint="default" w:ascii="Times New Roman" w:hAnsi="Times New Roman" w:cs="Times New Roman"/>
          <w:sz w:val="28"/>
          <w:szCs w:val="28"/>
        </w:rPr>
        <w:t>）</w:t>
      </w:r>
    </w:p>
    <w:p w14:paraId="7CDC0CC5">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《视频安防监控系统工程设计规范》（GB 50395-2007）</w:t>
      </w:r>
    </w:p>
    <w:p w14:paraId="7BCADDC4">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《建筑物电子信息系统防雷技术规范》（GB 50343-2012）</w:t>
      </w:r>
    </w:p>
    <w:p w14:paraId="7684D625">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《安全色和安全标志》（GB 2894-2025）</w:t>
      </w:r>
    </w:p>
    <w:p w14:paraId="7ECC3E9C">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《危险化学品重大危险源辨识》（GB 18218-2018）</w:t>
      </w:r>
    </w:p>
    <w:p w14:paraId="5A4DAB1E">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《危险化学品仓库储存通则》（GB</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15603-2022）</w:t>
      </w:r>
    </w:p>
    <w:p w14:paraId="15DA57B6">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《危险货物分类和品名编号》（GB 6944-2025）</w:t>
      </w:r>
    </w:p>
    <w:p w14:paraId="011CD138">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《化学品分类和危险性公示通则》（GB 13690-2009）</w:t>
      </w:r>
    </w:p>
    <w:p w14:paraId="7FE38F44">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《易燃易爆性商品储存养护技术条件》（GB 17914-2013）</w:t>
      </w:r>
    </w:p>
    <w:p w14:paraId="59EC44AD">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《生产经营单位生产安全事故应急预案编制导则》（GB/T 29639-2020）</w:t>
      </w:r>
    </w:p>
    <w:p w14:paraId="178CE646">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《生产过程安全卫生要求总则》（GB/T 12801-2008）</w:t>
      </w:r>
    </w:p>
    <w:p w14:paraId="4035A429">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《工作场所毒物危害程度分级标准》（GBZ/T 230-2025）</w:t>
      </w:r>
    </w:p>
    <w:p w14:paraId="36148465">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《工作场所有害因素职业接触限值第1部分：化学有害因素》 （第2号修改单GBZ 2.1-2019/XG2-2024）</w:t>
      </w:r>
    </w:p>
    <w:p w14:paraId="14AB4741">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《工作场所有害因素职业接触限值 第2部分：物理因素》（GBZ</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2.2-2007）</w:t>
      </w:r>
    </w:p>
    <w:p w14:paraId="50C3AEBB">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《油气回收系统防爆技术要求》（GB/T 34661-2017）</w:t>
      </w:r>
    </w:p>
    <w:p w14:paraId="1F9C3ED5">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《油气回收装置通用技术条件》（GB/T 35579-2017）</w:t>
      </w:r>
    </w:p>
    <w:p w14:paraId="02E7E2FF">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《加油站用埋地钢-玻璃纤维增强塑料双层油罐工程技术规范》（SH/T 3178-2015）</w:t>
      </w:r>
    </w:p>
    <w:p w14:paraId="65174BE4">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《双层罐渗漏检测系统 第1部分：通则》（GB/T 30040.1-2013）</w:t>
      </w:r>
    </w:p>
    <w:p w14:paraId="0F4E5863">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《双层罐渗漏检测系统 第2部分：压力和真空系统》（GB/T 30040.2-2013）</w:t>
      </w:r>
    </w:p>
    <w:p w14:paraId="237222D9">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《双层罐渗漏检测系统 第3部分：储罐的液体媒介系统》（GB/T 30040.3-2013）</w:t>
      </w:r>
    </w:p>
    <w:p w14:paraId="45BB69F6">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《双层罐渗漏检测系统 第4部分：应用于防渗漏设施或双层间隙的液体或蒸气传感器系统》（GB/T30040.4-2013）</w:t>
      </w:r>
    </w:p>
    <w:p w14:paraId="0C6E7769">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《双层罐渗漏检测系统 第5部分：储罐液位仪测漏系统》（GB/T 30040.5-2013）</w:t>
      </w:r>
    </w:p>
    <w:p w14:paraId="7FEE0D26">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《双层罐渗漏检测系统 第6部分：监测井用传感器显示系统》（GB/T 30040.6-2013）</w:t>
      </w:r>
    </w:p>
    <w:p w14:paraId="4EBDC54E">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《双层罐渗漏检测系统 第7部分：双层间隙、防渗漏衬里及防渗漏外套的一般要求和试验方法》（GB/T 30040.7-2013）</w:t>
      </w:r>
    </w:p>
    <w:p w14:paraId="70FBC1A3">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《燃油加油站防爆安全技术 第1部分：燃油加油机防爆安全技术要求》（GB/T 22380.1-2017）</w:t>
      </w:r>
    </w:p>
    <w:p w14:paraId="093EB62C">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《燃油加油站防爆安全技术 第2部分：加油机用安全拉断阀结构和性能的安全要求》（GB/T 22380.2-2019）</w:t>
      </w:r>
    </w:p>
    <w:p w14:paraId="6442EDF3">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《燃油加油站防爆安全技术 第3部分：剪切阀结构和性能的安全要求》（GB/T 22380.3-2019） </w:t>
      </w:r>
    </w:p>
    <w:p w14:paraId="44126094">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cs="Times New Roman"/>
          <w:sz w:val="28"/>
          <w:szCs w:val="28"/>
        </w:rPr>
        <w:t>《生产安全事故分类与编码》（GB 6441-2025）</w:t>
      </w:r>
    </w:p>
    <w:p w14:paraId="01CE45CC">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《生产过程危险和有害因素分类与代码》（GB/T</w:t>
      </w:r>
      <w:r>
        <w:rPr>
          <w:rFonts w:hint="default" w:ascii="Times New Roman" w:hAnsi="Times New Roman" w:eastAsia="宋体" w:cs="Times New Roman"/>
          <w:sz w:val="28"/>
          <w:szCs w:val="28"/>
          <w:lang w:val="en-US" w:eastAsia="zh-CN"/>
        </w:rPr>
        <w:t xml:space="preserve"> </w:t>
      </w:r>
      <w:r>
        <w:rPr>
          <w:rFonts w:hint="default" w:ascii="Times New Roman" w:hAnsi="Times New Roman" w:eastAsia="宋体" w:cs="Times New Roman"/>
          <w:sz w:val="28"/>
          <w:szCs w:val="28"/>
        </w:rPr>
        <w:t>13861-2022）</w:t>
      </w:r>
    </w:p>
    <w:p w14:paraId="657645FC">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《生产安全事故应急演练基本规范》（AQ/T 9007-2019）</w:t>
      </w:r>
    </w:p>
    <w:p w14:paraId="50AA225D">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cs="Times New Roman"/>
          <w:sz w:val="28"/>
          <w:szCs w:val="28"/>
        </w:rPr>
        <w:t>《生产经营单位</w:t>
      </w:r>
      <w:r>
        <w:rPr>
          <w:rFonts w:hint="default" w:ascii="Times New Roman" w:hAnsi="Times New Roman" w:eastAsia="宋体" w:cs="Times New Roman"/>
          <w:sz w:val="28"/>
          <w:szCs w:val="28"/>
        </w:rPr>
        <w:t>生产安全事故应急预案评估指南》（AQ/T</w:t>
      </w:r>
      <w:r>
        <w:rPr>
          <w:rFonts w:hint="default" w:ascii="Times New Roman" w:hAnsi="Times New Roman" w:eastAsia="宋体" w:cs="Times New Roman"/>
          <w:sz w:val="28"/>
          <w:szCs w:val="28"/>
          <w:lang w:val="en-US" w:eastAsia="zh-CN"/>
        </w:rPr>
        <w:t xml:space="preserve"> </w:t>
      </w:r>
      <w:r>
        <w:rPr>
          <w:rFonts w:hint="default" w:ascii="Times New Roman" w:hAnsi="Times New Roman" w:eastAsia="宋体" w:cs="Times New Roman"/>
          <w:sz w:val="28"/>
          <w:szCs w:val="28"/>
        </w:rPr>
        <w:t>9011-2019）</w:t>
      </w:r>
    </w:p>
    <w:p w14:paraId="229A2708">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《危险化学品单位应急救援物资配备要求》（GB 30077-20</w:t>
      </w:r>
      <w:r>
        <w:rPr>
          <w:rFonts w:hint="default" w:ascii="Times New Roman" w:hAnsi="Times New Roman" w:eastAsia="宋体" w:cs="Times New Roman"/>
          <w:sz w:val="28"/>
          <w:szCs w:val="28"/>
          <w:lang w:val="en-US" w:eastAsia="zh-CN"/>
        </w:rPr>
        <w:t>2</w:t>
      </w:r>
      <w:r>
        <w:rPr>
          <w:rFonts w:hint="default" w:ascii="Times New Roman" w:hAnsi="Times New Roman" w:eastAsia="宋体" w:cs="Times New Roman"/>
          <w:sz w:val="28"/>
          <w:szCs w:val="28"/>
        </w:rPr>
        <w:t>3）</w:t>
      </w:r>
    </w:p>
    <w:p w14:paraId="758ABFE4">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lang w:val="en-US"/>
        </w:rPr>
      </w:pPr>
      <w:r>
        <w:rPr>
          <w:rFonts w:hint="default" w:ascii="Times New Roman" w:hAnsi="Times New Roman" w:eastAsia="宋体" w:cs="Times New Roman"/>
          <w:sz w:val="28"/>
          <w:szCs w:val="28"/>
        </w:rPr>
        <w:t>《个体防护装备配备规范 第1部分 总则》（GB</w:t>
      </w:r>
      <w:r>
        <w:rPr>
          <w:rFonts w:hint="default" w:ascii="Times New Roman" w:hAnsi="Times New Roman" w:eastAsia="宋体" w:cs="Times New Roman"/>
          <w:sz w:val="28"/>
          <w:szCs w:val="28"/>
          <w:lang w:val="en-US" w:eastAsia="zh-CN"/>
        </w:rPr>
        <w:t xml:space="preserve"> </w:t>
      </w:r>
      <w:r>
        <w:rPr>
          <w:rFonts w:hint="default" w:ascii="Times New Roman" w:hAnsi="Times New Roman" w:eastAsia="宋体" w:cs="Times New Roman"/>
          <w:sz w:val="28"/>
          <w:szCs w:val="28"/>
        </w:rPr>
        <w:t>39800.1-2020）</w:t>
      </w:r>
    </w:p>
    <w:p w14:paraId="272C4DFB">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lang w:val="en-US"/>
        </w:rPr>
      </w:pPr>
      <w:r>
        <w:rPr>
          <w:rFonts w:hint="default" w:ascii="Times New Roman" w:hAnsi="Times New Roman" w:eastAsia="宋体" w:cs="Times New Roman"/>
          <w:sz w:val="28"/>
          <w:szCs w:val="28"/>
        </w:rPr>
        <w:t>《个体防护装备配备规范 第2部分 石油、化工、天然气》（GB 39800.2-2020）</w:t>
      </w:r>
    </w:p>
    <w:p w14:paraId="30766F4E">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lang w:val="en-US"/>
        </w:rPr>
      </w:pPr>
      <w:r>
        <w:rPr>
          <w:rFonts w:hint="default" w:ascii="Times New Roman" w:hAnsi="Times New Roman" w:eastAsia="宋体" w:cs="Times New Roman"/>
          <w:sz w:val="28"/>
          <w:szCs w:val="28"/>
          <w:lang w:val="en-US"/>
        </w:rPr>
        <w:t>《电动汽车充电站设计标准》（GB/T 50966-2024）</w:t>
      </w:r>
    </w:p>
    <w:p w14:paraId="114B121D">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lang w:val="en-US"/>
        </w:rPr>
      </w:pPr>
      <w:r>
        <w:rPr>
          <w:rFonts w:hint="default" w:ascii="Times New Roman" w:hAnsi="Times New Roman" w:eastAsia="宋体" w:cs="Times New Roman"/>
          <w:sz w:val="28"/>
          <w:szCs w:val="28"/>
          <w:lang w:val="en-US"/>
        </w:rPr>
        <w:t>《安全评价通则》（AQ8001-2007）</w:t>
      </w:r>
    </w:p>
    <w:p w14:paraId="74E65AA5">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lang w:val="en-US"/>
        </w:rPr>
      </w:pPr>
      <w:r>
        <w:rPr>
          <w:rFonts w:hint="default" w:ascii="Times New Roman" w:hAnsi="Times New Roman" w:eastAsia="宋体" w:cs="Times New Roman"/>
          <w:sz w:val="28"/>
          <w:szCs w:val="28"/>
          <w:lang w:val="en-US"/>
        </w:rPr>
        <w:t>《安全</w:t>
      </w:r>
      <w:r>
        <w:rPr>
          <w:rFonts w:hint="eastAsia" w:ascii="Times New Roman" w:hAnsi="Times New Roman" w:eastAsia="宋体" w:cs="Times New Roman"/>
          <w:sz w:val="28"/>
          <w:szCs w:val="28"/>
          <w:lang w:val="en-US" w:eastAsia="zh-CN"/>
        </w:rPr>
        <w:t>预</w:t>
      </w:r>
      <w:r>
        <w:rPr>
          <w:rFonts w:hint="default" w:ascii="Times New Roman" w:hAnsi="Times New Roman" w:eastAsia="宋体" w:cs="Times New Roman"/>
          <w:sz w:val="28"/>
          <w:szCs w:val="28"/>
          <w:lang w:val="en-US"/>
        </w:rPr>
        <w:t>评价</w:t>
      </w:r>
      <w:r>
        <w:rPr>
          <w:rFonts w:hint="eastAsia" w:ascii="Times New Roman" w:hAnsi="Times New Roman" w:eastAsia="宋体" w:cs="Times New Roman"/>
          <w:sz w:val="28"/>
          <w:szCs w:val="28"/>
          <w:lang w:val="en-US" w:eastAsia="zh-CN"/>
        </w:rPr>
        <w:t>导</w:t>
      </w:r>
      <w:r>
        <w:rPr>
          <w:rFonts w:hint="default" w:ascii="Times New Roman" w:hAnsi="Times New Roman" w:eastAsia="宋体" w:cs="Times New Roman"/>
          <w:sz w:val="28"/>
          <w:szCs w:val="28"/>
          <w:lang w:val="en-US"/>
        </w:rPr>
        <w:t>则》（AQ800</w:t>
      </w:r>
      <w:r>
        <w:rPr>
          <w:rFonts w:hint="eastAsia" w:ascii="Times New Roman" w:hAnsi="Times New Roman" w:eastAsia="宋体" w:cs="Times New Roman"/>
          <w:sz w:val="28"/>
          <w:szCs w:val="28"/>
          <w:lang w:val="en-US" w:eastAsia="zh-CN"/>
        </w:rPr>
        <w:t>2</w:t>
      </w:r>
      <w:r>
        <w:rPr>
          <w:rFonts w:hint="default" w:ascii="Times New Roman" w:hAnsi="Times New Roman" w:eastAsia="宋体" w:cs="Times New Roman"/>
          <w:sz w:val="28"/>
          <w:szCs w:val="28"/>
          <w:lang w:val="en-US"/>
        </w:rPr>
        <w:t>-2007）</w:t>
      </w:r>
    </w:p>
    <w:p w14:paraId="7A7ED274">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16" w:name="_Toc31830"/>
      <w:r>
        <w:rPr>
          <w:rFonts w:hint="default" w:ascii="Times New Roman" w:hAnsi="Times New Roman" w:eastAsia="楷体" w:cs="Times New Roman"/>
          <w:b/>
          <w:bCs/>
          <w:sz w:val="32"/>
          <w:szCs w:val="32"/>
          <w:lang w:val="en-US" w:eastAsia="zh-CN"/>
        </w:rPr>
        <w:t>F1.6其它资料或文件</w:t>
      </w:r>
      <w:bookmarkEnd w:id="391"/>
      <w:bookmarkEnd w:id="392"/>
      <w:bookmarkEnd w:id="393"/>
      <w:bookmarkEnd w:id="394"/>
      <w:bookmarkEnd w:id="395"/>
      <w:bookmarkEnd w:id="416"/>
    </w:p>
    <w:p w14:paraId="5016399B">
      <w:pPr>
        <w:numPr>
          <w:ilvl w:val="0"/>
          <w:numId w:val="28"/>
        </w:numPr>
        <w:spacing w:line="300" w:lineRule="auto"/>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辽宁诺诚安全科技有限公司技术人员现场采集的资料；</w:t>
      </w:r>
    </w:p>
    <w:p w14:paraId="5D38253B">
      <w:pPr>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（3）</w:t>
      </w:r>
      <w:r>
        <w:rPr>
          <w:rFonts w:hint="eastAsia" w:cs="Times New Roman"/>
          <w:sz w:val="28"/>
          <w:szCs w:val="28"/>
          <w:lang w:eastAsia="zh-CN"/>
        </w:rPr>
        <w:t>中国石化销售股份有限公司辽宁葫芦岛海飞路加能站</w:t>
      </w:r>
      <w:r>
        <w:rPr>
          <w:rFonts w:hint="default" w:ascii="Times New Roman" w:hAnsi="Times New Roman" w:cs="Times New Roman"/>
          <w:sz w:val="28"/>
          <w:szCs w:val="28"/>
        </w:rPr>
        <w:t>提供的有关书面资料、文件和数据。</w:t>
      </w:r>
    </w:p>
    <w:p w14:paraId="0F9F3A9B">
      <w:pPr>
        <w:pStyle w:val="5"/>
        <w:rPr>
          <w:rFonts w:hint="default" w:ascii="Times New Roman" w:hAnsi="Times New Roman" w:cs="Times New Roman"/>
        </w:rPr>
      </w:pPr>
    </w:p>
    <w:p w14:paraId="16AFAAA3">
      <w:pPr>
        <w:rPr>
          <w:rFonts w:hint="default" w:ascii="Times New Roman" w:hAnsi="Times New Roman" w:cs="Times New Roman"/>
        </w:rPr>
      </w:pPr>
    </w:p>
    <w:p w14:paraId="480458D3">
      <w:pPr>
        <w:pStyle w:val="5"/>
        <w:ind w:left="0" w:leftChars="0" w:firstLine="0" w:firstLineChars="0"/>
        <w:jc w:val="both"/>
        <w:rPr>
          <w:rFonts w:hint="default" w:ascii="Times New Roman" w:hAnsi="Times New Roman" w:cs="Times New Roman"/>
        </w:rPr>
      </w:pPr>
    </w:p>
    <w:p w14:paraId="749C8B4B">
      <w:pPr>
        <w:rPr>
          <w:rFonts w:hint="default" w:ascii="Times New Roman" w:hAnsi="Times New Roman" w:cs="Times New Roman"/>
        </w:rPr>
      </w:pPr>
    </w:p>
    <w:p w14:paraId="6DDF5DBD">
      <w:pPr>
        <w:rPr>
          <w:rFonts w:hint="default" w:ascii="Times New Roman" w:hAnsi="Times New Roman" w:cs="Times New Roman"/>
        </w:rPr>
        <w:sectPr>
          <w:pgSz w:w="11906" w:h="16838"/>
          <w:pgMar w:top="1418" w:right="1134" w:bottom="1134" w:left="1588" w:header="851" w:footer="992" w:gutter="0"/>
          <w:pgBorders>
            <w:top w:val="none" w:sz="0" w:space="0"/>
            <w:left w:val="none" w:sz="0" w:space="0"/>
            <w:bottom w:val="none" w:sz="0" w:space="0"/>
            <w:right w:val="none" w:sz="0" w:space="0"/>
          </w:pgBorders>
          <w:pgNumType w:fmt="decimal"/>
          <w:cols w:space="720" w:num="1"/>
          <w:docGrid w:type="lines" w:linePitch="326" w:charSpace="6144"/>
        </w:sectPr>
      </w:pPr>
    </w:p>
    <w:p w14:paraId="67C667DD">
      <w:pPr>
        <w:pStyle w:val="2"/>
        <w:keepNext w:val="0"/>
        <w:keepLines w:val="0"/>
        <w:pageBreakBefore/>
        <w:widowControl w:val="0"/>
        <w:numPr>
          <w:ilvl w:val="0"/>
          <w:numId w:val="0"/>
        </w:numPr>
        <w:kinsoku/>
        <w:wordWrap/>
        <w:overflowPunct/>
        <w:topLinePunct w:val="0"/>
        <w:autoSpaceDE/>
        <w:autoSpaceDN/>
        <w:bidi w:val="0"/>
        <w:adjustRightInd/>
        <w:snapToGrid/>
        <w:spacing w:before="469" w:beforeLines="150" w:after="469" w:afterLines="150" w:line="360" w:lineRule="auto"/>
        <w:ind w:leftChars="0"/>
        <w:jc w:val="center"/>
        <w:textAlignment w:val="auto"/>
        <w:rPr>
          <w:rFonts w:hint="default" w:ascii="Times New Roman" w:hAnsi="Times New Roman" w:eastAsia="黑体" w:cs="Times New Roman"/>
          <w:b/>
          <w:bCs w:val="0"/>
          <w:kern w:val="32"/>
          <w:sz w:val="32"/>
          <w:szCs w:val="32"/>
          <w:lang w:val="en-US" w:eastAsia="zh-CN"/>
        </w:rPr>
      </w:pPr>
      <w:bookmarkStart w:id="417" w:name="_Toc14442"/>
      <w:bookmarkStart w:id="418" w:name="_Toc17898"/>
      <w:r>
        <w:rPr>
          <w:rFonts w:hint="default" w:ascii="Times New Roman" w:hAnsi="Times New Roman" w:eastAsia="黑体" w:cs="Times New Roman"/>
          <w:b/>
          <w:bCs w:val="0"/>
          <w:kern w:val="32"/>
          <w:sz w:val="32"/>
          <w:szCs w:val="32"/>
          <w:lang w:val="en-US" w:eastAsia="zh-CN"/>
        </w:rPr>
        <w:t>附录2选用的安全评价方法简介</w:t>
      </w:r>
      <w:bookmarkEnd w:id="385"/>
      <w:bookmarkEnd w:id="386"/>
      <w:bookmarkEnd w:id="417"/>
      <w:bookmarkEnd w:id="418"/>
    </w:p>
    <w:p w14:paraId="5C4C605B">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19" w:name="_Toc29686"/>
      <w:bookmarkStart w:id="420" w:name="_Toc41246747"/>
      <w:bookmarkStart w:id="421" w:name="_Toc20164"/>
      <w:r>
        <w:rPr>
          <w:rFonts w:hint="default" w:ascii="Times New Roman" w:hAnsi="Times New Roman" w:eastAsia="楷体" w:cs="Times New Roman"/>
          <w:b/>
          <w:bCs/>
          <w:sz w:val="32"/>
          <w:szCs w:val="32"/>
          <w:lang w:val="en-US" w:eastAsia="zh-CN"/>
        </w:rPr>
        <w:t>F2.1安全检查表法</w:t>
      </w:r>
      <w:bookmarkEnd w:id="419"/>
      <w:bookmarkEnd w:id="420"/>
      <w:bookmarkEnd w:id="421"/>
    </w:p>
    <w:p w14:paraId="79B0F69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安全检查表法分析，即为了查找工程、系统中各种设备设施、物料、工件、操作、管理和组织措施中的危险、有害因素，事先把检查对象加以分解，将大系统分割成若干小的子系统，以提问或打分的形式，将检查项目列表逐项检查，避免遗漏，通常将这种评价方法称为安全检查表分析法。</w:t>
      </w:r>
    </w:p>
    <w:p w14:paraId="6CE74330">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22" w:name="_Toc9381"/>
      <w:bookmarkStart w:id="423" w:name="_Toc41246749"/>
      <w:bookmarkStart w:id="424" w:name="_Toc13121"/>
      <w:r>
        <w:rPr>
          <w:rFonts w:hint="default" w:ascii="Times New Roman" w:hAnsi="Times New Roman" w:eastAsia="楷体" w:cs="Times New Roman"/>
          <w:b/>
          <w:bCs/>
          <w:sz w:val="32"/>
          <w:szCs w:val="32"/>
          <w:lang w:val="en-US" w:eastAsia="zh-CN"/>
        </w:rPr>
        <w:t>F2.2预先危险性分析评价法</w:t>
      </w:r>
      <w:bookmarkEnd w:id="422"/>
      <w:bookmarkEnd w:id="423"/>
      <w:bookmarkEnd w:id="424"/>
    </w:p>
    <w:p w14:paraId="0FD2270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预先危险性分析（Preliminary Hazard Analysis，简称PHA）是在进行某项工程活动（包括设计、施工、生产、维修等）之前，对系统存在的各种危险因素、出现条件和事故可能造成的后果进行宏观、概略分析的系统安全分析方法。其目的是早期发现系统中潜在的危险因素，确定系统的危险等级，提出相应的防范措施，防止这些危险因素发展成为事故，避免考虑不周所造成的损失。</w:t>
      </w:r>
    </w:p>
    <w:p w14:paraId="65B53F0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PHA法概要介绍如下。</w:t>
      </w:r>
    </w:p>
    <w:p w14:paraId="157A4D8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（1）对所分析系统的生产目的、工艺过程、操作条件和周围环境进行充分的调查、了解；</w:t>
      </w:r>
    </w:p>
    <w:p w14:paraId="0DE6785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（2）收集国内外同类生产过程中发生过的事故情况，判断所分析的系统是否也会出现类似情况，查出会造成系统故障、人员伤亡、设备设施及物质损坏、损失的危险性。</w:t>
      </w:r>
    </w:p>
    <w:p w14:paraId="0AE10F2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（3）确定系统中的危险和有害因素（危险源），编制“预先危险性分析表”。</w:t>
      </w:r>
    </w:p>
    <w:p w14:paraId="65ECA9A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（4）根据“危险性等级划分表”，确定危险有害因素的危险等级，找出应重点监控的危险源。</w:t>
      </w:r>
    </w:p>
    <w:p w14:paraId="5F21D3B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eastAsia" w:cs="Times New Roman"/>
          <w:sz w:val="28"/>
          <w:szCs w:val="28"/>
          <w:lang w:eastAsia="zh-CN"/>
        </w:rPr>
        <w:t>（</w:t>
      </w:r>
      <w:r>
        <w:rPr>
          <w:rFonts w:hint="eastAsia" w:cs="Times New Roman"/>
          <w:sz w:val="28"/>
          <w:szCs w:val="28"/>
          <w:lang w:val="en-US" w:eastAsia="zh-CN"/>
        </w:rPr>
        <w:t>5</w:t>
      </w:r>
      <w:r>
        <w:rPr>
          <w:rFonts w:hint="eastAsia" w:cs="Times New Roman"/>
          <w:sz w:val="28"/>
          <w:szCs w:val="28"/>
          <w:lang w:eastAsia="zh-CN"/>
        </w:rPr>
        <w:t>）</w:t>
      </w:r>
      <w:r>
        <w:rPr>
          <w:rFonts w:hint="default" w:ascii="Times New Roman" w:hAnsi="Times New Roman" w:cs="Times New Roman"/>
          <w:sz w:val="28"/>
          <w:szCs w:val="28"/>
        </w:rPr>
        <w:t>按危险和有害因素危险等级制定相应对策措施。</w:t>
      </w:r>
    </w:p>
    <w:p w14:paraId="6E7EEEC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危险等级划分采用美国军用标准MIL-STD-882A所给出的危险等级划分表，如F表2</w:t>
      </w:r>
      <w:r>
        <w:rPr>
          <w:rFonts w:hint="eastAsia" w:ascii="Times New Roman" w:hAnsi="Times New Roman" w:cs="Times New Roman"/>
          <w:sz w:val="28"/>
          <w:szCs w:val="28"/>
          <w:lang w:val="en-US" w:eastAsia="zh-CN"/>
        </w:rPr>
        <w:t>.2</w:t>
      </w:r>
      <w:r>
        <w:rPr>
          <w:rFonts w:hint="default" w:ascii="Times New Roman" w:hAnsi="Times New Roman" w:cs="Times New Roman"/>
          <w:sz w:val="28"/>
          <w:szCs w:val="28"/>
        </w:rPr>
        <w:t>-1所示。</w:t>
      </w:r>
    </w:p>
    <w:p w14:paraId="277B63B0">
      <w:pPr>
        <w:keepNext w:val="0"/>
        <w:keepLines w:val="0"/>
        <w:pageBreakBefore w:val="0"/>
        <w:widowControl w:val="0"/>
        <w:kinsoku/>
        <w:wordWrap/>
        <w:overflowPunct/>
        <w:topLinePunct w:val="0"/>
        <w:autoSpaceDE/>
        <w:autoSpaceDN/>
        <w:bidi w:val="0"/>
        <w:adjustRightInd w:val="0"/>
        <w:snapToGrid w:val="0"/>
        <w:spacing w:before="164" w:beforeLines="50" w:after="164" w:afterLines="50"/>
        <w:ind w:firstLine="0"/>
        <w:jc w:val="center"/>
        <w:textAlignment w:val="auto"/>
        <w:rPr>
          <w:rFonts w:hint="default" w:ascii="Times New Roman" w:hAnsi="Times New Roman" w:eastAsia="黑体" w:cs="Times New Roman"/>
          <w:sz w:val="24"/>
        </w:rPr>
      </w:pPr>
      <w:r>
        <w:rPr>
          <w:rFonts w:hint="default" w:ascii="Times New Roman" w:hAnsi="Times New Roman" w:eastAsia="黑体" w:cs="Times New Roman"/>
          <w:sz w:val="24"/>
        </w:rPr>
        <w:t>F表2</w:t>
      </w:r>
      <w:r>
        <w:rPr>
          <w:rFonts w:hint="default" w:ascii="Times New Roman" w:hAnsi="Times New Roman" w:eastAsia="黑体" w:cs="Times New Roman"/>
          <w:sz w:val="24"/>
          <w:lang w:val="en-US" w:eastAsia="zh-CN"/>
        </w:rPr>
        <w:t>.2</w:t>
      </w:r>
      <w:r>
        <w:rPr>
          <w:rFonts w:hint="default" w:ascii="Times New Roman" w:hAnsi="Times New Roman" w:eastAsia="黑体" w:cs="Times New Roman"/>
          <w:sz w:val="24"/>
        </w:rPr>
        <w:t>-1</w:t>
      </w:r>
      <w:r>
        <w:rPr>
          <w:rFonts w:hint="default" w:ascii="Times New Roman" w:hAnsi="Times New Roman" w:eastAsia="黑体" w:cs="Times New Roman"/>
          <w:sz w:val="24"/>
          <w:lang w:val="en-US" w:eastAsia="zh-CN"/>
        </w:rPr>
        <w:t xml:space="preserve"> </w:t>
      </w:r>
      <w:r>
        <w:rPr>
          <w:rFonts w:hint="default" w:ascii="Times New Roman" w:hAnsi="Times New Roman" w:eastAsia="黑体" w:cs="Times New Roman"/>
          <w:sz w:val="24"/>
        </w:rPr>
        <w:t xml:space="preserve"> 危险等级划分表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450"/>
        <w:gridCol w:w="6869"/>
      </w:tblGrid>
      <w:tr w14:paraId="01D4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dxa"/>
            <w:vAlign w:val="center"/>
          </w:tcPr>
          <w:p w14:paraId="5662DA05">
            <w:pPr>
              <w:adjustRightInd w:val="0"/>
              <w:snapToGrid w:val="0"/>
              <w:jc w:val="center"/>
              <w:rPr>
                <w:rFonts w:hint="default" w:ascii="Times New Roman" w:hAnsi="Times New Roman" w:cs="Times New Roman"/>
              </w:rPr>
            </w:pPr>
            <w:r>
              <w:rPr>
                <w:rFonts w:hint="default" w:ascii="Times New Roman" w:hAnsi="Times New Roman" w:cs="Times New Roman"/>
              </w:rPr>
              <w:t>等 级</w:t>
            </w:r>
          </w:p>
        </w:tc>
        <w:tc>
          <w:tcPr>
            <w:tcW w:w="1236" w:type="dxa"/>
            <w:vAlign w:val="center"/>
          </w:tcPr>
          <w:p w14:paraId="0983A92C">
            <w:pPr>
              <w:adjustRightInd w:val="0"/>
              <w:snapToGrid w:val="0"/>
              <w:jc w:val="center"/>
              <w:rPr>
                <w:rFonts w:hint="default" w:ascii="Times New Roman" w:hAnsi="Times New Roman" w:cs="Times New Roman"/>
              </w:rPr>
            </w:pPr>
            <w:r>
              <w:rPr>
                <w:rFonts w:hint="default" w:ascii="Times New Roman" w:hAnsi="Times New Roman" w:cs="Times New Roman"/>
              </w:rPr>
              <w:t>名  称</w:t>
            </w:r>
          </w:p>
        </w:tc>
        <w:tc>
          <w:tcPr>
            <w:tcW w:w="5853" w:type="dxa"/>
            <w:vAlign w:val="center"/>
          </w:tcPr>
          <w:p w14:paraId="53CC3021">
            <w:pPr>
              <w:adjustRightInd w:val="0"/>
              <w:snapToGrid w:val="0"/>
              <w:jc w:val="center"/>
              <w:rPr>
                <w:rFonts w:hint="default" w:ascii="Times New Roman" w:hAnsi="Times New Roman" w:cs="Times New Roman"/>
              </w:rPr>
            </w:pPr>
            <w:r>
              <w:rPr>
                <w:rFonts w:hint="default" w:ascii="Times New Roman" w:hAnsi="Times New Roman" w:cs="Times New Roman"/>
              </w:rPr>
              <w:t>特   征</w:t>
            </w:r>
          </w:p>
        </w:tc>
      </w:tr>
      <w:tr w14:paraId="3C72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dxa"/>
            <w:vAlign w:val="center"/>
          </w:tcPr>
          <w:p w14:paraId="7DA379C7">
            <w:pPr>
              <w:autoSpaceDE w:val="0"/>
              <w:autoSpaceDN w:val="0"/>
              <w:adjustRightInd w:val="0"/>
              <w:snapToGrid w:val="0"/>
              <w:jc w:val="center"/>
              <w:rPr>
                <w:rFonts w:hint="default" w:ascii="Times New Roman" w:hAnsi="Times New Roman" w:cs="Times New Roman"/>
              </w:rPr>
            </w:pPr>
            <w:r>
              <w:rPr>
                <w:rFonts w:hint="default" w:ascii="Times New Roman" w:hAnsi="Times New Roman" w:cs="Times New Roman"/>
              </w:rPr>
              <w:t>I级</w:t>
            </w:r>
          </w:p>
        </w:tc>
        <w:tc>
          <w:tcPr>
            <w:tcW w:w="1236" w:type="dxa"/>
            <w:vAlign w:val="center"/>
          </w:tcPr>
          <w:p w14:paraId="3FC70C4E">
            <w:pPr>
              <w:adjustRightInd w:val="0"/>
              <w:snapToGrid w:val="0"/>
              <w:jc w:val="center"/>
              <w:rPr>
                <w:rFonts w:hint="default" w:ascii="Times New Roman" w:hAnsi="Times New Roman" w:cs="Times New Roman"/>
              </w:rPr>
            </w:pPr>
            <w:r>
              <w:rPr>
                <w:rFonts w:hint="default" w:ascii="Times New Roman" w:hAnsi="Times New Roman" w:cs="Times New Roman"/>
              </w:rPr>
              <w:t>安全的</w:t>
            </w:r>
          </w:p>
        </w:tc>
        <w:tc>
          <w:tcPr>
            <w:tcW w:w="5853" w:type="dxa"/>
            <w:vAlign w:val="center"/>
          </w:tcPr>
          <w:p w14:paraId="328CB473">
            <w:pPr>
              <w:pStyle w:val="27"/>
              <w:autoSpaceDE/>
              <w:autoSpaceDN/>
              <w:spacing w:line="240" w:lineRule="auto"/>
              <w:rPr>
                <w:rFonts w:hint="default" w:ascii="Times New Roman" w:hAnsi="Times New Roman" w:cs="Times New Roman"/>
              </w:rPr>
            </w:pPr>
            <w:r>
              <w:rPr>
                <w:rFonts w:hint="default" w:ascii="Times New Roman" w:hAnsi="Times New Roman" w:cs="Times New Roman"/>
              </w:rPr>
              <w:t>可以忽略</w:t>
            </w:r>
          </w:p>
        </w:tc>
      </w:tr>
      <w:tr w14:paraId="4C74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dxa"/>
            <w:vAlign w:val="center"/>
          </w:tcPr>
          <w:p w14:paraId="7DD5A30F">
            <w:pPr>
              <w:autoSpaceDE w:val="0"/>
              <w:autoSpaceDN w:val="0"/>
              <w:adjustRightInd w:val="0"/>
              <w:snapToGrid w:val="0"/>
              <w:jc w:val="center"/>
              <w:rPr>
                <w:rFonts w:hint="default" w:ascii="Times New Roman" w:hAnsi="Times New Roman" w:cs="Times New Roman"/>
              </w:rPr>
            </w:pPr>
            <w:r>
              <w:rPr>
                <w:rFonts w:hint="default" w:ascii="Times New Roman" w:hAnsi="Times New Roman" w:cs="Times New Roman"/>
              </w:rPr>
              <w:t>II级</w:t>
            </w:r>
          </w:p>
        </w:tc>
        <w:tc>
          <w:tcPr>
            <w:tcW w:w="1236" w:type="dxa"/>
            <w:vAlign w:val="center"/>
          </w:tcPr>
          <w:p w14:paraId="09B45046">
            <w:pPr>
              <w:adjustRightInd w:val="0"/>
              <w:snapToGrid w:val="0"/>
              <w:jc w:val="center"/>
              <w:rPr>
                <w:rFonts w:hint="default" w:ascii="Times New Roman" w:hAnsi="Times New Roman" w:cs="Times New Roman"/>
              </w:rPr>
            </w:pPr>
            <w:r>
              <w:rPr>
                <w:rFonts w:hint="default" w:ascii="Times New Roman" w:hAnsi="Times New Roman" w:cs="Times New Roman"/>
              </w:rPr>
              <w:t>临界的</w:t>
            </w:r>
          </w:p>
        </w:tc>
        <w:tc>
          <w:tcPr>
            <w:tcW w:w="5853" w:type="dxa"/>
            <w:vAlign w:val="center"/>
          </w:tcPr>
          <w:p w14:paraId="6CB44F6A">
            <w:pPr>
              <w:adjustRightInd w:val="0"/>
              <w:snapToGrid w:val="0"/>
              <w:jc w:val="center"/>
              <w:rPr>
                <w:rFonts w:hint="default" w:ascii="Times New Roman" w:hAnsi="Times New Roman" w:cs="Times New Roman"/>
              </w:rPr>
            </w:pPr>
            <w:r>
              <w:rPr>
                <w:rFonts w:hint="default" w:ascii="Times New Roman" w:hAnsi="Times New Roman" w:cs="Times New Roman"/>
              </w:rPr>
              <w:t>处于事故边缘状态，暂不会造成人员伤亡和财产损失，但应予以排除或采取控制措施</w:t>
            </w:r>
          </w:p>
        </w:tc>
      </w:tr>
      <w:tr w14:paraId="258C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dxa"/>
            <w:vAlign w:val="center"/>
          </w:tcPr>
          <w:p w14:paraId="4AC19893">
            <w:pPr>
              <w:autoSpaceDE w:val="0"/>
              <w:autoSpaceDN w:val="0"/>
              <w:adjustRightInd w:val="0"/>
              <w:snapToGrid w:val="0"/>
              <w:jc w:val="center"/>
              <w:rPr>
                <w:rFonts w:hint="default" w:ascii="Times New Roman" w:hAnsi="Times New Roman" w:cs="Times New Roman"/>
              </w:rPr>
            </w:pPr>
            <w:r>
              <w:rPr>
                <w:rFonts w:hint="default" w:ascii="Times New Roman" w:hAnsi="Times New Roman" w:cs="Times New Roman"/>
              </w:rPr>
              <w:t>Ⅲ级</w:t>
            </w:r>
          </w:p>
        </w:tc>
        <w:tc>
          <w:tcPr>
            <w:tcW w:w="1236" w:type="dxa"/>
            <w:vAlign w:val="center"/>
          </w:tcPr>
          <w:p w14:paraId="61A4D46B">
            <w:pPr>
              <w:adjustRightInd w:val="0"/>
              <w:snapToGrid w:val="0"/>
              <w:jc w:val="center"/>
              <w:rPr>
                <w:rFonts w:hint="default" w:ascii="Times New Roman" w:hAnsi="Times New Roman" w:cs="Times New Roman"/>
              </w:rPr>
            </w:pPr>
            <w:r>
              <w:rPr>
                <w:rFonts w:hint="default" w:ascii="Times New Roman" w:hAnsi="Times New Roman" w:cs="Times New Roman"/>
              </w:rPr>
              <w:t>危险的</w:t>
            </w:r>
          </w:p>
        </w:tc>
        <w:tc>
          <w:tcPr>
            <w:tcW w:w="5853" w:type="dxa"/>
            <w:vAlign w:val="center"/>
          </w:tcPr>
          <w:p w14:paraId="72C27C1C">
            <w:pPr>
              <w:adjustRightInd w:val="0"/>
              <w:snapToGrid w:val="0"/>
              <w:jc w:val="center"/>
              <w:rPr>
                <w:rFonts w:hint="default" w:ascii="Times New Roman" w:hAnsi="Times New Roman" w:cs="Times New Roman"/>
              </w:rPr>
            </w:pPr>
            <w:r>
              <w:rPr>
                <w:rFonts w:hint="default" w:ascii="Times New Roman" w:hAnsi="Times New Roman" w:cs="Times New Roman"/>
              </w:rPr>
              <w:t>会造成人员伤亡和系统破坏，要立即采取措施</w:t>
            </w:r>
          </w:p>
        </w:tc>
      </w:tr>
      <w:tr w14:paraId="3C4B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dxa"/>
            <w:vAlign w:val="center"/>
          </w:tcPr>
          <w:p w14:paraId="760FD739">
            <w:pPr>
              <w:autoSpaceDE w:val="0"/>
              <w:autoSpaceDN w:val="0"/>
              <w:adjustRightInd w:val="0"/>
              <w:snapToGrid w:val="0"/>
              <w:jc w:val="center"/>
              <w:rPr>
                <w:rFonts w:hint="default" w:ascii="Times New Roman" w:hAnsi="Times New Roman" w:cs="Times New Roman"/>
              </w:rPr>
            </w:pPr>
            <w:r>
              <w:rPr>
                <w:rFonts w:hint="default" w:ascii="Times New Roman" w:hAnsi="Times New Roman" w:cs="Times New Roman"/>
              </w:rPr>
              <w:t>Ⅳ级</w:t>
            </w:r>
          </w:p>
        </w:tc>
        <w:tc>
          <w:tcPr>
            <w:tcW w:w="1236" w:type="dxa"/>
            <w:vAlign w:val="center"/>
          </w:tcPr>
          <w:p w14:paraId="5C91EA0E">
            <w:pPr>
              <w:adjustRightInd w:val="0"/>
              <w:snapToGrid w:val="0"/>
              <w:jc w:val="center"/>
              <w:rPr>
                <w:rFonts w:hint="default" w:ascii="Times New Roman" w:hAnsi="Times New Roman" w:cs="Times New Roman"/>
              </w:rPr>
            </w:pPr>
            <w:r>
              <w:rPr>
                <w:rFonts w:hint="default" w:ascii="Times New Roman" w:hAnsi="Times New Roman" w:cs="Times New Roman"/>
              </w:rPr>
              <w:t>破坏性的</w:t>
            </w:r>
          </w:p>
        </w:tc>
        <w:tc>
          <w:tcPr>
            <w:tcW w:w="5853" w:type="dxa"/>
            <w:vAlign w:val="center"/>
          </w:tcPr>
          <w:p w14:paraId="25C28E52">
            <w:pPr>
              <w:adjustRightInd w:val="0"/>
              <w:snapToGrid w:val="0"/>
              <w:jc w:val="center"/>
              <w:rPr>
                <w:rFonts w:hint="default" w:ascii="Times New Roman" w:hAnsi="Times New Roman" w:cs="Times New Roman"/>
              </w:rPr>
            </w:pPr>
            <w:r>
              <w:rPr>
                <w:rFonts w:hint="default" w:ascii="Times New Roman" w:hAnsi="Times New Roman" w:cs="Times New Roman"/>
              </w:rPr>
              <w:t>会造成破坏性事故，必须立即排除，并进行重点防范</w:t>
            </w:r>
          </w:p>
        </w:tc>
      </w:tr>
    </w:tbl>
    <w:p w14:paraId="471A698A">
      <w:pPr>
        <w:keepNext w:val="0"/>
        <w:keepLines w:val="0"/>
        <w:pageBreakBefore w:val="0"/>
        <w:widowControl w:val="0"/>
        <w:kinsoku/>
        <w:wordWrap/>
        <w:overflowPunct/>
        <w:topLinePunct w:val="0"/>
        <w:autoSpaceDE/>
        <w:autoSpaceDN/>
        <w:bidi w:val="0"/>
        <w:adjustRightInd w:val="0"/>
        <w:snapToGrid w:val="0"/>
        <w:spacing w:before="164" w:beforeLines="50"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rPr>
        <w:t>PHA是一种应用范围较广的定性评价方法，常常由具有丰富知识和经验的工程技术人员、管理人员、操作者经过分析、讨论而实施。</w:t>
      </w:r>
    </w:p>
    <w:p w14:paraId="141D867F">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25" w:name="_Toc29148"/>
      <w:bookmarkStart w:id="426" w:name="_Toc11820"/>
      <w:r>
        <w:rPr>
          <w:rFonts w:hint="default" w:ascii="Times New Roman" w:hAnsi="Times New Roman" w:eastAsia="楷体" w:cs="Times New Roman"/>
          <w:b/>
          <w:bCs/>
          <w:sz w:val="32"/>
          <w:szCs w:val="32"/>
          <w:lang w:val="en-US" w:eastAsia="zh-CN"/>
        </w:rPr>
        <w:t>F2.3蒸汽云爆炸灾害模型</w:t>
      </w:r>
      <w:bookmarkEnd w:id="425"/>
      <w:bookmarkEnd w:id="426"/>
    </w:p>
    <w:p w14:paraId="0A81B5BE">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cs="Times New Roman"/>
          <w:sz w:val="28"/>
          <w:szCs w:val="28"/>
        </w:rPr>
      </w:pPr>
      <w:r>
        <w:rPr>
          <w:rFonts w:hint="default" w:ascii="Times New Roman" w:hAnsi="Times New Roman" w:cs="Times New Roman"/>
          <w:sz w:val="28"/>
          <w:szCs w:val="28"/>
        </w:rPr>
        <w:t>当大量可燃气体泄漏到敞开空间后，如果没有立即点火，而是在空中扩散，与空气形成爆炸性混合物，然后发生延迟点火，就会发生蒸气云爆炸。</w:t>
      </w:r>
    </w:p>
    <w:p w14:paraId="3240F583">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cs="Times New Roman"/>
          <w:sz w:val="28"/>
          <w:szCs w:val="28"/>
        </w:rPr>
      </w:pPr>
      <w:r>
        <w:rPr>
          <w:rFonts w:hint="default" w:ascii="Times New Roman" w:hAnsi="Times New Roman" w:cs="Times New Roman"/>
          <w:sz w:val="28"/>
          <w:szCs w:val="28"/>
        </w:rPr>
        <w:t>蒸气云爆炸的能量常用TNT当量描述，即将参与爆炸的可燃气体释放的能量折合为能释放相同能量的TNT炸药的量，这样，就可以利用有关TNT爆炸效应的实验数据预测蒸气云爆炸效应。</w:t>
      </w:r>
    </w:p>
    <w:p w14:paraId="5DA346B5">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cs="Times New Roman"/>
          <w:sz w:val="28"/>
          <w:szCs w:val="28"/>
        </w:rPr>
      </w:pPr>
      <w:r>
        <w:rPr>
          <w:rFonts w:hint="default" w:ascii="Times New Roman" w:hAnsi="Times New Roman" w:cs="Times New Roman"/>
          <w:sz w:val="28"/>
          <w:szCs w:val="28"/>
        </w:rPr>
        <w:t>TNT当量计算：</w:t>
      </w:r>
    </w:p>
    <w:p w14:paraId="67BE24CE">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cs="Times New Roman"/>
          <w:sz w:val="28"/>
          <w:szCs w:val="28"/>
        </w:rPr>
      </w:pPr>
      <w:r>
        <w:rPr>
          <w:rFonts w:hint="default" w:ascii="Times New Roman" w:hAnsi="Times New Roman" w:cs="Times New Roman"/>
          <w:sz w:val="28"/>
          <w:szCs w:val="28"/>
        </w:rPr>
        <w:t>本项目</w:t>
      </w:r>
      <w:r>
        <w:rPr>
          <w:rFonts w:hint="eastAsia" w:cs="Times New Roman"/>
          <w:sz w:val="28"/>
          <w:szCs w:val="28"/>
          <w:lang w:eastAsia="zh-CN"/>
        </w:rPr>
        <w:t>乙醇汽油</w:t>
      </w:r>
      <w:r>
        <w:rPr>
          <w:rFonts w:hint="default" w:ascii="Times New Roman" w:hAnsi="Times New Roman" w:cs="Times New Roman"/>
          <w:sz w:val="28"/>
          <w:szCs w:val="28"/>
        </w:rPr>
        <w:t>储罐物质泄漏后形成蒸汽云，蒸汽云爆炸的能量常用TNT当量描述，即将参与爆炸的可燃气体释放的能量折合为能释放相同能量的TNT炸药的量。</w:t>
      </w:r>
    </w:p>
    <w:p w14:paraId="4D37914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TNT当量计算公式如下：</w:t>
      </w:r>
    </w:p>
    <w:p w14:paraId="3EC7F0D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W</w:t>
      </w:r>
      <w:r>
        <w:rPr>
          <w:rFonts w:hint="default" w:ascii="Times New Roman" w:hAnsi="Times New Roman" w:cs="Times New Roman"/>
          <w:sz w:val="28"/>
          <w:szCs w:val="28"/>
          <w:vertAlign w:val="subscript"/>
        </w:rPr>
        <w:t>TNT</w:t>
      </w:r>
      <w:r>
        <w:rPr>
          <w:rFonts w:hint="default" w:ascii="Times New Roman" w:hAnsi="Times New Roman" w:cs="Times New Roman"/>
          <w:sz w:val="28"/>
          <w:szCs w:val="28"/>
        </w:rPr>
        <w:t>=βAW</w:t>
      </w:r>
      <w:r>
        <w:rPr>
          <w:rFonts w:hint="default" w:ascii="Times New Roman" w:hAnsi="Times New Roman" w:cs="Times New Roman"/>
          <w:sz w:val="28"/>
          <w:szCs w:val="28"/>
          <w:vertAlign w:val="subscript"/>
        </w:rPr>
        <w:t>f</w:t>
      </w:r>
      <w:r>
        <w:rPr>
          <w:rFonts w:hint="default" w:ascii="Times New Roman" w:hAnsi="Times New Roman" w:cs="Times New Roman"/>
          <w:sz w:val="28"/>
          <w:szCs w:val="28"/>
        </w:rPr>
        <w:t>Q</w:t>
      </w:r>
      <w:r>
        <w:rPr>
          <w:rFonts w:hint="default" w:ascii="Times New Roman" w:hAnsi="Times New Roman" w:cs="Times New Roman"/>
          <w:sz w:val="28"/>
          <w:szCs w:val="28"/>
          <w:vertAlign w:val="subscript"/>
        </w:rPr>
        <w:t>f </w:t>
      </w:r>
      <w:r>
        <w:rPr>
          <w:rFonts w:hint="default" w:ascii="Times New Roman" w:hAnsi="Times New Roman" w:cs="Times New Roman"/>
          <w:sz w:val="28"/>
          <w:szCs w:val="28"/>
        </w:rPr>
        <w:t xml:space="preserve"> / Q</w:t>
      </w:r>
      <w:r>
        <w:rPr>
          <w:rFonts w:hint="default" w:ascii="Times New Roman" w:hAnsi="Times New Roman" w:cs="Times New Roman"/>
          <w:sz w:val="28"/>
          <w:szCs w:val="28"/>
          <w:vertAlign w:val="subscript"/>
        </w:rPr>
        <w:t>TNT</w:t>
      </w:r>
    </w:p>
    <w:p w14:paraId="39D19DE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w:t>
      </w:r>
      <w:r>
        <w:rPr>
          <w:rFonts w:hint="default" w:ascii="Times New Roman" w:hAnsi="Times New Roman" w:cs="Times New Roman"/>
          <w:sz w:val="28"/>
          <w:szCs w:val="28"/>
          <w:vertAlign w:val="subscript"/>
        </w:rPr>
        <w:t>TNT</w:t>
      </w:r>
      <w:r>
        <w:rPr>
          <w:rFonts w:hint="default" w:ascii="Times New Roman" w:hAnsi="Times New Roman" w:cs="Times New Roman"/>
          <w:sz w:val="28"/>
          <w:szCs w:val="28"/>
        </w:rPr>
        <w:t>——蒸气云的TNT当量，kg；</w:t>
      </w:r>
    </w:p>
    <w:p w14:paraId="7BC20EA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β——地面爆炸系数，取β=1.8； </w:t>
      </w:r>
    </w:p>
    <w:p w14:paraId="1AD1B6A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A——蒸气云的TNT当量系数，A取0.3%或0.4%； </w:t>
      </w:r>
    </w:p>
    <w:p w14:paraId="3739935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    W</w:t>
      </w:r>
      <w:r>
        <w:rPr>
          <w:rFonts w:hint="default" w:ascii="Times New Roman" w:hAnsi="Times New Roman" w:cs="Times New Roman"/>
          <w:sz w:val="28"/>
          <w:szCs w:val="28"/>
          <w:vertAlign w:val="subscript"/>
        </w:rPr>
        <w:t>f</w:t>
      </w:r>
      <w:r>
        <w:rPr>
          <w:rFonts w:hint="default" w:ascii="Times New Roman" w:hAnsi="Times New Roman" w:cs="Times New Roman"/>
          <w:sz w:val="28"/>
          <w:szCs w:val="28"/>
        </w:rPr>
        <w:t xml:space="preserve">——蒸气云中燃料的总质量：kg； </w:t>
      </w:r>
    </w:p>
    <w:p w14:paraId="76E6404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    Q</w:t>
      </w:r>
      <w:r>
        <w:rPr>
          <w:rFonts w:hint="default" w:ascii="Times New Roman" w:hAnsi="Times New Roman" w:cs="Times New Roman"/>
          <w:sz w:val="28"/>
          <w:szCs w:val="28"/>
          <w:vertAlign w:val="subscript"/>
        </w:rPr>
        <w:t>f</w:t>
      </w:r>
      <w:r>
        <w:rPr>
          <w:rFonts w:hint="default" w:ascii="Times New Roman" w:hAnsi="Times New Roman" w:cs="Times New Roman"/>
          <w:sz w:val="28"/>
          <w:szCs w:val="28"/>
        </w:rPr>
        <w:t xml:space="preserve">——燃料的燃烧热，kJ/kg； </w:t>
      </w:r>
    </w:p>
    <w:p w14:paraId="7CEC3EC4">
      <w:pPr>
        <w:keepNext w:val="0"/>
        <w:keepLines w:val="0"/>
        <w:pageBreakBefore w:val="0"/>
        <w:widowControl w:val="0"/>
        <w:kinsoku/>
        <w:wordWrap/>
        <w:overflowPunct/>
        <w:topLinePunct w:val="0"/>
        <w:autoSpaceDE/>
        <w:autoSpaceDN/>
        <w:bidi w:val="0"/>
        <w:adjustRightInd w:val="0"/>
        <w:snapToGrid w:val="0"/>
        <w:spacing w:line="360" w:lineRule="auto"/>
        <w:ind w:firstLine="840" w:firstLineChars="300"/>
        <w:textAlignment w:val="auto"/>
        <w:rPr>
          <w:rFonts w:hint="default" w:ascii="Times New Roman" w:hAnsi="Times New Roman" w:cs="Times New Roman"/>
          <w:sz w:val="28"/>
          <w:szCs w:val="28"/>
        </w:rPr>
      </w:pPr>
      <w:r>
        <w:rPr>
          <w:rFonts w:hint="default" w:ascii="Times New Roman" w:hAnsi="Times New Roman" w:cs="Times New Roman"/>
          <w:sz w:val="28"/>
          <w:szCs w:val="28"/>
        </w:rPr>
        <w:t>Q</w:t>
      </w:r>
      <w:r>
        <w:rPr>
          <w:rFonts w:hint="default" w:ascii="Times New Roman" w:hAnsi="Times New Roman" w:cs="Times New Roman"/>
          <w:sz w:val="28"/>
          <w:szCs w:val="28"/>
          <w:vertAlign w:val="subscript"/>
        </w:rPr>
        <w:t>TNT</w:t>
      </w:r>
      <w:r>
        <w:rPr>
          <w:rFonts w:hint="default" w:ascii="Times New Roman" w:hAnsi="Times New Roman" w:cs="Times New Roman"/>
          <w:sz w:val="28"/>
          <w:szCs w:val="28"/>
        </w:rPr>
        <w:t>——TNT的爆炸热，Q</w:t>
      </w:r>
      <w:r>
        <w:rPr>
          <w:rFonts w:hint="default" w:ascii="Times New Roman" w:hAnsi="Times New Roman" w:cs="Times New Roman"/>
          <w:sz w:val="28"/>
          <w:szCs w:val="28"/>
          <w:vertAlign w:val="subscript"/>
        </w:rPr>
        <w:t>TNT=</w:t>
      </w:r>
      <w:r>
        <w:rPr>
          <w:rFonts w:hint="default" w:ascii="Times New Roman" w:hAnsi="Times New Roman" w:cs="Times New Roman"/>
          <w:sz w:val="28"/>
          <w:szCs w:val="28"/>
        </w:rPr>
        <w:t>4520kJ/kg。</w:t>
      </w:r>
    </w:p>
    <w:p w14:paraId="203CE15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rPr>
      </w:pPr>
    </w:p>
    <w:p w14:paraId="71D39E9E">
      <w:pPr>
        <w:pStyle w:val="5"/>
        <w:rPr>
          <w:rFonts w:hint="default" w:ascii="Times New Roman" w:hAnsi="Times New Roman" w:cs="Times New Roman"/>
        </w:rPr>
      </w:pPr>
    </w:p>
    <w:p w14:paraId="25B17F0B">
      <w:pPr>
        <w:rPr>
          <w:rFonts w:hint="default" w:ascii="Times New Roman" w:hAnsi="Times New Roman" w:cs="Times New Roman"/>
        </w:rPr>
      </w:pPr>
    </w:p>
    <w:p w14:paraId="798819BD">
      <w:pPr>
        <w:pStyle w:val="5"/>
        <w:rPr>
          <w:rFonts w:hint="default" w:ascii="Times New Roman" w:hAnsi="Times New Roman" w:cs="Times New Roman"/>
        </w:rPr>
      </w:pPr>
    </w:p>
    <w:p w14:paraId="52EA801A">
      <w:pPr>
        <w:rPr>
          <w:rFonts w:hint="default" w:ascii="Times New Roman" w:hAnsi="Times New Roman" w:cs="Times New Roman"/>
        </w:rPr>
      </w:pPr>
    </w:p>
    <w:p w14:paraId="7AE55A96">
      <w:pPr>
        <w:pStyle w:val="5"/>
        <w:rPr>
          <w:rFonts w:hint="default" w:ascii="Times New Roman" w:hAnsi="Times New Roman" w:cs="Times New Roman"/>
        </w:rPr>
      </w:pPr>
    </w:p>
    <w:p w14:paraId="05E86429">
      <w:pPr>
        <w:rPr>
          <w:rFonts w:hint="default" w:ascii="Times New Roman" w:hAnsi="Times New Roman" w:cs="Times New Roman"/>
        </w:rPr>
      </w:pPr>
    </w:p>
    <w:p w14:paraId="22C67D34">
      <w:pPr>
        <w:pStyle w:val="5"/>
        <w:rPr>
          <w:rFonts w:hint="default" w:ascii="Times New Roman" w:hAnsi="Times New Roman" w:cs="Times New Roman"/>
        </w:rPr>
      </w:pPr>
    </w:p>
    <w:p w14:paraId="23537502">
      <w:pPr>
        <w:rPr>
          <w:rFonts w:hint="default" w:ascii="Times New Roman" w:hAnsi="Times New Roman" w:cs="Times New Roman"/>
        </w:rPr>
      </w:pPr>
    </w:p>
    <w:p w14:paraId="7DA6A9B0">
      <w:pPr>
        <w:ind w:firstLine="320"/>
        <w:rPr>
          <w:rFonts w:hint="default" w:ascii="Times New Roman" w:hAnsi="Times New Roman" w:eastAsia="黑体" w:cs="Times New Roman"/>
          <w:sz w:val="32"/>
          <w:szCs w:val="32"/>
        </w:rPr>
        <w:sectPr>
          <w:pgSz w:w="11906" w:h="16838"/>
          <w:pgMar w:top="1418" w:right="1134" w:bottom="1134" w:left="1588" w:header="851" w:footer="992" w:gutter="0"/>
          <w:pgBorders>
            <w:top w:val="none" w:sz="0" w:space="0"/>
            <w:left w:val="none" w:sz="0" w:space="0"/>
            <w:bottom w:val="none" w:sz="0" w:space="0"/>
            <w:right w:val="none" w:sz="0" w:space="0"/>
          </w:pgBorders>
          <w:pgNumType w:fmt="decimal"/>
          <w:cols w:space="720" w:num="1"/>
          <w:docGrid w:type="lines" w:linePitch="326" w:charSpace="6144"/>
        </w:sectPr>
      </w:pPr>
      <w:bookmarkStart w:id="427" w:name="_Toc410311927"/>
      <w:bookmarkStart w:id="428" w:name="_Toc410312004"/>
      <w:bookmarkStart w:id="429" w:name="_Toc41246750"/>
    </w:p>
    <w:p w14:paraId="14F7B783">
      <w:pPr>
        <w:pStyle w:val="2"/>
        <w:keepNext w:val="0"/>
        <w:keepLines w:val="0"/>
        <w:pageBreakBefore/>
        <w:widowControl w:val="0"/>
        <w:numPr>
          <w:ilvl w:val="0"/>
          <w:numId w:val="0"/>
        </w:numPr>
        <w:kinsoku/>
        <w:wordWrap/>
        <w:overflowPunct/>
        <w:topLinePunct w:val="0"/>
        <w:autoSpaceDE/>
        <w:autoSpaceDN/>
        <w:bidi w:val="0"/>
        <w:adjustRightInd/>
        <w:snapToGrid/>
        <w:spacing w:before="469" w:beforeLines="150" w:after="469" w:afterLines="150" w:line="360" w:lineRule="auto"/>
        <w:ind w:leftChars="0"/>
        <w:jc w:val="center"/>
        <w:textAlignment w:val="auto"/>
        <w:rPr>
          <w:rFonts w:hint="default" w:ascii="Times New Roman" w:hAnsi="Times New Roman" w:eastAsia="黑体" w:cs="Times New Roman"/>
          <w:b/>
          <w:bCs w:val="0"/>
          <w:kern w:val="32"/>
          <w:sz w:val="32"/>
          <w:szCs w:val="32"/>
          <w:lang w:val="en-US" w:eastAsia="zh-CN"/>
        </w:rPr>
      </w:pPr>
      <w:bookmarkStart w:id="430" w:name="_Toc17097"/>
      <w:bookmarkStart w:id="431" w:name="_Toc6852"/>
      <w:r>
        <w:rPr>
          <w:rFonts w:hint="default" w:ascii="Times New Roman" w:hAnsi="Times New Roman" w:eastAsia="黑体" w:cs="Times New Roman"/>
          <w:b/>
          <w:bCs w:val="0"/>
          <w:kern w:val="32"/>
          <w:sz w:val="32"/>
          <w:szCs w:val="32"/>
          <w:lang w:val="en-US" w:eastAsia="zh-CN"/>
        </w:rPr>
        <w:t>附录F3</w:t>
      </w:r>
      <w:bookmarkEnd w:id="427"/>
      <w:bookmarkEnd w:id="428"/>
      <w:r>
        <w:rPr>
          <w:rFonts w:hint="default" w:ascii="Times New Roman" w:hAnsi="Times New Roman" w:eastAsia="黑体" w:cs="Times New Roman"/>
          <w:b/>
          <w:bCs w:val="0"/>
          <w:kern w:val="32"/>
          <w:sz w:val="32"/>
          <w:szCs w:val="32"/>
          <w:lang w:val="en-US" w:eastAsia="zh-CN"/>
        </w:rPr>
        <w:t>危险、有害</w:t>
      </w:r>
      <w:bookmarkEnd w:id="429"/>
      <w:r>
        <w:rPr>
          <w:rFonts w:hint="default" w:ascii="Times New Roman" w:hAnsi="Times New Roman" w:eastAsia="黑体" w:cs="Times New Roman"/>
          <w:b/>
          <w:bCs w:val="0"/>
          <w:kern w:val="32"/>
          <w:sz w:val="32"/>
          <w:szCs w:val="32"/>
          <w:lang w:val="en-US" w:eastAsia="zh-CN"/>
        </w:rPr>
        <w:t>因素分析</w:t>
      </w:r>
      <w:bookmarkEnd w:id="430"/>
      <w:bookmarkEnd w:id="431"/>
    </w:p>
    <w:p w14:paraId="595328AF">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32" w:name="_Toc410311929"/>
      <w:bookmarkStart w:id="433" w:name="_Toc410312006"/>
      <w:bookmarkStart w:id="434" w:name="_Toc274467308"/>
      <w:bookmarkStart w:id="435" w:name="_Toc278879242"/>
      <w:bookmarkStart w:id="436" w:name="_Toc374955639"/>
      <w:bookmarkStart w:id="437" w:name="_Toc41246751"/>
      <w:bookmarkStart w:id="438" w:name="_Toc25396"/>
      <w:bookmarkStart w:id="439" w:name="_Toc31070"/>
      <w:r>
        <w:rPr>
          <w:rFonts w:hint="default" w:ascii="Times New Roman" w:hAnsi="Times New Roman" w:eastAsia="楷体" w:cs="Times New Roman"/>
          <w:b/>
          <w:bCs/>
          <w:sz w:val="32"/>
          <w:szCs w:val="32"/>
          <w:lang w:val="en-US" w:eastAsia="zh-CN"/>
        </w:rPr>
        <w:t>F3.1</w:t>
      </w:r>
      <w:bookmarkEnd w:id="432"/>
      <w:bookmarkEnd w:id="433"/>
      <w:bookmarkEnd w:id="434"/>
      <w:bookmarkEnd w:id="435"/>
      <w:bookmarkEnd w:id="436"/>
      <w:r>
        <w:rPr>
          <w:rFonts w:hint="default" w:ascii="Times New Roman" w:hAnsi="Times New Roman" w:eastAsia="楷体" w:cs="Times New Roman"/>
          <w:b/>
          <w:bCs/>
          <w:sz w:val="32"/>
          <w:szCs w:val="32"/>
          <w:lang w:val="en-US" w:eastAsia="zh-CN"/>
        </w:rPr>
        <w:t>主要物料危险、有害因素</w:t>
      </w:r>
      <w:bookmarkEnd w:id="437"/>
      <w:bookmarkEnd w:id="438"/>
      <w:bookmarkEnd w:id="439"/>
    </w:p>
    <w:p w14:paraId="24B5DC42">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440" w:name="_Toc146488922"/>
      <w:bookmarkStart w:id="441" w:name="_Toc23568"/>
      <w:r>
        <w:rPr>
          <w:rFonts w:hint="default" w:ascii="Times New Roman" w:hAnsi="Times New Roman" w:eastAsia="黑体" w:cs="Times New Roman"/>
          <w:b/>
          <w:bCs/>
          <w:color w:val="auto"/>
          <w:sz w:val="28"/>
          <w:szCs w:val="32"/>
          <w:lang w:val="en-US" w:eastAsia="zh-CN"/>
        </w:rPr>
        <w:t>F3.1.1</w:t>
      </w:r>
      <w:bookmarkEnd w:id="440"/>
      <w:bookmarkEnd w:id="441"/>
      <w:r>
        <w:rPr>
          <w:rFonts w:hint="eastAsia" w:eastAsia="黑体" w:cs="Times New Roman"/>
          <w:b/>
          <w:bCs/>
          <w:color w:val="auto"/>
          <w:sz w:val="28"/>
          <w:szCs w:val="32"/>
          <w:lang w:val="en-US" w:eastAsia="zh-CN"/>
        </w:rPr>
        <w:t>乙醇汽油</w:t>
      </w:r>
    </w:p>
    <w:p w14:paraId="1D27008C">
      <w:pPr>
        <w:keepNext w:val="0"/>
        <w:keepLines w:val="0"/>
        <w:pageBreakBefore w:val="0"/>
        <w:widowControl w:val="0"/>
        <w:kinsoku/>
        <w:wordWrap/>
        <w:overflowPunct/>
        <w:topLinePunct w:val="0"/>
        <w:autoSpaceDE/>
        <w:autoSpaceDN/>
        <w:bidi w:val="0"/>
        <w:adjustRightInd/>
        <w:snapToGrid/>
        <w:spacing w:before="164" w:beforeLines="50" w:after="164" w:afterLines="50"/>
        <w:ind w:firstLine="0"/>
        <w:jc w:val="center"/>
        <w:textAlignment w:val="auto"/>
        <w:rPr>
          <w:rFonts w:hint="default" w:ascii="Times New Roman" w:hAnsi="Times New Roman" w:eastAsia="黑体" w:cs="Times New Roman"/>
          <w:b w:val="0"/>
          <w:bCs w:val="0"/>
          <w:sz w:val="24"/>
        </w:rPr>
      </w:pPr>
      <w:r>
        <w:rPr>
          <w:rFonts w:hint="default" w:ascii="Times New Roman" w:hAnsi="Times New Roman" w:eastAsia="黑体" w:cs="Times New Roman"/>
          <w:b w:val="0"/>
          <w:bCs w:val="0"/>
          <w:sz w:val="24"/>
        </w:rPr>
        <w:t>F表3</w:t>
      </w:r>
      <w:r>
        <w:rPr>
          <w:rFonts w:hint="default" w:ascii="Times New Roman" w:hAnsi="Times New Roman" w:eastAsia="黑体" w:cs="Times New Roman"/>
          <w:b w:val="0"/>
          <w:bCs w:val="0"/>
          <w:sz w:val="24"/>
          <w:lang w:val="en-US" w:eastAsia="zh-CN"/>
        </w:rPr>
        <w:t>.1</w:t>
      </w:r>
      <w:r>
        <w:rPr>
          <w:rFonts w:hint="default" w:ascii="Times New Roman" w:hAnsi="Times New Roman" w:eastAsia="黑体" w:cs="Times New Roman"/>
          <w:b w:val="0"/>
          <w:bCs w:val="0"/>
          <w:sz w:val="24"/>
        </w:rPr>
        <w:t xml:space="preserve">-1 </w:t>
      </w:r>
      <w:r>
        <w:rPr>
          <w:rFonts w:hint="eastAsia" w:eastAsia="黑体" w:cs="Times New Roman"/>
          <w:b w:val="0"/>
          <w:bCs w:val="0"/>
          <w:sz w:val="24"/>
          <w:lang w:eastAsia="zh-CN"/>
        </w:rPr>
        <w:t>乙醇汽油</w:t>
      </w:r>
      <w:r>
        <w:rPr>
          <w:rFonts w:hint="default" w:ascii="Times New Roman" w:hAnsi="Times New Roman" w:eastAsia="黑体" w:cs="Times New Roman"/>
          <w:b w:val="0"/>
          <w:bCs w:val="0"/>
          <w:sz w:val="24"/>
        </w:rPr>
        <w:t>的危险、有害识别表</w:t>
      </w:r>
    </w:p>
    <w:tbl>
      <w:tblPr>
        <w:tblStyle w:val="1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8625"/>
      </w:tblGrid>
      <w:tr w14:paraId="1B68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vAlign w:val="center"/>
          </w:tcPr>
          <w:p w14:paraId="57D285BA">
            <w:pPr>
              <w:adjustRightInd w:val="0"/>
              <w:snapToGrid w:val="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特别</w:t>
            </w:r>
          </w:p>
          <w:p w14:paraId="0AC3AF12">
            <w:pPr>
              <w:adjustRightInd w:val="0"/>
              <w:snapToGrid w:val="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警示</w:t>
            </w:r>
          </w:p>
        </w:tc>
        <w:tc>
          <w:tcPr>
            <w:tcW w:w="4588" w:type="pct"/>
            <w:vAlign w:val="center"/>
          </w:tcPr>
          <w:p w14:paraId="4370A842">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高度易燃液体；不得使用直流水扑救（用水灭火无效）。</w:t>
            </w:r>
          </w:p>
        </w:tc>
      </w:tr>
      <w:tr w14:paraId="7C54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vAlign w:val="center"/>
          </w:tcPr>
          <w:p w14:paraId="4E9FD6A1">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理</w:t>
            </w:r>
          </w:p>
          <w:p w14:paraId="2216E3FC">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化</w:t>
            </w:r>
          </w:p>
          <w:p w14:paraId="316D08FE">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特</w:t>
            </w:r>
          </w:p>
          <w:p w14:paraId="6BA86635">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性</w:t>
            </w:r>
          </w:p>
        </w:tc>
        <w:tc>
          <w:tcPr>
            <w:tcW w:w="4588" w:type="pct"/>
            <w:vAlign w:val="center"/>
          </w:tcPr>
          <w:p w14:paraId="211DADCE">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无色到浅黄色的透明液体。</w:t>
            </w:r>
          </w:p>
          <w:p w14:paraId="061ABC95">
            <w:pPr>
              <w:widowControl/>
              <w:adjustRightInd w:val="0"/>
              <w:snapToGrid w:val="0"/>
              <w:ind w:firstLine="220"/>
              <w:jc w:val="both"/>
              <w:rPr>
                <w:rFonts w:hint="default" w:ascii="Times New Roman" w:hAnsi="Times New Roman" w:cs="Times New Roman"/>
                <w:b w:val="0"/>
                <w:bCs/>
                <w:kern w:val="0"/>
                <w:sz w:val="21"/>
                <w:szCs w:val="21"/>
              </w:rPr>
            </w:pPr>
            <w:r>
              <w:rPr>
                <w:rFonts w:hint="eastAsia" w:cs="Times New Roman"/>
                <w:b w:val="0"/>
                <w:bCs/>
                <w:kern w:val="0"/>
                <w:sz w:val="21"/>
                <w:szCs w:val="21"/>
                <w:lang w:eastAsia="zh-CN"/>
              </w:rPr>
              <w:t>乙醇汽油</w:t>
            </w:r>
            <w:r>
              <w:rPr>
                <w:rFonts w:hint="default" w:ascii="Times New Roman" w:hAnsi="Times New Roman" w:cs="Times New Roman"/>
                <w:b w:val="0"/>
                <w:bCs/>
                <w:kern w:val="0"/>
                <w:sz w:val="21"/>
                <w:szCs w:val="21"/>
              </w:rPr>
              <w:t>理化性质：按研究法辛烷值(RON)分为92号、95号和98号三个牌号，相对密度（水=1）0.70～0.80，相对蒸气密度（空气=1）3～4，闪点-46℃，爆炸极限1.4～7.6%（体积比），自燃温度415～530℃，最大爆炸压力0.813MPa。</w:t>
            </w:r>
          </w:p>
          <w:p w14:paraId="55EA29F2">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主要用途：</w:t>
            </w:r>
            <w:r>
              <w:rPr>
                <w:rFonts w:hint="eastAsia" w:cs="Times New Roman"/>
                <w:b w:val="0"/>
                <w:bCs/>
                <w:kern w:val="0"/>
                <w:sz w:val="21"/>
                <w:szCs w:val="21"/>
                <w:lang w:val="en-US" w:eastAsia="zh-CN"/>
              </w:rPr>
              <w:t>乙醇</w:t>
            </w:r>
            <w:r>
              <w:rPr>
                <w:rFonts w:hint="default" w:ascii="Times New Roman" w:hAnsi="Times New Roman" w:cs="Times New Roman"/>
                <w:b w:val="0"/>
                <w:bCs/>
                <w:kern w:val="0"/>
                <w:sz w:val="21"/>
                <w:szCs w:val="21"/>
              </w:rPr>
              <w:t>汽油主要用作汽油机的燃料，可用于橡胶、制鞋、印刷、制革、颜料等行业,也可用作机械零件的去污剂。</w:t>
            </w:r>
          </w:p>
        </w:tc>
      </w:tr>
      <w:tr w14:paraId="7588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vAlign w:val="center"/>
          </w:tcPr>
          <w:p w14:paraId="0606D56E">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危</w:t>
            </w:r>
          </w:p>
          <w:p w14:paraId="0CD83B58">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害</w:t>
            </w:r>
          </w:p>
          <w:p w14:paraId="112CB807">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信</w:t>
            </w:r>
          </w:p>
          <w:p w14:paraId="4942DAD6">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息</w:t>
            </w:r>
          </w:p>
        </w:tc>
        <w:tc>
          <w:tcPr>
            <w:tcW w:w="4588" w:type="pct"/>
            <w:vAlign w:val="center"/>
          </w:tcPr>
          <w:p w14:paraId="2371F0F8">
            <w:pPr>
              <w:widowControl/>
              <w:adjustRightInd w:val="0"/>
              <w:snapToGrid w:val="0"/>
              <w:ind w:firstLine="24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【燃烧和爆炸危险性】</w:t>
            </w:r>
          </w:p>
          <w:p w14:paraId="044CE542">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高度易燃，蒸气与空气能形成爆炸性混合物，遇明火、高热能引起燃烧爆炸。高速冲击、流动、激荡后可因产生静电火花放电引起燃烧爆炸。蒸气比空气重，能在较低处扩散到相当远的地方，遇火源会着火回燃和爆炸。</w:t>
            </w:r>
          </w:p>
          <w:p w14:paraId="009CF729">
            <w:pPr>
              <w:widowControl/>
              <w:adjustRightInd w:val="0"/>
              <w:snapToGrid w:val="0"/>
              <w:ind w:firstLine="24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【健康危害】</w:t>
            </w:r>
          </w:p>
          <w:p w14:paraId="1208D355">
            <w:pPr>
              <w:widowControl/>
              <w:adjustRightInd w:val="0"/>
              <w:snapToGrid w:val="0"/>
              <w:ind w:firstLine="220"/>
              <w:jc w:val="both"/>
              <w:rPr>
                <w:rFonts w:hint="default" w:ascii="Times New Roman" w:hAnsi="Times New Roman" w:cs="Times New Roman"/>
                <w:b w:val="0"/>
                <w:bCs/>
                <w:kern w:val="0"/>
                <w:sz w:val="21"/>
                <w:szCs w:val="21"/>
              </w:rPr>
            </w:pPr>
            <w:r>
              <w:rPr>
                <w:rFonts w:hint="eastAsia" w:cs="Times New Roman"/>
                <w:b w:val="0"/>
                <w:bCs/>
                <w:kern w:val="0"/>
                <w:sz w:val="21"/>
                <w:szCs w:val="21"/>
                <w:lang w:val="en-US" w:eastAsia="zh-CN"/>
              </w:rPr>
              <w:t>乙醇</w:t>
            </w:r>
            <w:r>
              <w:rPr>
                <w:rFonts w:hint="default" w:ascii="Times New Roman" w:hAnsi="Times New Roman" w:cs="Times New Roman"/>
                <w:b w:val="0"/>
                <w:bCs/>
                <w:kern w:val="0"/>
                <w:sz w:val="21"/>
                <w:szCs w:val="21"/>
              </w:rPr>
              <w:t>汽油为麻醉性毒物，高浓度吸入出现中毒性脑病，极高浓度吸入引起意识突然丧失、反射性呼吸停止。误将</w:t>
            </w:r>
            <w:r>
              <w:rPr>
                <w:rFonts w:hint="eastAsia" w:cs="Times New Roman"/>
                <w:b w:val="0"/>
                <w:bCs/>
                <w:kern w:val="0"/>
                <w:sz w:val="21"/>
                <w:szCs w:val="21"/>
                <w:lang w:val="en-US" w:eastAsia="zh-CN"/>
              </w:rPr>
              <w:t>乙醇</w:t>
            </w:r>
            <w:r>
              <w:rPr>
                <w:rFonts w:hint="default" w:ascii="Times New Roman" w:hAnsi="Times New Roman" w:cs="Times New Roman"/>
                <w:b w:val="0"/>
                <w:bCs/>
                <w:kern w:val="0"/>
                <w:sz w:val="21"/>
                <w:szCs w:val="21"/>
              </w:rPr>
              <w:t>汽油吸入呼吸道可引起吸入性肺炎。</w:t>
            </w:r>
          </w:p>
          <w:p w14:paraId="26677348">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职业接触限值：PC-TWA(时间加权平均容许浓度)(mg/m</w:t>
            </w:r>
            <w:r>
              <w:rPr>
                <w:rFonts w:hint="default" w:ascii="Times New Roman" w:hAnsi="Times New Roman" w:cs="Times New Roman"/>
                <w:b w:val="0"/>
                <w:bCs/>
                <w:kern w:val="0"/>
                <w:sz w:val="21"/>
                <w:szCs w:val="21"/>
                <w:vertAlign w:val="superscript"/>
              </w:rPr>
              <w:t>3</w:t>
            </w:r>
            <w:r>
              <w:rPr>
                <w:rFonts w:hint="default" w:ascii="Times New Roman" w:hAnsi="Times New Roman" w:cs="Times New Roman"/>
                <w:b w:val="0"/>
                <w:bCs/>
                <w:kern w:val="0"/>
                <w:sz w:val="21"/>
                <w:szCs w:val="21"/>
              </w:rPr>
              <w:t>):300。</w:t>
            </w:r>
          </w:p>
        </w:tc>
      </w:tr>
      <w:tr w14:paraId="674F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vAlign w:val="center"/>
          </w:tcPr>
          <w:p w14:paraId="6DF2CE3A">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安</w:t>
            </w:r>
          </w:p>
          <w:p w14:paraId="446C3985">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全</w:t>
            </w:r>
          </w:p>
          <w:p w14:paraId="09226DB6">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措</w:t>
            </w:r>
          </w:p>
          <w:p w14:paraId="56711E2D">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施</w:t>
            </w:r>
          </w:p>
        </w:tc>
        <w:tc>
          <w:tcPr>
            <w:tcW w:w="4588" w:type="pct"/>
            <w:vAlign w:val="center"/>
          </w:tcPr>
          <w:p w14:paraId="236A626A">
            <w:pPr>
              <w:widowControl/>
              <w:adjustRightInd w:val="0"/>
              <w:snapToGrid w:val="0"/>
              <w:ind w:firstLine="24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【一般要求】</w:t>
            </w:r>
          </w:p>
          <w:p w14:paraId="4A009B91">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操作人员必须经过专门培训，严格遵守操作规程，熟练掌握操作技能，具备应急处置知识。</w:t>
            </w:r>
          </w:p>
          <w:p w14:paraId="1D7231C5">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密闭操作，防止泄漏，工作场所全面通风。远离火种、热源，工作场所严禁吸烟。配备易燃气体泄漏监测报警仪，使用防爆型通风系统和设备，配备两套以上重型防护服。操作人员穿防静电工作服，戴耐油橡胶手套。</w:t>
            </w:r>
          </w:p>
          <w:p w14:paraId="5D924788">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储罐等容器和设备应设置液位计、温度计，并应装有带液位、温度远传记录和报警功能的安全装置。</w:t>
            </w:r>
          </w:p>
          <w:p w14:paraId="36E16C10">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避免与氧化剂接触。</w:t>
            </w:r>
          </w:p>
          <w:p w14:paraId="5E6F79FE">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生产、储存区域应设置安全警示标志。灌装时应控制流速，且有接地装置，防止静电积聚。搬运时要轻装轻卸，防止包装及容器损坏。配备相应品种和数量的消防器材及泄漏应急处理设备。</w:t>
            </w:r>
          </w:p>
          <w:p w14:paraId="5F9B69D1">
            <w:pPr>
              <w:widowControl/>
              <w:adjustRightInd w:val="0"/>
              <w:snapToGrid w:val="0"/>
              <w:ind w:firstLine="24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【特殊要求】</w:t>
            </w:r>
          </w:p>
          <w:p w14:paraId="6C912CF6">
            <w:pPr>
              <w:widowControl/>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【操作安全】</w:t>
            </w:r>
          </w:p>
          <w:p w14:paraId="43250EB4">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（1）油罐及贮存桶装</w:t>
            </w:r>
            <w:r>
              <w:rPr>
                <w:rFonts w:hint="eastAsia" w:cs="Times New Roman"/>
                <w:b w:val="0"/>
                <w:bCs/>
                <w:kern w:val="0"/>
                <w:sz w:val="21"/>
                <w:szCs w:val="21"/>
                <w:lang w:val="en-US" w:eastAsia="zh-CN"/>
              </w:rPr>
              <w:t>乙醇</w:t>
            </w:r>
            <w:r>
              <w:rPr>
                <w:rFonts w:hint="default" w:ascii="Times New Roman" w:hAnsi="Times New Roman" w:cs="Times New Roman"/>
                <w:b w:val="0"/>
                <w:bCs/>
                <w:kern w:val="0"/>
                <w:sz w:val="21"/>
                <w:szCs w:val="21"/>
              </w:rPr>
              <w:t>汽油附近要严禁烟火。禁止将</w:t>
            </w:r>
            <w:r>
              <w:rPr>
                <w:rFonts w:hint="eastAsia" w:cs="Times New Roman"/>
                <w:b w:val="0"/>
                <w:bCs/>
                <w:kern w:val="0"/>
                <w:sz w:val="21"/>
                <w:szCs w:val="21"/>
                <w:lang w:val="en-US" w:eastAsia="zh-CN"/>
              </w:rPr>
              <w:t>乙醇</w:t>
            </w:r>
            <w:r>
              <w:rPr>
                <w:rFonts w:hint="default" w:ascii="Times New Roman" w:hAnsi="Times New Roman" w:cs="Times New Roman"/>
                <w:b w:val="0"/>
                <w:bCs/>
                <w:kern w:val="0"/>
                <w:sz w:val="21"/>
                <w:szCs w:val="21"/>
              </w:rPr>
              <w:t>汽油与其他易燃物放在一起。</w:t>
            </w:r>
          </w:p>
          <w:p w14:paraId="567211EA">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2）往油罐或油罐汽车装油时，输油管要插入油面以下或接近罐的底部，以减少油料的冲击和与空气的摩擦。沾油料的布、油棉纱头、油手套等不要放在油库、车库内，以免自燃。不要用铁器工具敲击桶，特别是空</w:t>
            </w:r>
            <w:r>
              <w:rPr>
                <w:rFonts w:hint="eastAsia" w:cs="Times New Roman"/>
                <w:b w:val="0"/>
                <w:bCs/>
                <w:kern w:val="0"/>
                <w:sz w:val="21"/>
                <w:szCs w:val="21"/>
                <w:lang w:val="en-US" w:eastAsia="zh-CN"/>
              </w:rPr>
              <w:t>乙醇</w:t>
            </w:r>
            <w:r>
              <w:rPr>
                <w:rFonts w:hint="default" w:ascii="Times New Roman" w:hAnsi="Times New Roman" w:cs="Times New Roman"/>
                <w:b w:val="0"/>
                <w:bCs/>
                <w:kern w:val="0"/>
                <w:sz w:val="21"/>
                <w:szCs w:val="21"/>
              </w:rPr>
              <w:t>汽油桶更危险。因为桶内充满</w:t>
            </w:r>
            <w:r>
              <w:rPr>
                <w:rFonts w:hint="eastAsia" w:cs="Times New Roman"/>
                <w:b w:val="0"/>
                <w:bCs/>
                <w:kern w:val="0"/>
                <w:sz w:val="21"/>
                <w:szCs w:val="21"/>
                <w:lang w:eastAsia="zh-CN"/>
              </w:rPr>
              <w:t>乙醇汽油</w:t>
            </w:r>
            <w:r>
              <w:rPr>
                <w:rFonts w:hint="default" w:ascii="Times New Roman" w:hAnsi="Times New Roman" w:cs="Times New Roman"/>
                <w:b w:val="0"/>
                <w:bCs/>
                <w:kern w:val="0"/>
                <w:sz w:val="21"/>
                <w:szCs w:val="21"/>
              </w:rPr>
              <w:t>与空气的混合气，而且经常处于爆炸极限之内，一遇明火，就能引起爆炸。</w:t>
            </w:r>
          </w:p>
          <w:p w14:paraId="72DA6138">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（3）当进行灌装</w:t>
            </w:r>
            <w:r>
              <w:rPr>
                <w:rFonts w:hint="eastAsia" w:cs="Times New Roman"/>
                <w:b w:val="0"/>
                <w:bCs/>
                <w:kern w:val="0"/>
                <w:sz w:val="21"/>
                <w:szCs w:val="21"/>
                <w:lang w:eastAsia="zh-CN"/>
              </w:rPr>
              <w:t>乙醇汽油</w:t>
            </w:r>
            <w:r>
              <w:rPr>
                <w:rFonts w:hint="default" w:ascii="Times New Roman" w:hAnsi="Times New Roman" w:cs="Times New Roman"/>
                <w:b w:val="0"/>
                <w:bCs/>
                <w:kern w:val="0"/>
                <w:sz w:val="21"/>
                <w:szCs w:val="21"/>
              </w:rPr>
              <w:t>时，邻近的汽车、拖拉机的排气管要戴上防火帽后才能发动，存</w:t>
            </w:r>
            <w:r>
              <w:rPr>
                <w:rFonts w:hint="eastAsia" w:cs="Times New Roman"/>
                <w:b w:val="0"/>
                <w:bCs/>
                <w:kern w:val="0"/>
                <w:sz w:val="21"/>
                <w:szCs w:val="21"/>
                <w:lang w:eastAsia="zh-CN"/>
              </w:rPr>
              <w:t>乙醇汽油</w:t>
            </w:r>
            <w:r>
              <w:rPr>
                <w:rFonts w:hint="default" w:ascii="Times New Roman" w:hAnsi="Times New Roman" w:cs="Times New Roman"/>
                <w:b w:val="0"/>
                <w:bCs/>
                <w:kern w:val="0"/>
                <w:sz w:val="21"/>
                <w:szCs w:val="21"/>
              </w:rPr>
              <w:t>地点附近严禁检修车辆。</w:t>
            </w:r>
          </w:p>
          <w:p w14:paraId="3F0C359D">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（4）</w:t>
            </w:r>
            <w:r>
              <w:rPr>
                <w:rFonts w:hint="eastAsia" w:cs="Times New Roman"/>
                <w:b w:val="0"/>
                <w:bCs/>
                <w:kern w:val="0"/>
                <w:sz w:val="21"/>
                <w:szCs w:val="21"/>
                <w:lang w:eastAsia="zh-CN"/>
              </w:rPr>
              <w:t>乙醇汽油</w:t>
            </w:r>
            <w:r>
              <w:rPr>
                <w:rFonts w:hint="default" w:ascii="Times New Roman" w:hAnsi="Times New Roman" w:cs="Times New Roman"/>
                <w:b w:val="0"/>
                <w:bCs/>
                <w:kern w:val="0"/>
                <w:sz w:val="21"/>
                <w:szCs w:val="21"/>
              </w:rPr>
              <w:t>油罐和贮存</w:t>
            </w:r>
            <w:r>
              <w:rPr>
                <w:rFonts w:hint="eastAsia" w:cs="Times New Roman"/>
                <w:b w:val="0"/>
                <w:bCs/>
                <w:kern w:val="0"/>
                <w:sz w:val="21"/>
                <w:szCs w:val="21"/>
                <w:lang w:eastAsia="zh-CN"/>
              </w:rPr>
              <w:t>乙醇汽油</w:t>
            </w:r>
            <w:r>
              <w:rPr>
                <w:rFonts w:hint="default" w:ascii="Times New Roman" w:hAnsi="Times New Roman" w:cs="Times New Roman"/>
                <w:b w:val="0"/>
                <w:bCs/>
                <w:kern w:val="0"/>
                <w:sz w:val="21"/>
                <w:szCs w:val="21"/>
              </w:rPr>
              <w:t>区的上空，不应有电线通过。油罐、库房与电线的距离要为电杆长度的1.5倍以上。</w:t>
            </w:r>
          </w:p>
          <w:p w14:paraId="069D9222">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（5）注意仓库及操作场所的通风，使油蒸气容易逸散。</w:t>
            </w:r>
          </w:p>
          <w:p w14:paraId="3E6BBC01">
            <w:pPr>
              <w:adjustRightInd w:val="0"/>
              <w:snapToGrid w:val="0"/>
              <w:ind w:firstLine="24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【储存安全】</w:t>
            </w:r>
          </w:p>
          <w:p w14:paraId="26D95FB2">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（1）储存于阴凉、通风的库房。远离火种、热源。库房温度不宜超过30℃。炎热季节应采取喷淋、通风等降温措施。</w:t>
            </w:r>
          </w:p>
          <w:p w14:paraId="5FEFE7D0">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（2）应与氧化剂分开存放，切忌混储。用储罐、铁桶等容器盛装，不要用塑料桶来存放</w:t>
            </w:r>
            <w:r>
              <w:rPr>
                <w:rFonts w:hint="eastAsia" w:cs="Times New Roman"/>
                <w:b w:val="0"/>
                <w:bCs/>
                <w:kern w:val="0"/>
                <w:sz w:val="21"/>
                <w:szCs w:val="21"/>
                <w:lang w:eastAsia="zh-CN"/>
              </w:rPr>
              <w:t>乙醇汽油</w:t>
            </w:r>
            <w:r>
              <w:rPr>
                <w:rFonts w:hint="default" w:ascii="Times New Roman" w:hAnsi="Times New Roman" w:cs="Times New Roman"/>
                <w:b w:val="0"/>
                <w:bCs/>
                <w:kern w:val="0"/>
                <w:sz w:val="21"/>
                <w:szCs w:val="21"/>
              </w:rPr>
              <w:t>。盛装时，切不可充满，要留出必要的安全空间。</w:t>
            </w:r>
          </w:p>
          <w:p w14:paraId="0819988B">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（3）采用防爆型照明、通风设施。禁止使用易产生火花的机械设备和工具。储存区应备有泄漏应急处理设备和合适的收容材料。罐储时要有防火防爆技术措施。对于1000m</w:t>
            </w:r>
            <w:r>
              <w:rPr>
                <w:rFonts w:hint="default" w:ascii="Times New Roman" w:hAnsi="Times New Roman" w:cs="Times New Roman"/>
                <w:b w:val="0"/>
                <w:bCs/>
                <w:kern w:val="0"/>
                <w:sz w:val="21"/>
                <w:szCs w:val="21"/>
                <w:vertAlign w:val="superscript"/>
              </w:rPr>
              <w:t>3</w:t>
            </w:r>
            <w:r>
              <w:rPr>
                <w:rFonts w:hint="default" w:ascii="Times New Roman" w:hAnsi="Times New Roman" w:cs="Times New Roman"/>
                <w:b w:val="0"/>
                <w:bCs/>
                <w:kern w:val="0"/>
                <w:sz w:val="21"/>
                <w:szCs w:val="21"/>
              </w:rPr>
              <w:t>及以上的储罐顶部应有泡沫灭火设施等。</w:t>
            </w:r>
          </w:p>
        </w:tc>
      </w:tr>
      <w:tr w14:paraId="67B1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vAlign w:val="center"/>
          </w:tcPr>
          <w:p w14:paraId="47653788">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应</w:t>
            </w:r>
          </w:p>
          <w:p w14:paraId="5D476215">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急</w:t>
            </w:r>
          </w:p>
          <w:p w14:paraId="43150A0A">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处</w:t>
            </w:r>
          </w:p>
          <w:p w14:paraId="79C30CE5">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置</w:t>
            </w:r>
          </w:p>
          <w:p w14:paraId="32869A02">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原</w:t>
            </w:r>
          </w:p>
          <w:p w14:paraId="02398ECF">
            <w:pPr>
              <w:adjustRightInd w:val="0"/>
              <w:snapToGrid w:val="0"/>
              <w:ind w:firstLine="241"/>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则</w:t>
            </w:r>
          </w:p>
        </w:tc>
        <w:tc>
          <w:tcPr>
            <w:tcW w:w="4588" w:type="pct"/>
            <w:vAlign w:val="center"/>
          </w:tcPr>
          <w:p w14:paraId="365D9F5D">
            <w:pPr>
              <w:spacing w:line="360" w:lineRule="auto"/>
              <w:ind w:firstLine="24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【急救措施】</w:t>
            </w:r>
          </w:p>
          <w:p w14:paraId="3F1C07DF">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吸入：迅速脱离现场至空气新鲜处。保持呼吸道通畅。如呼吸困难，给氧。如呼吸停止，立即进行人工呼吸。就医。</w:t>
            </w:r>
          </w:p>
          <w:p w14:paraId="553B1889">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食入：给饮牛奶或用植物油洗胃和灌肠。就医。</w:t>
            </w:r>
          </w:p>
          <w:p w14:paraId="66C4846D">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皮肤接触：立即脱去污染的衣着，用肥皂水和清水彻底冲洗皮肤。就医。</w:t>
            </w:r>
          </w:p>
          <w:p w14:paraId="5592DE87">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眼睛接触：立即提起眼睑，用大量流动清水或生理盐水彻底冲洗至少15分钟。就医。</w:t>
            </w:r>
          </w:p>
          <w:p w14:paraId="40BDE94C">
            <w:pPr>
              <w:spacing w:line="360" w:lineRule="auto"/>
              <w:ind w:firstLine="24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【灭火方法】</w:t>
            </w:r>
          </w:p>
          <w:p w14:paraId="7F8F82AE">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喷水冷却容器，尽可能将容器从火场移至空旷处。</w:t>
            </w:r>
          </w:p>
          <w:p w14:paraId="0B8FD0BE">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灭火剂：泡沫、干粉、二氧化碳。用水灭火无效。</w:t>
            </w:r>
          </w:p>
          <w:p w14:paraId="37CB53DC">
            <w:pPr>
              <w:spacing w:line="360" w:lineRule="auto"/>
              <w:ind w:firstLine="24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【泄漏应急处置】</w:t>
            </w:r>
          </w:p>
          <w:p w14:paraId="4F336D59">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小量泄漏：用砂土或其它不燃材料吸收。使用洁净的无火花工具收集吸收材料。大量泄漏：构筑围堤或挖坑收容。用泡沫覆盖，减少蒸发。喷水雾能减少蒸发，但不能降低泄漏物在受限制空间内的易燃性。用防爆泵转移至槽车或专用收集器内。</w:t>
            </w:r>
          </w:p>
          <w:p w14:paraId="53FA0752">
            <w:pPr>
              <w:widowControl/>
              <w:adjustRightInd w:val="0"/>
              <w:snapToGrid w:val="0"/>
              <w:ind w:firstLine="220"/>
              <w:jc w:val="both"/>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作为一项紧急预防措施，泄漏隔离距离至少为50m。如果为大量泄漏，下风向的初始疏散距离应至少为300m。</w:t>
            </w:r>
          </w:p>
        </w:tc>
      </w:tr>
    </w:tbl>
    <w:p w14:paraId="3DE19A22">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442" w:name="_Toc26644"/>
      <w:bookmarkStart w:id="443" w:name="_Toc146488923"/>
      <w:r>
        <w:rPr>
          <w:rFonts w:hint="default" w:ascii="Times New Roman" w:hAnsi="Times New Roman" w:eastAsia="黑体" w:cs="Times New Roman"/>
          <w:b/>
          <w:bCs/>
          <w:color w:val="auto"/>
          <w:sz w:val="28"/>
          <w:szCs w:val="32"/>
          <w:lang w:val="en-US" w:eastAsia="zh-CN"/>
        </w:rPr>
        <w:t>F3.1.2柴油</w:t>
      </w:r>
      <w:bookmarkEnd w:id="442"/>
      <w:bookmarkEnd w:id="443"/>
    </w:p>
    <w:p w14:paraId="679F9CA4">
      <w:pPr>
        <w:keepNext w:val="0"/>
        <w:keepLines w:val="0"/>
        <w:pageBreakBefore w:val="0"/>
        <w:widowControl w:val="0"/>
        <w:kinsoku/>
        <w:wordWrap/>
        <w:overflowPunct/>
        <w:topLinePunct w:val="0"/>
        <w:autoSpaceDE/>
        <w:autoSpaceDN/>
        <w:bidi w:val="0"/>
        <w:adjustRightInd/>
        <w:snapToGrid/>
        <w:spacing w:before="164" w:beforeLines="50" w:after="164" w:afterLines="50"/>
        <w:ind w:firstLine="0"/>
        <w:jc w:val="center"/>
        <w:textAlignment w:val="auto"/>
        <w:rPr>
          <w:rFonts w:hint="default" w:ascii="Times New Roman" w:hAnsi="Times New Roman" w:eastAsia="黑体" w:cs="Times New Roman"/>
          <w:b w:val="0"/>
          <w:bCs w:val="0"/>
          <w:sz w:val="24"/>
        </w:rPr>
      </w:pPr>
      <w:r>
        <w:rPr>
          <w:rFonts w:hint="default" w:ascii="Times New Roman" w:hAnsi="Times New Roman" w:eastAsia="黑体" w:cs="Times New Roman"/>
          <w:b w:val="0"/>
          <w:bCs w:val="0"/>
          <w:sz w:val="24"/>
        </w:rPr>
        <w:t>F表3</w:t>
      </w:r>
      <w:r>
        <w:rPr>
          <w:rFonts w:hint="eastAsia" w:ascii="Times New Roman" w:hAnsi="Times New Roman" w:eastAsia="黑体" w:cs="Times New Roman"/>
          <w:b w:val="0"/>
          <w:bCs w:val="0"/>
          <w:sz w:val="24"/>
          <w:lang w:val="en-US" w:eastAsia="zh-CN"/>
        </w:rPr>
        <w:t>.1</w:t>
      </w:r>
      <w:r>
        <w:rPr>
          <w:rFonts w:hint="default" w:ascii="Times New Roman" w:hAnsi="Times New Roman" w:eastAsia="黑体" w:cs="Times New Roman"/>
          <w:b w:val="0"/>
          <w:bCs w:val="0"/>
          <w:sz w:val="24"/>
        </w:rPr>
        <w:t>-2柴油的危险、有害识别表</w:t>
      </w:r>
    </w:p>
    <w:tbl>
      <w:tblPr>
        <w:tblStyle w:val="1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8622"/>
      </w:tblGrid>
      <w:tr w14:paraId="0A2A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080C8435">
            <w:pPr>
              <w:adjustRightInd w:val="0"/>
              <w:snapToGrid w:val="0"/>
              <w:jc w:val="center"/>
              <w:rPr>
                <w:rFonts w:hint="default" w:ascii="Times New Roman" w:hAnsi="Times New Roman" w:cs="Times New Roman"/>
                <w:b w:val="0"/>
                <w:bCs/>
                <w:kern w:val="0"/>
                <w:sz w:val="21"/>
                <w:szCs w:val="21"/>
              </w:rPr>
            </w:pPr>
            <w:bookmarkStart w:id="444" w:name="_Toc41246752"/>
            <w:bookmarkStart w:id="445" w:name="_Toc410312007"/>
            <w:bookmarkStart w:id="446" w:name="_Toc410311930"/>
            <w:r>
              <w:rPr>
                <w:rFonts w:hint="default" w:ascii="Times New Roman" w:hAnsi="Times New Roman" w:cs="Times New Roman"/>
                <w:b w:val="0"/>
                <w:bCs/>
                <w:kern w:val="0"/>
                <w:sz w:val="21"/>
                <w:szCs w:val="21"/>
              </w:rPr>
              <w:t>特别警示</w:t>
            </w:r>
          </w:p>
        </w:tc>
        <w:tc>
          <w:tcPr>
            <w:tcW w:w="4586" w:type="pct"/>
          </w:tcPr>
          <w:p w14:paraId="155422FD">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该物质对环境有危害，建议不要让其进入环境。对水体和大气可造成污染，破坏水生生物呼吸系统。对海藻应给予特别注意。</w:t>
            </w:r>
          </w:p>
        </w:tc>
      </w:tr>
      <w:tr w14:paraId="043C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54748D80">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理</w:t>
            </w:r>
          </w:p>
          <w:p w14:paraId="6DCB3E32">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化</w:t>
            </w:r>
          </w:p>
          <w:p w14:paraId="6E2E0802">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特</w:t>
            </w:r>
          </w:p>
          <w:p w14:paraId="781351C0">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性</w:t>
            </w:r>
          </w:p>
        </w:tc>
        <w:tc>
          <w:tcPr>
            <w:tcW w:w="4586" w:type="pct"/>
          </w:tcPr>
          <w:p w14:paraId="4A0B5F5A">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稍有粘性的棕色液体。</w:t>
            </w:r>
          </w:p>
          <w:p w14:paraId="4311F3D0">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相对密度（水=1）0.79～0.85，闪点（闭口）（℃）：其中5号、0号、-10号柴油的闪点不低于60℃；-20号柴油闪点不低于50℃；-35号、-50号柴油的闪点不低于45℃，沸点282-338℃，引燃温度257℃。</w:t>
            </w:r>
          </w:p>
          <w:p w14:paraId="5879F9A7">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主要用途：柴油主要用作柴油机的燃料。</w:t>
            </w:r>
          </w:p>
        </w:tc>
      </w:tr>
      <w:tr w14:paraId="61D49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77828018">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危</w:t>
            </w:r>
          </w:p>
          <w:p w14:paraId="68152B00">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害</w:t>
            </w:r>
          </w:p>
          <w:p w14:paraId="2799CCD4">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信</w:t>
            </w:r>
          </w:p>
          <w:p w14:paraId="42302495">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息</w:t>
            </w:r>
          </w:p>
        </w:tc>
        <w:tc>
          <w:tcPr>
            <w:tcW w:w="4586" w:type="pct"/>
          </w:tcPr>
          <w:p w14:paraId="0529F9D0">
            <w:pPr>
              <w:widowControl/>
              <w:adjustRightInd w:val="0"/>
              <w:snapToGrid w:val="0"/>
              <w:ind w:firstLine="24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【燃烧和爆炸危险性】</w:t>
            </w:r>
          </w:p>
          <w:p w14:paraId="0AA7399C">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本品易燃，具刺激性。遇明火、高热或与氧化剂接触，有引起燃烧爆炸的危险。若遇高热，容器内压增大，有开裂和爆炸的危险。</w:t>
            </w:r>
          </w:p>
          <w:p w14:paraId="0B4D0ED4">
            <w:pPr>
              <w:widowControl/>
              <w:adjustRightInd w:val="0"/>
              <w:snapToGrid w:val="0"/>
              <w:ind w:firstLine="24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【健康危害】</w:t>
            </w:r>
          </w:p>
          <w:p w14:paraId="60438EF9">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皮肤接触可为主要吸收途径，可致急性肾脏损害。柴油可引起接触性皮炎、油性痤疮。吸入其雾滴或液体呛入可引起吸入性肺炎。能经胎盘进入胎儿血中。柴油废气可引起眼、鼻刺激症状，头晕及头痛。</w:t>
            </w:r>
          </w:p>
        </w:tc>
      </w:tr>
      <w:tr w14:paraId="3C34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2C42D1F6">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安</w:t>
            </w:r>
          </w:p>
          <w:p w14:paraId="0558440A">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全</w:t>
            </w:r>
          </w:p>
          <w:p w14:paraId="56266326">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措</w:t>
            </w:r>
          </w:p>
          <w:p w14:paraId="4BBCD180">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施</w:t>
            </w:r>
          </w:p>
        </w:tc>
        <w:tc>
          <w:tcPr>
            <w:tcW w:w="4586" w:type="pct"/>
          </w:tcPr>
          <w:p w14:paraId="7AA50D2F">
            <w:pPr>
              <w:widowControl/>
              <w:adjustRightInd w:val="0"/>
              <w:snapToGrid w:val="0"/>
              <w:ind w:firstLine="24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【一般要求】</w:t>
            </w:r>
          </w:p>
          <w:p w14:paraId="53F6ADAB">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p w14:paraId="69D4B3C1">
            <w:pPr>
              <w:adjustRightInd w:val="0"/>
              <w:snapToGrid w:val="0"/>
              <w:ind w:firstLine="24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【储存安全】</w:t>
            </w:r>
          </w:p>
          <w:p w14:paraId="3BDCA4FE">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储存于阴凉、通风的库房。远离火种、热源。应与氧化剂、卤素分开存放，切忌混储。采用防爆型照明、通风设施。禁止使用易产生火花的机械设备和工具。储区应备有泄漏应急处理设备和合适的收容材料。</w:t>
            </w:r>
          </w:p>
        </w:tc>
      </w:tr>
      <w:tr w14:paraId="6C9C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0A0656EE">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应</w:t>
            </w:r>
          </w:p>
          <w:p w14:paraId="6D665C90">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急</w:t>
            </w:r>
          </w:p>
          <w:p w14:paraId="7DBA6B76">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处</w:t>
            </w:r>
          </w:p>
          <w:p w14:paraId="6E160E7D">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置</w:t>
            </w:r>
          </w:p>
          <w:p w14:paraId="04733099">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原</w:t>
            </w:r>
          </w:p>
          <w:p w14:paraId="3B49ACF7">
            <w:pPr>
              <w:adjustRightInd w:val="0"/>
              <w:snapToGrid w:val="0"/>
              <w:jc w:val="center"/>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则</w:t>
            </w:r>
          </w:p>
        </w:tc>
        <w:tc>
          <w:tcPr>
            <w:tcW w:w="4586" w:type="pct"/>
          </w:tcPr>
          <w:p w14:paraId="394952F9">
            <w:pPr>
              <w:spacing w:line="360" w:lineRule="auto"/>
              <w:ind w:firstLine="24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【急救措施】</w:t>
            </w:r>
          </w:p>
          <w:p w14:paraId="5496745A">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吸入：迅速脱离现场至空气新鲜处。保持呼吸道通畅。如呼吸困难，给输氧。如呼吸停止，立即进行人工呼吸。就医。</w:t>
            </w:r>
          </w:p>
          <w:p w14:paraId="59D1D31D">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食入：尽快彻底洗胃。就医。</w:t>
            </w:r>
          </w:p>
          <w:p w14:paraId="7FAA0A3C">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皮肤接触：立即脱去污染的衣着，用肥皂水和清水彻底冲洗皮肤。就医。</w:t>
            </w:r>
          </w:p>
          <w:p w14:paraId="1F389912">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眼睛接触：提起眼睑，用流动清水或生理盐水冲洗。就医。</w:t>
            </w:r>
          </w:p>
          <w:p w14:paraId="0D0F4D97">
            <w:pPr>
              <w:spacing w:line="360" w:lineRule="auto"/>
              <w:ind w:firstLine="24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【灭火方法】</w:t>
            </w:r>
          </w:p>
          <w:p w14:paraId="3E7742CB">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7B3179D2">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灭火剂：雾状水、泡沫、干粉、二氧化碳、砂土。</w:t>
            </w:r>
          </w:p>
          <w:p w14:paraId="4B19C4F8">
            <w:pPr>
              <w:spacing w:line="360" w:lineRule="auto"/>
              <w:ind w:firstLine="24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【泄漏应急处置】</w:t>
            </w:r>
          </w:p>
          <w:p w14:paraId="79AD148A">
            <w:pPr>
              <w:widowControl/>
              <w:adjustRightInd w:val="0"/>
              <w:snapToGrid w:val="0"/>
              <w:ind w:firstLine="220"/>
              <w:rPr>
                <w:rFonts w:hint="default" w:ascii="Times New Roman" w:hAnsi="Times New Roman" w:cs="Times New Roman"/>
                <w:b w:val="0"/>
                <w:bCs/>
                <w:kern w:val="0"/>
                <w:sz w:val="21"/>
                <w:szCs w:val="21"/>
              </w:rPr>
            </w:pPr>
            <w:r>
              <w:rPr>
                <w:rFonts w:hint="default" w:ascii="Times New Roman" w:hAnsi="Times New Roman" w:cs="Times New Roman"/>
                <w:b w:val="0"/>
                <w:bCs/>
                <w:kern w:val="0"/>
                <w:sz w:val="21"/>
                <w:szCs w:val="21"/>
              </w:rPr>
              <w:t>迅速撤离泄漏污染区人员至安全区，并进行隔离，严格限制出入。切断火源。建议应急处理人员戴自给正压式呼吸器，穿一般作业工作服。尽可能切断泄漏源。防止流入下水道、排洪沟等限制性空间。小量泄漏：用活性炭或其它惰性材料吸收。大量泄漏：构筑围堤或挖坑收容。用泵转移至槽车或专用收集器内，回收并运至废物处理厂处置。</w:t>
            </w:r>
          </w:p>
        </w:tc>
      </w:tr>
    </w:tbl>
    <w:p w14:paraId="46E3E740">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47" w:name="_Toc28826"/>
      <w:bookmarkStart w:id="448" w:name="_Toc4457"/>
      <w:r>
        <w:rPr>
          <w:rFonts w:hint="default" w:ascii="Times New Roman" w:hAnsi="Times New Roman" w:eastAsia="楷体" w:cs="Times New Roman"/>
          <w:b/>
          <w:bCs/>
          <w:sz w:val="32"/>
          <w:szCs w:val="32"/>
          <w:lang w:val="en-US" w:eastAsia="zh-CN"/>
        </w:rPr>
        <w:t>F3.2</w:t>
      </w:r>
      <w:bookmarkEnd w:id="444"/>
      <w:bookmarkEnd w:id="445"/>
      <w:bookmarkEnd w:id="446"/>
      <w:r>
        <w:rPr>
          <w:rFonts w:hint="eastAsia" w:ascii="Times New Roman" w:hAnsi="Times New Roman" w:eastAsia="楷体" w:cs="Times New Roman"/>
          <w:b/>
          <w:bCs/>
          <w:sz w:val="32"/>
          <w:szCs w:val="32"/>
          <w:lang w:val="en-US" w:eastAsia="zh-CN"/>
        </w:rPr>
        <w:t>加油部分</w:t>
      </w:r>
      <w:r>
        <w:rPr>
          <w:rFonts w:hint="default" w:ascii="Times New Roman" w:hAnsi="Times New Roman" w:eastAsia="楷体" w:cs="Times New Roman"/>
          <w:b/>
          <w:bCs/>
          <w:sz w:val="32"/>
          <w:szCs w:val="32"/>
          <w:lang w:val="en-US" w:eastAsia="zh-CN"/>
        </w:rPr>
        <w:t>经营、储存的危险、有害因素分析</w:t>
      </w:r>
      <w:bookmarkEnd w:id="447"/>
      <w:bookmarkEnd w:id="448"/>
    </w:p>
    <w:p w14:paraId="5F611DBB">
      <w:pPr>
        <w:adjustRightInd w:val="0"/>
        <w:snapToGrid w:val="0"/>
        <w:spacing w:line="360" w:lineRule="auto"/>
        <w:ind w:firstLine="560" w:firstLineChars="200"/>
        <w:rPr>
          <w:rFonts w:hint="default" w:ascii="Times New Roman" w:hAnsi="Times New Roman" w:eastAsia="宋体" w:cs="Times New Roman"/>
          <w:sz w:val="28"/>
          <w:szCs w:val="28"/>
        </w:rPr>
      </w:pPr>
      <w:bookmarkStart w:id="449" w:name="_Toc11407"/>
      <w:bookmarkStart w:id="450" w:name="_Toc41246753"/>
      <w:r>
        <w:rPr>
          <w:rFonts w:hint="default" w:ascii="Times New Roman" w:hAnsi="Times New Roman" w:eastAsia="宋体" w:cs="Times New Roman"/>
          <w:sz w:val="28"/>
          <w:szCs w:val="28"/>
        </w:rPr>
        <w:t>根据《生产过程危险和有害因素分类与代码》和《生产安全事故分类与编码》等的有关规定，本项目危险、有害因素分为：火灾、管道爆炸、可燃液体蒸气爆炸、中毒、窒息、厂（场）内车辆致害、触电、机械致害、高处坠落、泄漏、物体打击、坍塌、其他（噪声）。</w:t>
      </w:r>
    </w:p>
    <w:p w14:paraId="2EE0D864">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F3.2.1火灾</w:t>
      </w:r>
    </w:p>
    <w:p w14:paraId="4533B1B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（1）油品装卸过程</w:t>
      </w:r>
    </w:p>
    <w:p w14:paraId="5EFC07D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加油站是为机动车充装乙醇汽油、柴油的专门场所。如果装卸油品过程中因设备泄漏跑油、灌装过满冒油或卸油时逸散油气，遇明火、机械火星、静电火花、雷电、烟囱飞火等点火源，有导致火灾、爆炸的危险。</w:t>
      </w:r>
    </w:p>
    <w:p w14:paraId="1F6DFB3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在接卸油品或加油的作业中，汽车油罐车不熄火、静电接地不良、卸油时连通软管静电传导性能差；雷雨天往油罐卸油或往汽车油箱加油速度过快；加油操作失误；密闭卸油接口处漏油；对明火源管理不严等，都会导致火灾、爆炸、设备损坏或人身伤亡事故。</w:t>
      </w:r>
    </w:p>
    <w:p w14:paraId="4A56971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（2）埋地储罐</w:t>
      </w:r>
    </w:p>
    <w:p w14:paraId="37ED250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加油站的卧式油罐埋地设置是比较安全的。从国内外的有关调查资料统计来看，油罐埋地设置，火灾发生概率较低，即使油罐发生着火，也容易扑救。</w:t>
      </w:r>
    </w:p>
    <w:p w14:paraId="62AFFDB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在加油站的各类事故中，油罐和管道发生的事故占很大比例。如地面水进入地下油罐，使油品溢出；油罐管线腐蚀穿孔或外力，如抗浮措施不当、机械损害等造成管线断裂而发生漏油、跑油；埋地油罐注油过量溢出；卸油时油气外逸明火引爆；油罐、卸油接管等处接地不良，通气管遇雷击或静电闪火均会引起燃爆事故的发生。</w:t>
      </w:r>
    </w:p>
    <w:p w14:paraId="0835EB0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（3）加油场地</w:t>
      </w:r>
    </w:p>
    <w:p w14:paraId="00E2F7E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加油场地是安装有不同种类加油机专为各种机动车辆加油的作业区域。由于人员、车辆流动频繁，不安全因素较多，是加油站事故多发高发的危险场所。譬如：摩托车未按规定在指定地点加油、机动车未熄火加油、油箱漏油、加油过满溢出、加油机漏油、电器故障加油作业过程中因修车或机械碰撞产生火花等原因，均容易引发火灾、爆炸事故。当违章用油枪往塑料桶（瓶）注乙醇汽油等，也会引发爆炸与火灾事故的发生。</w:t>
      </w:r>
    </w:p>
    <w:p w14:paraId="083E7DA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（4）站房</w:t>
      </w:r>
    </w:p>
    <w:p w14:paraId="070B379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站房作为加油站必不可少的重要建筑物，其耐火等级和站内设施之间的防火距离是至关重要的。如有油蒸气窜入站房，遇到明火，随意吸烟，以及电气设备过载、短路、断线、接点松动、接触不良、绝缘下降等故障会产生电热和电火花，引燃油蒸气或周围可燃物，都有可能发生火灾或爆炸事故。</w:t>
      </w:r>
    </w:p>
    <w:p w14:paraId="486D7F8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w:t>
      </w:r>
      <w:r>
        <w:rPr>
          <w:rFonts w:hint="eastAsia" w:cs="Times New Roman"/>
          <w:sz w:val="28"/>
          <w:szCs w:val="28"/>
          <w:lang w:val="en-US" w:eastAsia="zh-CN"/>
        </w:rPr>
        <w:t>5</w:t>
      </w:r>
      <w:r>
        <w:rPr>
          <w:rFonts w:hint="eastAsia" w:ascii="Times New Roman" w:hAnsi="Times New Roman" w:eastAsia="宋体" w:cs="Times New Roman"/>
          <w:sz w:val="28"/>
          <w:szCs w:val="28"/>
          <w:lang w:eastAsia="zh-CN"/>
        </w:rPr>
        <w:t>）其他</w:t>
      </w:r>
    </w:p>
    <w:p w14:paraId="5693604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eastAsia" w:ascii="Times New Roman" w:hAnsi="Times New Roman" w:eastAsia="宋体" w:cs="Times New Roman"/>
          <w:sz w:val="28"/>
          <w:szCs w:val="28"/>
          <w:lang w:eastAsia="zh-CN"/>
        </w:rPr>
        <w:t>在进行量油作业过程中，可能会有油气外逸至作业附近，可能会由于作业人员未穿戴防静电服装、使用铁制工具等因素，导致发生火灾、爆炸事故。</w:t>
      </w:r>
    </w:p>
    <w:p w14:paraId="4D52462A">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F3.2.2泄漏</w:t>
      </w:r>
    </w:p>
    <w:p w14:paraId="75F0FE0C">
      <w:pPr>
        <w:adjustRightInd w:val="0"/>
        <w:snapToGrid w:val="0"/>
        <w:spacing w:line="360" w:lineRule="auto"/>
        <w:ind w:firstLine="560" w:firstLineChars="200"/>
        <w:rPr>
          <w:rFonts w:ascii="Times New Roman" w:hAnsi="Times New Roman" w:eastAsia="宋体" w:cs="Times New Roman"/>
          <w:color w:val="auto"/>
          <w:kern w:val="28"/>
          <w:sz w:val="28"/>
          <w:szCs w:val="28"/>
        </w:rPr>
      </w:pPr>
      <w:r>
        <w:rPr>
          <w:rFonts w:ascii="Times New Roman" w:hAnsi="Times New Roman" w:eastAsia="宋体" w:cs="Times New Roman"/>
          <w:color w:val="auto"/>
          <w:kern w:val="28"/>
          <w:sz w:val="28"/>
          <w:szCs w:val="28"/>
        </w:rPr>
        <w:t>加油站在油品装卸作业全过程中，引发油品泄漏的原因主要集中在设备、操作、管理及外部环境等方面。</w:t>
      </w:r>
    </w:p>
    <w:p w14:paraId="2F3FE54C">
      <w:pPr>
        <w:adjustRightInd w:val="0"/>
        <w:snapToGrid w:val="0"/>
        <w:spacing w:line="360" w:lineRule="auto"/>
        <w:ind w:firstLine="560" w:firstLineChars="200"/>
        <w:rPr>
          <w:rFonts w:hint="eastAsia" w:ascii="Times New Roman" w:hAnsi="Times New Roman" w:eastAsia="宋体" w:cs="Times New Roman"/>
          <w:color w:val="auto"/>
          <w:kern w:val="28"/>
          <w:sz w:val="28"/>
          <w:szCs w:val="28"/>
          <w:lang w:eastAsia="zh-CN"/>
        </w:rPr>
      </w:pPr>
      <w:r>
        <w:rPr>
          <w:rFonts w:hint="eastAsia" w:ascii="Times New Roman" w:hAnsi="Times New Roman" w:eastAsia="宋体" w:cs="Times New Roman"/>
          <w:color w:val="auto"/>
          <w:kern w:val="28"/>
          <w:sz w:val="28"/>
          <w:szCs w:val="28"/>
          <w:lang w:val="en-US" w:eastAsia="zh-CN"/>
        </w:rPr>
        <w:t>在</w:t>
      </w:r>
      <w:r>
        <w:rPr>
          <w:rFonts w:ascii="Times New Roman" w:hAnsi="Times New Roman" w:eastAsia="宋体" w:cs="Times New Roman"/>
          <w:color w:val="auto"/>
          <w:kern w:val="28"/>
          <w:sz w:val="28"/>
          <w:szCs w:val="28"/>
        </w:rPr>
        <w:t>装卸</w:t>
      </w:r>
      <w:r>
        <w:rPr>
          <w:rFonts w:hint="eastAsia" w:ascii="Times New Roman" w:hAnsi="Times New Roman" w:eastAsia="宋体" w:cs="Times New Roman"/>
          <w:color w:val="auto"/>
          <w:kern w:val="28"/>
          <w:sz w:val="28"/>
          <w:szCs w:val="28"/>
          <w:lang w:val="en-US" w:eastAsia="zh-CN"/>
        </w:rPr>
        <w:t>作业</w:t>
      </w:r>
      <w:r>
        <w:rPr>
          <w:rFonts w:ascii="Times New Roman" w:hAnsi="Times New Roman" w:eastAsia="宋体" w:cs="Times New Roman"/>
          <w:color w:val="auto"/>
          <w:kern w:val="28"/>
          <w:sz w:val="28"/>
          <w:szCs w:val="28"/>
        </w:rPr>
        <w:t>前，卸油接口、阀门密封件老化缺失、油罐液位核查不准、油气回收装置密封不良等，</w:t>
      </w:r>
      <w:r>
        <w:rPr>
          <w:rFonts w:hint="eastAsia" w:ascii="Times New Roman" w:hAnsi="Times New Roman" w:eastAsia="宋体" w:cs="Times New Roman"/>
          <w:color w:val="auto"/>
          <w:kern w:val="28"/>
          <w:sz w:val="28"/>
          <w:szCs w:val="28"/>
          <w:lang w:val="en-US" w:eastAsia="zh-CN"/>
        </w:rPr>
        <w:t>均</w:t>
      </w:r>
      <w:r>
        <w:rPr>
          <w:rFonts w:ascii="Times New Roman" w:hAnsi="Times New Roman" w:eastAsia="宋体" w:cs="Times New Roman"/>
          <w:color w:val="auto"/>
          <w:kern w:val="28"/>
          <w:sz w:val="28"/>
          <w:szCs w:val="28"/>
        </w:rPr>
        <w:t>易存在渗漏和冒罐隐患；连接软管时，若接口对接不到位、软管破损开裂</w:t>
      </w:r>
      <w:r>
        <w:rPr>
          <w:rFonts w:hint="eastAsia" w:ascii="Times New Roman" w:hAnsi="Times New Roman" w:eastAsia="宋体" w:cs="Times New Roman"/>
          <w:color w:val="auto"/>
          <w:kern w:val="28"/>
          <w:sz w:val="28"/>
          <w:szCs w:val="28"/>
          <w:lang w:val="en-US" w:eastAsia="zh-CN"/>
        </w:rPr>
        <w:t>或</w:t>
      </w:r>
      <w:r>
        <w:rPr>
          <w:rFonts w:ascii="Times New Roman" w:hAnsi="Times New Roman" w:eastAsia="宋体" w:cs="Times New Roman"/>
          <w:color w:val="auto"/>
          <w:kern w:val="28"/>
          <w:sz w:val="28"/>
          <w:szCs w:val="28"/>
        </w:rPr>
        <w:t>阀门阀芯损坏，</w:t>
      </w:r>
      <w:r>
        <w:rPr>
          <w:rFonts w:hint="eastAsia" w:ascii="Times New Roman" w:hAnsi="Times New Roman" w:eastAsia="宋体" w:cs="Times New Roman"/>
          <w:color w:val="auto"/>
          <w:kern w:val="28"/>
          <w:sz w:val="28"/>
          <w:szCs w:val="28"/>
          <w:lang w:val="en-US" w:eastAsia="zh-CN"/>
        </w:rPr>
        <w:t>易造成油品</w:t>
      </w:r>
      <w:r>
        <w:rPr>
          <w:rFonts w:ascii="Times New Roman" w:hAnsi="Times New Roman" w:eastAsia="宋体" w:cs="Times New Roman"/>
          <w:color w:val="auto"/>
          <w:kern w:val="28"/>
          <w:sz w:val="28"/>
          <w:szCs w:val="28"/>
        </w:rPr>
        <w:t>滴漏</w:t>
      </w:r>
      <w:r>
        <w:rPr>
          <w:rFonts w:hint="eastAsia" w:ascii="Times New Roman" w:hAnsi="Times New Roman" w:eastAsia="宋体" w:cs="Times New Roman"/>
          <w:color w:val="auto"/>
          <w:kern w:val="28"/>
          <w:sz w:val="28"/>
          <w:szCs w:val="28"/>
          <w:lang w:eastAsia="zh-CN"/>
        </w:rPr>
        <w:t>、</w:t>
      </w:r>
      <w:r>
        <w:rPr>
          <w:rFonts w:ascii="Times New Roman" w:hAnsi="Times New Roman" w:eastAsia="宋体" w:cs="Times New Roman"/>
          <w:color w:val="auto"/>
          <w:kern w:val="28"/>
          <w:sz w:val="28"/>
          <w:szCs w:val="28"/>
        </w:rPr>
        <w:t>喷溅</w:t>
      </w:r>
      <w:r>
        <w:rPr>
          <w:rFonts w:hint="eastAsia" w:ascii="Times New Roman" w:hAnsi="Times New Roman" w:eastAsia="宋体" w:cs="Times New Roman"/>
          <w:color w:val="auto"/>
          <w:kern w:val="28"/>
          <w:sz w:val="28"/>
          <w:szCs w:val="28"/>
          <w:lang w:eastAsia="zh-CN"/>
        </w:rPr>
        <w:t>。</w:t>
      </w:r>
    </w:p>
    <w:p w14:paraId="52C5BA18">
      <w:pPr>
        <w:adjustRightInd w:val="0"/>
        <w:snapToGrid w:val="0"/>
        <w:spacing w:line="360" w:lineRule="auto"/>
        <w:ind w:firstLine="560" w:firstLineChars="200"/>
        <w:rPr>
          <w:rFonts w:ascii="Times New Roman" w:hAnsi="Times New Roman" w:eastAsia="宋体" w:cs="Times New Roman"/>
          <w:color w:val="auto"/>
          <w:kern w:val="28"/>
          <w:sz w:val="28"/>
          <w:szCs w:val="28"/>
        </w:rPr>
      </w:pPr>
      <w:r>
        <w:rPr>
          <w:rFonts w:ascii="Times New Roman" w:hAnsi="Times New Roman" w:eastAsia="宋体" w:cs="Times New Roman"/>
          <w:color w:val="auto"/>
          <w:kern w:val="28"/>
          <w:sz w:val="28"/>
          <w:szCs w:val="28"/>
        </w:rPr>
        <w:t>作业</w:t>
      </w:r>
      <w:r>
        <w:rPr>
          <w:rFonts w:hint="eastAsia" w:ascii="Times New Roman" w:hAnsi="Times New Roman" w:eastAsia="宋体" w:cs="Times New Roman"/>
          <w:color w:val="auto"/>
          <w:kern w:val="28"/>
          <w:sz w:val="28"/>
          <w:szCs w:val="28"/>
          <w:lang w:val="en-US" w:eastAsia="zh-CN"/>
        </w:rPr>
        <w:t>过程</w:t>
      </w:r>
      <w:r>
        <w:rPr>
          <w:rFonts w:ascii="Times New Roman" w:hAnsi="Times New Roman" w:eastAsia="宋体" w:cs="Times New Roman"/>
          <w:color w:val="auto"/>
          <w:kern w:val="28"/>
          <w:sz w:val="28"/>
          <w:szCs w:val="28"/>
        </w:rPr>
        <w:t>中，</w:t>
      </w:r>
      <w:r>
        <w:rPr>
          <w:rFonts w:hint="eastAsia" w:ascii="Times New Roman" w:hAnsi="Times New Roman" w:eastAsia="宋体" w:cs="Times New Roman"/>
          <w:color w:val="auto"/>
          <w:kern w:val="28"/>
          <w:sz w:val="28"/>
          <w:szCs w:val="28"/>
          <w:lang w:val="en-US" w:eastAsia="zh-CN"/>
        </w:rPr>
        <w:t>现场</w:t>
      </w:r>
      <w:r>
        <w:rPr>
          <w:rFonts w:ascii="Times New Roman" w:hAnsi="Times New Roman" w:eastAsia="宋体" w:cs="Times New Roman"/>
          <w:color w:val="auto"/>
          <w:kern w:val="28"/>
          <w:sz w:val="28"/>
          <w:szCs w:val="28"/>
        </w:rPr>
        <w:t>无人监护、液位报警失效、开阀过快引发水击、罐车切断阀内漏等</w:t>
      </w:r>
      <w:r>
        <w:rPr>
          <w:rFonts w:hint="eastAsia" w:ascii="Times New Roman" w:hAnsi="Times New Roman" w:eastAsia="宋体" w:cs="Times New Roman"/>
          <w:color w:val="auto"/>
          <w:kern w:val="28"/>
          <w:sz w:val="28"/>
          <w:szCs w:val="28"/>
          <w:lang w:val="en-US" w:eastAsia="zh-CN"/>
        </w:rPr>
        <w:t>情况</w:t>
      </w:r>
      <w:r>
        <w:rPr>
          <w:rFonts w:ascii="Times New Roman" w:hAnsi="Times New Roman" w:eastAsia="宋体" w:cs="Times New Roman"/>
          <w:color w:val="auto"/>
          <w:kern w:val="28"/>
          <w:sz w:val="28"/>
          <w:szCs w:val="28"/>
        </w:rPr>
        <w:t>，</w:t>
      </w:r>
      <w:r>
        <w:rPr>
          <w:rFonts w:hint="eastAsia" w:ascii="Times New Roman" w:hAnsi="Times New Roman" w:eastAsia="宋体" w:cs="Times New Roman"/>
          <w:color w:val="auto"/>
          <w:kern w:val="28"/>
          <w:sz w:val="28"/>
          <w:szCs w:val="28"/>
          <w:lang w:val="en-US" w:eastAsia="zh-CN"/>
        </w:rPr>
        <w:t>可能</w:t>
      </w:r>
      <w:r>
        <w:rPr>
          <w:rFonts w:ascii="Times New Roman" w:hAnsi="Times New Roman" w:eastAsia="宋体" w:cs="Times New Roman"/>
          <w:color w:val="auto"/>
          <w:kern w:val="28"/>
          <w:sz w:val="28"/>
          <w:szCs w:val="28"/>
        </w:rPr>
        <w:t>导致冒罐溢流和管线崩裂泄漏；卸油结束后，未按顺序关阀拆管、软管残油未妥善回收，也会造成洒漏。</w:t>
      </w:r>
    </w:p>
    <w:p w14:paraId="6BD9FD01">
      <w:pPr>
        <w:adjustRightInd w:val="0"/>
        <w:snapToGrid w:val="0"/>
        <w:spacing w:line="360" w:lineRule="auto"/>
        <w:ind w:firstLine="560" w:firstLineChars="200"/>
        <w:rPr>
          <w:rFonts w:hint="default" w:ascii="Times New Roman" w:hAnsi="Times New Roman" w:eastAsia="黑体" w:cs="Times New Roman"/>
          <w:b/>
          <w:bCs/>
          <w:color w:val="auto"/>
          <w:kern w:val="2"/>
          <w:sz w:val="28"/>
          <w:szCs w:val="32"/>
          <w:lang w:val="en-US" w:eastAsia="zh-CN" w:bidi="ar-SA"/>
        </w:rPr>
      </w:pPr>
      <w:r>
        <w:rPr>
          <w:rFonts w:hint="eastAsia" w:ascii="Times New Roman" w:hAnsi="Times New Roman" w:eastAsia="宋体" w:cs="Times New Roman"/>
          <w:color w:val="auto"/>
          <w:kern w:val="28"/>
          <w:sz w:val="28"/>
          <w:szCs w:val="28"/>
          <w:lang w:val="en-US" w:eastAsia="zh-CN"/>
        </w:rPr>
        <w:t>除此之外</w:t>
      </w:r>
      <w:r>
        <w:rPr>
          <w:rFonts w:ascii="Times New Roman" w:hAnsi="Times New Roman" w:eastAsia="宋体" w:cs="Times New Roman"/>
          <w:color w:val="auto"/>
          <w:kern w:val="28"/>
          <w:sz w:val="28"/>
          <w:szCs w:val="28"/>
        </w:rPr>
        <w:t>，油罐及埋地管线腐蚀穿孔、地基沉降拉裂管路、车辆碰撞碾压、员工违规操作离岗，以及设备维保不到位、安全管理制度不落实等</w:t>
      </w:r>
      <w:r>
        <w:rPr>
          <w:rFonts w:hint="eastAsia" w:ascii="Times New Roman" w:hAnsi="Times New Roman" w:eastAsia="宋体" w:cs="Times New Roman"/>
          <w:color w:val="auto"/>
          <w:kern w:val="28"/>
          <w:sz w:val="28"/>
          <w:szCs w:val="28"/>
          <w:lang w:val="en-US" w:eastAsia="zh-CN"/>
        </w:rPr>
        <w:t>问题</w:t>
      </w:r>
      <w:r>
        <w:rPr>
          <w:rFonts w:ascii="Times New Roman" w:hAnsi="Times New Roman" w:eastAsia="宋体" w:cs="Times New Roman"/>
          <w:color w:val="auto"/>
          <w:kern w:val="28"/>
          <w:sz w:val="28"/>
          <w:szCs w:val="28"/>
        </w:rPr>
        <w:t>，均会直接或间接引发油品泄漏</w:t>
      </w:r>
      <w:r>
        <w:rPr>
          <w:rFonts w:hint="eastAsia" w:ascii="Times New Roman" w:hAnsi="Times New Roman" w:eastAsia="宋体" w:cs="Times New Roman"/>
          <w:color w:val="auto"/>
          <w:kern w:val="28"/>
          <w:sz w:val="28"/>
          <w:szCs w:val="28"/>
          <w:lang w:eastAsia="zh-CN"/>
        </w:rPr>
        <w:t>。</w:t>
      </w:r>
    </w:p>
    <w:p w14:paraId="640B3A73">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w:t>
      </w:r>
      <w:r>
        <w:rPr>
          <w:rFonts w:hint="eastAsia" w:ascii="Times New Roman" w:hAnsi="Times New Roman" w:eastAsia="黑体" w:cs="Times New Roman"/>
          <w:b/>
          <w:bCs/>
          <w:color w:val="auto"/>
          <w:kern w:val="2"/>
          <w:sz w:val="28"/>
          <w:szCs w:val="32"/>
          <w:lang w:val="en-US" w:eastAsia="zh-CN" w:bidi="ar-SA"/>
        </w:rPr>
        <w:t>3</w:t>
      </w:r>
      <w:r>
        <w:rPr>
          <w:rFonts w:hint="default" w:ascii="Times New Roman" w:hAnsi="Times New Roman" w:eastAsia="黑体" w:cs="Times New Roman"/>
          <w:b/>
          <w:bCs/>
          <w:color w:val="auto"/>
          <w:kern w:val="2"/>
          <w:sz w:val="28"/>
          <w:szCs w:val="32"/>
          <w:lang w:val="en-US" w:eastAsia="zh-CN" w:bidi="ar-SA"/>
        </w:rPr>
        <w:t>可燃液体蒸汽爆炸</w:t>
      </w:r>
    </w:p>
    <w:p w14:paraId="6223CCA9">
      <w:pPr>
        <w:adjustRightInd w:val="0"/>
        <w:snapToGrid w:val="0"/>
        <w:spacing w:line="360" w:lineRule="auto"/>
        <w:ind w:firstLine="560" w:firstLineChars="200"/>
        <w:rPr>
          <w:rFonts w:hint="default" w:ascii="Times New Roman" w:hAnsi="Times New Roman" w:eastAsia="宋体" w:cs="Times New Roman"/>
          <w:color w:val="auto"/>
          <w:kern w:val="28"/>
          <w:sz w:val="28"/>
          <w:szCs w:val="28"/>
          <w:lang w:val="en-US" w:eastAsia="zh-CN"/>
        </w:rPr>
      </w:pPr>
      <w:r>
        <w:rPr>
          <w:rFonts w:hint="default" w:ascii="Times New Roman" w:hAnsi="Times New Roman" w:eastAsia="宋体" w:cs="Times New Roman"/>
          <w:color w:val="auto"/>
          <w:kern w:val="28"/>
          <w:sz w:val="28"/>
          <w:szCs w:val="28"/>
          <w:lang w:val="en-US" w:eastAsia="zh-CN"/>
        </w:rPr>
        <w:t>可燃液体蒸汽爆炸是可燃液体蒸气与空气(氧气或其他氧化性气体)形成爆炸性混合物,遇点火源发生爆炸造成的事故。</w:t>
      </w:r>
    </w:p>
    <w:p w14:paraId="740944A5">
      <w:pPr>
        <w:adjustRightInd w:val="0"/>
        <w:snapToGrid w:val="0"/>
        <w:spacing w:line="360" w:lineRule="auto"/>
        <w:ind w:firstLine="560" w:firstLineChars="200"/>
        <w:rPr>
          <w:rFonts w:hint="default" w:ascii="Times New Roman" w:hAnsi="Times New Roman" w:eastAsia="宋体" w:cs="Times New Roman"/>
          <w:color w:val="auto"/>
          <w:kern w:val="28"/>
          <w:sz w:val="28"/>
          <w:szCs w:val="28"/>
          <w:lang w:val="en-US" w:eastAsia="zh-CN"/>
        </w:rPr>
      </w:pPr>
      <w:r>
        <w:rPr>
          <w:rFonts w:hint="default" w:ascii="Times New Roman" w:hAnsi="Times New Roman" w:eastAsia="宋体" w:cs="Times New Roman"/>
          <w:color w:val="auto"/>
          <w:kern w:val="28"/>
          <w:sz w:val="28"/>
          <w:szCs w:val="28"/>
          <w:lang w:val="en-US" w:eastAsia="zh-CN"/>
        </w:rPr>
        <w:t>油品发生泄漏、跑油、逸散油气，其蒸汽会与空气充分形成爆炸性混合气体，一旦遇到明火、机械火星、静电火花、雷电、烟囱飞火等点火源，极易引发火灾、爆炸的危险。</w:t>
      </w:r>
    </w:p>
    <w:p w14:paraId="5B2A9A39">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w:t>
      </w:r>
      <w:r>
        <w:rPr>
          <w:rFonts w:hint="eastAsia" w:ascii="Times New Roman" w:hAnsi="Times New Roman" w:eastAsia="黑体" w:cs="Times New Roman"/>
          <w:b/>
          <w:bCs/>
          <w:color w:val="auto"/>
          <w:kern w:val="2"/>
          <w:sz w:val="28"/>
          <w:szCs w:val="32"/>
          <w:lang w:val="en-US" w:eastAsia="zh-CN" w:bidi="ar-SA"/>
        </w:rPr>
        <w:t>4</w:t>
      </w:r>
      <w:r>
        <w:rPr>
          <w:rFonts w:hint="default" w:ascii="Times New Roman" w:hAnsi="Times New Roman" w:eastAsia="黑体" w:cs="Times New Roman"/>
          <w:b/>
          <w:bCs/>
          <w:color w:val="auto"/>
          <w:kern w:val="2"/>
          <w:sz w:val="28"/>
          <w:szCs w:val="32"/>
          <w:lang w:val="en-US" w:eastAsia="zh-CN" w:bidi="ar-SA"/>
        </w:rPr>
        <w:t>管道爆炸</w:t>
      </w:r>
    </w:p>
    <w:p w14:paraId="2DDCF828">
      <w:pPr>
        <w:adjustRightInd w:val="0"/>
        <w:snapToGrid w:val="0"/>
        <w:spacing w:line="360" w:lineRule="auto"/>
        <w:ind w:firstLine="560" w:firstLineChars="200"/>
        <w:rPr>
          <w:rFonts w:hint="eastAsia" w:ascii="Times New Roman" w:hAnsi="Times New Roman" w:eastAsia="宋体" w:cs="Times New Roman"/>
          <w:bCs/>
          <w:color w:val="auto"/>
          <w:kern w:val="28"/>
          <w:sz w:val="28"/>
          <w:szCs w:val="28"/>
          <w:lang w:val="en-US" w:eastAsia="zh-CN"/>
        </w:rPr>
      </w:pPr>
      <w:r>
        <w:rPr>
          <w:rFonts w:hint="eastAsia" w:ascii="Times New Roman" w:hAnsi="Times New Roman" w:eastAsia="宋体" w:cs="Times New Roman"/>
          <w:bCs/>
          <w:color w:val="auto"/>
          <w:kern w:val="28"/>
          <w:sz w:val="28"/>
          <w:szCs w:val="28"/>
          <w:lang w:val="en-US" w:eastAsia="zh-CN"/>
        </w:rPr>
        <w:t>管道爆炸是各类管道由于质量缺陷、使用不当或维护不当</w:t>
      </w:r>
      <w:r>
        <w:rPr>
          <w:rFonts w:hint="eastAsia" w:cs="Times New Roman"/>
          <w:bCs/>
          <w:color w:val="auto"/>
          <w:kern w:val="28"/>
          <w:sz w:val="28"/>
          <w:szCs w:val="28"/>
          <w:lang w:val="en-US" w:eastAsia="zh-CN"/>
        </w:rPr>
        <w:t>、在线测漏系统失效</w:t>
      </w:r>
      <w:r>
        <w:rPr>
          <w:rFonts w:hint="eastAsia" w:ascii="Times New Roman" w:hAnsi="Times New Roman" w:eastAsia="宋体" w:cs="Times New Roman"/>
          <w:bCs/>
          <w:color w:val="auto"/>
          <w:kern w:val="28"/>
          <w:sz w:val="28"/>
          <w:szCs w:val="28"/>
          <w:lang w:val="en-US" w:eastAsia="zh-CN"/>
        </w:rPr>
        <w:t>等原因发生爆炸造成的事故。</w:t>
      </w:r>
    </w:p>
    <w:p w14:paraId="7C4A6B3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color w:val="auto"/>
          <w:kern w:val="28"/>
          <w:sz w:val="28"/>
          <w:szCs w:val="28"/>
          <w:lang w:val="en-US" w:eastAsia="zh-CN"/>
        </w:rPr>
      </w:pPr>
      <w:r>
        <w:rPr>
          <w:rFonts w:hint="eastAsia" w:cs="Times New Roman"/>
          <w:bCs/>
          <w:color w:val="auto"/>
          <w:kern w:val="28"/>
          <w:sz w:val="28"/>
          <w:szCs w:val="28"/>
          <w:lang w:val="en-US" w:eastAsia="zh-CN"/>
        </w:rPr>
        <w:t>（1）</w:t>
      </w:r>
      <w:r>
        <w:rPr>
          <w:rFonts w:hint="eastAsia" w:ascii="Times New Roman" w:hAnsi="Times New Roman" w:eastAsia="宋体" w:cs="Times New Roman"/>
          <w:bCs/>
          <w:color w:val="auto"/>
          <w:kern w:val="28"/>
          <w:sz w:val="28"/>
          <w:szCs w:val="28"/>
          <w:lang w:val="en-US" w:eastAsia="zh-CN"/>
        </w:rPr>
        <w:t>加油站内若管道质量存在缺陷，或部分老旧管道长期使用未及时更换，易出现腐蚀、老化、壁厚减薄等问题，油品在输送过程中极易从缺陷部位发生漏油、跑油，与空气混合形成爆炸性混合气体，遇到火源即可引发火灾</w:t>
      </w:r>
      <w:r>
        <w:rPr>
          <w:rFonts w:hint="eastAsia" w:ascii="Times New Roman" w:hAnsi="Times New Roman" w:eastAsia="宋体" w:cs="Times New Roman"/>
          <w:bCs/>
          <w:color w:val="auto"/>
          <w:kern w:val="28"/>
          <w:sz w:val="28"/>
          <w:szCs w:val="28"/>
          <w:lang w:eastAsia="zh-CN"/>
        </w:rPr>
        <w:t>、</w:t>
      </w:r>
      <w:r>
        <w:rPr>
          <w:rFonts w:hint="eastAsia" w:ascii="Times New Roman" w:hAnsi="Times New Roman" w:eastAsia="宋体" w:cs="Times New Roman"/>
          <w:bCs/>
          <w:color w:val="auto"/>
          <w:kern w:val="28"/>
          <w:sz w:val="28"/>
          <w:szCs w:val="28"/>
          <w:lang w:val="en-US" w:eastAsia="zh-CN"/>
        </w:rPr>
        <w:t>爆炸、造成管道及设备损坏，甚至导致人员伤亡。</w:t>
      </w:r>
    </w:p>
    <w:p w14:paraId="72916266">
      <w:pPr>
        <w:adjustRightInd w:val="0"/>
        <w:snapToGrid w:val="0"/>
        <w:spacing w:line="360" w:lineRule="auto"/>
        <w:ind w:firstLine="560" w:firstLineChars="200"/>
        <w:rPr>
          <w:rFonts w:hint="eastAsia" w:ascii="Times New Roman" w:hAnsi="Times New Roman" w:eastAsia="宋体" w:cs="Times New Roman"/>
          <w:bCs/>
          <w:color w:val="auto"/>
          <w:kern w:val="28"/>
          <w:sz w:val="28"/>
          <w:szCs w:val="28"/>
          <w:highlight w:val="none"/>
          <w:lang w:val="en-US" w:eastAsia="zh-CN"/>
        </w:rPr>
      </w:pPr>
      <w:r>
        <w:rPr>
          <w:rFonts w:hint="eastAsia" w:cs="Times New Roman"/>
          <w:bCs/>
          <w:color w:val="auto"/>
          <w:kern w:val="28"/>
          <w:sz w:val="28"/>
          <w:szCs w:val="28"/>
          <w:lang w:val="en-US" w:eastAsia="zh-CN"/>
        </w:rPr>
        <w:t>（2）</w:t>
      </w:r>
      <w:r>
        <w:rPr>
          <w:rFonts w:hint="eastAsia" w:ascii="Times New Roman" w:hAnsi="Times New Roman" w:eastAsia="宋体" w:cs="Times New Roman"/>
          <w:bCs/>
          <w:color w:val="auto"/>
          <w:kern w:val="28"/>
          <w:sz w:val="28"/>
          <w:szCs w:val="28"/>
          <w:lang w:val="en-US" w:eastAsia="zh-CN"/>
        </w:rPr>
        <w:t>使用操作不当是引发管道爆炸的直接诱因，加油站运营过程中，若操作人员未严格执行安全操作规程，极易诱发各类安全风险。</w:t>
      </w:r>
      <w:r>
        <w:rPr>
          <w:rFonts w:hint="eastAsia" w:ascii="Times New Roman" w:hAnsi="Times New Roman" w:eastAsia="宋体" w:cs="Times New Roman"/>
          <w:bCs/>
          <w:color w:val="auto"/>
          <w:kern w:val="28"/>
          <w:sz w:val="28"/>
          <w:szCs w:val="28"/>
          <w:highlight w:val="none"/>
          <w:lang w:val="en-US" w:eastAsia="zh-CN"/>
        </w:rPr>
        <w:t>日常维护保养不当则是造成管道爆炸隐患长期积累的关键因素，管道长期使用过程中会受到土壤腐蚀、大气及输送介质等多重腐蚀，若未定期开展腐蚀检测、修补防腐层，会加剧管道腐蚀，导致壁厚持续减弱，最终引发破损泄漏；同时，对于管道接口、阀门、法兰等易泄漏部位，若未定期检查密封性能、及时更换老化密封件，也会造成密封失效，油品渗漏，渗漏的易燃液体蒸汽与空气混合形成爆炸性混合气体，遇到明火、静电火花、机械火星等点火源，极易引发火灾、爆炸事故。</w:t>
      </w:r>
    </w:p>
    <w:p w14:paraId="3C17E7B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color w:val="auto"/>
          <w:kern w:val="28"/>
          <w:sz w:val="28"/>
          <w:szCs w:val="28"/>
          <w:highlight w:val="none"/>
          <w:lang w:val="en-US" w:eastAsia="zh-CN"/>
        </w:rPr>
      </w:pPr>
      <w:r>
        <w:rPr>
          <w:rFonts w:hint="eastAsia" w:cs="Times New Roman"/>
          <w:bCs/>
          <w:color w:val="auto"/>
          <w:kern w:val="28"/>
          <w:sz w:val="28"/>
          <w:szCs w:val="28"/>
          <w:highlight w:val="none"/>
          <w:lang w:val="en-US" w:eastAsia="zh-CN"/>
        </w:rPr>
        <w:t>（3）</w:t>
      </w:r>
      <w:r>
        <w:rPr>
          <w:rFonts w:hint="default" w:ascii="Times New Roman" w:hAnsi="Times New Roman" w:eastAsia="宋体" w:cs="Times New Roman"/>
          <w:bCs/>
          <w:color w:val="auto"/>
          <w:kern w:val="28"/>
          <w:sz w:val="28"/>
          <w:szCs w:val="28"/>
          <w:highlight w:val="none"/>
          <w:lang w:val="en-US" w:eastAsia="zh-CN"/>
        </w:rPr>
        <w:t>埋地输油管道配套传感器、监测模块故障：传感器进水腐蚀、线路老化断路、控制程序错乱，无法识别管道缓慢渗漏/破裂；双层管夹层检漏探头堵塞、导液管弯折积液、报警主机失灵；夹层渗入汽油后无法触发声光报警，油品持续渗入地下土壤。渗漏的易燃液体蒸汽与空气混合形成爆炸性混合气体，遇到明火、静电火花、机械火星等点火源，极易引发火灾、爆炸事故。</w:t>
      </w:r>
    </w:p>
    <w:p w14:paraId="194EA5A2">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lang w:val="en-US" w:eastAsia="zh-CN"/>
        </w:rPr>
      </w:pPr>
      <w:r>
        <w:rPr>
          <w:rFonts w:hint="default" w:ascii="Times New Roman" w:hAnsi="Times New Roman" w:eastAsia="黑体" w:cs="Times New Roman"/>
          <w:b/>
          <w:bCs/>
          <w:color w:val="auto"/>
          <w:kern w:val="2"/>
          <w:sz w:val="28"/>
          <w:szCs w:val="32"/>
          <w:lang w:val="en-US" w:eastAsia="zh-CN" w:bidi="ar-SA"/>
        </w:rPr>
        <w:t>F3.2.</w:t>
      </w:r>
      <w:r>
        <w:rPr>
          <w:rFonts w:hint="eastAsia" w:eastAsia="黑体" w:cs="Times New Roman"/>
          <w:b/>
          <w:bCs/>
          <w:color w:val="auto"/>
          <w:kern w:val="2"/>
          <w:sz w:val="28"/>
          <w:szCs w:val="32"/>
          <w:lang w:val="en-US" w:eastAsia="zh-CN" w:bidi="ar-SA"/>
        </w:rPr>
        <w:t>5</w:t>
      </w:r>
      <w:r>
        <w:rPr>
          <w:rFonts w:hint="default" w:ascii="Times New Roman" w:hAnsi="Times New Roman" w:eastAsia="黑体" w:cs="Times New Roman"/>
          <w:b/>
          <w:bCs/>
          <w:color w:val="auto"/>
          <w:kern w:val="2"/>
          <w:sz w:val="28"/>
          <w:szCs w:val="32"/>
          <w:lang w:val="en-US" w:eastAsia="zh-CN" w:bidi="ar-SA"/>
        </w:rPr>
        <w:t>中毒</w:t>
      </w:r>
    </w:p>
    <w:p w14:paraId="6DB44A9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中毒是人体经消化系统、呼吸系统摄入或皮肤接触有毒物质造成的急性中毒事故。</w:t>
      </w:r>
    </w:p>
    <w:p w14:paraId="75CF008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根据前面物料的危险有害因素分析，乙醇汽油、柴油均有一定的毒性，且毒性物质在密闭管道内运行。正常作业情况下，作业场所的毒性物质污染较少，但有部分工序还需手工操作完成（如：连接装卸管线等）及各种原因引起的跑、冒、漏气等现象，可使作业场所受到一定的污染。</w:t>
      </w:r>
    </w:p>
    <w:p w14:paraId="61FE170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在量油作业过程中，可能会发生油气外逸，若长时间聚集导致浓度过高，作业人员不小心吸入可能会发生中毒。</w:t>
      </w:r>
    </w:p>
    <w:p w14:paraId="3EF5E71B">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w:t>
      </w:r>
      <w:r>
        <w:rPr>
          <w:rFonts w:hint="eastAsia" w:eastAsia="黑体" w:cs="Times New Roman"/>
          <w:b/>
          <w:bCs/>
          <w:color w:val="auto"/>
          <w:kern w:val="2"/>
          <w:sz w:val="28"/>
          <w:szCs w:val="32"/>
          <w:lang w:val="en-US" w:eastAsia="zh-CN" w:bidi="ar-SA"/>
        </w:rPr>
        <w:t>6窒息</w:t>
      </w:r>
    </w:p>
    <w:p w14:paraId="74B0A25C">
      <w:pPr>
        <w:adjustRightInd w:val="0"/>
        <w:snapToGrid w:val="0"/>
        <w:spacing w:line="360" w:lineRule="auto"/>
        <w:ind w:firstLine="560" w:firstLineChars="200"/>
        <w:rPr>
          <w:rFonts w:hint="default" w:eastAsia="宋体"/>
          <w:color w:val="auto"/>
          <w:kern w:val="28"/>
          <w:sz w:val="28"/>
          <w:szCs w:val="28"/>
          <w:lang w:val="en-US" w:eastAsia="zh-CN"/>
        </w:rPr>
      </w:pPr>
      <w:r>
        <w:rPr>
          <w:rFonts w:hint="eastAsia" w:eastAsia="宋体"/>
          <w:color w:val="auto"/>
          <w:kern w:val="28"/>
          <w:sz w:val="28"/>
          <w:szCs w:val="28"/>
          <w:lang w:val="en-US" w:eastAsia="zh-CN"/>
        </w:rPr>
        <w:t>窒息是由于环境缺氧或机械性窒息造成的事故。</w:t>
      </w:r>
    </w:p>
    <w:p w14:paraId="097A2692">
      <w:pPr>
        <w:adjustRightInd w:val="0"/>
        <w:snapToGrid w:val="0"/>
        <w:spacing w:line="360" w:lineRule="auto"/>
        <w:ind w:firstLine="560" w:firstLineChars="200"/>
        <w:rPr>
          <w:rFonts w:eastAsia="宋体"/>
          <w:color w:val="auto"/>
          <w:kern w:val="28"/>
          <w:sz w:val="28"/>
          <w:szCs w:val="28"/>
        </w:rPr>
      </w:pPr>
      <w:r>
        <w:rPr>
          <w:rFonts w:eastAsia="宋体"/>
          <w:color w:val="auto"/>
          <w:kern w:val="28"/>
          <w:sz w:val="28"/>
          <w:szCs w:val="28"/>
        </w:rPr>
        <w:t>在检维修、清罐作业过程中，采用氮气吹扫或工作人员在受限空间内进行操作，如违规操作或个体防护不当均有可能造成人员窒息。</w:t>
      </w:r>
    </w:p>
    <w:p w14:paraId="6082A20B">
      <w:pPr>
        <w:adjustRightInd w:val="0"/>
        <w:snapToGrid w:val="0"/>
        <w:spacing w:line="360" w:lineRule="auto"/>
        <w:ind w:firstLine="560" w:firstLineChars="200"/>
        <w:rPr>
          <w:rFonts w:eastAsia="宋体"/>
          <w:color w:val="auto"/>
          <w:kern w:val="28"/>
          <w:sz w:val="28"/>
          <w:szCs w:val="28"/>
        </w:rPr>
      </w:pPr>
      <w:r>
        <w:rPr>
          <w:rFonts w:eastAsia="宋体"/>
          <w:color w:val="auto"/>
          <w:kern w:val="28"/>
          <w:sz w:val="28"/>
          <w:szCs w:val="28"/>
        </w:rPr>
        <w:t>2006年7月海城市某加油站雇佣盘锦市某工程队清罐，一人下罐后无作业声音，另一监护人下去抢救人也没有上来。加油站老板见事情不好，拨打电话119，请消防队员佩戴压缩空气呼吸器将2人救出，经抢救无效死亡。</w:t>
      </w:r>
    </w:p>
    <w:p w14:paraId="77E79BA5">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w:t>
      </w:r>
      <w:r>
        <w:rPr>
          <w:rFonts w:hint="eastAsia" w:eastAsia="黑体" w:cs="Times New Roman"/>
          <w:b/>
          <w:bCs/>
          <w:color w:val="auto"/>
          <w:kern w:val="2"/>
          <w:sz w:val="28"/>
          <w:szCs w:val="32"/>
          <w:lang w:val="en-US" w:eastAsia="zh-CN" w:bidi="ar-SA"/>
        </w:rPr>
        <w:t>7</w:t>
      </w:r>
      <w:r>
        <w:rPr>
          <w:rFonts w:hint="default" w:ascii="Times New Roman" w:hAnsi="Times New Roman" w:eastAsia="黑体" w:cs="Times New Roman"/>
          <w:b/>
          <w:bCs/>
          <w:color w:val="auto"/>
          <w:kern w:val="2"/>
          <w:sz w:val="28"/>
          <w:szCs w:val="32"/>
          <w:lang w:val="en-US" w:eastAsia="zh-CN" w:bidi="ar-SA"/>
        </w:rPr>
        <w:t>厂（场）内车辆致害</w:t>
      </w:r>
    </w:p>
    <w:p w14:paraId="0DA21D1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厂（场）内车辆致害是指车辆在生产经营单位内部或生产作业场所内进行生产经营活动过程中由于碰撞、刮擦、碾压、挤压、翻车、脱轨等造成的事故。如果车速过快，车辆技术状况不好，如：制动失灵、转向失灵、灯光音响信号损坏失灵，或安全标志不全、道路设计不合理、转弯处没有反光镜等，均容易导致车辆致害，造成人员伤亡或财产损失。</w:t>
      </w:r>
    </w:p>
    <w:p w14:paraId="38A3504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当汽车进站加油时，罩棚及罩棚柱、加油机和作业人员可能受到车辆的碰撞，造成财产损失和人员伤害。</w:t>
      </w:r>
    </w:p>
    <w:p w14:paraId="288A7B2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另外，当汽车槽车入站卸油时，若操作不当或事先未进行车辆人员疏导，易造成人员、车辆致害。</w:t>
      </w:r>
    </w:p>
    <w:p w14:paraId="7B19C530">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w:t>
      </w:r>
      <w:r>
        <w:rPr>
          <w:rFonts w:hint="eastAsia" w:eastAsia="黑体" w:cs="Times New Roman"/>
          <w:b/>
          <w:bCs/>
          <w:color w:val="auto"/>
          <w:kern w:val="2"/>
          <w:sz w:val="28"/>
          <w:szCs w:val="32"/>
          <w:lang w:val="en-US" w:eastAsia="zh-CN" w:bidi="ar-SA"/>
        </w:rPr>
        <w:t>8</w:t>
      </w:r>
      <w:r>
        <w:rPr>
          <w:rFonts w:hint="default" w:ascii="Times New Roman" w:hAnsi="Times New Roman" w:eastAsia="黑体" w:cs="Times New Roman"/>
          <w:b/>
          <w:bCs/>
          <w:color w:val="auto"/>
          <w:kern w:val="2"/>
          <w:sz w:val="28"/>
          <w:szCs w:val="32"/>
          <w:lang w:val="en-US" w:eastAsia="zh-CN" w:bidi="ar-SA"/>
        </w:rPr>
        <w:t>触电</w:t>
      </w:r>
    </w:p>
    <w:p w14:paraId="523CE1F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（1）触电伤害</w:t>
      </w:r>
    </w:p>
    <w:p w14:paraId="4516F3F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触电是由于电流通过人体或带电体与人体间发生放点造成的事故。以触电伤害最为常见。如果与加油设施配套的各类电气设施、电器开关、电缆敷设的接地或接零或屏护措施不完善、耐压强度低、耐腐蚀性差，都会造成漏电，导致触电伤人事故。</w:t>
      </w:r>
    </w:p>
    <w:p w14:paraId="350B851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（2）静电危害</w:t>
      </w:r>
    </w:p>
    <w:p w14:paraId="1B5FFD5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静电电荷产生的火花，常为化学工业和石油工业发生火灾、爆炸的一个根源。产生静电荷的原因是电介质相互摩擦或电介质与金属摩擦。在加油设备，以及输油管线和储罐内都有产生静电电荷积累的可能性。尤其在油品接卸与付出等作业过程中，更容易产生静电火花而引起火灾、爆炸。譬如，喷溅式卸油，油品流速过快，油品静置时间不够进行计量检尺作业，用汽油擦洗衣服织物，以及无防静电设施或防静电设施未起作用和不按规定穿着防静电劳动保护护具等都极易产生静电，并积聚形成引爆（燃）源，或因其不能迅速泄放，其静电火花将导致火灾、爆炸。另外，静电也能给人以电击，造成操作人员紧张，妨碍操作，引发二次伤害事故。</w:t>
      </w:r>
    </w:p>
    <w:p w14:paraId="7AAA5A1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（3）雷电危害</w:t>
      </w:r>
    </w:p>
    <w:p w14:paraId="6D5B504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加油站未安装防雷设备或防雷设备维护不佳造成防雷电设备老化或者损坏；加油站较近距离内存在高大树木、金属信号塔等，可能发生褡裢现象；加油站内的金属围栏、栏杆、防盗门、告示牌等未进行等电位连接处理等都可能造成雷电伤害。</w:t>
      </w:r>
    </w:p>
    <w:p w14:paraId="78F18973">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w:t>
      </w:r>
      <w:r>
        <w:rPr>
          <w:rFonts w:hint="eastAsia" w:eastAsia="黑体" w:cs="Times New Roman"/>
          <w:b/>
          <w:bCs/>
          <w:color w:val="auto"/>
          <w:kern w:val="2"/>
          <w:sz w:val="28"/>
          <w:szCs w:val="32"/>
          <w:lang w:val="en-US" w:eastAsia="zh-CN" w:bidi="ar-SA"/>
        </w:rPr>
        <w:t>9</w:t>
      </w:r>
      <w:r>
        <w:rPr>
          <w:rFonts w:hint="default" w:ascii="Times New Roman" w:hAnsi="Times New Roman" w:eastAsia="黑体" w:cs="Times New Roman"/>
          <w:b/>
          <w:bCs/>
          <w:color w:val="auto"/>
          <w:kern w:val="2"/>
          <w:sz w:val="28"/>
          <w:szCs w:val="32"/>
          <w:lang w:val="en-US" w:eastAsia="zh-CN" w:bidi="ar-SA"/>
        </w:rPr>
        <w:t>高处坠落</w:t>
      </w:r>
    </w:p>
    <w:p w14:paraId="354EFCD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高处坠落是指高处作业时，因未防护、防护不好或作业不当而发生坠落造成的事故。</w:t>
      </w:r>
    </w:p>
    <w:p w14:paraId="2EC1945E">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w:t>
      </w:r>
      <w:r>
        <w:rPr>
          <w:rFonts w:hint="eastAsia" w:eastAsia="黑体" w:cs="Times New Roman"/>
          <w:b/>
          <w:bCs/>
          <w:color w:val="auto"/>
          <w:kern w:val="2"/>
          <w:sz w:val="28"/>
          <w:szCs w:val="32"/>
          <w:lang w:val="en-US" w:eastAsia="zh-CN" w:bidi="ar-SA"/>
        </w:rPr>
        <w:t>10</w:t>
      </w:r>
      <w:r>
        <w:rPr>
          <w:rFonts w:hint="default" w:ascii="Times New Roman" w:hAnsi="Times New Roman" w:eastAsia="黑体" w:cs="Times New Roman"/>
          <w:b/>
          <w:bCs/>
          <w:color w:val="auto"/>
          <w:kern w:val="2"/>
          <w:sz w:val="28"/>
          <w:szCs w:val="32"/>
          <w:lang w:val="en-US" w:eastAsia="zh-CN" w:bidi="ar-SA"/>
        </w:rPr>
        <w:t>物体打击</w:t>
      </w:r>
    </w:p>
    <w:p w14:paraId="33C714B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对罩棚或站房进行检修作业时，高处作业时作业人员从高处随意乱抛物体；或在检修作业过程中工器具脱落飞出；或在检修作业过程中物体受到打击后边、角飞出。从而造成对作业人员或其周围人员的伤害。</w:t>
      </w:r>
    </w:p>
    <w:p w14:paraId="3BFAE775">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w:t>
      </w:r>
      <w:r>
        <w:rPr>
          <w:rFonts w:hint="eastAsia" w:eastAsia="黑体" w:cs="Times New Roman"/>
          <w:b/>
          <w:bCs/>
          <w:color w:val="auto"/>
          <w:kern w:val="2"/>
          <w:sz w:val="28"/>
          <w:szCs w:val="32"/>
          <w:lang w:val="en-US" w:eastAsia="zh-CN" w:bidi="ar-SA"/>
        </w:rPr>
        <w:t>11</w:t>
      </w:r>
      <w:r>
        <w:rPr>
          <w:rFonts w:hint="default" w:ascii="Times New Roman" w:hAnsi="Times New Roman" w:eastAsia="黑体" w:cs="Times New Roman"/>
          <w:b/>
          <w:bCs/>
          <w:color w:val="auto"/>
          <w:kern w:val="2"/>
          <w:sz w:val="28"/>
          <w:szCs w:val="32"/>
          <w:lang w:val="en-US" w:eastAsia="zh-CN" w:bidi="ar-SA"/>
        </w:rPr>
        <w:t>坍塌</w:t>
      </w:r>
    </w:p>
    <w:p w14:paraId="44251B1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坍塌是建筑物、构筑物或堆置物等在外力、重力或环境作用下超过自身的强度极限或因结构稳定性破坏发生坍塌、倾倒造成的事故。大风尤以春季多发、暴雪和外腐蚀等原因，容易造成站内罩棚、站房等建（构）筑物坍塌，对作业人员、加油机及车辆造成伤害。</w:t>
      </w:r>
    </w:p>
    <w:p w14:paraId="6B63A58C">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w:t>
      </w:r>
      <w:r>
        <w:rPr>
          <w:rFonts w:hint="eastAsia" w:eastAsia="黑体" w:cs="Times New Roman"/>
          <w:b/>
          <w:bCs/>
          <w:color w:val="auto"/>
          <w:kern w:val="2"/>
          <w:sz w:val="28"/>
          <w:szCs w:val="32"/>
          <w:lang w:val="en-US" w:eastAsia="zh-CN" w:bidi="ar-SA"/>
        </w:rPr>
        <w:t>12</w:t>
      </w:r>
      <w:r>
        <w:rPr>
          <w:rFonts w:hint="default" w:ascii="Times New Roman" w:hAnsi="Times New Roman" w:eastAsia="黑体" w:cs="Times New Roman"/>
          <w:b/>
          <w:bCs/>
          <w:color w:val="auto"/>
          <w:kern w:val="2"/>
          <w:sz w:val="28"/>
          <w:szCs w:val="32"/>
          <w:lang w:val="en-US" w:eastAsia="zh-CN" w:bidi="ar-SA"/>
        </w:rPr>
        <w:t>机械</w:t>
      </w:r>
      <w:r>
        <w:rPr>
          <w:rFonts w:hint="eastAsia" w:eastAsia="黑体" w:cs="Times New Roman"/>
          <w:b/>
          <w:bCs/>
          <w:color w:val="auto"/>
          <w:kern w:val="2"/>
          <w:sz w:val="28"/>
          <w:szCs w:val="32"/>
          <w:lang w:val="en-US" w:eastAsia="zh-CN" w:bidi="ar-SA"/>
        </w:rPr>
        <w:t>致</w:t>
      </w:r>
      <w:r>
        <w:rPr>
          <w:rFonts w:hint="default" w:ascii="Times New Roman" w:hAnsi="Times New Roman" w:eastAsia="黑体" w:cs="Times New Roman"/>
          <w:b/>
          <w:bCs/>
          <w:color w:val="auto"/>
          <w:kern w:val="2"/>
          <w:sz w:val="28"/>
          <w:szCs w:val="32"/>
          <w:lang w:val="en-US" w:eastAsia="zh-CN" w:bidi="ar-SA"/>
        </w:rPr>
        <w:t>害</w:t>
      </w:r>
    </w:p>
    <w:p w14:paraId="207D2FE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机械</w:t>
      </w:r>
      <w:r>
        <w:rPr>
          <w:rFonts w:hint="eastAsia" w:cs="Times New Roman"/>
          <w:sz w:val="28"/>
          <w:szCs w:val="28"/>
          <w:lang w:val="en-US" w:eastAsia="zh-CN"/>
        </w:rPr>
        <w:t>致</w:t>
      </w:r>
      <w:r>
        <w:rPr>
          <w:rFonts w:hint="default" w:ascii="Times New Roman" w:hAnsi="Times New Roman" w:eastAsia="宋体" w:cs="Times New Roman"/>
          <w:sz w:val="28"/>
          <w:szCs w:val="28"/>
        </w:rPr>
        <w:t>害是指机械设备运动（静止）部件、工具、加工件直接与人体接触引起的夹击、碰撞、剪切、卷入、绞、碾、割、刺等伤害，不包括车辆、起重机械引起的机械伤害。如果出现设备故障、防护设施存在缺陷、违规操作；或在事故检修等特殊情况下都有可能出现机械伤害。</w:t>
      </w:r>
    </w:p>
    <w:p w14:paraId="6BC1C4E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rPr>
        <w:t>在</w:t>
      </w:r>
      <w:r>
        <w:rPr>
          <w:rFonts w:hint="default" w:ascii="Times New Roman" w:hAnsi="Times New Roman" w:eastAsia="宋体" w:cs="Times New Roman"/>
          <w:sz w:val="28"/>
          <w:szCs w:val="28"/>
          <w:lang w:val="en-US" w:eastAsia="zh-CN"/>
        </w:rPr>
        <w:t>清罐</w:t>
      </w:r>
      <w:r>
        <w:rPr>
          <w:rFonts w:hint="default" w:ascii="Times New Roman" w:hAnsi="Times New Roman" w:eastAsia="宋体" w:cs="Times New Roman"/>
          <w:sz w:val="28"/>
          <w:szCs w:val="28"/>
        </w:rPr>
        <w:t>作业和设备检修过程中</w:t>
      </w:r>
      <w:r>
        <w:rPr>
          <w:rFonts w:hint="default" w:ascii="Times New Roman" w:hAnsi="Times New Roman" w:eastAsia="宋体" w:cs="Times New Roman"/>
          <w:sz w:val="28"/>
          <w:szCs w:val="28"/>
          <w:lang w:val="en-US" w:eastAsia="zh-CN"/>
        </w:rPr>
        <w:t>可能会</w:t>
      </w:r>
      <w:r>
        <w:rPr>
          <w:rFonts w:hint="default" w:ascii="Times New Roman" w:hAnsi="Times New Roman" w:eastAsia="宋体" w:cs="Times New Roman"/>
          <w:sz w:val="28"/>
          <w:szCs w:val="28"/>
        </w:rPr>
        <w:t>受到机械设备的传动部件</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挤压部件以及外露突出部件或所使用工具的</w:t>
      </w:r>
      <w:r>
        <w:rPr>
          <w:rFonts w:hint="default" w:ascii="Times New Roman" w:hAnsi="Times New Roman" w:eastAsia="宋体" w:cs="Times New Roman"/>
          <w:sz w:val="28"/>
          <w:szCs w:val="28"/>
          <w:lang w:val="en-US" w:eastAsia="zh-CN"/>
        </w:rPr>
        <w:t>伤害</w:t>
      </w:r>
      <w:r>
        <w:rPr>
          <w:rFonts w:hint="default" w:ascii="Times New Roman" w:hAnsi="Times New Roman" w:eastAsia="宋体" w:cs="Times New Roman"/>
          <w:sz w:val="28"/>
          <w:szCs w:val="28"/>
        </w:rPr>
        <w:t>。</w:t>
      </w:r>
    </w:p>
    <w:p w14:paraId="46E0C829">
      <w:pPr>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jc w:val="both"/>
        <w:textAlignment w:val="auto"/>
        <w:outlineLvl w:val="2"/>
        <w:rPr>
          <w:rFonts w:hint="default" w:ascii="Times New Roman" w:hAnsi="Times New Roman" w:eastAsia="黑体" w:cs="Times New Roman"/>
          <w:b/>
          <w:bCs/>
          <w:color w:val="auto"/>
          <w:kern w:val="2"/>
          <w:sz w:val="28"/>
          <w:szCs w:val="32"/>
          <w:lang w:val="en-US" w:eastAsia="zh-CN" w:bidi="ar-SA"/>
        </w:rPr>
      </w:pPr>
      <w:r>
        <w:rPr>
          <w:rFonts w:hint="default" w:ascii="Times New Roman" w:hAnsi="Times New Roman" w:eastAsia="黑体" w:cs="Times New Roman"/>
          <w:b/>
          <w:bCs/>
          <w:color w:val="auto"/>
          <w:kern w:val="2"/>
          <w:sz w:val="28"/>
          <w:szCs w:val="32"/>
          <w:lang w:val="en-US" w:eastAsia="zh-CN" w:bidi="ar-SA"/>
        </w:rPr>
        <w:t>F3.2.</w:t>
      </w:r>
      <w:r>
        <w:rPr>
          <w:rFonts w:hint="eastAsia" w:eastAsia="黑体" w:cs="Times New Roman"/>
          <w:b/>
          <w:bCs/>
          <w:color w:val="auto"/>
          <w:kern w:val="2"/>
          <w:sz w:val="28"/>
          <w:szCs w:val="32"/>
          <w:lang w:val="en-US" w:eastAsia="zh-CN" w:bidi="ar-SA"/>
        </w:rPr>
        <w:t>13其他（</w:t>
      </w:r>
      <w:r>
        <w:rPr>
          <w:rFonts w:hint="default" w:ascii="Times New Roman" w:hAnsi="Times New Roman" w:eastAsia="黑体" w:cs="Times New Roman"/>
          <w:b/>
          <w:bCs/>
          <w:color w:val="auto"/>
          <w:kern w:val="2"/>
          <w:sz w:val="28"/>
          <w:szCs w:val="32"/>
          <w:lang w:val="en-US" w:eastAsia="zh-CN" w:bidi="ar-SA"/>
        </w:rPr>
        <w:t>噪声</w:t>
      </w:r>
      <w:r>
        <w:rPr>
          <w:rFonts w:hint="eastAsia" w:eastAsia="黑体" w:cs="Times New Roman"/>
          <w:b/>
          <w:bCs/>
          <w:color w:val="auto"/>
          <w:kern w:val="2"/>
          <w:sz w:val="28"/>
          <w:szCs w:val="32"/>
          <w:lang w:val="en-US" w:eastAsia="zh-CN" w:bidi="ar-SA"/>
        </w:rPr>
        <w:t>）</w:t>
      </w:r>
    </w:p>
    <w:p w14:paraId="2CBE6CB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噪声主要来自于加油机</w:t>
      </w:r>
      <w:r>
        <w:rPr>
          <w:rFonts w:hint="eastAsia" w:cs="Times New Roman"/>
          <w:sz w:val="28"/>
          <w:szCs w:val="28"/>
          <w:lang w:eastAsia="zh-CN"/>
        </w:rPr>
        <w:t>、</w:t>
      </w:r>
      <w:r>
        <w:rPr>
          <w:rFonts w:hint="default" w:ascii="Times New Roman" w:hAnsi="Times New Roman" w:eastAsia="宋体" w:cs="Times New Roman"/>
          <w:sz w:val="28"/>
          <w:szCs w:val="28"/>
        </w:rPr>
        <w:t>加油</w:t>
      </w:r>
      <w:r>
        <w:rPr>
          <w:rFonts w:hint="eastAsia" w:cs="Times New Roman"/>
          <w:sz w:val="28"/>
          <w:szCs w:val="28"/>
          <w:lang w:val="en-US" w:eastAsia="zh-CN"/>
        </w:rPr>
        <w:t>车辆</w:t>
      </w:r>
      <w:r>
        <w:rPr>
          <w:rFonts w:hint="default" w:ascii="Times New Roman" w:hAnsi="Times New Roman" w:eastAsia="宋体" w:cs="Times New Roman"/>
          <w:sz w:val="28"/>
          <w:szCs w:val="28"/>
        </w:rPr>
        <w:t>。噪声作用于人体会产生各方面影响及危害，长期接触高强度噪声会使听力下降，甚至耳聋，噪声作用于人体的神经系统，从而诱发许多疾病，如头晕、失眠多梦、消化不良及高血压，降低脑力工作效率，使人体疲劳，降低劳动生产率。另外噪声干扰报警信号，引发事故，影响安全生产。高强度的噪声还能造成建筑物结构的破坏。</w:t>
      </w:r>
    </w:p>
    <w:bookmarkEnd w:id="449"/>
    <w:bookmarkEnd w:id="450"/>
    <w:p w14:paraId="76AB97E8">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51" w:name="_Toc24492"/>
      <w:bookmarkStart w:id="452" w:name="_Toc4410"/>
      <w:bookmarkStart w:id="453" w:name="_Toc4003"/>
      <w:bookmarkStart w:id="454" w:name="_Toc41246759"/>
      <w:r>
        <w:rPr>
          <w:rFonts w:hint="default" w:ascii="Times New Roman" w:hAnsi="Times New Roman" w:eastAsia="楷体" w:cs="Times New Roman"/>
          <w:b/>
          <w:bCs/>
          <w:sz w:val="32"/>
          <w:szCs w:val="32"/>
          <w:lang w:val="en-US" w:eastAsia="zh-CN"/>
        </w:rPr>
        <w:t>F3.</w:t>
      </w:r>
      <w:r>
        <w:rPr>
          <w:rFonts w:hint="eastAsia" w:ascii="Times New Roman" w:hAnsi="Times New Roman" w:eastAsia="楷体" w:cs="Times New Roman"/>
          <w:b/>
          <w:bCs/>
          <w:sz w:val="32"/>
          <w:szCs w:val="32"/>
          <w:lang w:val="en-US" w:eastAsia="zh-CN"/>
        </w:rPr>
        <w:t>3</w:t>
      </w:r>
      <w:r>
        <w:rPr>
          <w:rFonts w:hint="default" w:ascii="Times New Roman" w:hAnsi="Times New Roman" w:eastAsia="楷体" w:cs="Times New Roman"/>
          <w:b/>
          <w:bCs/>
          <w:sz w:val="32"/>
          <w:szCs w:val="32"/>
          <w:lang w:val="en-US" w:eastAsia="zh-CN"/>
        </w:rPr>
        <w:t>检维修过程的危险、有害因素分析</w:t>
      </w:r>
      <w:bookmarkEnd w:id="451"/>
      <w:bookmarkEnd w:id="452"/>
    </w:p>
    <w:p w14:paraId="4877E3C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设备检维修过程中经常发生的事故有火灾、可燃液体蒸汽爆炸</w:t>
      </w:r>
      <w:r>
        <w:rPr>
          <w:rFonts w:hint="eastAsia" w:cs="Times New Roman"/>
          <w:sz w:val="28"/>
          <w:szCs w:val="28"/>
          <w:lang w:eastAsia="zh-CN"/>
        </w:rPr>
        <w:t>、</w:t>
      </w:r>
      <w:r>
        <w:rPr>
          <w:rFonts w:hint="eastAsia" w:cs="Times New Roman"/>
          <w:sz w:val="28"/>
          <w:szCs w:val="28"/>
          <w:lang w:val="en-US" w:eastAsia="zh-CN"/>
        </w:rPr>
        <w:t>管道</w:t>
      </w:r>
      <w:r>
        <w:rPr>
          <w:rFonts w:hint="default" w:ascii="Times New Roman" w:hAnsi="Times New Roman" w:eastAsia="宋体" w:cs="Times New Roman"/>
          <w:sz w:val="28"/>
          <w:szCs w:val="28"/>
        </w:rPr>
        <w:t>爆炸、机械</w:t>
      </w:r>
      <w:r>
        <w:rPr>
          <w:rFonts w:hint="eastAsia" w:cs="Times New Roman"/>
          <w:sz w:val="28"/>
          <w:szCs w:val="28"/>
          <w:lang w:val="en-US" w:eastAsia="zh-CN"/>
        </w:rPr>
        <w:t>致</w:t>
      </w:r>
      <w:r>
        <w:rPr>
          <w:rFonts w:hint="default" w:ascii="Times New Roman" w:hAnsi="Times New Roman" w:eastAsia="宋体" w:cs="Times New Roman"/>
          <w:sz w:val="28"/>
          <w:szCs w:val="28"/>
        </w:rPr>
        <w:t>害、触电、中毒</w:t>
      </w:r>
      <w:r>
        <w:rPr>
          <w:rFonts w:hint="eastAsia" w:cs="Times New Roman"/>
          <w:sz w:val="28"/>
          <w:szCs w:val="28"/>
          <w:lang w:eastAsia="zh-CN"/>
        </w:rPr>
        <w:t>、</w:t>
      </w:r>
      <w:r>
        <w:rPr>
          <w:rFonts w:hint="default" w:ascii="Times New Roman" w:hAnsi="Times New Roman" w:eastAsia="宋体" w:cs="Times New Roman"/>
          <w:sz w:val="28"/>
          <w:szCs w:val="28"/>
        </w:rPr>
        <w:t>窒息等，事故类型较多，危害较大。而违章检维修、安全知识欠缺、安全意识淡薄是造成事故发生的重要原因之一。</w:t>
      </w:r>
    </w:p>
    <w:p w14:paraId="1178E77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（1）动火作业</w:t>
      </w:r>
    </w:p>
    <w:p w14:paraId="77DA151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在动火作业前，不严格按规定办理《动火安全作业证》；动火项目负责人不到现场检查动火安全措施和物资落实情况；焊接作业氧气瓶和乙炔瓶间距不够；动火监护人责任心不强，监护期间擅离职守；没按规定进行动火前的分析化验等都会埋下安全隐患，存在引发火灾事故的危险。</w:t>
      </w:r>
    </w:p>
    <w:p w14:paraId="027ADF1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安全措施不完善、作业方法不合理、选用工具不正确等现象都会引发火灾、爆炸事故。检修中违章使用易燃品、违章动火、不严格执行安全规程和检修规程，是导致火灾、爆炸事故发生的主要原因；在有可燃气体存在的作业场所，使用产生火花的机械工具是产生火灾、爆炸事故的重要原因。</w:t>
      </w:r>
    </w:p>
    <w:p w14:paraId="503A7FE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（2）进入有限空间作业</w:t>
      </w:r>
    </w:p>
    <w:p w14:paraId="3446DC5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埋地油罐属于受限空间，应按照受限空间进行管理，进入有限空间作业必须严格按规定办理《受限空间安全作业证》，项目负责人必须到现场落实安全措施情况，确认安全措施可靠并向作业负责人、作业执行人和作业监护人交代安全注意事项，作业人员必须在作业证上签字确认。停止作业60min后必须重新分析化验，作业时，作业现场应配置移动式气体检测报警仪，连续检测受限空间内可燃气体、有毒气体及氧气浓度，并2h记录1次；气体浓度超限报警时，应立即停止作业，撤离人员、对现场进行处理，重新检测合格后方可恢复作业。若不严格按照规定作业，存在发生火灾、爆炸或人员窒息的危险。</w:t>
      </w:r>
    </w:p>
    <w:p w14:paraId="058CC9B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（3）高处作业</w:t>
      </w:r>
    </w:p>
    <w:p w14:paraId="70D2186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在施工过程中难以避免发生高处作业，由于防护措施不到位或未按有关规定进行作业，存在施工人员发生高处坠落的危险性。</w:t>
      </w:r>
    </w:p>
    <w:p w14:paraId="52537E8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（4）临时用电</w:t>
      </w:r>
    </w:p>
    <w:p w14:paraId="5103820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在施工及检维修过程中临时用电，因设备绝缘不良、线路老化、短路、防护缺陷、接地不符合要求、未正确使用劳保用品、无证上岗、违章作业、雨天作业等都有可能引发触电或电气火灾事故。</w:t>
      </w:r>
    </w:p>
    <w:p w14:paraId="5E44887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（5）动土作业</w:t>
      </w:r>
    </w:p>
    <w:p w14:paraId="7742EE8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在动土作业前，如果对动土区域的地下设施未做详细了解，对埋在地下的光缆、管道等危险源辨识不到位，施工人员违章作业以及地块权属和施工项目归属不统一导致安全监管不利等原因，均易引发安全事故。</w:t>
      </w:r>
    </w:p>
    <w:p w14:paraId="165C47F6">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55" w:name="_Toc27293"/>
      <w:bookmarkStart w:id="456" w:name="_Toc7693"/>
      <w:r>
        <w:rPr>
          <w:rFonts w:hint="default" w:ascii="Times New Roman" w:hAnsi="Times New Roman" w:eastAsia="楷体" w:cs="Times New Roman"/>
          <w:b/>
          <w:bCs/>
          <w:sz w:val="32"/>
          <w:szCs w:val="32"/>
          <w:lang w:val="en-US" w:eastAsia="zh-CN"/>
        </w:rPr>
        <w:t>F3.</w:t>
      </w:r>
      <w:r>
        <w:rPr>
          <w:rFonts w:hint="eastAsia" w:ascii="Times New Roman" w:hAnsi="Times New Roman" w:eastAsia="楷体" w:cs="Times New Roman"/>
          <w:b/>
          <w:bCs/>
          <w:sz w:val="32"/>
          <w:szCs w:val="32"/>
          <w:lang w:val="en-US" w:eastAsia="zh-CN"/>
        </w:rPr>
        <w:t>4</w:t>
      </w:r>
      <w:r>
        <w:rPr>
          <w:rFonts w:hint="default" w:ascii="Times New Roman" w:hAnsi="Times New Roman" w:eastAsia="楷体" w:cs="Times New Roman"/>
          <w:b/>
          <w:bCs/>
          <w:sz w:val="32"/>
          <w:szCs w:val="32"/>
          <w:lang w:val="en-US" w:eastAsia="zh-CN"/>
        </w:rPr>
        <w:t>自然灾害</w:t>
      </w:r>
      <w:bookmarkEnd w:id="455"/>
      <w:bookmarkEnd w:id="456"/>
    </w:p>
    <w:p w14:paraId="6B45299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楷体" w:cs="Times New Roman"/>
          <w:b/>
        </w:rPr>
      </w:pPr>
      <w:r>
        <w:rPr>
          <w:rFonts w:hint="default" w:ascii="Times New Roman" w:hAnsi="Times New Roman" w:cs="Times New Roman"/>
          <w:bCs/>
          <w:sz w:val="28"/>
          <w:szCs w:val="28"/>
        </w:rPr>
        <w:t>从加油站自身特点和其经营的成品油所具有的危险特性，乃至事故危害及影响等因素综合考虑，必须对诸如汛期、雷雨天气和地震等自然灾害极有可能造成储油罐漂浮、移位，管线断裂，阀门损坏，油品外溢，接卸和出油作业过程中的金属放电引燃油蒸气、雷电等引起的火灾爆炸，以及加油站建（构）筑物的坍塌等问题应予以充分重视，如罩棚、站房雪载荷设计不够，大雪造成站房、罩棚的结构破坏，应采取切实有效的安全防范措施，将其危害和可能造成的损失降到最低程度。同时，在寒冷的冬季和炎热的夏季，对从事室外加油作业的人员，应做好防寒及防暑降温工作。</w:t>
      </w:r>
    </w:p>
    <w:bookmarkEnd w:id="453"/>
    <w:bookmarkEnd w:id="454"/>
    <w:p w14:paraId="76EC2A5A">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57" w:name="_Toc26222"/>
      <w:bookmarkStart w:id="458" w:name="_Toc41246764"/>
      <w:bookmarkStart w:id="459" w:name="_Toc9549"/>
      <w:r>
        <w:rPr>
          <w:rFonts w:hint="default" w:ascii="Times New Roman" w:hAnsi="Times New Roman" w:eastAsia="楷体" w:cs="Times New Roman"/>
          <w:b/>
          <w:bCs/>
          <w:sz w:val="32"/>
          <w:szCs w:val="32"/>
          <w:lang w:val="en-US" w:eastAsia="zh-CN"/>
        </w:rPr>
        <w:t>F3.</w:t>
      </w:r>
      <w:r>
        <w:rPr>
          <w:rFonts w:hint="eastAsia" w:ascii="Times New Roman" w:hAnsi="Times New Roman" w:eastAsia="楷体" w:cs="Times New Roman"/>
          <w:b/>
          <w:bCs/>
          <w:sz w:val="32"/>
          <w:szCs w:val="32"/>
          <w:lang w:val="en-US" w:eastAsia="zh-CN"/>
        </w:rPr>
        <w:t>5</w:t>
      </w:r>
      <w:r>
        <w:rPr>
          <w:rFonts w:hint="default" w:ascii="Times New Roman" w:hAnsi="Times New Roman" w:eastAsia="楷体" w:cs="Times New Roman"/>
          <w:b/>
          <w:bCs/>
          <w:sz w:val="32"/>
          <w:szCs w:val="32"/>
          <w:lang w:val="en-US" w:eastAsia="zh-CN"/>
        </w:rPr>
        <w:t>重大危险源辨识</w:t>
      </w:r>
      <w:bookmarkEnd w:id="457"/>
      <w:bookmarkEnd w:id="458"/>
      <w:bookmarkEnd w:id="459"/>
    </w:p>
    <w:p w14:paraId="1AEF5BAD">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460" w:name="_Toc41246765"/>
      <w:bookmarkStart w:id="461" w:name="_Toc21780"/>
      <w:bookmarkStart w:id="462" w:name="_Toc16615"/>
      <w:bookmarkStart w:id="463" w:name="_Toc146488936"/>
      <w:r>
        <w:rPr>
          <w:rFonts w:hint="default" w:ascii="Times New Roman" w:hAnsi="Times New Roman" w:eastAsia="黑体" w:cs="Times New Roman"/>
          <w:b/>
          <w:bCs/>
          <w:color w:val="auto"/>
          <w:sz w:val="28"/>
          <w:szCs w:val="32"/>
          <w:lang w:val="en-US" w:eastAsia="zh-CN"/>
        </w:rPr>
        <w:t>F3.</w:t>
      </w:r>
      <w:r>
        <w:rPr>
          <w:rFonts w:hint="eastAsia" w:eastAsia="黑体" w:cs="Times New Roman"/>
          <w:b/>
          <w:bCs/>
          <w:color w:val="auto"/>
          <w:sz w:val="28"/>
          <w:szCs w:val="32"/>
          <w:lang w:val="en-US" w:eastAsia="zh-CN"/>
        </w:rPr>
        <w:t>5</w:t>
      </w:r>
      <w:r>
        <w:rPr>
          <w:rFonts w:hint="default" w:ascii="Times New Roman" w:hAnsi="Times New Roman" w:eastAsia="黑体" w:cs="Times New Roman"/>
          <w:b/>
          <w:bCs/>
          <w:color w:val="auto"/>
          <w:sz w:val="28"/>
          <w:szCs w:val="32"/>
          <w:lang w:val="en-US" w:eastAsia="zh-CN"/>
        </w:rPr>
        <w:t>.1</w:t>
      </w:r>
      <w:bookmarkEnd w:id="460"/>
      <w:bookmarkEnd w:id="461"/>
      <w:r>
        <w:rPr>
          <w:rFonts w:hint="default" w:ascii="Times New Roman" w:hAnsi="Times New Roman" w:eastAsia="黑体" w:cs="Times New Roman"/>
          <w:b/>
          <w:bCs/>
          <w:color w:val="auto"/>
          <w:sz w:val="28"/>
          <w:szCs w:val="32"/>
          <w:lang w:val="en-US" w:eastAsia="zh-CN"/>
        </w:rPr>
        <w:t>重大危险源定义</w:t>
      </w:r>
      <w:bookmarkEnd w:id="462"/>
      <w:bookmarkEnd w:id="463"/>
    </w:p>
    <w:p w14:paraId="0CC6245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rPr>
      </w:pPr>
      <w:bookmarkStart w:id="464" w:name="_Hlk161602889"/>
      <w:bookmarkStart w:id="465" w:name="_Toc41246766"/>
      <w:bookmarkStart w:id="466" w:name="_Toc23182"/>
      <w:r>
        <w:rPr>
          <w:rFonts w:hint="default" w:ascii="Times New Roman" w:hAnsi="Times New Roman" w:cs="Times New Roman"/>
          <w:bCs/>
          <w:snapToGrid w:val="0"/>
          <w:kern w:val="0"/>
          <w:sz w:val="28"/>
          <w:szCs w:val="28"/>
          <w:lang w:bidi="ar"/>
        </w:rPr>
        <w:t>根据《危险化学品重大危险源辨识》(GBl8218-2018)，重大危险源的定义为：长期或临时</w:t>
      </w:r>
      <w:r>
        <w:rPr>
          <w:rFonts w:hint="eastAsia" w:cs="Times New Roman"/>
          <w:bCs/>
          <w:snapToGrid w:val="0"/>
          <w:kern w:val="0"/>
          <w:sz w:val="28"/>
          <w:szCs w:val="28"/>
          <w:lang w:val="en-US" w:eastAsia="zh-CN" w:bidi="ar"/>
        </w:rPr>
        <w:t>地</w:t>
      </w:r>
      <w:r>
        <w:rPr>
          <w:rFonts w:hint="default" w:ascii="Times New Roman" w:hAnsi="Times New Roman" w:cs="Times New Roman"/>
          <w:bCs/>
          <w:snapToGrid w:val="0"/>
          <w:kern w:val="0"/>
          <w:sz w:val="28"/>
          <w:szCs w:val="28"/>
          <w:lang w:bidi="ar"/>
        </w:rPr>
        <w:t>生产、</w:t>
      </w:r>
      <w:r>
        <w:rPr>
          <w:rFonts w:hint="eastAsia" w:cs="Times New Roman"/>
          <w:bCs/>
          <w:snapToGrid w:val="0"/>
          <w:kern w:val="0"/>
          <w:sz w:val="28"/>
          <w:szCs w:val="28"/>
          <w:lang w:val="en-US" w:eastAsia="zh-CN" w:bidi="ar"/>
        </w:rPr>
        <w:t>储存</w:t>
      </w:r>
      <w:r>
        <w:rPr>
          <w:rFonts w:hint="default" w:ascii="Times New Roman" w:hAnsi="Times New Roman" w:cs="Times New Roman"/>
          <w:bCs/>
          <w:snapToGrid w:val="0"/>
          <w:kern w:val="0"/>
          <w:sz w:val="28"/>
          <w:szCs w:val="28"/>
          <w:lang w:bidi="ar"/>
        </w:rPr>
        <w:t>、使用</w:t>
      </w:r>
      <w:r>
        <w:rPr>
          <w:rFonts w:hint="eastAsia" w:cs="Times New Roman"/>
          <w:bCs/>
          <w:snapToGrid w:val="0"/>
          <w:kern w:val="0"/>
          <w:sz w:val="28"/>
          <w:szCs w:val="28"/>
          <w:lang w:val="en-US" w:eastAsia="zh-CN" w:bidi="ar"/>
        </w:rPr>
        <w:t>和经营</w:t>
      </w:r>
      <w:r>
        <w:rPr>
          <w:rFonts w:hint="default" w:ascii="Times New Roman" w:hAnsi="Times New Roman" w:cs="Times New Roman"/>
          <w:bCs/>
          <w:snapToGrid w:val="0"/>
          <w:kern w:val="0"/>
          <w:sz w:val="28"/>
          <w:szCs w:val="28"/>
          <w:lang w:bidi="ar"/>
        </w:rPr>
        <w:t>危险</w:t>
      </w:r>
      <w:r>
        <w:rPr>
          <w:rFonts w:hint="eastAsia" w:cs="Times New Roman"/>
          <w:bCs/>
          <w:snapToGrid w:val="0"/>
          <w:kern w:val="0"/>
          <w:sz w:val="28"/>
          <w:szCs w:val="28"/>
          <w:lang w:val="en-US" w:eastAsia="zh-CN" w:bidi="ar"/>
        </w:rPr>
        <w:t>化学品</w:t>
      </w:r>
      <w:r>
        <w:rPr>
          <w:rFonts w:hint="default" w:ascii="Times New Roman" w:hAnsi="Times New Roman" w:cs="Times New Roman"/>
          <w:bCs/>
          <w:snapToGrid w:val="0"/>
          <w:kern w:val="0"/>
          <w:sz w:val="28"/>
          <w:szCs w:val="28"/>
          <w:lang w:bidi="ar"/>
        </w:rPr>
        <w:t>，且</w:t>
      </w:r>
      <w:r>
        <w:rPr>
          <w:rFonts w:hint="eastAsia" w:cs="Times New Roman"/>
          <w:bCs/>
          <w:snapToGrid w:val="0"/>
          <w:kern w:val="0"/>
          <w:sz w:val="28"/>
          <w:szCs w:val="28"/>
          <w:lang w:val="en-US" w:eastAsia="zh-CN" w:bidi="ar"/>
        </w:rPr>
        <w:t>危险化学品的</w:t>
      </w:r>
      <w:r>
        <w:rPr>
          <w:rFonts w:hint="default" w:ascii="Times New Roman" w:hAnsi="Times New Roman" w:cs="Times New Roman"/>
          <w:bCs/>
          <w:snapToGrid w:val="0"/>
          <w:kern w:val="0"/>
          <w:sz w:val="28"/>
          <w:szCs w:val="28"/>
          <w:lang w:bidi="ar"/>
        </w:rPr>
        <w:t>数量等于或超过临界量的单元。</w:t>
      </w:r>
    </w:p>
    <w:p w14:paraId="7C50ADD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Cs/>
          <w:snapToGrid w:val="0"/>
          <w:kern w:val="0"/>
          <w:sz w:val="28"/>
          <w:szCs w:val="28"/>
          <w:lang w:bidi="ar"/>
        </w:rPr>
      </w:pPr>
      <w:r>
        <w:rPr>
          <w:rFonts w:hint="default" w:ascii="Times New Roman" w:hAnsi="Times New Roman" w:eastAsia="宋体" w:cs="Times New Roman"/>
          <w:bCs/>
          <w:snapToGrid w:val="0"/>
          <w:kern w:val="0"/>
          <w:sz w:val="28"/>
          <w:szCs w:val="28"/>
          <w:lang w:bidi="ar"/>
        </w:rPr>
        <w:t>（1）重大危险源辨识指标</w:t>
      </w:r>
    </w:p>
    <w:p w14:paraId="4978F05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rPr>
      </w:pPr>
      <w:r>
        <w:rPr>
          <w:rFonts w:hint="default" w:ascii="Times New Roman" w:hAnsi="Times New Roman" w:cs="Times New Roman"/>
          <w:bCs/>
          <w:snapToGrid w:val="0"/>
          <w:kern w:val="0"/>
          <w:sz w:val="28"/>
          <w:szCs w:val="28"/>
          <w:lang w:bidi="ar"/>
        </w:rPr>
        <w:t>重大危险源的辨识指标为：单元内存在危险</w:t>
      </w:r>
      <w:r>
        <w:rPr>
          <w:rFonts w:hint="eastAsia" w:cs="Times New Roman"/>
          <w:bCs/>
          <w:snapToGrid w:val="0"/>
          <w:kern w:val="0"/>
          <w:sz w:val="28"/>
          <w:szCs w:val="28"/>
          <w:lang w:val="en-US" w:eastAsia="zh-CN" w:bidi="ar"/>
        </w:rPr>
        <w:t>化学品</w:t>
      </w:r>
      <w:r>
        <w:rPr>
          <w:rFonts w:hint="default" w:ascii="Times New Roman" w:hAnsi="Times New Roman" w:cs="Times New Roman"/>
          <w:bCs/>
          <w:snapToGrid w:val="0"/>
          <w:kern w:val="0"/>
          <w:sz w:val="28"/>
          <w:szCs w:val="28"/>
          <w:lang w:bidi="ar"/>
        </w:rPr>
        <w:t>的数量等于或超过规定的临界量，即被定为重大危险源。单元内存在危险</w:t>
      </w:r>
      <w:r>
        <w:rPr>
          <w:rFonts w:hint="eastAsia" w:cs="Times New Roman"/>
          <w:bCs/>
          <w:snapToGrid w:val="0"/>
          <w:kern w:val="0"/>
          <w:sz w:val="28"/>
          <w:szCs w:val="28"/>
          <w:lang w:val="en-US" w:eastAsia="zh-CN" w:bidi="ar"/>
        </w:rPr>
        <w:t>化学品</w:t>
      </w:r>
      <w:r>
        <w:rPr>
          <w:rFonts w:hint="default" w:ascii="Times New Roman" w:hAnsi="Times New Roman" w:cs="Times New Roman"/>
          <w:bCs/>
          <w:snapToGrid w:val="0"/>
          <w:kern w:val="0"/>
          <w:sz w:val="28"/>
          <w:szCs w:val="28"/>
          <w:lang w:bidi="ar"/>
        </w:rPr>
        <w:t>的数量根据处理物质种类的多少区分为以下两种情况：</w:t>
      </w:r>
    </w:p>
    <w:p w14:paraId="0CA6C36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rPr>
      </w:pPr>
      <w:r>
        <w:rPr>
          <w:rFonts w:hint="default" w:ascii="Times New Roman" w:hAnsi="Times New Roman" w:cs="Times New Roman"/>
          <w:bCs/>
          <w:snapToGrid w:val="0"/>
          <w:kern w:val="0"/>
          <w:sz w:val="28"/>
          <w:szCs w:val="28"/>
          <w:lang w:bidi="ar"/>
        </w:rPr>
        <w:t>单元内存在的危险物质为单一品种，该</w:t>
      </w:r>
      <w:r>
        <w:rPr>
          <w:rFonts w:hint="eastAsia" w:cs="Times New Roman"/>
          <w:bCs/>
          <w:snapToGrid w:val="0"/>
          <w:kern w:val="0"/>
          <w:sz w:val="28"/>
          <w:szCs w:val="28"/>
          <w:lang w:val="en-US" w:eastAsia="zh-CN" w:bidi="ar"/>
        </w:rPr>
        <w:t>危险化学品的数量</w:t>
      </w:r>
      <w:r>
        <w:rPr>
          <w:rFonts w:hint="default" w:ascii="Times New Roman" w:hAnsi="Times New Roman" w:cs="Times New Roman"/>
          <w:bCs/>
          <w:snapToGrid w:val="0"/>
          <w:kern w:val="0"/>
          <w:sz w:val="28"/>
          <w:szCs w:val="28"/>
          <w:lang w:bidi="ar"/>
        </w:rPr>
        <w:t>即为单元内危险</w:t>
      </w:r>
      <w:r>
        <w:rPr>
          <w:rFonts w:hint="eastAsia" w:cs="Times New Roman"/>
          <w:bCs/>
          <w:snapToGrid w:val="0"/>
          <w:kern w:val="0"/>
          <w:sz w:val="28"/>
          <w:szCs w:val="28"/>
          <w:lang w:val="en-US" w:eastAsia="zh-CN" w:bidi="ar"/>
        </w:rPr>
        <w:t>化学品</w:t>
      </w:r>
      <w:r>
        <w:rPr>
          <w:rFonts w:hint="default" w:ascii="Times New Roman" w:hAnsi="Times New Roman" w:cs="Times New Roman"/>
          <w:bCs/>
          <w:snapToGrid w:val="0"/>
          <w:kern w:val="0"/>
          <w:sz w:val="28"/>
          <w:szCs w:val="28"/>
          <w:lang w:bidi="ar"/>
        </w:rPr>
        <w:t>的总量，若等于或超过相应的临界量，则定为重大危险源。</w:t>
      </w:r>
    </w:p>
    <w:p w14:paraId="0048EFF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rPr>
      </w:pPr>
      <w:r>
        <w:rPr>
          <w:rFonts w:hint="default" w:ascii="Times New Roman" w:hAnsi="Times New Roman" w:cs="Times New Roman"/>
          <w:bCs/>
          <w:snapToGrid w:val="0"/>
          <w:kern w:val="0"/>
          <w:sz w:val="28"/>
          <w:szCs w:val="28"/>
          <w:lang w:bidi="ar"/>
        </w:rPr>
        <w:t>单元内存在的危险</w:t>
      </w:r>
      <w:r>
        <w:rPr>
          <w:rFonts w:hint="eastAsia" w:cs="Times New Roman"/>
          <w:bCs/>
          <w:snapToGrid w:val="0"/>
          <w:kern w:val="0"/>
          <w:sz w:val="28"/>
          <w:szCs w:val="28"/>
          <w:lang w:val="en-US" w:eastAsia="zh-CN" w:bidi="ar"/>
        </w:rPr>
        <w:t>化学品</w:t>
      </w:r>
      <w:r>
        <w:rPr>
          <w:rFonts w:hint="default" w:ascii="Times New Roman" w:hAnsi="Times New Roman" w:cs="Times New Roman"/>
          <w:bCs/>
          <w:snapToGrid w:val="0"/>
          <w:kern w:val="0"/>
          <w:sz w:val="28"/>
          <w:szCs w:val="28"/>
          <w:lang w:bidi="ar"/>
        </w:rPr>
        <w:t>为多品种时，则按下式计算，若满足下面公式，则定为重大危险源：</w:t>
      </w:r>
    </w:p>
    <w:p w14:paraId="5DC9AC8B">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default" w:ascii="Times New Roman" w:hAnsi="Times New Roman" w:cs="Times New Roman"/>
        </w:rPr>
      </w:pPr>
      <w:r>
        <w:rPr>
          <w:rFonts w:hint="default" w:ascii="Times New Roman" w:hAnsi="Times New Roman" w:cs="Times New Roman"/>
          <w:kern w:val="21"/>
          <w:szCs w:val="21"/>
        </w:rPr>
        <w:drawing>
          <wp:inline distT="0" distB="0" distL="114300" distR="114300">
            <wp:extent cx="3810000" cy="619125"/>
            <wp:effectExtent l="0" t="0" r="0" b="9525"/>
            <wp:docPr id="142" name="图片 22" descr="wp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22" descr="wps2"/>
                    <pic:cNvPicPr>
                      <a:picLocks noChangeAspect="1"/>
                    </pic:cNvPicPr>
                  </pic:nvPicPr>
                  <pic:blipFill>
                    <a:blip r:embed="rId15"/>
                    <a:stretch>
                      <a:fillRect/>
                    </a:stretch>
                  </pic:blipFill>
                  <pic:spPr>
                    <a:xfrm>
                      <a:off x="0" y="0"/>
                      <a:ext cx="3810000" cy="619125"/>
                    </a:xfrm>
                    <a:prstGeom prst="rect">
                      <a:avLst/>
                    </a:prstGeom>
                    <a:noFill/>
                    <a:ln>
                      <a:noFill/>
                    </a:ln>
                  </pic:spPr>
                </pic:pic>
              </a:graphicData>
            </a:graphic>
          </wp:inline>
        </w:drawing>
      </w:r>
      <w:r>
        <w:rPr>
          <w:rFonts w:hint="default" w:ascii="Times New Roman" w:hAnsi="Times New Roman" w:cs="Times New Roman"/>
          <w:kern w:val="21"/>
          <w:szCs w:val="21"/>
          <w:lang w:bidi="ar"/>
        </w:rPr>
        <w:t xml:space="preserve">   </w:t>
      </w:r>
    </w:p>
    <w:p w14:paraId="58EBFDB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rPr>
      </w:pPr>
      <w:r>
        <w:rPr>
          <w:rFonts w:hint="default" w:ascii="Times New Roman" w:hAnsi="Times New Roman" w:cs="Times New Roman"/>
          <w:bCs/>
          <w:snapToGrid w:val="0"/>
          <w:kern w:val="0"/>
          <w:sz w:val="28"/>
          <w:szCs w:val="28"/>
          <w:lang w:bidi="ar"/>
        </w:rPr>
        <w:t>式中：</w:t>
      </w:r>
      <w:r>
        <w:rPr>
          <w:rFonts w:hint="default" w:ascii="Times New Roman" w:hAnsi="Times New Roman" w:cs="Times New Roman"/>
          <w:bCs/>
          <w:kern w:val="0"/>
          <w:sz w:val="28"/>
          <w:szCs w:val="28"/>
          <w:lang w:bidi="ar"/>
        </w:rPr>
        <w:t xml:space="preserve">  </w:t>
      </w:r>
      <w:r>
        <w:rPr>
          <w:rFonts w:hint="default" w:ascii="Times New Roman" w:hAnsi="Times New Roman" w:cs="Times New Roman"/>
          <w:bCs/>
          <w:snapToGrid w:val="0"/>
          <w:kern w:val="0"/>
          <w:sz w:val="28"/>
          <w:szCs w:val="28"/>
          <w:lang w:bidi="ar"/>
        </w:rPr>
        <w:t>q1,q2,…,qn　 ——每种</w:t>
      </w:r>
      <w:r>
        <w:rPr>
          <w:rFonts w:hint="eastAsia" w:cs="Times New Roman"/>
          <w:bCs/>
          <w:snapToGrid w:val="0"/>
          <w:kern w:val="0"/>
          <w:sz w:val="28"/>
          <w:szCs w:val="28"/>
          <w:lang w:val="en-US" w:eastAsia="zh-CN" w:bidi="ar"/>
        </w:rPr>
        <w:t>危险化学品的</w:t>
      </w:r>
      <w:r>
        <w:rPr>
          <w:rFonts w:hint="default" w:ascii="Times New Roman" w:hAnsi="Times New Roman" w:cs="Times New Roman"/>
          <w:bCs/>
          <w:snapToGrid w:val="0"/>
          <w:kern w:val="0"/>
          <w:sz w:val="28"/>
          <w:szCs w:val="28"/>
          <w:lang w:bidi="ar"/>
        </w:rPr>
        <w:t>实际存在量，t。</w:t>
      </w:r>
    </w:p>
    <w:p w14:paraId="282E676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rPr>
      </w:pPr>
      <w:r>
        <w:rPr>
          <w:rFonts w:hint="default" w:ascii="Times New Roman" w:hAnsi="Times New Roman" w:cs="Times New Roman"/>
          <w:bCs/>
          <w:kern w:val="0"/>
          <w:sz w:val="28"/>
          <w:szCs w:val="28"/>
          <w:lang w:bidi="ar"/>
        </w:rPr>
        <w:t xml:space="preserve">        </w:t>
      </w:r>
      <w:r>
        <w:rPr>
          <w:rFonts w:hint="default" w:ascii="Times New Roman" w:hAnsi="Times New Roman" w:cs="Times New Roman"/>
          <w:bCs/>
          <w:snapToGrid w:val="0"/>
          <w:kern w:val="0"/>
          <w:sz w:val="28"/>
          <w:szCs w:val="28"/>
          <w:lang w:bidi="ar"/>
        </w:rPr>
        <w:t>Q1,Q2,…,Qn　——与</w:t>
      </w:r>
      <w:r>
        <w:rPr>
          <w:rFonts w:hint="eastAsia" w:cs="Times New Roman"/>
          <w:bCs/>
          <w:snapToGrid w:val="0"/>
          <w:kern w:val="0"/>
          <w:sz w:val="28"/>
          <w:szCs w:val="28"/>
          <w:lang w:val="en-US" w:eastAsia="zh-CN" w:bidi="ar"/>
        </w:rPr>
        <w:t>每种危险化学品</w:t>
      </w:r>
      <w:r>
        <w:rPr>
          <w:rFonts w:hint="default" w:ascii="Times New Roman" w:hAnsi="Times New Roman" w:cs="Times New Roman"/>
          <w:bCs/>
          <w:snapToGrid w:val="0"/>
          <w:kern w:val="0"/>
          <w:sz w:val="28"/>
          <w:szCs w:val="28"/>
          <w:lang w:bidi="ar"/>
        </w:rPr>
        <w:t>相对应的临界量，t。</w:t>
      </w:r>
    </w:p>
    <w:bookmarkEnd w:id="464"/>
    <w:p w14:paraId="5186B09D">
      <w:pPr>
        <w:pStyle w:val="4"/>
        <w:keepNext/>
        <w:keepLines/>
        <w:pageBreakBefore w:val="0"/>
        <w:widowControl w:val="0"/>
        <w:kinsoku/>
        <w:wordWrap/>
        <w:overflowPunct/>
        <w:topLinePunct w:val="0"/>
        <w:autoSpaceDE/>
        <w:autoSpaceDN/>
        <w:bidi w:val="0"/>
        <w:adjustRightInd w:val="0"/>
        <w:snapToGrid w:val="0"/>
        <w:spacing w:before="157" w:beforeLines="50" w:beforeAutospacing="0" w:after="157" w:afterLines="50" w:afterAutospacing="0" w:line="360" w:lineRule="auto"/>
        <w:ind w:left="0"/>
        <w:textAlignment w:val="auto"/>
        <w:rPr>
          <w:rFonts w:hint="default" w:ascii="Times New Roman" w:hAnsi="Times New Roman" w:eastAsia="黑体" w:cs="Times New Roman"/>
          <w:b/>
          <w:bCs/>
          <w:color w:val="auto"/>
          <w:sz w:val="28"/>
          <w:szCs w:val="32"/>
          <w:lang w:val="en-US" w:eastAsia="zh-CN"/>
        </w:rPr>
      </w:pPr>
      <w:bookmarkStart w:id="467" w:name="_Toc12426"/>
      <w:bookmarkStart w:id="468" w:name="_Toc146488937"/>
      <w:r>
        <w:rPr>
          <w:rFonts w:hint="default" w:ascii="Times New Roman" w:hAnsi="Times New Roman" w:eastAsia="黑体" w:cs="Times New Roman"/>
          <w:b/>
          <w:bCs/>
          <w:color w:val="auto"/>
          <w:sz w:val="28"/>
          <w:szCs w:val="32"/>
          <w:lang w:val="en-US" w:eastAsia="zh-CN"/>
        </w:rPr>
        <w:t>F3.</w:t>
      </w:r>
      <w:r>
        <w:rPr>
          <w:rFonts w:hint="eastAsia" w:eastAsia="黑体" w:cs="Times New Roman"/>
          <w:b/>
          <w:bCs/>
          <w:color w:val="auto"/>
          <w:sz w:val="28"/>
          <w:szCs w:val="32"/>
          <w:lang w:val="en-US" w:eastAsia="zh-CN"/>
        </w:rPr>
        <w:t>5</w:t>
      </w:r>
      <w:r>
        <w:rPr>
          <w:rFonts w:hint="default" w:ascii="Times New Roman" w:hAnsi="Times New Roman" w:eastAsia="黑体" w:cs="Times New Roman"/>
          <w:b/>
          <w:bCs/>
          <w:color w:val="auto"/>
          <w:sz w:val="28"/>
          <w:szCs w:val="32"/>
          <w:lang w:val="en-US" w:eastAsia="zh-CN"/>
        </w:rPr>
        <w:t>.2</w:t>
      </w:r>
      <w:bookmarkEnd w:id="465"/>
      <w:bookmarkEnd w:id="466"/>
      <w:r>
        <w:rPr>
          <w:rFonts w:hint="default" w:ascii="Times New Roman" w:hAnsi="Times New Roman" w:eastAsia="黑体" w:cs="Times New Roman"/>
          <w:b/>
          <w:bCs/>
          <w:color w:val="auto"/>
          <w:sz w:val="28"/>
          <w:szCs w:val="32"/>
          <w:lang w:val="en-US" w:eastAsia="zh-CN"/>
        </w:rPr>
        <w:t>重大危险源辨识</w:t>
      </w:r>
      <w:bookmarkEnd w:id="467"/>
      <w:bookmarkEnd w:id="468"/>
    </w:p>
    <w:p w14:paraId="05919FA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lang w:bidi="ar"/>
        </w:rPr>
      </w:pPr>
      <w:bookmarkStart w:id="469" w:name="_Hlk161602953"/>
      <w:r>
        <w:rPr>
          <w:rFonts w:hint="default" w:ascii="Times New Roman" w:hAnsi="Times New Roman" w:cs="Times New Roman"/>
          <w:bCs/>
          <w:snapToGrid w:val="0"/>
          <w:kern w:val="0"/>
          <w:sz w:val="28"/>
          <w:szCs w:val="28"/>
          <w:lang w:bidi="ar"/>
        </w:rPr>
        <w:t>根据《危险化学品重大危险源辨识》（GB 18218-2018）的相关规定，危险化学品储罐以及其他容器、设备或仓储区的危险化学品的实际存在量按设计最大量确定。</w:t>
      </w:r>
    </w:p>
    <w:p w14:paraId="3F3542B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lang w:bidi="ar"/>
        </w:rPr>
      </w:pPr>
      <w:r>
        <w:rPr>
          <w:rFonts w:hint="default" w:ascii="Times New Roman" w:hAnsi="Times New Roman" w:cs="Times New Roman"/>
          <w:bCs/>
          <w:snapToGrid w:val="0"/>
          <w:kern w:val="0"/>
          <w:sz w:val="28"/>
          <w:szCs w:val="28"/>
          <w:lang w:bidi="ar"/>
        </w:rPr>
        <w:t>对于危险化学品混合物，如果混合物与其纯物质属于相同危险类别，则视混合物为纯物质，按混合物整体进行计算。如果混合物遇其纯物质不属于相同危险类别，则应按新危险类别考虑其临界量。</w:t>
      </w:r>
    </w:p>
    <w:p w14:paraId="1F337CE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lang w:bidi="ar"/>
        </w:rPr>
      </w:pPr>
      <w:r>
        <w:rPr>
          <w:rFonts w:hint="default" w:ascii="Times New Roman" w:hAnsi="Times New Roman" w:cs="Times New Roman"/>
          <w:bCs/>
          <w:snapToGrid w:val="0"/>
          <w:kern w:val="0"/>
          <w:sz w:val="28"/>
          <w:szCs w:val="28"/>
          <w:lang w:bidi="ar"/>
        </w:rPr>
        <w:t>该站在经营、储存过程中，涉及构成危险化学品重大危险源的物质为</w:t>
      </w:r>
      <w:r>
        <w:rPr>
          <w:rFonts w:hint="eastAsia" w:cs="Times New Roman"/>
          <w:bCs/>
          <w:snapToGrid w:val="0"/>
          <w:kern w:val="0"/>
          <w:sz w:val="28"/>
          <w:szCs w:val="28"/>
          <w:lang w:eastAsia="zh-CN" w:bidi="ar"/>
        </w:rPr>
        <w:t>乙醇汽油</w:t>
      </w:r>
      <w:r>
        <w:rPr>
          <w:rFonts w:hint="default" w:ascii="Times New Roman" w:hAnsi="Times New Roman" w:cs="Times New Roman"/>
          <w:bCs/>
          <w:snapToGrid w:val="0"/>
          <w:kern w:val="0"/>
          <w:sz w:val="28"/>
          <w:szCs w:val="28"/>
          <w:lang w:bidi="ar"/>
        </w:rPr>
        <w:t>、柴油，其临界量分别为200t、5000t。</w:t>
      </w:r>
    </w:p>
    <w:p w14:paraId="105A7E2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lang w:bidi="ar"/>
        </w:rPr>
      </w:pPr>
      <w:r>
        <w:rPr>
          <w:rFonts w:hint="default" w:ascii="Times New Roman" w:hAnsi="Times New Roman" w:cs="Times New Roman"/>
          <w:bCs/>
          <w:snapToGrid w:val="0"/>
          <w:kern w:val="0"/>
          <w:sz w:val="28"/>
          <w:szCs w:val="28"/>
          <w:lang w:bidi="ar"/>
        </w:rPr>
        <w:t>根据本项目实际情况划分为2个单元，即将加油机内的乙醇汽油或柴油划分为生产单元、将储罐区储存的乙醇汽油或柴油划分为储存单元。</w:t>
      </w:r>
    </w:p>
    <w:bookmarkEnd w:id="469"/>
    <w:p w14:paraId="373BA3F0">
      <w:pPr>
        <w:keepNext w:val="0"/>
        <w:keepLines w:val="0"/>
        <w:pageBreakBefore w:val="0"/>
        <w:widowControl w:val="0"/>
        <w:numPr>
          <w:ilvl w:val="0"/>
          <w:numId w:val="29"/>
        </w:numPr>
        <w:kinsoku/>
        <w:wordWrap/>
        <w:overflowPunct/>
        <w:topLinePunct w:val="0"/>
        <w:autoSpaceDE/>
        <w:autoSpaceDN/>
        <w:bidi w:val="0"/>
        <w:adjustRightInd w:val="0"/>
        <w:snapToGrid w:val="0"/>
        <w:spacing w:line="360" w:lineRule="auto"/>
        <w:ind w:firstLine="560" w:firstLineChars="200"/>
        <w:textAlignment w:val="auto"/>
        <w:rPr>
          <w:rFonts w:hint="eastAsia" w:cs="Times New Roman"/>
          <w:bCs/>
          <w:snapToGrid w:val="0"/>
          <w:kern w:val="0"/>
          <w:sz w:val="28"/>
          <w:szCs w:val="28"/>
          <w:lang w:val="en-US" w:eastAsia="zh-CN" w:bidi="ar"/>
        </w:rPr>
      </w:pPr>
      <w:r>
        <w:rPr>
          <w:rFonts w:hint="eastAsia" w:cs="Times New Roman"/>
          <w:bCs/>
          <w:snapToGrid w:val="0"/>
          <w:kern w:val="0"/>
          <w:sz w:val="28"/>
          <w:szCs w:val="28"/>
          <w:lang w:val="en-US" w:eastAsia="zh-CN" w:bidi="ar"/>
        </w:rPr>
        <w:t>生产单元</w:t>
      </w:r>
    </w:p>
    <w:p w14:paraId="25EF9DE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textAlignment w:val="auto"/>
        <w:rPr>
          <w:rFonts w:hint="default" w:cs="Times New Roman"/>
          <w:bCs/>
          <w:snapToGrid w:val="0"/>
          <w:kern w:val="0"/>
          <w:sz w:val="28"/>
          <w:szCs w:val="28"/>
          <w:lang w:val="en-US" w:eastAsia="zh-CN" w:bidi="ar"/>
        </w:rPr>
      </w:pPr>
      <w:r>
        <w:rPr>
          <w:rFonts w:hint="default" w:cs="Times New Roman"/>
          <w:bCs/>
          <w:snapToGrid w:val="0"/>
          <w:kern w:val="0"/>
          <w:sz w:val="28"/>
          <w:szCs w:val="28"/>
          <w:lang w:val="en-US" w:eastAsia="zh-CN" w:bidi="ar"/>
        </w:rPr>
        <w:t>由于加油过程中加油机内的乙醇汽油或柴油均来自油罐，加油机内危险化学品的储量远远小于其危险化学品重大危险源的临界量，故生产单元未构成危险化学品重大危险源。</w:t>
      </w:r>
    </w:p>
    <w:p w14:paraId="2698199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lang w:bidi="ar"/>
        </w:rPr>
      </w:pPr>
      <w:r>
        <w:rPr>
          <w:rFonts w:hint="eastAsia" w:cs="Times New Roman"/>
          <w:bCs/>
          <w:snapToGrid w:val="0"/>
          <w:kern w:val="0"/>
          <w:sz w:val="28"/>
          <w:szCs w:val="28"/>
          <w:lang w:val="en-US" w:eastAsia="zh-CN" w:bidi="ar"/>
        </w:rPr>
        <w:t>（2）储存</w:t>
      </w:r>
      <w:r>
        <w:rPr>
          <w:rFonts w:hint="default" w:ascii="Times New Roman" w:hAnsi="Times New Roman" w:cs="Times New Roman"/>
          <w:bCs/>
          <w:snapToGrid w:val="0"/>
          <w:kern w:val="0"/>
          <w:sz w:val="28"/>
          <w:szCs w:val="28"/>
          <w:lang w:bidi="ar"/>
        </w:rPr>
        <w:t>单元：</w:t>
      </w:r>
    </w:p>
    <w:p w14:paraId="24B373C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lang w:bidi="ar"/>
        </w:rPr>
      </w:pPr>
      <w:r>
        <w:rPr>
          <w:rFonts w:hint="default" w:ascii="Times New Roman" w:hAnsi="Times New Roman" w:cs="Times New Roman"/>
          <w:bCs/>
          <w:snapToGrid w:val="0"/>
          <w:kern w:val="0"/>
          <w:sz w:val="28"/>
          <w:szCs w:val="28"/>
          <w:lang w:bidi="ar"/>
        </w:rPr>
        <w:t>加油站储罐区单元有</w:t>
      </w:r>
      <w:r>
        <w:rPr>
          <w:rFonts w:hint="eastAsia" w:cs="Times New Roman"/>
          <w:bCs/>
          <w:snapToGrid w:val="0"/>
          <w:kern w:val="0"/>
          <w:sz w:val="28"/>
          <w:szCs w:val="28"/>
          <w:lang w:val="en-US" w:eastAsia="zh-CN" w:bidi="ar"/>
        </w:rPr>
        <w:t>3</w:t>
      </w:r>
      <w:r>
        <w:rPr>
          <w:rFonts w:hint="default" w:ascii="Times New Roman" w:hAnsi="Times New Roman" w:cs="Times New Roman"/>
          <w:bCs/>
          <w:snapToGrid w:val="0"/>
          <w:kern w:val="0"/>
          <w:sz w:val="28"/>
          <w:szCs w:val="28"/>
          <w:lang w:bidi="ar"/>
        </w:rPr>
        <w:t>座</w:t>
      </w:r>
      <w:r>
        <w:rPr>
          <w:rFonts w:hint="eastAsia" w:cs="Times New Roman"/>
          <w:bCs/>
          <w:snapToGrid w:val="0"/>
          <w:kern w:val="0"/>
          <w:sz w:val="28"/>
          <w:szCs w:val="28"/>
          <w:lang w:eastAsia="zh-CN" w:bidi="ar"/>
        </w:rPr>
        <w:t>乙醇汽油</w:t>
      </w:r>
      <w:r>
        <w:rPr>
          <w:rFonts w:hint="default" w:ascii="Times New Roman" w:hAnsi="Times New Roman" w:cs="Times New Roman"/>
          <w:bCs/>
          <w:snapToGrid w:val="0"/>
          <w:kern w:val="0"/>
          <w:sz w:val="28"/>
          <w:szCs w:val="28"/>
          <w:lang w:bidi="ar"/>
        </w:rPr>
        <w:t>储罐，总容积为</w:t>
      </w:r>
      <w:r>
        <w:rPr>
          <w:rFonts w:hint="eastAsia" w:cs="Times New Roman"/>
          <w:bCs/>
          <w:snapToGrid w:val="0"/>
          <w:kern w:val="0"/>
          <w:sz w:val="28"/>
          <w:szCs w:val="28"/>
          <w:lang w:val="en-US" w:eastAsia="zh-CN" w:bidi="ar"/>
        </w:rPr>
        <w:t>90</w:t>
      </w:r>
      <w:r>
        <w:rPr>
          <w:rFonts w:hint="default" w:ascii="Times New Roman" w:hAnsi="Times New Roman" w:cs="Times New Roman"/>
          <w:bCs/>
          <w:snapToGrid w:val="0"/>
          <w:kern w:val="0"/>
          <w:sz w:val="28"/>
          <w:szCs w:val="28"/>
          <w:lang w:bidi="ar"/>
        </w:rPr>
        <w:t>m³，</w:t>
      </w:r>
      <w:r>
        <w:rPr>
          <w:rFonts w:hint="eastAsia" w:cs="Times New Roman"/>
          <w:bCs/>
          <w:snapToGrid w:val="0"/>
          <w:kern w:val="0"/>
          <w:sz w:val="28"/>
          <w:szCs w:val="28"/>
          <w:lang w:eastAsia="zh-CN" w:bidi="ar"/>
        </w:rPr>
        <w:t>乙醇汽油</w:t>
      </w:r>
      <w:r>
        <w:rPr>
          <w:rFonts w:hint="default" w:ascii="Times New Roman" w:hAnsi="Times New Roman" w:cs="Times New Roman"/>
          <w:bCs/>
          <w:snapToGrid w:val="0"/>
          <w:kern w:val="0"/>
          <w:sz w:val="28"/>
          <w:szCs w:val="28"/>
          <w:lang w:bidi="ar"/>
        </w:rPr>
        <w:t>的密度为0.</w:t>
      </w:r>
      <w:r>
        <w:rPr>
          <w:rFonts w:hint="eastAsia" w:cs="Times New Roman"/>
          <w:bCs/>
          <w:snapToGrid w:val="0"/>
          <w:kern w:val="0"/>
          <w:sz w:val="28"/>
          <w:szCs w:val="28"/>
          <w:lang w:val="en-US" w:eastAsia="zh-CN" w:bidi="ar"/>
        </w:rPr>
        <w:t>74</w:t>
      </w:r>
      <w:r>
        <w:rPr>
          <w:rFonts w:hint="default" w:ascii="Times New Roman" w:hAnsi="Times New Roman" w:cs="Times New Roman"/>
          <w:bCs/>
          <w:snapToGrid w:val="0"/>
          <w:kern w:val="0"/>
          <w:sz w:val="28"/>
          <w:szCs w:val="28"/>
          <w:lang w:bidi="ar"/>
        </w:rPr>
        <w:t>t/m³；</w:t>
      </w:r>
      <w:r>
        <w:rPr>
          <w:rFonts w:hint="eastAsia" w:cs="Times New Roman"/>
          <w:bCs/>
          <w:snapToGrid w:val="0"/>
          <w:kern w:val="0"/>
          <w:sz w:val="28"/>
          <w:szCs w:val="28"/>
          <w:lang w:val="en-US" w:eastAsia="zh-CN" w:bidi="ar"/>
        </w:rPr>
        <w:t>1</w:t>
      </w:r>
      <w:r>
        <w:rPr>
          <w:rFonts w:hint="default" w:ascii="Times New Roman" w:hAnsi="Times New Roman" w:cs="Times New Roman"/>
          <w:bCs/>
          <w:snapToGrid w:val="0"/>
          <w:kern w:val="0"/>
          <w:sz w:val="28"/>
          <w:szCs w:val="28"/>
          <w:lang w:bidi="ar"/>
        </w:rPr>
        <w:t>座柴油储罐，总容积为</w:t>
      </w:r>
      <w:r>
        <w:rPr>
          <w:rFonts w:hint="eastAsia" w:cs="Times New Roman"/>
          <w:bCs/>
          <w:snapToGrid w:val="0"/>
          <w:kern w:val="0"/>
          <w:sz w:val="28"/>
          <w:szCs w:val="28"/>
          <w:lang w:val="en-US" w:eastAsia="zh-CN" w:bidi="ar"/>
        </w:rPr>
        <w:t>30</w:t>
      </w:r>
      <w:r>
        <w:rPr>
          <w:rFonts w:hint="default" w:ascii="Times New Roman" w:hAnsi="Times New Roman" w:cs="Times New Roman"/>
          <w:bCs/>
          <w:snapToGrid w:val="0"/>
          <w:kern w:val="0"/>
          <w:sz w:val="28"/>
          <w:szCs w:val="28"/>
          <w:lang w:bidi="ar"/>
        </w:rPr>
        <w:t>m³，柴油的密度为0.85t/m³。储罐区单元危险化学品的临界量与最大储存量对照见下表。</w:t>
      </w:r>
    </w:p>
    <w:p w14:paraId="55FFD660">
      <w:pPr>
        <w:keepNext w:val="0"/>
        <w:keepLines w:val="0"/>
        <w:pageBreakBefore w:val="0"/>
        <w:widowControl w:val="0"/>
        <w:kinsoku/>
        <w:wordWrap/>
        <w:overflowPunct/>
        <w:topLinePunct w:val="0"/>
        <w:autoSpaceDE/>
        <w:autoSpaceDN/>
        <w:bidi w:val="0"/>
        <w:adjustRightInd w:val="0"/>
        <w:snapToGrid w:val="0"/>
        <w:spacing w:before="327" w:beforeLines="100" w:after="164" w:afterLines="50"/>
        <w:ind w:firstLine="0"/>
        <w:jc w:val="center"/>
        <w:textAlignment w:val="auto"/>
        <w:rPr>
          <w:rFonts w:hint="default" w:ascii="Times New Roman" w:hAnsi="Times New Roman" w:eastAsia="黑体" w:cs="Times New Roman"/>
          <w:b w:val="0"/>
          <w:bCs w:val="0"/>
          <w:sz w:val="24"/>
        </w:rPr>
      </w:pPr>
      <w:r>
        <w:rPr>
          <w:rFonts w:hint="default" w:ascii="Times New Roman" w:hAnsi="Times New Roman" w:eastAsia="黑体" w:cs="Times New Roman"/>
          <w:b w:val="0"/>
          <w:bCs w:val="0"/>
          <w:sz w:val="24"/>
        </w:rPr>
        <w:t>F表3</w:t>
      </w:r>
      <w:r>
        <w:rPr>
          <w:rFonts w:hint="eastAsia" w:ascii="Times New Roman" w:hAnsi="Times New Roman" w:eastAsia="黑体" w:cs="Times New Roman"/>
          <w:b w:val="0"/>
          <w:bCs w:val="0"/>
          <w:sz w:val="24"/>
          <w:lang w:val="en-US" w:eastAsia="zh-CN"/>
        </w:rPr>
        <w:t xml:space="preserve">.5-1 </w:t>
      </w:r>
      <w:r>
        <w:rPr>
          <w:rFonts w:hint="default" w:ascii="Times New Roman" w:hAnsi="Times New Roman" w:eastAsia="黑体" w:cs="Times New Roman"/>
          <w:b w:val="0"/>
          <w:bCs w:val="0"/>
          <w:sz w:val="24"/>
        </w:rPr>
        <w:t xml:space="preserve"> 储罐区单元危险化学品的临界量与最大储存量对照表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2087"/>
        <w:gridCol w:w="2043"/>
        <w:gridCol w:w="2041"/>
        <w:gridCol w:w="2041"/>
      </w:tblGrid>
      <w:tr w14:paraId="227B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blHeader/>
          <w:jc w:val="center"/>
        </w:trPr>
        <w:tc>
          <w:tcPr>
            <w:tcW w:w="632" w:type="pct"/>
            <w:vAlign w:val="center"/>
          </w:tcPr>
          <w:p w14:paraId="0CAB3E95">
            <w:pPr>
              <w:adjustRightInd w:val="0"/>
              <w:snapToGrid w:val="0"/>
              <w:jc w:val="center"/>
              <w:rPr>
                <w:rFonts w:hint="default" w:ascii="Times New Roman" w:hAnsi="Times New Roman" w:cs="Times New Roman"/>
                <w:szCs w:val="21"/>
              </w:rPr>
            </w:pPr>
            <w:bookmarkStart w:id="470" w:name="_Hlk161603343"/>
            <w:r>
              <w:rPr>
                <w:rFonts w:hint="default" w:ascii="Times New Roman" w:hAnsi="Times New Roman" w:cs="Times New Roman"/>
                <w:szCs w:val="21"/>
              </w:rPr>
              <w:t>序号</w:t>
            </w:r>
          </w:p>
        </w:tc>
        <w:tc>
          <w:tcPr>
            <w:tcW w:w="1110" w:type="pct"/>
            <w:vAlign w:val="center"/>
          </w:tcPr>
          <w:p w14:paraId="7B74861A">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物质名称</w:t>
            </w:r>
          </w:p>
        </w:tc>
        <w:tc>
          <w:tcPr>
            <w:tcW w:w="1086" w:type="pct"/>
            <w:vAlign w:val="center"/>
          </w:tcPr>
          <w:p w14:paraId="26851D0B">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危险性类别</w:t>
            </w:r>
          </w:p>
        </w:tc>
        <w:tc>
          <w:tcPr>
            <w:tcW w:w="1085" w:type="pct"/>
            <w:vAlign w:val="center"/>
          </w:tcPr>
          <w:p w14:paraId="7C313721">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最大储存量（t）</w:t>
            </w:r>
          </w:p>
        </w:tc>
        <w:tc>
          <w:tcPr>
            <w:tcW w:w="1085" w:type="pct"/>
            <w:vAlign w:val="center"/>
          </w:tcPr>
          <w:p w14:paraId="0E3B864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临界量（t）</w:t>
            </w:r>
          </w:p>
        </w:tc>
      </w:tr>
      <w:tr w14:paraId="15C2D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632" w:type="pct"/>
            <w:vAlign w:val="center"/>
          </w:tcPr>
          <w:p w14:paraId="7452EB19">
            <w:pPr>
              <w:pStyle w:val="21"/>
              <w:numPr>
                <w:ilvl w:val="0"/>
                <w:numId w:val="30"/>
              </w:numPr>
              <w:jc w:val="center"/>
              <w:rPr>
                <w:rFonts w:hint="default" w:ascii="Times New Roman" w:hAnsi="Times New Roman" w:cs="Times New Roman"/>
              </w:rPr>
            </w:pPr>
          </w:p>
        </w:tc>
        <w:tc>
          <w:tcPr>
            <w:tcW w:w="1110" w:type="pct"/>
            <w:vAlign w:val="center"/>
          </w:tcPr>
          <w:p w14:paraId="28281D4E">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柴油</w:t>
            </w:r>
          </w:p>
        </w:tc>
        <w:tc>
          <w:tcPr>
            <w:tcW w:w="1086" w:type="pct"/>
            <w:vAlign w:val="center"/>
          </w:tcPr>
          <w:p w14:paraId="33D3D800">
            <w:pPr>
              <w:adjustRightInd w:val="0"/>
              <w:snapToGrid w:val="0"/>
              <w:jc w:val="center"/>
              <w:rPr>
                <w:rFonts w:hint="default" w:ascii="Times New Roman" w:hAnsi="Times New Roman" w:cs="Times New Roman"/>
                <w:szCs w:val="21"/>
              </w:rPr>
            </w:pPr>
            <w:r>
              <w:rPr>
                <w:rFonts w:hint="default" w:ascii="Times New Roman" w:hAnsi="Times New Roman" w:cs="Times New Roman"/>
              </w:rPr>
              <w:t>易燃液体，类别3</w:t>
            </w:r>
          </w:p>
        </w:tc>
        <w:tc>
          <w:tcPr>
            <w:tcW w:w="1085" w:type="pct"/>
            <w:vAlign w:val="center"/>
          </w:tcPr>
          <w:p w14:paraId="3DA34E35">
            <w:pPr>
              <w:adjustRightInd w:val="0"/>
              <w:snapToGrid w:val="0"/>
              <w:jc w:val="center"/>
              <w:rPr>
                <w:rFonts w:hint="default" w:ascii="Times New Roman" w:hAnsi="Times New Roman" w:eastAsia="宋体" w:cs="Times New Roman"/>
                <w:szCs w:val="21"/>
                <w:lang w:val="en-US" w:eastAsia="zh-CN"/>
              </w:rPr>
            </w:pPr>
            <w:r>
              <w:rPr>
                <w:rFonts w:hint="eastAsia" w:cs="Times New Roman"/>
                <w:szCs w:val="21"/>
                <w:lang w:val="en-US" w:eastAsia="zh-CN"/>
              </w:rPr>
              <w:t>25.5</w:t>
            </w:r>
          </w:p>
        </w:tc>
        <w:tc>
          <w:tcPr>
            <w:tcW w:w="1085" w:type="pct"/>
            <w:vAlign w:val="center"/>
          </w:tcPr>
          <w:p w14:paraId="38AE36C0">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5000</w:t>
            </w:r>
          </w:p>
        </w:tc>
      </w:tr>
      <w:tr w14:paraId="4629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632" w:type="pct"/>
            <w:vAlign w:val="center"/>
          </w:tcPr>
          <w:p w14:paraId="1C664A95">
            <w:pPr>
              <w:pStyle w:val="21"/>
              <w:numPr>
                <w:ilvl w:val="0"/>
                <w:numId w:val="30"/>
              </w:numPr>
              <w:jc w:val="center"/>
              <w:rPr>
                <w:rFonts w:hint="default" w:ascii="Times New Roman" w:hAnsi="Times New Roman" w:cs="Times New Roman"/>
              </w:rPr>
            </w:pPr>
          </w:p>
        </w:tc>
        <w:tc>
          <w:tcPr>
            <w:tcW w:w="1110" w:type="pct"/>
            <w:vAlign w:val="center"/>
          </w:tcPr>
          <w:p w14:paraId="1C75270B">
            <w:pPr>
              <w:adjustRightInd w:val="0"/>
              <w:snapToGrid w:val="0"/>
              <w:jc w:val="center"/>
              <w:rPr>
                <w:rFonts w:hint="eastAsia" w:ascii="Times New Roman" w:hAnsi="Times New Roman" w:eastAsia="宋体" w:cs="Times New Roman"/>
                <w:szCs w:val="21"/>
                <w:lang w:eastAsia="zh-CN"/>
              </w:rPr>
            </w:pPr>
            <w:r>
              <w:rPr>
                <w:rFonts w:hint="eastAsia" w:cs="Times New Roman"/>
                <w:szCs w:val="21"/>
                <w:lang w:eastAsia="zh-CN"/>
              </w:rPr>
              <w:t>乙醇汽油</w:t>
            </w:r>
          </w:p>
        </w:tc>
        <w:tc>
          <w:tcPr>
            <w:tcW w:w="1086" w:type="pct"/>
            <w:vAlign w:val="center"/>
          </w:tcPr>
          <w:p w14:paraId="2D4CA859">
            <w:pPr>
              <w:widowControl/>
              <w:jc w:val="center"/>
              <w:rPr>
                <w:rFonts w:hint="default" w:ascii="Times New Roman" w:hAnsi="Times New Roman" w:cs="Times New Roman"/>
                <w:kern w:val="0"/>
                <w:sz w:val="20"/>
              </w:rPr>
            </w:pPr>
            <w:r>
              <w:rPr>
                <w:rFonts w:hint="default" w:ascii="Times New Roman" w:hAnsi="Times New Roman" w:cs="Times New Roman"/>
              </w:rPr>
              <w:t>易燃液体，类别2</w:t>
            </w:r>
            <w:r>
              <w:rPr>
                <w:rFonts w:hint="default" w:ascii="Times New Roman" w:hAnsi="Times New Roman" w:cs="Times New Roman"/>
                <w:kern w:val="0"/>
                <w:sz w:val="20"/>
              </w:rPr>
              <w:t>*</w:t>
            </w:r>
          </w:p>
        </w:tc>
        <w:tc>
          <w:tcPr>
            <w:tcW w:w="1085" w:type="pct"/>
            <w:vAlign w:val="center"/>
          </w:tcPr>
          <w:p w14:paraId="0DACE19B">
            <w:pPr>
              <w:adjustRightInd w:val="0"/>
              <w:snapToGrid w:val="0"/>
              <w:jc w:val="center"/>
              <w:rPr>
                <w:rFonts w:hint="default" w:ascii="Times New Roman" w:hAnsi="Times New Roman" w:eastAsia="宋体" w:cs="Times New Roman"/>
                <w:szCs w:val="21"/>
                <w:lang w:val="en-US" w:eastAsia="zh-CN"/>
              </w:rPr>
            </w:pPr>
            <w:r>
              <w:rPr>
                <w:rFonts w:hint="eastAsia" w:cs="Times New Roman"/>
                <w:szCs w:val="21"/>
                <w:lang w:val="en-US" w:eastAsia="zh-CN"/>
              </w:rPr>
              <w:t>66.6</w:t>
            </w:r>
          </w:p>
        </w:tc>
        <w:tc>
          <w:tcPr>
            <w:tcW w:w="1085" w:type="pct"/>
            <w:vAlign w:val="center"/>
          </w:tcPr>
          <w:p w14:paraId="665DA08B">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200</w:t>
            </w:r>
          </w:p>
        </w:tc>
      </w:tr>
      <w:bookmarkEnd w:id="470"/>
    </w:tbl>
    <w:p w14:paraId="2F07D68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bCs/>
          <w:snapToGrid w:val="0"/>
          <w:kern w:val="0"/>
          <w:sz w:val="28"/>
          <w:szCs w:val="28"/>
          <w:lang w:bidi="ar"/>
        </w:rPr>
      </w:pPr>
      <w:r>
        <w:rPr>
          <w:rFonts w:hint="default" w:ascii="Times New Roman" w:hAnsi="Times New Roman" w:cs="Times New Roman"/>
          <w:bCs/>
          <w:snapToGrid w:val="0"/>
          <w:kern w:val="0"/>
          <w:sz w:val="28"/>
          <w:szCs w:val="28"/>
          <w:lang w:bidi="ar"/>
        </w:rPr>
        <w:t>S=q1/Q1+q2/Q2=</w:t>
      </w:r>
      <w:r>
        <w:rPr>
          <w:rFonts w:hint="eastAsia" w:cs="Times New Roman"/>
          <w:bCs/>
          <w:snapToGrid w:val="0"/>
          <w:kern w:val="0"/>
          <w:sz w:val="28"/>
          <w:szCs w:val="28"/>
          <w:lang w:val="en-US" w:eastAsia="zh-CN" w:bidi="ar"/>
        </w:rPr>
        <w:t>66.6</w:t>
      </w:r>
      <w:r>
        <w:rPr>
          <w:rFonts w:hint="default" w:ascii="Times New Roman" w:hAnsi="Times New Roman" w:cs="Times New Roman"/>
          <w:bCs/>
          <w:snapToGrid w:val="0"/>
          <w:kern w:val="0"/>
          <w:sz w:val="28"/>
          <w:szCs w:val="28"/>
          <w:lang w:bidi="ar"/>
        </w:rPr>
        <w:t>/200+</w:t>
      </w:r>
      <w:r>
        <w:rPr>
          <w:rFonts w:hint="eastAsia" w:cs="Times New Roman"/>
          <w:bCs/>
          <w:snapToGrid w:val="0"/>
          <w:kern w:val="0"/>
          <w:sz w:val="28"/>
          <w:szCs w:val="28"/>
          <w:lang w:val="en-US" w:eastAsia="zh-CN" w:bidi="ar"/>
        </w:rPr>
        <w:t>25.5</w:t>
      </w:r>
      <w:r>
        <w:rPr>
          <w:rFonts w:hint="default" w:ascii="Times New Roman" w:hAnsi="Times New Roman" w:cs="Times New Roman"/>
          <w:bCs/>
          <w:snapToGrid w:val="0"/>
          <w:kern w:val="0"/>
          <w:sz w:val="28"/>
          <w:szCs w:val="28"/>
          <w:lang w:bidi="ar"/>
        </w:rPr>
        <w:t>/5000=</w:t>
      </w:r>
      <w:r>
        <w:rPr>
          <w:rFonts w:hint="eastAsia" w:cs="Times New Roman"/>
          <w:bCs/>
          <w:snapToGrid w:val="0"/>
          <w:kern w:val="0"/>
          <w:sz w:val="28"/>
          <w:szCs w:val="28"/>
          <w:lang w:val="en-US" w:eastAsia="zh-CN" w:bidi="ar"/>
        </w:rPr>
        <w:t>0.3381</w:t>
      </w:r>
      <w:r>
        <w:rPr>
          <w:rFonts w:hint="default" w:ascii="Times New Roman" w:hAnsi="Times New Roman" w:cs="Times New Roman"/>
          <w:bCs/>
          <w:snapToGrid w:val="0"/>
          <w:kern w:val="0"/>
          <w:sz w:val="28"/>
          <w:szCs w:val="28"/>
          <w:lang w:bidi="ar"/>
        </w:rPr>
        <w:t>＜1。</w:t>
      </w:r>
    </w:p>
    <w:p w14:paraId="34B513F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rPr>
      </w:pPr>
      <w:bookmarkStart w:id="471" w:name="_Toc297104036"/>
      <w:bookmarkStart w:id="472" w:name="_Toc350497212"/>
      <w:bookmarkStart w:id="473" w:name="_Toc296338624"/>
      <w:bookmarkStart w:id="474" w:name="_Toc274467310"/>
      <w:bookmarkStart w:id="475" w:name="_Toc298746137"/>
      <w:r>
        <w:rPr>
          <w:rFonts w:hint="default" w:ascii="Times New Roman" w:hAnsi="Times New Roman" w:cs="Times New Roman"/>
          <w:bCs/>
          <w:snapToGrid w:val="0"/>
          <w:color w:val="000000" w:themeColor="text1"/>
          <w:kern w:val="0"/>
          <w:sz w:val="28"/>
          <w:szCs w:val="28"/>
          <w:highlight w:val="none"/>
          <w:lang w:bidi="ar"/>
          <w14:textFill>
            <w14:solidFill>
              <w14:schemeClr w14:val="tx1"/>
            </w14:solidFill>
          </w14:textFill>
        </w:rPr>
        <w:t>综上，</w:t>
      </w:r>
      <w:r>
        <w:rPr>
          <w:rFonts w:hint="default" w:ascii="Times New Roman" w:hAnsi="Times New Roman" w:cs="Times New Roman"/>
          <w:bCs/>
          <w:snapToGrid w:val="0"/>
          <w:kern w:val="0"/>
          <w:sz w:val="28"/>
          <w:szCs w:val="28"/>
          <w:lang w:bidi="ar"/>
        </w:rPr>
        <w:t>储罐区</w:t>
      </w:r>
      <w:r>
        <w:rPr>
          <w:rFonts w:hint="default" w:ascii="Times New Roman" w:hAnsi="Times New Roman" w:cs="Times New Roman"/>
          <w:bCs/>
          <w:snapToGrid w:val="0"/>
          <w:color w:val="000000" w:themeColor="text1"/>
          <w:kern w:val="0"/>
          <w:sz w:val="28"/>
          <w:szCs w:val="28"/>
          <w:highlight w:val="none"/>
          <w:lang w:bidi="ar"/>
          <w14:textFill>
            <w14:solidFill>
              <w14:schemeClr w14:val="tx1"/>
            </w14:solidFill>
          </w14:textFill>
        </w:rPr>
        <w:t>未构成危险化学品重大危险源。</w:t>
      </w:r>
    </w:p>
    <w:p w14:paraId="7B36C92F">
      <w:pPr>
        <w:rPr>
          <w:rFonts w:hint="default" w:ascii="Times New Roman" w:hAnsi="Times New Roman" w:cs="Times New Roman"/>
        </w:rPr>
      </w:pPr>
    </w:p>
    <w:p w14:paraId="07E418D0">
      <w:pPr>
        <w:pStyle w:val="2"/>
        <w:keepNext w:val="0"/>
        <w:keepLines w:val="0"/>
        <w:pageBreakBefore/>
        <w:widowControl w:val="0"/>
        <w:numPr>
          <w:ilvl w:val="0"/>
          <w:numId w:val="0"/>
        </w:numPr>
        <w:kinsoku/>
        <w:wordWrap/>
        <w:overflowPunct/>
        <w:topLinePunct w:val="0"/>
        <w:autoSpaceDE/>
        <w:autoSpaceDN/>
        <w:bidi w:val="0"/>
        <w:adjustRightInd/>
        <w:snapToGrid/>
        <w:spacing w:before="469" w:beforeLines="150" w:after="469" w:afterLines="150" w:line="360" w:lineRule="auto"/>
        <w:ind w:leftChars="0"/>
        <w:jc w:val="center"/>
        <w:textAlignment w:val="auto"/>
        <w:rPr>
          <w:rFonts w:hint="default" w:ascii="Times New Roman" w:hAnsi="Times New Roman" w:eastAsia="黑体" w:cs="Times New Roman"/>
          <w:b/>
          <w:bCs w:val="0"/>
          <w:kern w:val="32"/>
          <w:sz w:val="32"/>
          <w:szCs w:val="32"/>
          <w:lang w:val="en-US" w:eastAsia="zh-CN"/>
        </w:rPr>
      </w:pPr>
      <w:bookmarkStart w:id="476" w:name="_Toc27136"/>
      <w:bookmarkStart w:id="477" w:name="_Toc20461"/>
      <w:bookmarkStart w:id="478" w:name="_Toc41246767"/>
      <w:r>
        <w:rPr>
          <w:rFonts w:hint="default" w:ascii="Times New Roman" w:hAnsi="Times New Roman" w:eastAsia="黑体" w:cs="Times New Roman"/>
          <w:b/>
          <w:bCs w:val="0"/>
          <w:kern w:val="32"/>
          <w:sz w:val="32"/>
          <w:szCs w:val="32"/>
          <w:lang w:val="en-US" w:eastAsia="zh-CN"/>
        </w:rPr>
        <w:t>附录F4定性、定量分析危险、有害程度的过程</w:t>
      </w:r>
      <w:bookmarkEnd w:id="476"/>
      <w:bookmarkEnd w:id="477"/>
    </w:p>
    <w:p w14:paraId="00F1E180">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79" w:name="_Toc30064"/>
      <w:bookmarkStart w:id="480" w:name="_Toc24060"/>
      <w:r>
        <w:rPr>
          <w:rFonts w:hint="default" w:ascii="Times New Roman" w:hAnsi="Times New Roman" w:eastAsia="楷体" w:cs="Times New Roman"/>
          <w:b/>
          <w:bCs/>
          <w:sz w:val="32"/>
          <w:szCs w:val="32"/>
          <w:lang w:val="en-US" w:eastAsia="zh-CN"/>
        </w:rPr>
        <w:t>F4.</w:t>
      </w:r>
      <w:bookmarkEnd w:id="471"/>
      <w:bookmarkEnd w:id="472"/>
      <w:bookmarkEnd w:id="473"/>
      <w:bookmarkEnd w:id="474"/>
      <w:bookmarkEnd w:id="475"/>
      <w:bookmarkEnd w:id="478"/>
      <w:r>
        <w:rPr>
          <w:rFonts w:hint="default" w:ascii="Times New Roman" w:hAnsi="Times New Roman" w:eastAsia="楷体" w:cs="Times New Roman"/>
          <w:b/>
          <w:bCs/>
          <w:sz w:val="32"/>
          <w:szCs w:val="32"/>
          <w:lang w:val="en-US" w:eastAsia="zh-CN"/>
        </w:rPr>
        <w:t>1安全检查表法</w:t>
      </w:r>
      <w:bookmarkEnd w:id="479"/>
      <w:bookmarkEnd w:id="480"/>
      <w:r>
        <w:rPr>
          <w:rFonts w:hint="default" w:ascii="Times New Roman" w:hAnsi="Times New Roman" w:eastAsia="楷体" w:cs="Times New Roman"/>
          <w:b/>
          <w:bCs/>
          <w:sz w:val="32"/>
          <w:szCs w:val="32"/>
          <w:lang w:val="en-US" w:eastAsia="zh-CN"/>
        </w:rPr>
        <w:t xml:space="preserve"> </w:t>
      </w:r>
    </w:p>
    <w:p w14:paraId="3D2BF3E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根据《汽车加油加气加氢站技术标准》（GB 50156-2021）的有关要求采用安全检查表法对本项目的选址与总平面布置单元进行评价。检查结果见 F表4</w:t>
      </w:r>
      <w:r>
        <w:rPr>
          <w:rFonts w:hint="eastAsia" w:cs="Times New Roman"/>
          <w:sz w:val="28"/>
          <w:szCs w:val="28"/>
          <w:lang w:val="en-US" w:eastAsia="zh-CN"/>
        </w:rPr>
        <w:t>.1</w:t>
      </w:r>
      <w:r>
        <w:rPr>
          <w:rFonts w:hint="default" w:ascii="Times New Roman" w:hAnsi="Times New Roman" w:cs="Times New Roman"/>
          <w:sz w:val="28"/>
          <w:szCs w:val="28"/>
        </w:rPr>
        <w:t>-1。</w:t>
      </w:r>
    </w:p>
    <w:p w14:paraId="479643C8">
      <w:pPr>
        <w:keepNext w:val="0"/>
        <w:keepLines w:val="0"/>
        <w:pageBreakBefore w:val="0"/>
        <w:widowControl w:val="0"/>
        <w:kinsoku/>
        <w:wordWrap/>
        <w:overflowPunct/>
        <w:topLinePunct w:val="0"/>
        <w:autoSpaceDE/>
        <w:autoSpaceDN/>
        <w:bidi w:val="0"/>
        <w:adjustRightInd/>
        <w:snapToGrid/>
        <w:spacing w:before="164" w:beforeLines="50" w:after="164" w:afterLines="50"/>
        <w:ind w:firstLine="0"/>
        <w:jc w:val="center"/>
        <w:textAlignment w:val="auto"/>
        <w:rPr>
          <w:rFonts w:hint="default" w:ascii="Times New Roman" w:hAnsi="Times New Roman" w:eastAsia="黑体" w:cs="Times New Roman"/>
          <w:b w:val="0"/>
          <w:bCs w:val="0"/>
          <w:sz w:val="24"/>
        </w:rPr>
      </w:pPr>
      <w:r>
        <w:rPr>
          <w:rFonts w:hint="default" w:ascii="Times New Roman" w:hAnsi="Times New Roman" w:eastAsia="黑体" w:cs="Times New Roman"/>
          <w:b w:val="0"/>
          <w:bCs w:val="0"/>
          <w:sz w:val="24"/>
        </w:rPr>
        <w:t>F表4</w:t>
      </w:r>
      <w:r>
        <w:rPr>
          <w:rFonts w:hint="eastAsia" w:ascii="Times New Roman" w:hAnsi="Times New Roman" w:eastAsia="黑体" w:cs="Times New Roman"/>
          <w:b w:val="0"/>
          <w:bCs w:val="0"/>
          <w:sz w:val="24"/>
          <w:lang w:val="en-US" w:eastAsia="zh-CN"/>
        </w:rPr>
        <w:t>.1</w:t>
      </w:r>
      <w:r>
        <w:rPr>
          <w:rFonts w:hint="default" w:ascii="Times New Roman" w:hAnsi="Times New Roman" w:eastAsia="黑体" w:cs="Times New Roman"/>
          <w:b w:val="0"/>
          <w:bCs w:val="0"/>
          <w:sz w:val="24"/>
        </w:rPr>
        <w:t>-1 选址与总平面布置单元安全检查表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3002"/>
        <w:gridCol w:w="2250"/>
        <w:gridCol w:w="2675"/>
        <w:gridCol w:w="719"/>
      </w:tblGrid>
      <w:tr w14:paraId="4060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4" w:type="dxa"/>
            <w:vAlign w:val="center"/>
          </w:tcPr>
          <w:p w14:paraId="10EA9ABB">
            <w:pPr>
              <w:jc w:val="center"/>
              <w:rPr>
                <w:rFonts w:hint="default" w:ascii="Times New Roman" w:hAnsi="Times New Roman" w:cs="Times New Roman"/>
                <w:b w:val="0"/>
                <w:bCs/>
                <w:szCs w:val="21"/>
              </w:rPr>
            </w:pPr>
            <w:r>
              <w:rPr>
                <w:rFonts w:hint="default" w:ascii="Times New Roman" w:hAnsi="Times New Roman" w:cs="Times New Roman"/>
                <w:b w:val="0"/>
                <w:bCs/>
                <w:szCs w:val="21"/>
              </w:rPr>
              <w:t>序号</w:t>
            </w:r>
          </w:p>
        </w:tc>
        <w:tc>
          <w:tcPr>
            <w:tcW w:w="3002" w:type="dxa"/>
            <w:vAlign w:val="center"/>
          </w:tcPr>
          <w:p w14:paraId="0981AE69">
            <w:pPr>
              <w:ind w:firstLine="211"/>
              <w:jc w:val="center"/>
              <w:rPr>
                <w:rFonts w:hint="default" w:ascii="Times New Roman" w:hAnsi="Times New Roman" w:cs="Times New Roman"/>
                <w:b w:val="0"/>
                <w:bCs/>
                <w:szCs w:val="21"/>
              </w:rPr>
            </w:pPr>
            <w:r>
              <w:rPr>
                <w:rFonts w:hint="default" w:ascii="Times New Roman" w:hAnsi="Times New Roman" w:cs="Times New Roman"/>
                <w:b w:val="0"/>
                <w:bCs/>
                <w:szCs w:val="21"/>
              </w:rPr>
              <w:t>检查内容</w:t>
            </w:r>
          </w:p>
        </w:tc>
        <w:tc>
          <w:tcPr>
            <w:tcW w:w="2250" w:type="dxa"/>
            <w:vAlign w:val="center"/>
          </w:tcPr>
          <w:p w14:paraId="52B50862">
            <w:pPr>
              <w:ind w:firstLine="211"/>
              <w:jc w:val="center"/>
              <w:rPr>
                <w:rFonts w:hint="default" w:ascii="Times New Roman" w:hAnsi="Times New Roman" w:cs="Times New Roman"/>
                <w:b w:val="0"/>
                <w:bCs/>
                <w:szCs w:val="21"/>
              </w:rPr>
            </w:pPr>
            <w:r>
              <w:rPr>
                <w:rFonts w:hint="default" w:ascii="Times New Roman" w:hAnsi="Times New Roman" w:cs="Times New Roman"/>
                <w:b w:val="0"/>
                <w:bCs/>
                <w:szCs w:val="21"/>
              </w:rPr>
              <w:t>检查依据</w:t>
            </w:r>
          </w:p>
        </w:tc>
        <w:tc>
          <w:tcPr>
            <w:tcW w:w="2675" w:type="dxa"/>
            <w:vAlign w:val="center"/>
          </w:tcPr>
          <w:p w14:paraId="08951772">
            <w:pPr>
              <w:ind w:firstLine="211"/>
              <w:jc w:val="center"/>
              <w:rPr>
                <w:rFonts w:hint="default" w:ascii="Times New Roman" w:hAnsi="Times New Roman" w:cs="Times New Roman"/>
                <w:b w:val="0"/>
                <w:bCs/>
                <w:szCs w:val="21"/>
              </w:rPr>
            </w:pPr>
            <w:r>
              <w:rPr>
                <w:rFonts w:hint="default" w:ascii="Times New Roman" w:hAnsi="Times New Roman" w:cs="Times New Roman"/>
                <w:b w:val="0"/>
                <w:bCs/>
                <w:szCs w:val="21"/>
              </w:rPr>
              <w:t>检查记录</w:t>
            </w:r>
          </w:p>
        </w:tc>
        <w:tc>
          <w:tcPr>
            <w:tcW w:w="719" w:type="dxa"/>
            <w:vAlign w:val="center"/>
          </w:tcPr>
          <w:p w14:paraId="4EFDCCD7">
            <w:pPr>
              <w:jc w:val="both"/>
              <w:rPr>
                <w:rFonts w:hint="default" w:ascii="Times New Roman" w:hAnsi="Times New Roman" w:cs="Times New Roman"/>
                <w:b w:val="0"/>
                <w:bCs/>
                <w:szCs w:val="21"/>
              </w:rPr>
            </w:pPr>
            <w:r>
              <w:rPr>
                <w:rFonts w:hint="default" w:ascii="Times New Roman" w:hAnsi="Times New Roman" w:cs="Times New Roman"/>
                <w:b w:val="0"/>
                <w:bCs/>
                <w:szCs w:val="21"/>
              </w:rPr>
              <w:t>结果</w:t>
            </w:r>
          </w:p>
        </w:tc>
      </w:tr>
      <w:tr w14:paraId="069A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4" w:type="dxa"/>
            <w:vAlign w:val="center"/>
          </w:tcPr>
          <w:p w14:paraId="29899440">
            <w:pPr>
              <w:pStyle w:val="21"/>
              <w:numPr>
                <w:ilvl w:val="0"/>
                <w:numId w:val="31"/>
              </w:numPr>
              <w:jc w:val="center"/>
              <w:rPr>
                <w:rFonts w:hint="default" w:ascii="Times New Roman" w:hAnsi="Times New Roman" w:cs="Times New Roman"/>
                <w:b w:val="0"/>
                <w:bCs/>
              </w:rPr>
            </w:pPr>
          </w:p>
        </w:tc>
        <w:tc>
          <w:tcPr>
            <w:tcW w:w="3002" w:type="dxa"/>
            <w:vAlign w:val="center"/>
          </w:tcPr>
          <w:p w14:paraId="3E918EED">
            <w:pPr>
              <w:rPr>
                <w:rFonts w:hint="default" w:ascii="Times New Roman" w:hAnsi="Times New Roman" w:cs="Times New Roman"/>
                <w:b w:val="0"/>
                <w:bCs/>
                <w:szCs w:val="21"/>
              </w:rPr>
            </w:pPr>
            <w:r>
              <w:rPr>
                <w:rFonts w:hint="default" w:ascii="Times New Roman" w:hAnsi="Times New Roman" w:cs="Times New Roman"/>
                <w:b w:val="0"/>
                <w:bCs/>
                <w:kern w:val="28"/>
                <w:szCs w:val="21"/>
              </w:rPr>
              <w:t>汽车加油站的站址选择应符合有关规划、环境保护和防火安全的要求，并应选在交通便利、用户使用方便的地点</w:t>
            </w:r>
          </w:p>
        </w:tc>
        <w:tc>
          <w:tcPr>
            <w:tcW w:w="2250" w:type="dxa"/>
            <w:vAlign w:val="center"/>
          </w:tcPr>
          <w:p w14:paraId="269CFFC5">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GB50156-2021</w:t>
            </w:r>
          </w:p>
          <w:p w14:paraId="1AA5E1A1">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第4.0.1条</w:t>
            </w:r>
          </w:p>
        </w:tc>
        <w:tc>
          <w:tcPr>
            <w:tcW w:w="2675" w:type="dxa"/>
            <w:vAlign w:val="center"/>
          </w:tcPr>
          <w:p w14:paraId="159560A1">
            <w:pPr>
              <w:rPr>
                <w:rFonts w:hint="default" w:ascii="Times New Roman" w:hAnsi="Times New Roman" w:cs="Times New Roman"/>
                <w:b w:val="0"/>
                <w:bCs/>
                <w:szCs w:val="21"/>
              </w:rPr>
            </w:pPr>
            <w:r>
              <w:rPr>
                <w:rFonts w:hint="default" w:ascii="Times New Roman" w:hAnsi="Times New Roman" w:cs="Times New Roman"/>
                <w:b w:val="0"/>
                <w:bCs/>
                <w:kern w:val="28"/>
                <w:szCs w:val="21"/>
              </w:rPr>
              <w:t>站址选择符合城乡规划、环境保护和防火安全的要求，交通便利</w:t>
            </w:r>
          </w:p>
        </w:tc>
        <w:tc>
          <w:tcPr>
            <w:tcW w:w="719" w:type="dxa"/>
            <w:vAlign w:val="center"/>
          </w:tcPr>
          <w:p w14:paraId="1934C9BA">
            <w:pPr>
              <w:jc w:val="center"/>
              <w:rPr>
                <w:rFonts w:hint="default" w:ascii="Times New Roman" w:hAnsi="Times New Roman" w:cs="Times New Roman"/>
                <w:b w:val="0"/>
                <w:bCs/>
                <w:szCs w:val="21"/>
              </w:rPr>
            </w:pPr>
            <w:r>
              <w:rPr>
                <w:rFonts w:hint="default" w:ascii="Times New Roman" w:hAnsi="Times New Roman" w:cs="Times New Roman"/>
                <w:b w:val="0"/>
                <w:bCs/>
                <w:szCs w:val="21"/>
              </w:rPr>
              <w:t>符合</w:t>
            </w:r>
          </w:p>
        </w:tc>
      </w:tr>
      <w:tr w14:paraId="14DD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4" w:type="dxa"/>
            <w:vAlign w:val="center"/>
          </w:tcPr>
          <w:p w14:paraId="768A8E2B">
            <w:pPr>
              <w:pStyle w:val="21"/>
              <w:numPr>
                <w:ilvl w:val="0"/>
                <w:numId w:val="31"/>
              </w:numPr>
              <w:jc w:val="center"/>
              <w:rPr>
                <w:rFonts w:hint="default" w:ascii="Times New Roman" w:hAnsi="Times New Roman" w:cs="Times New Roman"/>
                <w:b w:val="0"/>
                <w:bCs/>
              </w:rPr>
            </w:pPr>
          </w:p>
        </w:tc>
        <w:tc>
          <w:tcPr>
            <w:tcW w:w="3002" w:type="dxa"/>
            <w:vAlign w:val="center"/>
          </w:tcPr>
          <w:p w14:paraId="6DA3F3C5">
            <w:pPr>
              <w:rPr>
                <w:rFonts w:hint="default" w:ascii="Times New Roman" w:hAnsi="Times New Roman" w:cs="Times New Roman"/>
                <w:b w:val="0"/>
                <w:bCs/>
                <w:kern w:val="28"/>
                <w:szCs w:val="21"/>
              </w:rPr>
            </w:pPr>
            <w:r>
              <w:rPr>
                <w:rFonts w:hint="default" w:ascii="Times New Roman" w:hAnsi="Times New Roman" w:cs="Times New Roman"/>
                <w:b w:val="0"/>
                <w:bCs/>
              </w:rPr>
              <w:t>在城市中心区不应建一级加油站</w:t>
            </w:r>
          </w:p>
        </w:tc>
        <w:tc>
          <w:tcPr>
            <w:tcW w:w="2250" w:type="dxa"/>
            <w:vAlign w:val="center"/>
          </w:tcPr>
          <w:p w14:paraId="5B27BF1A">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GB50156-2021</w:t>
            </w:r>
          </w:p>
          <w:p w14:paraId="7A42AA84">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第4.0.2条</w:t>
            </w:r>
          </w:p>
        </w:tc>
        <w:tc>
          <w:tcPr>
            <w:tcW w:w="2675" w:type="dxa"/>
            <w:vAlign w:val="center"/>
          </w:tcPr>
          <w:p w14:paraId="239A0723">
            <w:pPr>
              <w:jc w:val="left"/>
              <w:rPr>
                <w:rFonts w:hint="default" w:ascii="Times New Roman" w:hAnsi="Times New Roman" w:eastAsia="宋体" w:cs="Times New Roman"/>
                <w:b w:val="0"/>
                <w:bCs/>
                <w:kern w:val="28"/>
                <w:szCs w:val="21"/>
                <w:lang w:val="en-US" w:eastAsia="zh-CN"/>
              </w:rPr>
            </w:pPr>
            <w:r>
              <w:rPr>
                <w:rFonts w:hint="default" w:ascii="Times New Roman" w:hAnsi="Times New Roman" w:cs="Times New Roman"/>
                <w:b w:val="0"/>
                <w:bCs/>
              </w:rPr>
              <w:t>该站属于</w:t>
            </w:r>
            <w:r>
              <w:rPr>
                <w:rFonts w:hint="default" w:ascii="Times New Roman" w:hAnsi="Times New Roman" w:cs="Times New Roman"/>
                <w:b w:val="0"/>
                <w:bCs/>
                <w:lang w:val="en-US" w:eastAsia="zh-CN"/>
              </w:rPr>
              <w:t>二</w:t>
            </w:r>
            <w:r>
              <w:rPr>
                <w:rFonts w:hint="default" w:ascii="Times New Roman" w:hAnsi="Times New Roman" w:cs="Times New Roman"/>
                <w:b w:val="0"/>
                <w:bCs/>
              </w:rPr>
              <w:t>级</w:t>
            </w:r>
            <w:r>
              <w:rPr>
                <w:rFonts w:hint="eastAsia" w:cs="Times New Roman"/>
                <w:b w:val="0"/>
                <w:bCs/>
                <w:lang w:val="en-US" w:eastAsia="zh-CN"/>
              </w:rPr>
              <w:t>加油站</w:t>
            </w:r>
            <w:r>
              <w:rPr>
                <w:rFonts w:hint="eastAsia" w:ascii="Times New Roman" w:hAnsi="Times New Roman" w:cs="Times New Roman"/>
                <w:b w:val="0"/>
                <w:bCs/>
                <w:lang w:eastAsia="zh-CN"/>
              </w:rPr>
              <w:t>，</w:t>
            </w:r>
            <w:r>
              <w:rPr>
                <w:rFonts w:hint="eastAsia" w:ascii="Times New Roman" w:hAnsi="Times New Roman" w:cs="Times New Roman"/>
                <w:b w:val="0"/>
                <w:bCs/>
                <w:lang w:val="en-US" w:eastAsia="zh-CN"/>
              </w:rPr>
              <w:t>且不建设在城市中心</w:t>
            </w:r>
          </w:p>
        </w:tc>
        <w:tc>
          <w:tcPr>
            <w:tcW w:w="719" w:type="dxa"/>
            <w:vAlign w:val="center"/>
          </w:tcPr>
          <w:p w14:paraId="2E9E7225">
            <w:pPr>
              <w:jc w:val="center"/>
              <w:rPr>
                <w:rFonts w:hint="default" w:ascii="Times New Roman" w:hAnsi="Times New Roman" w:eastAsia="宋体" w:cs="Times New Roman"/>
                <w:b w:val="0"/>
                <w:bCs/>
                <w:kern w:val="28"/>
                <w:szCs w:val="21"/>
                <w:lang w:val="en-US" w:eastAsia="zh-CN"/>
              </w:rPr>
            </w:pPr>
            <w:r>
              <w:rPr>
                <w:rFonts w:hint="eastAsia" w:cs="Times New Roman"/>
                <w:b w:val="0"/>
                <w:bCs/>
                <w:kern w:val="28"/>
                <w:szCs w:val="21"/>
                <w:lang w:val="en-US" w:eastAsia="zh-CN"/>
              </w:rPr>
              <w:t>无关</w:t>
            </w:r>
          </w:p>
        </w:tc>
      </w:tr>
      <w:tr w14:paraId="0BB6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4" w:type="dxa"/>
            <w:vAlign w:val="center"/>
          </w:tcPr>
          <w:p w14:paraId="58C77075">
            <w:pPr>
              <w:pStyle w:val="21"/>
              <w:numPr>
                <w:ilvl w:val="0"/>
                <w:numId w:val="31"/>
              </w:numPr>
              <w:jc w:val="center"/>
              <w:rPr>
                <w:rFonts w:hint="default" w:ascii="Times New Roman" w:hAnsi="Times New Roman" w:cs="Times New Roman"/>
                <w:b w:val="0"/>
                <w:bCs/>
              </w:rPr>
            </w:pPr>
          </w:p>
        </w:tc>
        <w:tc>
          <w:tcPr>
            <w:tcW w:w="3002" w:type="dxa"/>
            <w:vAlign w:val="center"/>
          </w:tcPr>
          <w:p w14:paraId="7F3D9B73">
            <w:pPr>
              <w:rPr>
                <w:rFonts w:hint="default" w:ascii="Times New Roman" w:hAnsi="Times New Roman" w:cs="Times New Roman"/>
                <w:b w:val="0"/>
                <w:bCs/>
              </w:rPr>
            </w:pPr>
            <w:r>
              <w:rPr>
                <w:rFonts w:hint="default" w:ascii="Times New Roman" w:hAnsi="Times New Roman" w:cs="Times New Roman"/>
                <w:b w:val="0"/>
                <w:bCs/>
                <w:kern w:val="28"/>
                <w:szCs w:val="21"/>
              </w:rPr>
              <w:t>架空电力线路不应跨越汽车加油站的作业区</w:t>
            </w:r>
          </w:p>
        </w:tc>
        <w:tc>
          <w:tcPr>
            <w:tcW w:w="2250" w:type="dxa"/>
            <w:vAlign w:val="center"/>
          </w:tcPr>
          <w:p w14:paraId="7C072043">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GB50156-2021</w:t>
            </w:r>
          </w:p>
          <w:p w14:paraId="70FFF992">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第4.0.12条</w:t>
            </w:r>
          </w:p>
        </w:tc>
        <w:tc>
          <w:tcPr>
            <w:tcW w:w="2675" w:type="dxa"/>
            <w:vAlign w:val="center"/>
          </w:tcPr>
          <w:p w14:paraId="0CE93F35">
            <w:pPr>
              <w:rPr>
                <w:rFonts w:hint="default" w:ascii="Times New Roman" w:hAnsi="Times New Roman" w:cs="Times New Roman"/>
                <w:b w:val="0"/>
                <w:bCs/>
                <w:szCs w:val="20"/>
              </w:rPr>
            </w:pPr>
            <w:r>
              <w:rPr>
                <w:rFonts w:hint="default" w:ascii="Times New Roman" w:hAnsi="Times New Roman" w:cs="Times New Roman"/>
                <w:b w:val="0"/>
                <w:bCs/>
                <w:kern w:val="28"/>
                <w:szCs w:val="21"/>
              </w:rPr>
              <w:t>架空电力线路未跨越加油站的作业区</w:t>
            </w:r>
          </w:p>
        </w:tc>
        <w:tc>
          <w:tcPr>
            <w:tcW w:w="719" w:type="dxa"/>
            <w:vAlign w:val="center"/>
          </w:tcPr>
          <w:p w14:paraId="6706A0B4">
            <w:pPr>
              <w:jc w:val="center"/>
              <w:rPr>
                <w:rFonts w:hint="default" w:ascii="Times New Roman" w:hAnsi="Times New Roman" w:cs="Times New Roman"/>
                <w:b w:val="0"/>
                <w:bCs/>
                <w:szCs w:val="21"/>
              </w:rPr>
            </w:pPr>
            <w:r>
              <w:rPr>
                <w:rFonts w:hint="default" w:ascii="Times New Roman" w:hAnsi="Times New Roman" w:cs="Times New Roman"/>
                <w:b w:val="0"/>
                <w:bCs/>
                <w:szCs w:val="21"/>
              </w:rPr>
              <w:t>符合</w:t>
            </w:r>
          </w:p>
        </w:tc>
      </w:tr>
      <w:tr w14:paraId="4D77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4" w:type="dxa"/>
            <w:vAlign w:val="center"/>
          </w:tcPr>
          <w:p w14:paraId="5EB82F50">
            <w:pPr>
              <w:pStyle w:val="21"/>
              <w:numPr>
                <w:ilvl w:val="0"/>
                <w:numId w:val="31"/>
              </w:numPr>
              <w:jc w:val="center"/>
              <w:rPr>
                <w:rFonts w:hint="default" w:ascii="Times New Roman" w:hAnsi="Times New Roman" w:cs="Times New Roman"/>
                <w:b w:val="0"/>
                <w:bCs/>
              </w:rPr>
            </w:pPr>
          </w:p>
        </w:tc>
        <w:tc>
          <w:tcPr>
            <w:tcW w:w="3002" w:type="dxa"/>
            <w:vAlign w:val="center"/>
          </w:tcPr>
          <w:p w14:paraId="5B95C831">
            <w:pP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与汽车加油加气站无关的可燃介质管道不应穿越汽车加油加气站用地范围</w:t>
            </w:r>
          </w:p>
        </w:tc>
        <w:tc>
          <w:tcPr>
            <w:tcW w:w="2250" w:type="dxa"/>
            <w:vAlign w:val="center"/>
          </w:tcPr>
          <w:p w14:paraId="6B492C79">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GB50156-2021</w:t>
            </w:r>
          </w:p>
          <w:p w14:paraId="730588A6">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第4.0.13条</w:t>
            </w:r>
          </w:p>
        </w:tc>
        <w:tc>
          <w:tcPr>
            <w:tcW w:w="2675" w:type="dxa"/>
            <w:vAlign w:val="center"/>
          </w:tcPr>
          <w:p w14:paraId="189177C6">
            <w:pP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与汽车加油加气站无关的可燃介质管道</w:t>
            </w:r>
            <w:r>
              <w:rPr>
                <w:rFonts w:hint="eastAsia" w:cs="Times New Roman"/>
                <w:b w:val="0"/>
                <w:bCs/>
                <w:kern w:val="28"/>
                <w:szCs w:val="21"/>
                <w:lang w:val="en-US" w:eastAsia="zh-CN"/>
              </w:rPr>
              <w:t>未</w:t>
            </w:r>
            <w:r>
              <w:rPr>
                <w:rFonts w:hint="default" w:ascii="Times New Roman" w:hAnsi="Times New Roman" w:cs="Times New Roman"/>
                <w:b w:val="0"/>
                <w:bCs/>
                <w:kern w:val="28"/>
                <w:szCs w:val="21"/>
              </w:rPr>
              <w:t>穿越汽车加油加气站用地范围</w:t>
            </w:r>
          </w:p>
        </w:tc>
        <w:tc>
          <w:tcPr>
            <w:tcW w:w="719" w:type="dxa"/>
            <w:vAlign w:val="center"/>
          </w:tcPr>
          <w:p w14:paraId="42C4F3D9">
            <w:pPr>
              <w:jc w:val="center"/>
              <w:rPr>
                <w:rFonts w:hint="eastAsia" w:ascii="Times New Roman" w:hAnsi="Times New Roman" w:eastAsia="宋体" w:cs="Times New Roman"/>
                <w:b w:val="0"/>
                <w:bCs/>
                <w:szCs w:val="21"/>
                <w:lang w:eastAsia="zh-CN"/>
              </w:rPr>
            </w:pPr>
            <w:r>
              <w:rPr>
                <w:rFonts w:hint="eastAsia" w:cs="Times New Roman"/>
                <w:b w:val="0"/>
                <w:bCs/>
                <w:szCs w:val="21"/>
                <w:lang w:val="en-US" w:eastAsia="zh-CN"/>
              </w:rPr>
              <w:t>无关</w:t>
            </w:r>
          </w:p>
        </w:tc>
      </w:tr>
      <w:tr w14:paraId="2CBE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4" w:type="dxa"/>
            <w:vAlign w:val="center"/>
          </w:tcPr>
          <w:p w14:paraId="74940305">
            <w:pPr>
              <w:pStyle w:val="21"/>
              <w:numPr>
                <w:ilvl w:val="0"/>
                <w:numId w:val="31"/>
              </w:numPr>
              <w:jc w:val="center"/>
              <w:rPr>
                <w:rFonts w:hint="default" w:ascii="Times New Roman" w:hAnsi="Times New Roman" w:cs="Times New Roman"/>
                <w:b w:val="0"/>
                <w:bCs/>
              </w:rPr>
            </w:pPr>
          </w:p>
        </w:tc>
        <w:tc>
          <w:tcPr>
            <w:tcW w:w="3002" w:type="dxa"/>
            <w:vAlign w:val="center"/>
          </w:tcPr>
          <w:p w14:paraId="33BB68B9">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车辆入口和出口分开设置</w:t>
            </w:r>
          </w:p>
        </w:tc>
        <w:tc>
          <w:tcPr>
            <w:tcW w:w="2250" w:type="dxa"/>
            <w:vAlign w:val="center"/>
          </w:tcPr>
          <w:p w14:paraId="35E4A463">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GB50156-2021</w:t>
            </w:r>
          </w:p>
          <w:p w14:paraId="6E06E13D">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第5.0.1条</w:t>
            </w:r>
          </w:p>
        </w:tc>
        <w:tc>
          <w:tcPr>
            <w:tcW w:w="2675" w:type="dxa"/>
            <w:vAlign w:val="center"/>
          </w:tcPr>
          <w:p w14:paraId="205DBB65">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加油站进出口分开设置</w:t>
            </w:r>
          </w:p>
        </w:tc>
        <w:tc>
          <w:tcPr>
            <w:tcW w:w="719" w:type="dxa"/>
            <w:vAlign w:val="center"/>
          </w:tcPr>
          <w:p w14:paraId="55E1E644">
            <w:pPr>
              <w:jc w:val="center"/>
              <w:rPr>
                <w:rFonts w:hint="default" w:ascii="Times New Roman" w:hAnsi="Times New Roman" w:cs="Times New Roman"/>
                <w:b w:val="0"/>
                <w:bCs/>
                <w:szCs w:val="21"/>
              </w:rPr>
            </w:pPr>
            <w:r>
              <w:rPr>
                <w:rFonts w:hint="default" w:ascii="Times New Roman" w:hAnsi="Times New Roman" w:cs="Times New Roman"/>
                <w:b w:val="0"/>
                <w:bCs/>
                <w:szCs w:val="21"/>
              </w:rPr>
              <w:t>符合</w:t>
            </w:r>
          </w:p>
        </w:tc>
      </w:tr>
      <w:tr w14:paraId="2703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754" w:type="dxa"/>
            <w:vAlign w:val="center"/>
          </w:tcPr>
          <w:p w14:paraId="28F08E5E">
            <w:pPr>
              <w:pStyle w:val="21"/>
              <w:numPr>
                <w:ilvl w:val="0"/>
                <w:numId w:val="31"/>
              </w:numPr>
              <w:jc w:val="center"/>
              <w:rPr>
                <w:rFonts w:hint="default" w:ascii="Times New Roman" w:hAnsi="Times New Roman" w:cs="Times New Roman"/>
                <w:b w:val="0"/>
                <w:bCs/>
              </w:rPr>
            </w:pPr>
          </w:p>
        </w:tc>
        <w:tc>
          <w:tcPr>
            <w:tcW w:w="3002" w:type="dxa"/>
            <w:vAlign w:val="center"/>
          </w:tcPr>
          <w:p w14:paraId="2FC6A19E">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站区内停车位和道路应符合下列规定：</w:t>
            </w:r>
          </w:p>
          <w:p w14:paraId="553DF262">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（1）站内车道或停车位宽度应按车辆类型确定。其他类型汽车加油加气站的车道或停车位，单车道或单车停车位宽度不应小于4m，双车道或双车停车位宽度不应小于6m</w:t>
            </w:r>
          </w:p>
          <w:p w14:paraId="75394E42">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（2）站内的道路转弯半径应按行驶车型确定，且不宜小于9m</w:t>
            </w:r>
          </w:p>
          <w:p w14:paraId="1041389E">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（3）站内停车位应为平坡，道路坡度不应大于8%，且宜坡向站外</w:t>
            </w:r>
          </w:p>
          <w:p w14:paraId="55B75317">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（4）作业区内的停车场和道路路面不应采用沥青路面</w:t>
            </w:r>
          </w:p>
        </w:tc>
        <w:tc>
          <w:tcPr>
            <w:tcW w:w="2250" w:type="dxa"/>
            <w:vAlign w:val="center"/>
          </w:tcPr>
          <w:p w14:paraId="7C5C2BBB">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GB50156-2021</w:t>
            </w:r>
          </w:p>
          <w:p w14:paraId="6E1B9BFA">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第5.0.2条</w:t>
            </w:r>
          </w:p>
        </w:tc>
        <w:tc>
          <w:tcPr>
            <w:tcW w:w="2675" w:type="dxa"/>
            <w:vAlign w:val="center"/>
          </w:tcPr>
          <w:p w14:paraId="0867D695">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站内停车位和道路符合要求</w:t>
            </w:r>
          </w:p>
        </w:tc>
        <w:tc>
          <w:tcPr>
            <w:tcW w:w="719" w:type="dxa"/>
            <w:vAlign w:val="center"/>
          </w:tcPr>
          <w:p w14:paraId="31F0CC90">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符合</w:t>
            </w:r>
          </w:p>
        </w:tc>
      </w:tr>
      <w:tr w14:paraId="7D51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4" w:type="dxa"/>
            <w:vAlign w:val="center"/>
          </w:tcPr>
          <w:p w14:paraId="022D7B20">
            <w:pPr>
              <w:pStyle w:val="21"/>
              <w:numPr>
                <w:ilvl w:val="0"/>
                <w:numId w:val="31"/>
              </w:numPr>
              <w:jc w:val="center"/>
              <w:rPr>
                <w:rFonts w:hint="default" w:ascii="Times New Roman" w:hAnsi="Times New Roman" w:cs="Times New Roman"/>
                <w:b w:val="0"/>
                <w:bCs/>
              </w:rPr>
            </w:pPr>
          </w:p>
        </w:tc>
        <w:tc>
          <w:tcPr>
            <w:tcW w:w="3002" w:type="dxa"/>
            <w:vAlign w:val="center"/>
          </w:tcPr>
          <w:p w14:paraId="3C54B4FA">
            <w:pPr>
              <w:adjustRightInd w:val="0"/>
              <w:snapToGrid w:val="0"/>
              <w:jc w:val="left"/>
              <w:rPr>
                <w:rFonts w:hint="default" w:ascii="Times New Roman" w:hAnsi="Times New Roman" w:cs="Times New Roman"/>
                <w:b w:val="0"/>
                <w:bCs/>
                <w:kern w:val="28"/>
                <w:szCs w:val="21"/>
              </w:rPr>
            </w:pPr>
            <w:r>
              <w:rPr>
                <w:rFonts w:hint="default" w:ascii="Times New Roman" w:hAnsi="Times New Roman" w:cs="Times New Roman"/>
                <w:b w:val="0"/>
                <w:bCs/>
                <w:kern w:val="28"/>
                <w:szCs w:val="21"/>
              </w:rPr>
              <w:t>加油站的变配电间或室外变压器应布置在作业区之外</w:t>
            </w:r>
          </w:p>
        </w:tc>
        <w:tc>
          <w:tcPr>
            <w:tcW w:w="2250" w:type="dxa"/>
            <w:vAlign w:val="center"/>
          </w:tcPr>
          <w:p w14:paraId="7ADA03E3">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GB50156-2021</w:t>
            </w:r>
          </w:p>
          <w:p w14:paraId="1AA7FA45">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第5.0.8条</w:t>
            </w:r>
          </w:p>
        </w:tc>
        <w:tc>
          <w:tcPr>
            <w:tcW w:w="2675" w:type="dxa"/>
            <w:vAlign w:val="center"/>
          </w:tcPr>
          <w:p w14:paraId="3D823B66">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配电</w:t>
            </w:r>
            <w:r>
              <w:rPr>
                <w:rFonts w:hint="default" w:ascii="Times New Roman" w:hAnsi="Times New Roman" w:cs="Times New Roman"/>
                <w:b w:val="0"/>
                <w:bCs/>
                <w:kern w:val="28"/>
                <w:szCs w:val="21"/>
                <w:lang w:val="en-US" w:eastAsia="zh-CN"/>
              </w:rPr>
              <w:t>室</w:t>
            </w:r>
            <w:r>
              <w:rPr>
                <w:rFonts w:hint="default" w:ascii="Times New Roman" w:hAnsi="Times New Roman" w:cs="Times New Roman"/>
                <w:b w:val="0"/>
                <w:bCs/>
                <w:kern w:val="28"/>
                <w:szCs w:val="21"/>
              </w:rPr>
              <w:t>布置在站房内，作业区外</w:t>
            </w:r>
          </w:p>
        </w:tc>
        <w:tc>
          <w:tcPr>
            <w:tcW w:w="719" w:type="dxa"/>
            <w:vAlign w:val="center"/>
          </w:tcPr>
          <w:p w14:paraId="28DC0ADD">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符合</w:t>
            </w:r>
          </w:p>
        </w:tc>
      </w:tr>
      <w:tr w14:paraId="2F87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4" w:type="dxa"/>
            <w:vAlign w:val="center"/>
          </w:tcPr>
          <w:p w14:paraId="18B3A312">
            <w:pPr>
              <w:pStyle w:val="21"/>
              <w:numPr>
                <w:ilvl w:val="0"/>
                <w:numId w:val="31"/>
              </w:numPr>
              <w:jc w:val="center"/>
              <w:rPr>
                <w:rFonts w:hint="default" w:ascii="Times New Roman" w:hAnsi="Times New Roman" w:cs="Times New Roman"/>
                <w:b w:val="0"/>
                <w:bCs/>
              </w:rPr>
            </w:pPr>
          </w:p>
        </w:tc>
        <w:tc>
          <w:tcPr>
            <w:tcW w:w="3002" w:type="dxa"/>
            <w:vAlign w:val="center"/>
          </w:tcPr>
          <w:p w14:paraId="3D2D64F4">
            <w:pPr>
              <w:adjustRightInd w:val="0"/>
              <w:snapToGrid w:val="0"/>
              <w:jc w:val="left"/>
              <w:rPr>
                <w:rFonts w:hint="default" w:ascii="Times New Roman" w:hAnsi="Times New Roman" w:cs="Times New Roman"/>
                <w:b w:val="0"/>
                <w:bCs/>
                <w:kern w:val="28"/>
                <w:szCs w:val="21"/>
              </w:rPr>
            </w:pPr>
            <w:r>
              <w:rPr>
                <w:rFonts w:hint="default" w:ascii="Times New Roman" w:hAnsi="Times New Roman" w:cs="Times New Roman"/>
                <w:b w:val="0"/>
                <w:bCs/>
              </w:rPr>
              <w:t>加油站的</w:t>
            </w:r>
            <w:r>
              <w:rPr>
                <w:rFonts w:hint="eastAsia" w:cs="Times New Roman"/>
                <w:b w:val="0"/>
                <w:bCs/>
                <w:lang w:eastAsia="zh-CN"/>
              </w:rPr>
              <w:t>乙醇汽油</w:t>
            </w:r>
            <w:r>
              <w:rPr>
                <w:rFonts w:hint="default" w:ascii="Times New Roman" w:hAnsi="Times New Roman" w:cs="Times New Roman"/>
                <w:b w:val="0"/>
                <w:bCs/>
              </w:rPr>
              <w:t>、柴油工艺设备与站外建（构）筑物的安全间距不应小于表4.0.4的规定</w:t>
            </w:r>
          </w:p>
        </w:tc>
        <w:tc>
          <w:tcPr>
            <w:tcW w:w="2250" w:type="dxa"/>
            <w:vAlign w:val="center"/>
          </w:tcPr>
          <w:p w14:paraId="15B7973F">
            <w:pPr>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GB50156-2021</w:t>
            </w:r>
          </w:p>
          <w:p w14:paraId="70A07815">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第4.0.4条</w:t>
            </w:r>
          </w:p>
        </w:tc>
        <w:tc>
          <w:tcPr>
            <w:tcW w:w="2675" w:type="dxa"/>
            <w:vAlign w:val="center"/>
          </w:tcPr>
          <w:p w14:paraId="23A12A4A">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szCs w:val="20"/>
              </w:rPr>
              <w:t>加油站的工艺设施与站外建、构筑物的安全距离符合规范要求，详见F表4</w:t>
            </w:r>
            <w:r>
              <w:rPr>
                <w:rFonts w:hint="eastAsia" w:cs="Times New Roman"/>
                <w:b w:val="0"/>
                <w:bCs/>
                <w:szCs w:val="20"/>
                <w:lang w:val="en-US" w:eastAsia="zh-CN"/>
              </w:rPr>
              <w:t>.1</w:t>
            </w:r>
            <w:r>
              <w:rPr>
                <w:rFonts w:hint="default" w:ascii="Times New Roman" w:hAnsi="Times New Roman" w:cs="Times New Roman"/>
                <w:b w:val="0"/>
                <w:bCs/>
                <w:szCs w:val="20"/>
              </w:rPr>
              <w:t>-2</w:t>
            </w:r>
          </w:p>
        </w:tc>
        <w:tc>
          <w:tcPr>
            <w:tcW w:w="719" w:type="dxa"/>
            <w:vAlign w:val="center"/>
          </w:tcPr>
          <w:p w14:paraId="536251E2">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szCs w:val="21"/>
              </w:rPr>
              <w:t>符合</w:t>
            </w:r>
          </w:p>
        </w:tc>
      </w:tr>
      <w:tr w14:paraId="24AF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4" w:type="dxa"/>
            <w:vAlign w:val="center"/>
          </w:tcPr>
          <w:p w14:paraId="6EFA8942">
            <w:pPr>
              <w:pStyle w:val="21"/>
              <w:numPr>
                <w:ilvl w:val="0"/>
                <w:numId w:val="31"/>
              </w:numPr>
              <w:jc w:val="center"/>
              <w:rPr>
                <w:rFonts w:hint="default" w:ascii="Times New Roman" w:hAnsi="Times New Roman" w:cs="Times New Roman"/>
                <w:b w:val="0"/>
                <w:bCs/>
              </w:rPr>
            </w:pPr>
          </w:p>
        </w:tc>
        <w:tc>
          <w:tcPr>
            <w:tcW w:w="3002" w:type="dxa"/>
            <w:vAlign w:val="center"/>
          </w:tcPr>
          <w:p w14:paraId="30AA5123">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加油站内设施之间的防火距离，符合GB50156表5.0.13规定</w:t>
            </w:r>
          </w:p>
        </w:tc>
        <w:tc>
          <w:tcPr>
            <w:tcW w:w="2250" w:type="dxa"/>
            <w:vAlign w:val="center"/>
          </w:tcPr>
          <w:p w14:paraId="46EAEB2A">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GB50156-2021</w:t>
            </w:r>
          </w:p>
          <w:p w14:paraId="375EBD94">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第5.0.13条</w:t>
            </w:r>
          </w:p>
        </w:tc>
        <w:tc>
          <w:tcPr>
            <w:tcW w:w="2675" w:type="dxa"/>
            <w:vAlign w:val="center"/>
          </w:tcPr>
          <w:p w14:paraId="480852DC">
            <w:pPr>
              <w:adjustRightInd w:val="0"/>
              <w:snapToGrid w:val="0"/>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站内设施之间的防火间距符合规范要求，</w:t>
            </w:r>
            <w:r>
              <w:rPr>
                <w:rFonts w:hint="default" w:ascii="Times New Roman" w:hAnsi="Times New Roman" w:cs="Times New Roman"/>
                <w:b w:val="0"/>
                <w:bCs/>
                <w:szCs w:val="20"/>
              </w:rPr>
              <w:t>详见F表4</w:t>
            </w:r>
            <w:r>
              <w:rPr>
                <w:rFonts w:hint="eastAsia" w:cs="Times New Roman"/>
                <w:b w:val="0"/>
                <w:bCs/>
                <w:szCs w:val="20"/>
                <w:lang w:val="en-US" w:eastAsia="zh-CN"/>
              </w:rPr>
              <w:t>.1</w:t>
            </w:r>
            <w:r>
              <w:rPr>
                <w:rFonts w:hint="default" w:ascii="Times New Roman" w:hAnsi="Times New Roman" w:cs="Times New Roman"/>
                <w:b w:val="0"/>
                <w:bCs/>
                <w:szCs w:val="20"/>
              </w:rPr>
              <w:t>-3</w:t>
            </w:r>
          </w:p>
        </w:tc>
        <w:tc>
          <w:tcPr>
            <w:tcW w:w="719" w:type="dxa"/>
            <w:vAlign w:val="center"/>
          </w:tcPr>
          <w:p w14:paraId="6431AF9F">
            <w:pPr>
              <w:adjustRightInd w:val="0"/>
              <w:snapToGrid w:val="0"/>
              <w:jc w:val="center"/>
              <w:rPr>
                <w:rFonts w:hint="default" w:ascii="Times New Roman" w:hAnsi="Times New Roman" w:cs="Times New Roman"/>
                <w:b w:val="0"/>
                <w:bCs/>
                <w:kern w:val="28"/>
                <w:szCs w:val="21"/>
              </w:rPr>
            </w:pPr>
            <w:r>
              <w:rPr>
                <w:rFonts w:hint="default" w:ascii="Times New Roman" w:hAnsi="Times New Roman" w:cs="Times New Roman"/>
                <w:b w:val="0"/>
                <w:bCs/>
                <w:kern w:val="28"/>
                <w:szCs w:val="21"/>
              </w:rPr>
              <w:t>符合</w:t>
            </w:r>
          </w:p>
        </w:tc>
      </w:tr>
      <w:tr w14:paraId="20A9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4" w:type="dxa"/>
            <w:vAlign w:val="center"/>
          </w:tcPr>
          <w:p w14:paraId="7D20D01C">
            <w:pPr>
              <w:pStyle w:val="21"/>
              <w:numPr>
                <w:ilvl w:val="0"/>
                <w:numId w:val="31"/>
              </w:numPr>
              <w:jc w:val="center"/>
              <w:rPr>
                <w:rFonts w:hint="default" w:ascii="Times New Roman" w:hAnsi="Times New Roman" w:cs="Times New Roman"/>
                <w:b w:val="0"/>
                <w:bCs/>
              </w:rPr>
            </w:pPr>
            <w:bookmarkStart w:id="481" w:name="_Toc26421"/>
          </w:p>
        </w:tc>
        <w:tc>
          <w:tcPr>
            <w:tcW w:w="3002" w:type="dxa"/>
            <w:vAlign w:val="center"/>
          </w:tcPr>
          <w:p w14:paraId="5D80530B">
            <w:pPr>
              <w:adjustRightInd w:val="0"/>
              <w:snapToGrid w:val="0"/>
              <w:jc w:val="left"/>
              <w:rPr>
                <w:rFonts w:hint="eastAsia" w:ascii="Times New Roman" w:hAnsi="Times New Roman" w:eastAsia="宋体" w:cs="Times New Roman"/>
                <w:b w:val="0"/>
                <w:bCs/>
              </w:rPr>
            </w:pPr>
            <w:r>
              <w:rPr>
                <w:rFonts w:hint="eastAsia" w:ascii="Times New Roman" w:hAnsi="Times New Roman" w:eastAsia="宋体" w:cs="Times New Roman"/>
                <w:b w:val="0"/>
                <w:bCs/>
                <w:lang w:val="en-US" w:eastAsia="zh-CN"/>
              </w:rPr>
              <w:t>电动汽车充电设施应布置在辅助服务区内。</w:t>
            </w:r>
          </w:p>
        </w:tc>
        <w:tc>
          <w:tcPr>
            <w:tcW w:w="2250" w:type="dxa"/>
            <w:vAlign w:val="center"/>
          </w:tcPr>
          <w:p w14:paraId="3216D9BE">
            <w:pPr>
              <w:adjustRightInd w:val="0"/>
              <w:snapToGrid w:val="0"/>
              <w:jc w:val="center"/>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GB50156-2021</w:t>
            </w:r>
          </w:p>
          <w:p w14:paraId="6BE08419">
            <w:pPr>
              <w:adjustRightInd w:val="0"/>
              <w:snapToGrid w:val="0"/>
              <w:jc w:val="center"/>
              <w:rPr>
                <w:rFonts w:hint="default" w:ascii="Times New Roman" w:hAnsi="Times New Roman" w:eastAsia="宋体" w:cs="Times New Roman"/>
                <w:b w:val="0"/>
                <w:bCs/>
              </w:rPr>
            </w:pPr>
            <w:r>
              <w:rPr>
                <w:rFonts w:hint="eastAsia" w:ascii="Times New Roman" w:hAnsi="Times New Roman" w:eastAsia="宋体" w:cs="Times New Roman"/>
                <w:b w:val="0"/>
                <w:bCs/>
                <w:lang w:val="en-US" w:eastAsia="zh-CN"/>
              </w:rPr>
              <w:t>第5.0.7条</w:t>
            </w:r>
          </w:p>
        </w:tc>
        <w:tc>
          <w:tcPr>
            <w:tcW w:w="2675" w:type="dxa"/>
            <w:vAlign w:val="center"/>
          </w:tcPr>
          <w:p w14:paraId="0534A9E2">
            <w:pPr>
              <w:adjustRightInd w:val="0"/>
              <w:snapToGrid w:val="0"/>
              <w:jc w:val="left"/>
              <w:rPr>
                <w:rFonts w:hint="eastAsia" w:ascii="Times New Roman" w:hAnsi="Times New Roman" w:eastAsia="宋体" w:cs="Times New Roman"/>
                <w:b w:val="0"/>
                <w:bCs/>
              </w:rPr>
            </w:pPr>
            <w:r>
              <w:rPr>
                <w:rFonts w:hint="eastAsia" w:ascii="Times New Roman" w:hAnsi="Times New Roman" w:eastAsia="宋体" w:cs="Times New Roman"/>
                <w:b w:val="0"/>
                <w:bCs/>
                <w:lang w:val="en-US" w:eastAsia="zh-CN"/>
              </w:rPr>
              <w:t>未布置在加油作业区。</w:t>
            </w:r>
          </w:p>
        </w:tc>
        <w:tc>
          <w:tcPr>
            <w:tcW w:w="719" w:type="dxa"/>
            <w:vAlign w:val="center"/>
          </w:tcPr>
          <w:p w14:paraId="673B5BA4">
            <w:pPr>
              <w:adjustRightInd w:val="0"/>
              <w:snapToGrid w:val="0"/>
              <w:jc w:val="center"/>
              <w:rPr>
                <w:rFonts w:hint="default" w:ascii="Times New Roman" w:hAnsi="Times New Roman" w:eastAsia="宋体" w:cs="Times New Roman"/>
                <w:b w:val="0"/>
                <w:bCs/>
              </w:rPr>
            </w:pPr>
            <w:r>
              <w:rPr>
                <w:rFonts w:hint="eastAsia" w:ascii="Times New Roman" w:hAnsi="Times New Roman" w:eastAsia="宋体" w:cs="Times New Roman"/>
                <w:b w:val="0"/>
                <w:bCs/>
                <w:lang w:val="en-US" w:eastAsia="zh-CN"/>
              </w:rPr>
              <w:t>符合</w:t>
            </w:r>
          </w:p>
        </w:tc>
      </w:tr>
    </w:tbl>
    <w:p w14:paraId="3ACB3B47">
      <w:pPr>
        <w:keepNext w:val="0"/>
        <w:keepLines w:val="0"/>
        <w:pageBreakBefore w:val="0"/>
        <w:widowControl w:val="0"/>
        <w:kinsoku/>
        <w:wordWrap/>
        <w:overflowPunct/>
        <w:topLinePunct w:val="0"/>
        <w:autoSpaceDE/>
        <w:autoSpaceDN/>
        <w:bidi w:val="0"/>
        <w:adjustRightInd w:val="0"/>
        <w:snapToGrid w:val="0"/>
        <w:spacing w:before="164" w:beforeLines="50"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小结：选址与总平面布置单元共检查</w:t>
      </w:r>
      <w:r>
        <w:rPr>
          <w:rFonts w:hint="eastAsia" w:cs="Times New Roman"/>
          <w:sz w:val="28"/>
          <w:szCs w:val="28"/>
          <w:lang w:val="en-US" w:eastAsia="zh-CN"/>
        </w:rPr>
        <w:t>10</w:t>
      </w:r>
      <w:r>
        <w:rPr>
          <w:rFonts w:hint="default" w:ascii="Times New Roman" w:hAnsi="Times New Roman" w:eastAsia="宋体" w:cs="Times New Roman"/>
          <w:sz w:val="28"/>
          <w:szCs w:val="28"/>
        </w:rPr>
        <w:t>项，</w:t>
      </w:r>
      <w:r>
        <w:rPr>
          <w:rFonts w:hint="eastAsia" w:cs="Times New Roman"/>
          <w:sz w:val="28"/>
          <w:szCs w:val="28"/>
          <w:lang w:val="en-US" w:eastAsia="zh-CN"/>
        </w:rPr>
        <w:t>其中2项为无关项，其余项均</w:t>
      </w:r>
      <w:r>
        <w:rPr>
          <w:rFonts w:hint="default" w:ascii="Times New Roman" w:hAnsi="Times New Roman" w:eastAsia="宋体" w:cs="Times New Roman"/>
          <w:sz w:val="28"/>
          <w:szCs w:val="28"/>
        </w:rPr>
        <w:t>符合规范要求。</w:t>
      </w:r>
    </w:p>
    <w:p w14:paraId="07E0EC97">
      <w:pPr>
        <w:keepNext w:val="0"/>
        <w:keepLines w:val="0"/>
        <w:pageBreakBefore w:val="0"/>
        <w:widowControl w:val="0"/>
        <w:kinsoku/>
        <w:wordWrap/>
        <w:overflowPunct/>
        <w:topLinePunct w:val="0"/>
        <w:autoSpaceDE/>
        <w:autoSpaceDN/>
        <w:bidi w:val="0"/>
        <w:adjustRightInd/>
        <w:snapToGrid/>
        <w:spacing w:before="164" w:beforeLines="50" w:after="164" w:afterLines="50"/>
        <w:ind w:firstLine="0"/>
        <w:jc w:val="center"/>
        <w:textAlignment w:val="auto"/>
        <w:rPr>
          <w:rFonts w:hint="default" w:ascii="Times New Roman" w:hAnsi="Times New Roman" w:eastAsia="黑体" w:cs="Times New Roman"/>
          <w:b w:val="0"/>
          <w:bCs w:val="0"/>
          <w:sz w:val="24"/>
          <w:highlight w:val="none"/>
          <w:lang w:val="zh-CN"/>
        </w:rPr>
      </w:pPr>
      <w:r>
        <w:rPr>
          <w:rFonts w:hint="default" w:ascii="Times New Roman" w:hAnsi="Times New Roman" w:eastAsia="黑体" w:cs="Times New Roman"/>
          <w:b w:val="0"/>
          <w:bCs w:val="0"/>
          <w:sz w:val="24"/>
          <w:highlight w:val="none"/>
        </w:rPr>
        <w:t>F表4</w:t>
      </w:r>
      <w:r>
        <w:rPr>
          <w:rFonts w:hint="eastAsia" w:ascii="Times New Roman" w:hAnsi="Times New Roman" w:eastAsia="黑体" w:cs="Times New Roman"/>
          <w:b w:val="0"/>
          <w:bCs w:val="0"/>
          <w:sz w:val="24"/>
          <w:highlight w:val="none"/>
          <w:lang w:val="en-US" w:eastAsia="zh-CN"/>
        </w:rPr>
        <w:t>.1</w:t>
      </w:r>
      <w:r>
        <w:rPr>
          <w:rFonts w:hint="default" w:ascii="Times New Roman" w:hAnsi="Times New Roman" w:eastAsia="黑体" w:cs="Times New Roman"/>
          <w:b w:val="0"/>
          <w:bCs w:val="0"/>
          <w:sz w:val="24"/>
          <w:highlight w:val="none"/>
        </w:rPr>
        <w:t>-2</w:t>
      </w:r>
      <w:r>
        <w:rPr>
          <w:rFonts w:hint="eastAsia" w:eastAsia="黑体" w:cs="Times New Roman"/>
          <w:b w:val="0"/>
          <w:bCs w:val="0"/>
          <w:sz w:val="24"/>
          <w:highlight w:val="none"/>
          <w:lang w:val="zh-CN"/>
        </w:rPr>
        <w:t>乙醇汽油</w:t>
      </w:r>
      <w:r>
        <w:rPr>
          <w:rFonts w:hint="default" w:ascii="Times New Roman" w:hAnsi="Times New Roman" w:eastAsia="黑体" w:cs="Times New Roman"/>
          <w:b w:val="0"/>
          <w:bCs w:val="0"/>
          <w:sz w:val="24"/>
          <w:highlight w:val="none"/>
        </w:rPr>
        <w:t>工艺设备</w:t>
      </w:r>
      <w:r>
        <w:rPr>
          <w:rFonts w:hint="default" w:ascii="Times New Roman" w:hAnsi="Times New Roman" w:eastAsia="黑体" w:cs="Times New Roman"/>
          <w:b w:val="0"/>
          <w:bCs w:val="0"/>
          <w:sz w:val="24"/>
          <w:highlight w:val="none"/>
          <w:lang w:val="zh-CN"/>
        </w:rPr>
        <w:t>和柴油工艺</w:t>
      </w:r>
      <w:r>
        <w:rPr>
          <w:rFonts w:hint="default" w:ascii="Times New Roman" w:hAnsi="Times New Roman" w:eastAsia="黑体" w:cs="Times New Roman"/>
          <w:b w:val="0"/>
          <w:bCs w:val="0"/>
          <w:sz w:val="24"/>
          <w:highlight w:val="none"/>
        </w:rPr>
        <w:t>设备</w:t>
      </w:r>
      <w:r>
        <w:rPr>
          <w:rFonts w:hint="default" w:ascii="Times New Roman" w:hAnsi="Times New Roman" w:eastAsia="黑体" w:cs="Times New Roman"/>
          <w:b w:val="0"/>
          <w:bCs w:val="0"/>
          <w:sz w:val="24"/>
          <w:highlight w:val="none"/>
          <w:lang w:val="zh-CN"/>
        </w:rPr>
        <w:t>与站外建（构）筑物安全间距表</w:t>
      </w:r>
    </w:p>
    <w:p w14:paraId="574F869D">
      <w:pPr>
        <w:keepNext w:val="0"/>
        <w:keepLines w:val="0"/>
        <w:pageBreakBefore w:val="0"/>
        <w:widowControl w:val="0"/>
        <w:kinsoku/>
        <w:wordWrap/>
        <w:overflowPunct/>
        <w:topLinePunct w:val="0"/>
        <w:autoSpaceDE/>
        <w:autoSpaceDN/>
        <w:bidi w:val="0"/>
        <w:adjustRightInd/>
        <w:snapToGrid/>
        <w:spacing w:before="164" w:beforeLines="50" w:after="164" w:afterLines="50"/>
        <w:ind w:firstLine="0"/>
        <w:jc w:val="center"/>
        <w:textAlignment w:val="auto"/>
        <w:rPr>
          <w:rFonts w:hint="default" w:ascii="Times New Roman" w:hAnsi="Times New Roman" w:eastAsia="黑体" w:cs="Times New Roman"/>
          <w:b w:val="0"/>
          <w:bCs w:val="0"/>
          <w:sz w:val="24"/>
          <w:lang w:val="zh-CN"/>
        </w:rPr>
      </w:pPr>
      <w:r>
        <w:rPr>
          <w:rFonts w:hint="eastAsia" w:eastAsia="黑体" w:cs="Times New Roman"/>
          <w:b w:val="0"/>
          <w:bCs w:val="0"/>
          <w:sz w:val="24"/>
          <w:lang w:val="zh-CN"/>
        </w:rPr>
        <w:t>（</w:t>
      </w:r>
      <w:r>
        <w:rPr>
          <w:rFonts w:hint="eastAsia" w:eastAsia="黑体" w:cs="Times New Roman"/>
          <w:b w:val="0"/>
          <w:bCs w:val="0"/>
          <w:sz w:val="24"/>
          <w:lang w:val="en-US" w:eastAsia="zh-CN"/>
        </w:rPr>
        <w:t>二级加油站</w:t>
      </w:r>
      <w:r>
        <w:rPr>
          <w:rFonts w:hint="eastAsia" w:eastAsia="黑体" w:cs="Times New Roman"/>
          <w:b w:val="0"/>
          <w:bCs w:val="0"/>
          <w:sz w:val="24"/>
          <w:lang w:val="zh-CN"/>
        </w:rPr>
        <w:t>）</w:t>
      </w:r>
    </w:p>
    <w:p w14:paraId="4FB94D68">
      <w:pPr>
        <w:keepNext w:val="0"/>
        <w:keepLines w:val="0"/>
        <w:pageBreakBefore w:val="0"/>
        <w:widowControl w:val="0"/>
        <w:kinsoku/>
        <w:wordWrap/>
        <w:overflowPunct/>
        <w:topLinePunct w:val="0"/>
        <w:autoSpaceDE/>
        <w:autoSpaceDN/>
        <w:bidi w:val="0"/>
        <w:adjustRightInd/>
        <w:snapToGrid/>
        <w:spacing w:before="164" w:beforeLines="50" w:after="164" w:afterLines="50"/>
        <w:ind w:firstLine="0"/>
        <w:jc w:val="center"/>
        <w:textAlignment w:val="auto"/>
        <w:rPr>
          <w:rFonts w:hint="eastAsia" w:eastAsia="黑体" w:cs="Times New Roman"/>
          <w:b w:val="0"/>
          <w:bCs w:val="0"/>
          <w:sz w:val="24"/>
          <w:lang w:val="zh-CN"/>
        </w:rPr>
      </w:pPr>
      <w:r>
        <w:rPr>
          <w:rFonts w:hint="default" w:ascii="Times New Roman" w:hAnsi="Times New Roman" w:eastAsia="黑体" w:cs="Times New Roman"/>
          <w:b w:val="0"/>
          <w:bCs w:val="0"/>
          <w:sz w:val="24"/>
        </w:rPr>
        <w:t>F表4</w:t>
      </w:r>
      <w:r>
        <w:rPr>
          <w:rFonts w:hint="eastAsia" w:ascii="Times New Roman" w:hAnsi="Times New Roman" w:eastAsia="黑体" w:cs="Times New Roman"/>
          <w:b w:val="0"/>
          <w:bCs w:val="0"/>
          <w:sz w:val="24"/>
          <w:lang w:val="en-US" w:eastAsia="zh-CN"/>
        </w:rPr>
        <w:t>.1-</w:t>
      </w:r>
      <w:r>
        <w:rPr>
          <w:rFonts w:hint="default" w:ascii="Times New Roman" w:hAnsi="Times New Roman" w:eastAsia="黑体" w:cs="Times New Roman"/>
          <w:b w:val="0"/>
          <w:bCs w:val="0"/>
          <w:sz w:val="24"/>
        </w:rPr>
        <w:t>3本项目站内设施防火间距表（m）</w:t>
      </w:r>
      <w:r>
        <w:rPr>
          <w:rFonts w:hint="eastAsia" w:eastAsia="黑体" w:cs="Times New Roman"/>
          <w:b w:val="0"/>
          <w:bCs w:val="0"/>
          <w:sz w:val="24"/>
          <w:lang w:val="zh-CN"/>
        </w:rPr>
        <w:t>（</w:t>
      </w:r>
      <w:r>
        <w:rPr>
          <w:rFonts w:hint="eastAsia" w:eastAsia="黑体" w:cs="Times New Roman"/>
          <w:b w:val="0"/>
          <w:bCs w:val="0"/>
          <w:sz w:val="24"/>
          <w:lang w:val="en-US" w:eastAsia="zh-CN"/>
        </w:rPr>
        <w:t>二级加油站</w:t>
      </w:r>
      <w:r>
        <w:rPr>
          <w:rFonts w:hint="eastAsia" w:eastAsia="黑体" w:cs="Times New Roman"/>
          <w:b w:val="0"/>
          <w:bCs w:val="0"/>
          <w:sz w:val="24"/>
          <w:lang w:val="zh-CN"/>
        </w:rPr>
        <w:t>）</w:t>
      </w:r>
    </w:p>
    <w:p w14:paraId="575443EC">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82" w:name="_Toc41246769"/>
      <w:bookmarkStart w:id="483" w:name="_Toc30939"/>
      <w:bookmarkStart w:id="484" w:name="_Toc23775"/>
      <w:bookmarkStart w:id="497" w:name="_GoBack"/>
      <w:bookmarkEnd w:id="497"/>
      <w:r>
        <w:rPr>
          <w:rFonts w:hint="default" w:ascii="Times New Roman" w:hAnsi="Times New Roman" w:eastAsia="楷体" w:cs="Times New Roman"/>
          <w:b/>
          <w:bCs/>
          <w:sz w:val="32"/>
          <w:szCs w:val="32"/>
          <w:lang w:val="en-US" w:eastAsia="zh-CN"/>
        </w:rPr>
        <w:t>F4.2预先危险性分析</w:t>
      </w:r>
      <w:bookmarkEnd w:id="481"/>
      <w:bookmarkEnd w:id="482"/>
      <w:bookmarkEnd w:id="483"/>
      <w:bookmarkEnd w:id="484"/>
    </w:p>
    <w:p w14:paraId="24D418B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为衡量系统危险性的大小及对系统的破坏程度，将各类危险性划分为4个等级，见F表4</w:t>
      </w:r>
      <w:r>
        <w:rPr>
          <w:rFonts w:hint="eastAsia" w:ascii="Times New Roman" w:hAnsi="Times New Roman" w:cs="Times New Roman"/>
          <w:sz w:val="28"/>
          <w:szCs w:val="28"/>
          <w:lang w:val="en-US" w:eastAsia="zh-CN"/>
        </w:rPr>
        <w:t>.2</w:t>
      </w:r>
      <w:r>
        <w:rPr>
          <w:rFonts w:hint="default" w:ascii="Times New Roman" w:hAnsi="Times New Roman" w:cs="Times New Roman"/>
          <w:sz w:val="28"/>
          <w:szCs w:val="28"/>
        </w:rPr>
        <w:t>-</w:t>
      </w:r>
      <w:r>
        <w:rPr>
          <w:rFonts w:hint="eastAsia" w:ascii="Times New Roman" w:hAnsi="Times New Roman" w:cs="Times New Roman"/>
          <w:sz w:val="28"/>
          <w:szCs w:val="28"/>
          <w:lang w:val="en-US" w:eastAsia="zh-CN"/>
        </w:rPr>
        <w:t>1</w:t>
      </w:r>
      <w:r>
        <w:rPr>
          <w:rFonts w:hint="default" w:ascii="Times New Roman" w:hAnsi="Times New Roman" w:cs="Times New Roman"/>
          <w:sz w:val="28"/>
          <w:szCs w:val="28"/>
        </w:rPr>
        <w:t>；以下对本项目存在的主要危险因素进行分析，结果如F表4</w:t>
      </w:r>
      <w:r>
        <w:rPr>
          <w:rFonts w:hint="eastAsia" w:ascii="Times New Roman" w:hAnsi="Times New Roman" w:cs="Times New Roman"/>
          <w:sz w:val="28"/>
          <w:szCs w:val="28"/>
          <w:lang w:val="en-US" w:eastAsia="zh-CN"/>
        </w:rPr>
        <w:t>.2</w:t>
      </w:r>
      <w:r>
        <w:rPr>
          <w:rFonts w:hint="default" w:ascii="Times New Roman" w:hAnsi="Times New Roman" w:cs="Times New Roman"/>
          <w:sz w:val="28"/>
          <w:szCs w:val="28"/>
        </w:rPr>
        <w:t>-</w:t>
      </w:r>
      <w:r>
        <w:rPr>
          <w:rFonts w:hint="eastAsia" w:ascii="Times New Roman" w:hAnsi="Times New Roman" w:cs="Times New Roman"/>
          <w:sz w:val="28"/>
          <w:szCs w:val="28"/>
          <w:lang w:val="en-US" w:eastAsia="zh-CN"/>
        </w:rPr>
        <w:t>2</w:t>
      </w:r>
      <w:r>
        <w:rPr>
          <w:rFonts w:hint="default" w:ascii="Times New Roman" w:hAnsi="Times New Roman" w:cs="Times New Roman"/>
          <w:sz w:val="28"/>
          <w:szCs w:val="28"/>
        </w:rPr>
        <w:t>所示。</w:t>
      </w:r>
    </w:p>
    <w:p w14:paraId="51A68303">
      <w:pPr>
        <w:keepNext w:val="0"/>
        <w:keepLines w:val="0"/>
        <w:pageBreakBefore w:val="0"/>
        <w:widowControl w:val="0"/>
        <w:kinsoku/>
        <w:wordWrap/>
        <w:overflowPunct/>
        <w:topLinePunct w:val="0"/>
        <w:autoSpaceDE/>
        <w:autoSpaceDN/>
        <w:bidi w:val="0"/>
        <w:adjustRightInd/>
        <w:snapToGrid/>
        <w:spacing w:before="164" w:beforeLines="50" w:after="164" w:afterLines="50"/>
        <w:ind w:firstLine="0"/>
        <w:jc w:val="center"/>
        <w:textAlignment w:val="auto"/>
        <w:rPr>
          <w:rFonts w:hint="default" w:ascii="Times New Roman" w:hAnsi="Times New Roman" w:eastAsia="黑体" w:cs="Times New Roman"/>
          <w:b w:val="0"/>
          <w:bCs w:val="0"/>
          <w:sz w:val="24"/>
        </w:rPr>
      </w:pPr>
      <w:r>
        <w:rPr>
          <w:rFonts w:hint="default" w:ascii="Times New Roman" w:hAnsi="Times New Roman" w:eastAsia="黑体" w:cs="Times New Roman"/>
          <w:b w:val="0"/>
          <w:bCs w:val="0"/>
          <w:sz w:val="24"/>
        </w:rPr>
        <w:t>F表</w:t>
      </w:r>
      <w:r>
        <w:rPr>
          <w:rFonts w:hint="eastAsia" w:ascii="Times New Roman" w:hAnsi="Times New Roman" w:eastAsia="黑体" w:cs="Times New Roman"/>
          <w:b w:val="0"/>
          <w:bCs w:val="0"/>
          <w:sz w:val="24"/>
          <w:lang w:val="en-US" w:eastAsia="zh-CN"/>
        </w:rPr>
        <w:t xml:space="preserve">4.2-1  </w:t>
      </w:r>
      <w:r>
        <w:rPr>
          <w:rFonts w:hint="default" w:ascii="Times New Roman" w:hAnsi="Times New Roman" w:eastAsia="黑体" w:cs="Times New Roman"/>
          <w:b w:val="0"/>
          <w:bCs w:val="0"/>
          <w:sz w:val="24"/>
        </w:rPr>
        <w:t>预先危险性分析危险级别划分表</w:t>
      </w:r>
    </w:p>
    <w:tbl>
      <w:tblPr>
        <w:tblStyle w:val="13"/>
        <w:tblW w:w="9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985"/>
        <w:gridCol w:w="6553"/>
      </w:tblGrid>
      <w:tr w14:paraId="1F75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1112" w:type="dxa"/>
            <w:vAlign w:val="center"/>
          </w:tcPr>
          <w:p w14:paraId="248AFD00">
            <w:pPr>
              <w:ind w:firstLine="211"/>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级别</w:t>
            </w:r>
          </w:p>
        </w:tc>
        <w:tc>
          <w:tcPr>
            <w:tcW w:w="1985" w:type="dxa"/>
            <w:vAlign w:val="center"/>
          </w:tcPr>
          <w:p w14:paraId="652D23F3">
            <w:pPr>
              <w:ind w:firstLine="211"/>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危险程度</w:t>
            </w:r>
          </w:p>
        </w:tc>
        <w:tc>
          <w:tcPr>
            <w:tcW w:w="6553" w:type="dxa"/>
            <w:vAlign w:val="center"/>
          </w:tcPr>
          <w:p w14:paraId="4BF7ACBB">
            <w:pPr>
              <w:ind w:firstLine="211"/>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可能导致的后果</w:t>
            </w:r>
          </w:p>
        </w:tc>
      </w:tr>
      <w:tr w14:paraId="6C04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1112" w:type="dxa"/>
            <w:vAlign w:val="center"/>
          </w:tcPr>
          <w:p w14:paraId="3E9EE7CF">
            <w:pPr>
              <w:jc w:val="cente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Ⅰ</w:t>
            </w:r>
          </w:p>
        </w:tc>
        <w:tc>
          <w:tcPr>
            <w:tcW w:w="1985" w:type="dxa"/>
            <w:vAlign w:val="center"/>
          </w:tcPr>
          <w:p w14:paraId="1AC6A666">
            <w:pPr>
              <w:jc w:val="cente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安全的</w:t>
            </w:r>
          </w:p>
        </w:tc>
        <w:tc>
          <w:tcPr>
            <w:tcW w:w="6553" w:type="dxa"/>
            <w:vAlign w:val="center"/>
          </w:tcPr>
          <w:p w14:paraId="4B51E29D">
            <w:pP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不会造成人员伤亡和系统损坏</w:t>
            </w:r>
          </w:p>
        </w:tc>
      </w:tr>
      <w:tr w14:paraId="1488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jc w:val="center"/>
        </w:trPr>
        <w:tc>
          <w:tcPr>
            <w:tcW w:w="1112" w:type="dxa"/>
            <w:vAlign w:val="center"/>
          </w:tcPr>
          <w:p w14:paraId="2CC7832C">
            <w:pPr>
              <w:jc w:val="cente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Ⅱ</w:t>
            </w:r>
          </w:p>
        </w:tc>
        <w:tc>
          <w:tcPr>
            <w:tcW w:w="1985" w:type="dxa"/>
            <w:vAlign w:val="center"/>
          </w:tcPr>
          <w:p w14:paraId="47CB2D21">
            <w:pPr>
              <w:jc w:val="cente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临界的</w:t>
            </w:r>
          </w:p>
        </w:tc>
        <w:tc>
          <w:tcPr>
            <w:tcW w:w="6553" w:type="dxa"/>
            <w:vAlign w:val="center"/>
          </w:tcPr>
          <w:p w14:paraId="611CB947">
            <w:pP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处于事故边缘，暂时不会造成人员伤亡、系统损坏或降低性能，但应予以排除或采取控制措施</w:t>
            </w:r>
          </w:p>
        </w:tc>
      </w:tr>
      <w:tr w14:paraId="2A13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jc w:val="center"/>
        </w:trPr>
        <w:tc>
          <w:tcPr>
            <w:tcW w:w="1112" w:type="dxa"/>
            <w:vAlign w:val="center"/>
          </w:tcPr>
          <w:p w14:paraId="2C202B19">
            <w:pPr>
              <w:jc w:val="cente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Ⅲ</w:t>
            </w:r>
          </w:p>
        </w:tc>
        <w:tc>
          <w:tcPr>
            <w:tcW w:w="1985" w:type="dxa"/>
            <w:vAlign w:val="center"/>
          </w:tcPr>
          <w:p w14:paraId="29D5F55F">
            <w:pPr>
              <w:jc w:val="cente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危险的</w:t>
            </w:r>
          </w:p>
        </w:tc>
        <w:tc>
          <w:tcPr>
            <w:tcW w:w="6553" w:type="dxa"/>
            <w:vAlign w:val="center"/>
          </w:tcPr>
          <w:p w14:paraId="50A2A26D">
            <w:pP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会造成人员伤亡和系统损坏，要立即采取防范对策措施</w:t>
            </w:r>
          </w:p>
        </w:tc>
      </w:tr>
      <w:tr w14:paraId="6700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exact"/>
          <w:jc w:val="center"/>
        </w:trPr>
        <w:tc>
          <w:tcPr>
            <w:tcW w:w="1112" w:type="dxa"/>
            <w:vAlign w:val="center"/>
          </w:tcPr>
          <w:p w14:paraId="7BD74DCB">
            <w:pPr>
              <w:jc w:val="cente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Ⅳ</w:t>
            </w:r>
          </w:p>
        </w:tc>
        <w:tc>
          <w:tcPr>
            <w:tcW w:w="1985" w:type="dxa"/>
            <w:vAlign w:val="center"/>
          </w:tcPr>
          <w:p w14:paraId="7A58C2D7">
            <w:pPr>
              <w:jc w:val="cente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灾难性的</w:t>
            </w:r>
          </w:p>
        </w:tc>
        <w:tc>
          <w:tcPr>
            <w:tcW w:w="6553" w:type="dxa"/>
            <w:vAlign w:val="center"/>
          </w:tcPr>
          <w:p w14:paraId="4208EF23">
            <w:pPr>
              <w:rPr>
                <w:rFonts w:hint="default" w:ascii="Times New Roman" w:hAnsi="Times New Roman" w:cs="Times New Roman"/>
                <w:b w:val="0"/>
                <w:bCs/>
                <w:snapToGrid w:val="0"/>
                <w:sz w:val="21"/>
                <w:szCs w:val="21"/>
              </w:rPr>
            </w:pPr>
            <w:r>
              <w:rPr>
                <w:rFonts w:hint="default" w:ascii="Times New Roman" w:hAnsi="Times New Roman" w:cs="Times New Roman"/>
                <w:b w:val="0"/>
                <w:bCs/>
                <w:snapToGrid w:val="0"/>
                <w:sz w:val="21"/>
                <w:szCs w:val="21"/>
              </w:rPr>
              <w:t>造成重大伤亡及系统严重破坏的灾难性事故，必须予以果断排除并进行重点防范</w:t>
            </w:r>
          </w:p>
        </w:tc>
      </w:tr>
    </w:tbl>
    <w:p w14:paraId="00471CF2">
      <w:pPr>
        <w:rPr>
          <w:rFonts w:hint="default" w:ascii="Times New Roman" w:hAnsi="Times New Roman" w:cs="Times New Roman"/>
        </w:rPr>
      </w:pPr>
    </w:p>
    <w:p w14:paraId="3ED7AD9E">
      <w:pPr>
        <w:ind w:firstLine="240"/>
        <w:jc w:val="center"/>
        <w:rPr>
          <w:rFonts w:hint="default" w:ascii="Times New Roman" w:hAnsi="Times New Roman" w:cs="Times New Roman"/>
          <w:sz w:val="24"/>
        </w:rPr>
        <w:sectPr>
          <w:pgSz w:w="11906" w:h="16838"/>
          <w:pgMar w:top="1418" w:right="1134" w:bottom="1134" w:left="1588" w:header="851" w:footer="992" w:gutter="0"/>
          <w:pgBorders>
            <w:top w:val="none" w:sz="0" w:space="0"/>
            <w:left w:val="none" w:sz="0" w:space="0"/>
            <w:bottom w:val="none" w:sz="0" w:space="0"/>
            <w:right w:val="none" w:sz="0" w:space="0"/>
          </w:pgBorders>
          <w:pgNumType w:fmt="decimal"/>
          <w:cols w:space="720" w:num="1"/>
          <w:docGrid w:type="lines" w:linePitch="326" w:charSpace="6144"/>
        </w:sectPr>
      </w:pPr>
    </w:p>
    <w:p w14:paraId="3F566DD5">
      <w:pPr>
        <w:keepNext w:val="0"/>
        <w:keepLines w:val="0"/>
        <w:pageBreakBefore w:val="0"/>
        <w:widowControl w:val="0"/>
        <w:kinsoku/>
        <w:wordWrap/>
        <w:overflowPunct/>
        <w:topLinePunct w:val="0"/>
        <w:autoSpaceDE/>
        <w:autoSpaceDN/>
        <w:bidi w:val="0"/>
        <w:adjustRightInd/>
        <w:snapToGrid/>
        <w:spacing w:before="164" w:beforeLines="50" w:after="164" w:afterLines="50"/>
        <w:ind w:firstLine="0"/>
        <w:jc w:val="center"/>
        <w:textAlignment w:val="auto"/>
        <w:rPr>
          <w:rFonts w:hint="default" w:ascii="Times New Roman" w:hAnsi="Times New Roman" w:eastAsia="黑体" w:cs="Times New Roman"/>
          <w:b w:val="0"/>
          <w:bCs w:val="0"/>
          <w:sz w:val="24"/>
        </w:rPr>
      </w:pPr>
      <w:r>
        <w:rPr>
          <w:rFonts w:hint="default" w:ascii="Times New Roman" w:hAnsi="Times New Roman" w:eastAsia="黑体" w:cs="Times New Roman"/>
          <w:b w:val="0"/>
          <w:bCs w:val="0"/>
          <w:sz w:val="24"/>
        </w:rPr>
        <w:t>F表4</w:t>
      </w:r>
      <w:r>
        <w:rPr>
          <w:rFonts w:hint="eastAsia" w:ascii="Times New Roman" w:hAnsi="Times New Roman" w:eastAsia="黑体" w:cs="Times New Roman"/>
          <w:b w:val="0"/>
          <w:bCs w:val="0"/>
          <w:sz w:val="24"/>
          <w:lang w:val="en-US" w:eastAsia="zh-CN"/>
        </w:rPr>
        <w:t xml:space="preserve">.2-2  </w:t>
      </w:r>
      <w:r>
        <w:rPr>
          <w:rFonts w:hint="default" w:ascii="Times New Roman" w:hAnsi="Times New Roman" w:eastAsia="黑体" w:cs="Times New Roman"/>
          <w:b w:val="0"/>
          <w:bCs w:val="0"/>
          <w:sz w:val="24"/>
        </w:rPr>
        <w:t>建设项目危险因素评价（预先危险性分析方法）</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052"/>
        <w:gridCol w:w="2105"/>
        <w:gridCol w:w="1263"/>
        <w:gridCol w:w="2569"/>
        <w:gridCol w:w="728"/>
        <w:gridCol w:w="742"/>
        <w:gridCol w:w="4953"/>
      </w:tblGrid>
      <w:tr w14:paraId="2D62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090" w:type="dxa"/>
            <w:vAlign w:val="center"/>
          </w:tcPr>
          <w:p w14:paraId="32B59DEE">
            <w:pPr>
              <w:spacing w:line="240" w:lineRule="atLeast"/>
              <w:jc w:val="center"/>
              <w:rPr>
                <w:rFonts w:hint="default" w:ascii="Times New Roman" w:hAnsi="Times New Roman" w:cs="Times New Roman"/>
                <w:szCs w:val="21"/>
              </w:rPr>
            </w:pPr>
            <w:bookmarkStart w:id="485" w:name="_Toc41246771"/>
            <w:bookmarkStart w:id="486" w:name="_Toc410311935"/>
            <w:bookmarkStart w:id="487" w:name="_Toc410312012"/>
            <w:r>
              <w:rPr>
                <w:rFonts w:hint="default" w:ascii="Times New Roman" w:hAnsi="Times New Roman" w:cs="Times New Roman"/>
                <w:szCs w:val="21"/>
              </w:rPr>
              <w:t>潜在</w:t>
            </w:r>
          </w:p>
          <w:p w14:paraId="430DE56C">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事故</w:t>
            </w:r>
          </w:p>
        </w:tc>
        <w:tc>
          <w:tcPr>
            <w:tcW w:w="1052" w:type="dxa"/>
            <w:vAlign w:val="center"/>
          </w:tcPr>
          <w:p w14:paraId="45217790">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危险危害因素</w:t>
            </w:r>
          </w:p>
        </w:tc>
        <w:tc>
          <w:tcPr>
            <w:tcW w:w="2105" w:type="dxa"/>
            <w:vAlign w:val="center"/>
          </w:tcPr>
          <w:p w14:paraId="58A00F69">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触发事件</w:t>
            </w:r>
          </w:p>
        </w:tc>
        <w:tc>
          <w:tcPr>
            <w:tcW w:w="1263" w:type="dxa"/>
            <w:vAlign w:val="center"/>
          </w:tcPr>
          <w:p w14:paraId="5DBB44CA">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现象</w:t>
            </w:r>
          </w:p>
        </w:tc>
        <w:tc>
          <w:tcPr>
            <w:tcW w:w="2569" w:type="dxa"/>
            <w:vAlign w:val="center"/>
          </w:tcPr>
          <w:p w14:paraId="05406C6A">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形成事故</w:t>
            </w:r>
          </w:p>
          <w:p w14:paraId="1FBF185E">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原因事件</w:t>
            </w:r>
          </w:p>
        </w:tc>
        <w:tc>
          <w:tcPr>
            <w:tcW w:w="728" w:type="dxa"/>
            <w:vAlign w:val="center"/>
          </w:tcPr>
          <w:p w14:paraId="48F28819">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事故</w:t>
            </w:r>
          </w:p>
          <w:p w14:paraId="4E2A111C">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后果</w:t>
            </w:r>
          </w:p>
        </w:tc>
        <w:tc>
          <w:tcPr>
            <w:tcW w:w="742" w:type="dxa"/>
            <w:vAlign w:val="center"/>
          </w:tcPr>
          <w:p w14:paraId="536D869B">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危险等级</w:t>
            </w:r>
          </w:p>
        </w:tc>
        <w:tc>
          <w:tcPr>
            <w:tcW w:w="4953" w:type="dxa"/>
            <w:vAlign w:val="center"/>
          </w:tcPr>
          <w:p w14:paraId="282373E8">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措施</w:t>
            </w:r>
          </w:p>
        </w:tc>
      </w:tr>
      <w:tr w14:paraId="3237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0" w:type="dxa"/>
            <w:vAlign w:val="center"/>
          </w:tcPr>
          <w:p w14:paraId="52AFFB02">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火灾</w:t>
            </w:r>
          </w:p>
        </w:tc>
        <w:tc>
          <w:tcPr>
            <w:tcW w:w="1052" w:type="dxa"/>
            <w:vAlign w:val="center"/>
          </w:tcPr>
          <w:p w14:paraId="2014D6AF">
            <w:pPr>
              <w:spacing w:line="240" w:lineRule="atLeast"/>
              <w:rPr>
                <w:rFonts w:hint="default" w:ascii="Times New Roman" w:hAnsi="Times New Roman" w:cs="Times New Roman"/>
                <w:szCs w:val="21"/>
              </w:rPr>
            </w:pPr>
            <w:r>
              <w:rPr>
                <w:rFonts w:hint="default" w:ascii="Times New Roman" w:hAnsi="Times New Roman" w:cs="Times New Roman"/>
                <w:szCs w:val="21"/>
              </w:rPr>
              <w:t>油品泄漏；油气与空气形成爆炸性混合物</w:t>
            </w:r>
          </w:p>
        </w:tc>
        <w:tc>
          <w:tcPr>
            <w:tcW w:w="2105" w:type="dxa"/>
            <w:vAlign w:val="center"/>
          </w:tcPr>
          <w:p w14:paraId="264A53C7">
            <w:pPr>
              <w:spacing w:line="240" w:lineRule="atLeast"/>
              <w:rPr>
                <w:rFonts w:hint="default" w:ascii="Times New Roman" w:hAnsi="Times New Roman" w:cs="Times New Roman"/>
                <w:szCs w:val="21"/>
              </w:rPr>
            </w:pPr>
            <w:r>
              <w:rPr>
                <w:rFonts w:hint="default" w:ascii="Times New Roman" w:hAnsi="Times New Roman" w:cs="Times New Roman"/>
                <w:szCs w:val="21"/>
              </w:rPr>
              <w:t>1、储罐、管线等破裂泄漏；</w:t>
            </w:r>
          </w:p>
          <w:p w14:paraId="3A0DC8DE">
            <w:pPr>
              <w:spacing w:line="240" w:lineRule="atLeast"/>
              <w:rPr>
                <w:rFonts w:hint="default" w:ascii="Times New Roman" w:hAnsi="Times New Roman" w:cs="Times New Roman"/>
                <w:szCs w:val="21"/>
              </w:rPr>
            </w:pPr>
            <w:r>
              <w:rPr>
                <w:rFonts w:hint="default" w:ascii="Times New Roman" w:hAnsi="Times New Roman" w:cs="Times New Roman"/>
                <w:szCs w:val="21"/>
              </w:rPr>
              <w:t>2、转动设备如泵等密封处泄漏；</w:t>
            </w:r>
          </w:p>
          <w:p w14:paraId="373495A2">
            <w:pPr>
              <w:spacing w:line="240" w:lineRule="atLeast"/>
              <w:rPr>
                <w:rFonts w:hint="default" w:ascii="Times New Roman" w:hAnsi="Times New Roman" w:cs="Times New Roman"/>
                <w:szCs w:val="21"/>
              </w:rPr>
            </w:pPr>
            <w:r>
              <w:rPr>
                <w:rFonts w:hint="default" w:ascii="Times New Roman" w:hAnsi="Times New Roman" w:cs="Times New Roman"/>
                <w:szCs w:val="21"/>
              </w:rPr>
              <w:t>3、阀门、管道连接处泄漏；</w:t>
            </w:r>
          </w:p>
          <w:p w14:paraId="7321A586">
            <w:pPr>
              <w:spacing w:line="240" w:lineRule="atLeast"/>
              <w:rPr>
                <w:rFonts w:hint="default" w:ascii="Times New Roman" w:hAnsi="Times New Roman" w:cs="Times New Roman"/>
                <w:szCs w:val="21"/>
              </w:rPr>
            </w:pPr>
            <w:r>
              <w:rPr>
                <w:rFonts w:hint="default" w:ascii="Times New Roman" w:hAnsi="Times New Roman" w:cs="Times New Roman"/>
                <w:szCs w:val="21"/>
              </w:rPr>
              <w:t>4、设备、阀门、管道等因质量或安装不当泄漏；</w:t>
            </w:r>
          </w:p>
          <w:p w14:paraId="7C48978B">
            <w:pPr>
              <w:spacing w:line="240" w:lineRule="atLeast"/>
              <w:rPr>
                <w:rFonts w:hint="eastAsia" w:eastAsia="宋体" w:cs="Times New Roman"/>
                <w:szCs w:val="21"/>
                <w:lang w:val="en-US" w:eastAsia="zh-CN"/>
              </w:rPr>
            </w:pPr>
            <w:r>
              <w:rPr>
                <w:rFonts w:hint="default" w:ascii="Times New Roman" w:hAnsi="Times New Roman" w:cs="Times New Roman"/>
                <w:szCs w:val="21"/>
              </w:rPr>
              <w:t>5、撞击、人为破坏或自然灾害等造成储罐、管道、加油机等破裂而泄漏</w:t>
            </w:r>
            <w:r>
              <w:rPr>
                <w:rFonts w:hint="eastAsia" w:cs="Times New Roman"/>
                <w:szCs w:val="21"/>
                <w:lang w:eastAsia="zh-CN"/>
              </w:rPr>
              <w:t>。</w:t>
            </w:r>
          </w:p>
        </w:tc>
        <w:tc>
          <w:tcPr>
            <w:tcW w:w="1263" w:type="dxa"/>
            <w:vAlign w:val="center"/>
          </w:tcPr>
          <w:p w14:paraId="392B4811">
            <w:pPr>
              <w:spacing w:line="240" w:lineRule="atLeast"/>
              <w:rPr>
                <w:rFonts w:hint="default" w:ascii="Times New Roman" w:hAnsi="Times New Roman" w:eastAsia="宋体" w:cs="Times New Roman"/>
                <w:szCs w:val="21"/>
                <w:lang w:val="en-US" w:eastAsia="zh-CN"/>
              </w:rPr>
            </w:pPr>
            <w:r>
              <w:rPr>
                <w:rFonts w:hint="default" w:ascii="Times New Roman" w:hAnsi="Times New Roman" w:cs="Times New Roman"/>
                <w:szCs w:val="21"/>
              </w:rPr>
              <w:t>遇高热、明火燃烧甚至爆炸</w:t>
            </w:r>
            <w:r>
              <w:rPr>
                <w:rFonts w:hint="eastAsia" w:cs="Times New Roman"/>
                <w:szCs w:val="21"/>
                <w:lang w:eastAsia="zh-CN"/>
              </w:rPr>
              <w:t>；</w:t>
            </w:r>
            <w:r>
              <w:rPr>
                <w:rFonts w:hint="eastAsia" w:cs="Times New Roman"/>
                <w:szCs w:val="21"/>
                <w:lang w:val="en-US" w:eastAsia="zh-CN"/>
              </w:rPr>
              <w:t>火灾</w:t>
            </w:r>
          </w:p>
        </w:tc>
        <w:tc>
          <w:tcPr>
            <w:tcW w:w="2569" w:type="dxa"/>
            <w:vAlign w:val="center"/>
          </w:tcPr>
          <w:p w14:paraId="016C048E">
            <w:pPr>
              <w:spacing w:line="240" w:lineRule="atLeast"/>
              <w:rPr>
                <w:rFonts w:hint="default" w:ascii="Times New Roman" w:hAnsi="Times New Roman" w:cs="Times New Roman"/>
                <w:szCs w:val="21"/>
              </w:rPr>
            </w:pPr>
            <w:r>
              <w:rPr>
                <w:rFonts w:hint="default" w:ascii="Times New Roman" w:hAnsi="Times New Roman" w:cs="Times New Roman"/>
                <w:szCs w:val="21"/>
              </w:rPr>
              <w:t>1.点火吸烟；</w:t>
            </w:r>
          </w:p>
          <w:p w14:paraId="161FA6D8">
            <w:pPr>
              <w:spacing w:line="240" w:lineRule="atLeast"/>
              <w:rPr>
                <w:rFonts w:hint="default" w:ascii="Times New Roman" w:hAnsi="Times New Roman" w:cs="Times New Roman"/>
                <w:szCs w:val="21"/>
              </w:rPr>
            </w:pPr>
            <w:r>
              <w:rPr>
                <w:rFonts w:hint="default" w:ascii="Times New Roman" w:hAnsi="Times New Roman" w:cs="Times New Roman"/>
                <w:szCs w:val="21"/>
              </w:rPr>
              <w:t>2.抢修、检修时违章动火、焊接时未按有关规定动火；</w:t>
            </w:r>
          </w:p>
          <w:p w14:paraId="2791AF68">
            <w:pPr>
              <w:spacing w:line="240" w:lineRule="atLeast"/>
              <w:rPr>
                <w:rFonts w:hint="default" w:ascii="Times New Roman" w:hAnsi="Times New Roman" w:cs="Times New Roman"/>
                <w:szCs w:val="21"/>
              </w:rPr>
            </w:pPr>
            <w:r>
              <w:rPr>
                <w:rFonts w:hint="default" w:ascii="Times New Roman" w:hAnsi="Times New Roman" w:cs="Times New Roman"/>
                <w:szCs w:val="21"/>
              </w:rPr>
              <w:t xml:space="preserve">3.其他火源，电气短路；                      </w:t>
            </w:r>
          </w:p>
          <w:p w14:paraId="63CD3DED">
            <w:pPr>
              <w:spacing w:line="240" w:lineRule="atLeast"/>
              <w:rPr>
                <w:rFonts w:hint="default" w:ascii="Times New Roman" w:hAnsi="Times New Roman" w:cs="Times New Roman"/>
                <w:szCs w:val="21"/>
              </w:rPr>
            </w:pPr>
            <w:r>
              <w:rPr>
                <w:rFonts w:hint="default" w:ascii="Times New Roman" w:hAnsi="Times New Roman" w:cs="Times New Roman"/>
                <w:szCs w:val="21"/>
              </w:rPr>
              <w:t>4.电气线路陈旧老化或受到损坏产生短路火花；</w:t>
            </w:r>
          </w:p>
          <w:p w14:paraId="5F7ED94C">
            <w:pPr>
              <w:spacing w:line="240" w:lineRule="atLeast"/>
              <w:rPr>
                <w:rFonts w:hint="default" w:ascii="Times New Roman" w:hAnsi="Times New Roman" w:cs="Times New Roman"/>
                <w:szCs w:val="21"/>
              </w:rPr>
            </w:pPr>
            <w:r>
              <w:rPr>
                <w:rFonts w:hint="default" w:ascii="Times New Roman" w:hAnsi="Times New Roman" w:cs="Times New Roman"/>
                <w:szCs w:val="21"/>
              </w:rPr>
              <w:t>5.静电放电；</w:t>
            </w:r>
          </w:p>
          <w:p w14:paraId="2F25C1EA">
            <w:pPr>
              <w:spacing w:line="240" w:lineRule="atLeast"/>
              <w:rPr>
                <w:rFonts w:hint="default" w:ascii="Times New Roman" w:hAnsi="Times New Roman" w:cs="Times New Roman"/>
                <w:szCs w:val="21"/>
              </w:rPr>
            </w:pPr>
            <w:r>
              <w:rPr>
                <w:rFonts w:hint="default" w:ascii="Times New Roman" w:hAnsi="Times New Roman" w:cs="Times New Roman"/>
                <w:szCs w:val="21"/>
              </w:rPr>
              <w:t>6.雷击（直接雷击、雷电二次作用、沿着电气线路、金属管道侵入）；</w:t>
            </w:r>
          </w:p>
          <w:p w14:paraId="51EAAE4C">
            <w:pPr>
              <w:spacing w:line="240" w:lineRule="atLeast"/>
              <w:rPr>
                <w:rFonts w:hint="default" w:ascii="Times New Roman" w:hAnsi="Times New Roman" w:cs="Times New Roman"/>
                <w:szCs w:val="21"/>
              </w:rPr>
            </w:pPr>
            <w:r>
              <w:rPr>
                <w:rFonts w:hint="default" w:ascii="Times New Roman" w:hAnsi="Times New Roman" w:cs="Times New Roman"/>
                <w:szCs w:val="21"/>
              </w:rPr>
              <w:t>7.防爆电器失去防爆作用；</w:t>
            </w:r>
          </w:p>
          <w:p w14:paraId="54A6B2EF">
            <w:pPr>
              <w:spacing w:line="240" w:lineRule="atLeast"/>
              <w:rPr>
                <w:rFonts w:hint="default" w:ascii="Times New Roman" w:hAnsi="Times New Roman" w:eastAsia="宋体" w:cs="Times New Roman"/>
                <w:szCs w:val="21"/>
                <w:lang w:val="en-US" w:eastAsia="zh-CN"/>
              </w:rPr>
            </w:pPr>
            <w:r>
              <w:rPr>
                <w:rFonts w:hint="default" w:ascii="Times New Roman" w:hAnsi="Times New Roman" w:cs="Times New Roman"/>
                <w:szCs w:val="21"/>
              </w:rPr>
              <w:t>8.管道沟未填沙，形成限制性空间</w:t>
            </w:r>
            <w:r>
              <w:rPr>
                <w:rFonts w:hint="eastAsia" w:cs="Times New Roman"/>
                <w:szCs w:val="21"/>
                <w:lang w:eastAsia="zh-CN"/>
              </w:rPr>
              <w:t>；</w:t>
            </w:r>
          </w:p>
        </w:tc>
        <w:tc>
          <w:tcPr>
            <w:tcW w:w="728" w:type="dxa"/>
            <w:vAlign w:val="center"/>
          </w:tcPr>
          <w:p w14:paraId="0A7C722B">
            <w:pPr>
              <w:spacing w:line="240" w:lineRule="atLeast"/>
              <w:rPr>
                <w:rFonts w:hint="default" w:ascii="Times New Roman" w:hAnsi="Times New Roman" w:cs="Times New Roman"/>
                <w:szCs w:val="21"/>
              </w:rPr>
            </w:pPr>
            <w:r>
              <w:rPr>
                <w:rFonts w:hint="default" w:ascii="Times New Roman" w:hAnsi="Times New Roman" w:cs="Times New Roman"/>
                <w:szCs w:val="21"/>
              </w:rPr>
              <w:t>财产损失、人员伤亡、物料跑损</w:t>
            </w:r>
          </w:p>
        </w:tc>
        <w:tc>
          <w:tcPr>
            <w:tcW w:w="742" w:type="dxa"/>
            <w:vAlign w:val="center"/>
          </w:tcPr>
          <w:p w14:paraId="34F36F8B">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III</w:t>
            </w:r>
          </w:p>
        </w:tc>
        <w:tc>
          <w:tcPr>
            <w:tcW w:w="4953" w:type="dxa"/>
            <w:vAlign w:val="center"/>
          </w:tcPr>
          <w:p w14:paraId="689F45AC">
            <w:pPr>
              <w:spacing w:line="240" w:lineRule="atLeast"/>
              <w:rPr>
                <w:rFonts w:hint="default" w:ascii="Times New Roman" w:hAnsi="Times New Roman" w:cs="Times New Roman"/>
                <w:szCs w:val="21"/>
              </w:rPr>
            </w:pPr>
            <w:r>
              <w:rPr>
                <w:rFonts w:hint="default" w:ascii="Times New Roman" w:hAnsi="Times New Roman" w:cs="Times New Roman"/>
                <w:szCs w:val="21"/>
              </w:rPr>
              <w:t>1、站内严禁烟火、严禁吸烟；</w:t>
            </w:r>
          </w:p>
          <w:p w14:paraId="279D3FD4">
            <w:pPr>
              <w:spacing w:line="240" w:lineRule="atLeast"/>
              <w:rPr>
                <w:rFonts w:hint="default" w:ascii="Times New Roman" w:hAnsi="Times New Roman" w:cs="Times New Roman"/>
                <w:szCs w:val="21"/>
              </w:rPr>
            </w:pPr>
            <w:r>
              <w:rPr>
                <w:rFonts w:hint="default" w:ascii="Times New Roman" w:hAnsi="Times New Roman" w:cs="Times New Roman"/>
                <w:szCs w:val="21"/>
              </w:rPr>
              <w:t>2、动火时必须严格按动火手续办理动火证，并采取有效防范措施；</w:t>
            </w:r>
          </w:p>
          <w:p w14:paraId="2CABFA68">
            <w:pPr>
              <w:spacing w:line="240" w:lineRule="atLeast"/>
              <w:rPr>
                <w:rFonts w:hint="default" w:ascii="Times New Roman" w:hAnsi="Times New Roman" w:cs="Times New Roman"/>
                <w:szCs w:val="21"/>
              </w:rPr>
            </w:pPr>
            <w:r>
              <w:rPr>
                <w:rFonts w:hint="default" w:ascii="Times New Roman" w:hAnsi="Times New Roman" w:cs="Times New Roman"/>
                <w:szCs w:val="21"/>
              </w:rPr>
              <w:t>3、机动车辆加强管理；</w:t>
            </w:r>
          </w:p>
          <w:p w14:paraId="2D493B4F">
            <w:pPr>
              <w:spacing w:line="240" w:lineRule="atLeast"/>
              <w:rPr>
                <w:rFonts w:hint="default" w:ascii="Times New Roman" w:hAnsi="Times New Roman" w:cs="Times New Roman"/>
                <w:szCs w:val="21"/>
              </w:rPr>
            </w:pPr>
            <w:r>
              <w:rPr>
                <w:rFonts w:hint="default" w:ascii="Times New Roman" w:hAnsi="Times New Roman" w:cs="Times New Roman"/>
                <w:szCs w:val="21"/>
              </w:rPr>
              <w:t>4、明火源安全距离符合规定要求；</w:t>
            </w:r>
          </w:p>
          <w:p w14:paraId="31F207BD">
            <w:pPr>
              <w:spacing w:line="240" w:lineRule="atLeast"/>
              <w:rPr>
                <w:rFonts w:hint="default" w:ascii="Times New Roman" w:hAnsi="Times New Roman" w:cs="Times New Roman"/>
                <w:szCs w:val="21"/>
              </w:rPr>
            </w:pPr>
            <w:r>
              <w:rPr>
                <w:rFonts w:hint="default" w:ascii="Times New Roman" w:hAnsi="Times New Roman" w:cs="Times New Roman"/>
                <w:szCs w:val="21"/>
              </w:rPr>
              <w:t>5、防爆设备的定期检查、鉴定；</w:t>
            </w:r>
          </w:p>
          <w:p w14:paraId="0697060C">
            <w:pPr>
              <w:spacing w:line="240" w:lineRule="atLeast"/>
              <w:rPr>
                <w:rFonts w:hint="eastAsia" w:cs="Times New Roman"/>
                <w:szCs w:val="21"/>
                <w:lang w:val="en-US" w:eastAsia="zh-CN"/>
              </w:rPr>
            </w:pPr>
            <w:r>
              <w:rPr>
                <w:rFonts w:hint="eastAsia" w:cs="Times New Roman"/>
                <w:szCs w:val="21"/>
                <w:lang w:val="en-US" w:eastAsia="zh-CN"/>
              </w:rPr>
              <w:t>6、防雷、防静电设施要完善，并定期检测，确保可靠；</w:t>
            </w:r>
          </w:p>
          <w:p w14:paraId="0CA99A45">
            <w:pPr>
              <w:spacing w:line="240" w:lineRule="atLeast"/>
              <w:rPr>
                <w:rFonts w:hint="eastAsia" w:cs="Times New Roman"/>
                <w:szCs w:val="21"/>
                <w:lang w:val="en-US" w:eastAsia="zh-CN"/>
              </w:rPr>
            </w:pPr>
            <w:r>
              <w:rPr>
                <w:rFonts w:hint="eastAsia" w:cs="Times New Roman"/>
                <w:szCs w:val="21"/>
                <w:lang w:val="en-US" w:eastAsia="zh-CN"/>
              </w:rPr>
              <w:t>7、做好变配电及加油控制室、电气线路、其他用电设备的用电安全作业和运行；</w:t>
            </w:r>
          </w:p>
          <w:p w14:paraId="7525481D">
            <w:pPr>
              <w:spacing w:line="240" w:lineRule="atLeast"/>
              <w:rPr>
                <w:rFonts w:hint="default" w:cs="Times New Roman"/>
                <w:szCs w:val="21"/>
                <w:lang w:val="en-US" w:eastAsia="zh-CN"/>
              </w:rPr>
            </w:pPr>
            <w:r>
              <w:rPr>
                <w:rFonts w:hint="eastAsia" w:cs="Times New Roman"/>
                <w:szCs w:val="21"/>
                <w:lang w:val="en-US" w:eastAsia="zh-CN"/>
              </w:rPr>
              <w:t>8、应用青铜或镀铜工具，用钢制工具时严禁敲打、撞击或抛掷；</w:t>
            </w:r>
          </w:p>
          <w:p w14:paraId="4EC38994">
            <w:pPr>
              <w:spacing w:line="240" w:lineRule="atLeast"/>
              <w:rPr>
                <w:rFonts w:hint="eastAsia" w:cs="Times New Roman"/>
                <w:szCs w:val="21"/>
                <w:lang w:eastAsia="zh-CN"/>
              </w:rPr>
            </w:pPr>
            <w:r>
              <w:rPr>
                <w:rFonts w:hint="eastAsia" w:cs="Times New Roman"/>
                <w:szCs w:val="21"/>
                <w:lang w:val="en-US" w:eastAsia="zh-CN"/>
              </w:rPr>
              <w:t>9</w:t>
            </w:r>
            <w:r>
              <w:rPr>
                <w:rFonts w:hint="default" w:ascii="Times New Roman" w:hAnsi="Times New Roman" w:cs="Times New Roman"/>
                <w:szCs w:val="21"/>
              </w:rPr>
              <w:t>、管道沟应填沙充实</w:t>
            </w:r>
            <w:r>
              <w:rPr>
                <w:rFonts w:hint="eastAsia" w:cs="Times New Roman"/>
                <w:szCs w:val="21"/>
                <w:lang w:eastAsia="zh-CN"/>
              </w:rPr>
              <w:t>；</w:t>
            </w:r>
          </w:p>
          <w:p w14:paraId="5328EAA6">
            <w:pPr>
              <w:spacing w:line="240" w:lineRule="atLeast"/>
              <w:rPr>
                <w:rFonts w:hint="default" w:cs="Times New Roman"/>
                <w:szCs w:val="21"/>
                <w:lang w:val="en-US" w:eastAsia="zh-CN"/>
              </w:rPr>
            </w:pPr>
            <w:r>
              <w:rPr>
                <w:rFonts w:hint="eastAsia" w:cs="Times New Roman"/>
                <w:szCs w:val="21"/>
                <w:lang w:val="en-US" w:eastAsia="zh-CN"/>
              </w:rPr>
              <w:t>10、配备灭火设施。</w:t>
            </w:r>
          </w:p>
        </w:tc>
      </w:tr>
      <w:tr w14:paraId="69B8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0" w:type="dxa"/>
            <w:vAlign w:val="center"/>
          </w:tcPr>
          <w:p w14:paraId="621B3826">
            <w:pPr>
              <w:spacing w:line="240" w:lineRule="atLeast"/>
              <w:jc w:val="center"/>
              <w:rPr>
                <w:rFonts w:hint="eastAsia" w:ascii="Times New Roman" w:hAnsi="Times New Roman" w:eastAsia="宋体" w:cs="Times New Roman"/>
                <w:szCs w:val="21"/>
                <w:lang w:val="en-US" w:eastAsia="zh-CN"/>
              </w:rPr>
            </w:pPr>
            <w:r>
              <w:rPr>
                <w:rFonts w:hint="eastAsia" w:cs="Times New Roman"/>
                <w:szCs w:val="21"/>
                <w:lang w:val="en-US" w:eastAsia="zh-CN"/>
              </w:rPr>
              <w:t>可燃液体蒸汽爆炸</w:t>
            </w:r>
          </w:p>
        </w:tc>
        <w:tc>
          <w:tcPr>
            <w:tcW w:w="1052" w:type="dxa"/>
            <w:vAlign w:val="center"/>
          </w:tcPr>
          <w:p w14:paraId="1B2021D0">
            <w:pPr>
              <w:spacing w:line="240" w:lineRule="atLeast"/>
              <w:rPr>
                <w:rFonts w:hint="default" w:ascii="Times New Roman" w:hAnsi="Times New Roman" w:cs="Times New Roman"/>
                <w:szCs w:val="21"/>
              </w:rPr>
            </w:pPr>
            <w:r>
              <w:rPr>
                <w:rFonts w:hint="default" w:ascii="Times New Roman" w:hAnsi="Times New Roman" w:cs="Times New Roman"/>
                <w:szCs w:val="21"/>
              </w:rPr>
              <w:t>油品泄漏；油气与空气形成爆炸性混合物</w:t>
            </w:r>
          </w:p>
        </w:tc>
        <w:tc>
          <w:tcPr>
            <w:tcW w:w="2105" w:type="dxa"/>
            <w:vAlign w:val="center"/>
          </w:tcPr>
          <w:p w14:paraId="240F4F98">
            <w:pPr>
              <w:spacing w:line="240" w:lineRule="atLeast"/>
              <w:rPr>
                <w:rFonts w:hint="default" w:ascii="Times New Roman" w:hAnsi="Times New Roman" w:cs="Times New Roman"/>
                <w:szCs w:val="21"/>
              </w:rPr>
            </w:pPr>
            <w:r>
              <w:rPr>
                <w:rFonts w:hint="default" w:ascii="Times New Roman" w:hAnsi="Times New Roman" w:cs="Times New Roman"/>
                <w:szCs w:val="21"/>
              </w:rPr>
              <w:t>1、储罐、管线等破裂泄漏；</w:t>
            </w:r>
          </w:p>
          <w:p w14:paraId="15D658BB">
            <w:pPr>
              <w:spacing w:line="240" w:lineRule="atLeast"/>
              <w:rPr>
                <w:rFonts w:hint="default" w:ascii="Times New Roman" w:hAnsi="Times New Roman" w:cs="Times New Roman"/>
                <w:szCs w:val="21"/>
              </w:rPr>
            </w:pPr>
            <w:r>
              <w:rPr>
                <w:rFonts w:hint="default" w:ascii="Times New Roman" w:hAnsi="Times New Roman" w:cs="Times New Roman"/>
                <w:szCs w:val="21"/>
              </w:rPr>
              <w:t>2、转动设备如泵等密封处泄漏；</w:t>
            </w:r>
          </w:p>
          <w:p w14:paraId="61702A41">
            <w:pPr>
              <w:spacing w:line="240" w:lineRule="atLeast"/>
              <w:rPr>
                <w:rFonts w:hint="default" w:ascii="Times New Roman" w:hAnsi="Times New Roman" w:cs="Times New Roman"/>
                <w:szCs w:val="21"/>
              </w:rPr>
            </w:pPr>
            <w:r>
              <w:rPr>
                <w:rFonts w:hint="default" w:ascii="Times New Roman" w:hAnsi="Times New Roman" w:cs="Times New Roman"/>
                <w:szCs w:val="21"/>
              </w:rPr>
              <w:t>3、阀门、管道连接处泄漏；</w:t>
            </w:r>
          </w:p>
          <w:p w14:paraId="5B29B4BA">
            <w:pPr>
              <w:spacing w:line="240" w:lineRule="atLeast"/>
              <w:rPr>
                <w:rFonts w:hint="default" w:ascii="Times New Roman" w:hAnsi="Times New Roman" w:cs="Times New Roman"/>
                <w:szCs w:val="21"/>
              </w:rPr>
            </w:pPr>
            <w:r>
              <w:rPr>
                <w:rFonts w:hint="default" w:ascii="Times New Roman" w:hAnsi="Times New Roman" w:cs="Times New Roman"/>
                <w:szCs w:val="21"/>
              </w:rPr>
              <w:t>4、设备、阀门、管道等因质量或安装不当泄漏；</w:t>
            </w:r>
          </w:p>
          <w:p w14:paraId="76F33835">
            <w:pPr>
              <w:spacing w:line="240" w:lineRule="atLeast"/>
              <w:rPr>
                <w:rFonts w:hint="default" w:ascii="Times New Roman" w:hAnsi="Times New Roman" w:cs="Times New Roman"/>
                <w:szCs w:val="21"/>
              </w:rPr>
            </w:pPr>
            <w:r>
              <w:rPr>
                <w:rFonts w:hint="default" w:ascii="Times New Roman" w:hAnsi="Times New Roman" w:cs="Times New Roman"/>
                <w:szCs w:val="21"/>
              </w:rPr>
              <w:t>5、撞击、人为破坏或自然灾害等造成储罐、管道、加油机等破裂而泄漏。</w:t>
            </w:r>
          </w:p>
        </w:tc>
        <w:tc>
          <w:tcPr>
            <w:tcW w:w="1263" w:type="dxa"/>
            <w:vAlign w:val="center"/>
          </w:tcPr>
          <w:p w14:paraId="0D7A93F4">
            <w:pPr>
              <w:spacing w:line="240" w:lineRule="atLeast"/>
              <w:rPr>
                <w:rFonts w:hint="default" w:ascii="Times New Roman" w:hAnsi="Times New Roman" w:cs="Times New Roman"/>
                <w:szCs w:val="21"/>
              </w:rPr>
            </w:pPr>
            <w:r>
              <w:rPr>
                <w:rFonts w:hint="default" w:ascii="Times New Roman" w:hAnsi="Times New Roman" w:cs="Times New Roman"/>
                <w:szCs w:val="21"/>
              </w:rPr>
              <w:t>遇高热、明火燃烧甚至爆炸</w:t>
            </w:r>
          </w:p>
        </w:tc>
        <w:tc>
          <w:tcPr>
            <w:tcW w:w="2569" w:type="dxa"/>
            <w:vAlign w:val="center"/>
          </w:tcPr>
          <w:p w14:paraId="0CD7D6CB">
            <w:pPr>
              <w:spacing w:line="240" w:lineRule="atLeast"/>
              <w:rPr>
                <w:rFonts w:hint="default" w:ascii="Times New Roman" w:hAnsi="Times New Roman" w:cs="Times New Roman"/>
                <w:szCs w:val="21"/>
              </w:rPr>
            </w:pPr>
            <w:r>
              <w:rPr>
                <w:rFonts w:hint="default" w:ascii="Times New Roman" w:hAnsi="Times New Roman" w:cs="Times New Roman"/>
                <w:szCs w:val="21"/>
              </w:rPr>
              <w:t>1.点火吸烟；</w:t>
            </w:r>
          </w:p>
          <w:p w14:paraId="079AE244">
            <w:pPr>
              <w:spacing w:line="240" w:lineRule="atLeast"/>
              <w:rPr>
                <w:rFonts w:hint="default" w:ascii="Times New Roman" w:hAnsi="Times New Roman" w:cs="Times New Roman"/>
                <w:szCs w:val="21"/>
              </w:rPr>
            </w:pPr>
            <w:r>
              <w:rPr>
                <w:rFonts w:hint="default" w:ascii="Times New Roman" w:hAnsi="Times New Roman" w:cs="Times New Roman"/>
                <w:szCs w:val="21"/>
              </w:rPr>
              <w:t>2.抢修、检修时违章动火、焊接时未按有关规定动火；</w:t>
            </w:r>
          </w:p>
          <w:p w14:paraId="4CEA0000">
            <w:pPr>
              <w:spacing w:line="240" w:lineRule="atLeast"/>
              <w:rPr>
                <w:rFonts w:hint="default" w:ascii="Times New Roman" w:hAnsi="Times New Roman" w:cs="Times New Roman"/>
                <w:szCs w:val="21"/>
              </w:rPr>
            </w:pPr>
            <w:r>
              <w:rPr>
                <w:rFonts w:hint="default" w:ascii="Times New Roman" w:hAnsi="Times New Roman" w:cs="Times New Roman"/>
                <w:szCs w:val="21"/>
              </w:rPr>
              <w:t xml:space="preserve">3.其他火源，电气短路；                      </w:t>
            </w:r>
          </w:p>
          <w:p w14:paraId="2F8BE07A">
            <w:pPr>
              <w:spacing w:line="240" w:lineRule="atLeast"/>
              <w:rPr>
                <w:rFonts w:hint="default" w:ascii="Times New Roman" w:hAnsi="Times New Roman" w:cs="Times New Roman"/>
                <w:szCs w:val="21"/>
              </w:rPr>
            </w:pPr>
            <w:r>
              <w:rPr>
                <w:rFonts w:hint="default" w:ascii="Times New Roman" w:hAnsi="Times New Roman" w:cs="Times New Roman"/>
                <w:szCs w:val="21"/>
              </w:rPr>
              <w:t>4.电气线路陈旧老化或受到损坏产生短路火花；</w:t>
            </w:r>
          </w:p>
          <w:p w14:paraId="1F2ED1AD">
            <w:pPr>
              <w:spacing w:line="240" w:lineRule="atLeast"/>
              <w:rPr>
                <w:rFonts w:hint="default" w:ascii="Times New Roman" w:hAnsi="Times New Roman" w:cs="Times New Roman"/>
                <w:szCs w:val="21"/>
              </w:rPr>
            </w:pPr>
            <w:r>
              <w:rPr>
                <w:rFonts w:hint="default" w:ascii="Times New Roman" w:hAnsi="Times New Roman" w:cs="Times New Roman"/>
                <w:szCs w:val="21"/>
              </w:rPr>
              <w:t>5.静电放电；</w:t>
            </w:r>
          </w:p>
          <w:p w14:paraId="51D26423">
            <w:pPr>
              <w:spacing w:line="240" w:lineRule="atLeast"/>
              <w:rPr>
                <w:rFonts w:hint="default" w:ascii="Times New Roman" w:hAnsi="Times New Roman" w:cs="Times New Roman"/>
                <w:szCs w:val="21"/>
              </w:rPr>
            </w:pPr>
            <w:r>
              <w:rPr>
                <w:rFonts w:hint="default" w:ascii="Times New Roman" w:hAnsi="Times New Roman" w:cs="Times New Roman"/>
                <w:szCs w:val="21"/>
              </w:rPr>
              <w:t>6.雷击（直接雷击、雷电二次作用、沿着电气线路、金属管道侵入）；</w:t>
            </w:r>
          </w:p>
          <w:p w14:paraId="1E588427">
            <w:pPr>
              <w:spacing w:line="240" w:lineRule="atLeast"/>
              <w:rPr>
                <w:rFonts w:hint="default" w:ascii="Times New Roman" w:hAnsi="Times New Roman" w:cs="Times New Roman"/>
                <w:szCs w:val="21"/>
              </w:rPr>
            </w:pPr>
            <w:r>
              <w:rPr>
                <w:rFonts w:hint="default" w:ascii="Times New Roman" w:hAnsi="Times New Roman" w:cs="Times New Roman"/>
                <w:szCs w:val="21"/>
              </w:rPr>
              <w:t>7.防爆电器失去防爆作用；</w:t>
            </w:r>
          </w:p>
          <w:p w14:paraId="6E6A39A8">
            <w:pPr>
              <w:spacing w:line="240" w:lineRule="atLeast"/>
              <w:rPr>
                <w:rFonts w:hint="default" w:ascii="Times New Roman" w:hAnsi="Times New Roman" w:cs="Times New Roman"/>
                <w:szCs w:val="21"/>
              </w:rPr>
            </w:pPr>
            <w:r>
              <w:rPr>
                <w:rFonts w:hint="default" w:ascii="Times New Roman" w:hAnsi="Times New Roman" w:cs="Times New Roman"/>
                <w:szCs w:val="21"/>
              </w:rPr>
              <w:t>8.管道沟未填沙，形成限制性空间。</w:t>
            </w:r>
          </w:p>
        </w:tc>
        <w:tc>
          <w:tcPr>
            <w:tcW w:w="728" w:type="dxa"/>
            <w:vAlign w:val="center"/>
          </w:tcPr>
          <w:p w14:paraId="1209AA65">
            <w:pPr>
              <w:spacing w:line="240" w:lineRule="atLeast"/>
              <w:rPr>
                <w:rFonts w:hint="default" w:ascii="Times New Roman" w:hAnsi="Times New Roman" w:cs="Times New Roman"/>
                <w:szCs w:val="21"/>
              </w:rPr>
            </w:pPr>
            <w:r>
              <w:rPr>
                <w:rFonts w:hint="default" w:ascii="Times New Roman" w:hAnsi="Times New Roman" w:cs="Times New Roman"/>
                <w:szCs w:val="21"/>
              </w:rPr>
              <w:t>财产损失、人员伤亡、物料跑损</w:t>
            </w:r>
          </w:p>
        </w:tc>
        <w:tc>
          <w:tcPr>
            <w:tcW w:w="742" w:type="dxa"/>
            <w:vAlign w:val="center"/>
          </w:tcPr>
          <w:p w14:paraId="4B410F0B">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III</w:t>
            </w:r>
          </w:p>
        </w:tc>
        <w:tc>
          <w:tcPr>
            <w:tcW w:w="4953" w:type="dxa"/>
            <w:vAlign w:val="center"/>
          </w:tcPr>
          <w:p w14:paraId="2C4CBF71">
            <w:pPr>
              <w:spacing w:line="240" w:lineRule="atLeast"/>
              <w:rPr>
                <w:rFonts w:hint="default" w:ascii="Times New Roman" w:hAnsi="Times New Roman" w:cs="Times New Roman"/>
                <w:szCs w:val="21"/>
              </w:rPr>
            </w:pPr>
            <w:r>
              <w:rPr>
                <w:rFonts w:hint="default" w:ascii="Times New Roman" w:hAnsi="Times New Roman" w:cs="Times New Roman"/>
                <w:szCs w:val="21"/>
              </w:rPr>
              <w:t>1、站内严禁烟火、严禁吸烟；</w:t>
            </w:r>
          </w:p>
          <w:p w14:paraId="04394468">
            <w:pPr>
              <w:spacing w:line="240" w:lineRule="atLeast"/>
              <w:rPr>
                <w:rFonts w:hint="default" w:ascii="Times New Roman" w:hAnsi="Times New Roman" w:cs="Times New Roman"/>
                <w:szCs w:val="21"/>
              </w:rPr>
            </w:pPr>
            <w:r>
              <w:rPr>
                <w:rFonts w:hint="default" w:ascii="Times New Roman" w:hAnsi="Times New Roman" w:cs="Times New Roman"/>
                <w:szCs w:val="21"/>
              </w:rPr>
              <w:t>2、动火时必须严格按动火手续办理动火证，并采取有效防范措施；</w:t>
            </w:r>
          </w:p>
          <w:p w14:paraId="6566CB5E">
            <w:pPr>
              <w:spacing w:line="240" w:lineRule="atLeast"/>
              <w:rPr>
                <w:rFonts w:hint="default" w:ascii="Times New Roman" w:hAnsi="Times New Roman" w:cs="Times New Roman"/>
                <w:szCs w:val="21"/>
              </w:rPr>
            </w:pPr>
            <w:r>
              <w:rPr>
                <w:rFonts w:hint="default" w:ascii="Times New Roman" w:hAnsi="Times New Roman" w:cs="Times New Roman"/>
                <w:szCs w:val="21"/>
              </w:rPr>
              <w:t>3、机动车辆加强管理；</w:t>
            </w:r>
          </w:p>
          <w:p w14:paraId="0ABC7599">
            <w:pPr>
              <w:spacing w:line="240" w:lineRule="atLeast"/>
              <w:rPr>
                <w:rFonts w:hint="eastAsia" w:ascii="Times New Roman" w:hAnsi="Times New Roman" w:eastAsia="宋体" w:cs="Times New Roman"/>
                <w:szCs w:val="21"/>
                <w:lang w:eastAsia="zh-CN"/>
              </w:rPr>
            </w:pPr>
            <w:r>
              <w:rPr>
                <w:rFonts w:hint="default" w:ascii="Times New Roman" w:hAnsi="Times New Roman" w:cs="Times New Roman"/>
                <w:szCs w:val="21"/>
              </w:rPr>
              <w:t>4、明火源安全距离符合规定要求</w:t>
            </w:r>
            <w:r>
              <w:rPr>
                <w:rFonts w:hint="eastAsia" w:cs="Times New Roman"/>
                <w:szCs w:val="21"/>
                <w:lang w:eastAsia="zh-CN"/>
              </w:rPr>
              <w:t>。</w:t>
            </w:r>
          </w:p>
        </w:tc>
      </w:tr>
      <w:tr w14:paraId="0161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0" w:type="dxa"/>
            <w:vAlign w:val="center"/>
          </w:tcPr>
          <w:p w14:paraId="717429DC">
            <w:pPr>
              <w:spacing w:line="240" w:lineRule="atLeast"/>
              <w:jc w:val="center"/>
              <w:rPr>
                <w:rFonts w:hint="default" w:cs="Times New Roman"/>
                <w:szCs w:val="21"/>
                <w:lang w:val="en-US" w:eastAsia="zh-CN"/>
              </w:rPr>
            </w:pPr>
            <w:r>
              <w:rPr>
                <w:rFonts w:hint="eastAsia" w:cs="Times New Roman"/>
                <w:szCs w:val="21"/>
                <w:lang w:val="en-US" w:eastAsia="zh-CN"/>
              </w:rPr>
              <w:t>泄漏</w:t>
            </w:r>
          </w:p>
        </w:tc>
        <w:tc>
          <w:tcPr>
            <w:tcW w:w="1052" w:type="dxa"/>
            <w:vAlign w:val="center"/>
          </w:tcPr>
          <w:p w14:paraId="3B8E4F12">
            <w:pPr>
              <w:spacing w:line="240" w:lineRule="atLeast"/>
              <w:rPr>
                <w:rFonts w:hint="default" w:ascii="Times New Roman" w:hAnsi="Times New Roman" w:cs="Times New Roman"/>
                <w:szCs w:val="21"/>
              </w:rPr>
            </w:pPr>
            <w:r>
              <w:rPr>
                <w:rFonts w:hint="default" w:ascii="Times New Roman" w:hAnsi="Times New Roman" w:cs="Times New Roman"/>
                <w:szCs w:val="21"/>
              </w:rPr>
              <w:t>油品泄漏</w:t>
            </w:r>
          </w:p>
        </w:tc>
        <w:tc>
          <w:tcPr>
            <w:tcW w:w="2105" w:type="dxa"/>
            <w:vAlign w:val="center"/>
          </w:tcPr>
          <w:p w14:paraId="0C394011">
            <w:pPr>
              <w:spacing w:line="240" w:lineRule="atLeast"/>
              <w:rPr>
                <w:rFonts w:hint="default" w:ascii="Times New Roman" w:hAnsi="Times New Roman" w:cs="Times New Roman"/>
                <w:szCs w:val="21"/>
              </w:rPr>
            </w:pPr>
            <w:r>
              <w:rPr>
                <w:rFonts w:hint="default" w:ascii="Times New Roman" w:hAnsi="Times New Roman" w:cs="Times New Roman"/>
                <w:szCs w:val="21"/>
              </w:rPr>
              <w:t>1、储罐、管线等破裂泄漏；</w:t>
            </w:r>
          </w:p>
          <w:p w14:paraId="40B40AE4">
            <w:pPr>
              <w:spacing w:line="240" w:lineRule="atLeast"/>
              <w:rPr>
                <w:rFonts w:hint="default" w:ascii="Times New Roman" w:hAnsi="Times New Roman" w:cs="Times New Roman"/>
                <w:szCs w:val="21"/>
              </w:rPr>
            </w:pPr>
            <w:r>
              <w:rPr>
                <w:rFonts w:hint="default" w:ascii="Times New Roman" w:hAnsi="Times New Roman" w:cs="Times New Roman"/>
                <w:szCs w:val="21"/>
              </w:rPr>
              <w:t>2、转动设备如泵等密封处泄漏；</w:t>
            </w:r>
          </w:p>
          <w:p w14:paraId="5EC7417B">
            <w:pPr>
              <w:spacing w:line="240" w:lineRule="atLeast"/>
              <w:rPr>
                <w:rFonts w:hint="default" w:ascii="Times New Roman" w:hAnsi="Times New Roman" w:cs="Times New Roman"/>
                <w:szCs w:val="21"/>
              </w:rPr>
            </w:pPr>
            <w:r>
              <w:rPr>
                <w:rFonts w:hint="default" w:ascii="Times New Roman" w:hAnsi="Times New Roman" w:cs="Times New Roman"/>
                <w:szCs w:val="21"/>
              </w:rPr>
              <w:t>3、阀门、管道连接处泄漏；</w:t>
            </w:r>
          </w:p>
          <w:p w14:paraId="0C478AED">
            <w:pPr>
              <w:spacing w:line="240" w:lineRule="atLeast"/>
              <w:rPr>
                <w:rFonts w:hint="default" w:ascii="Times New Roman" w:hAnsi="Times New Roman" w:cs="Times New Roman"/>
                <w:szCs w:val="21"/>
              </w:rPr>
            </w:pPr>
            <w:r>
              <w:rPr>
                <w:rFonts w:hint="default" w:ascii="Times New Roman" w:hAnsi="Times New Roman" w:cs="Times New Roman"/>
                <w:szCs w:val="21"/>
              </w:rPr>
              <w:t>4、设备、阀门、管道等因质量或安装不当泄漏；</w:t>
            </w:r>
          </w:p>
          <w:p w14:paraId="0595E35F">
            <w:pPr>
              <w:spacing w:line="240" w:lineRule="atLeast"/>
              <w:rPr>
                <w:rFonts w:hint="default" w:ascii="Times New Roman" w:hAnsi="Times New Roman" w:cs="Times New Roman"/>
                <w:szCs w:val="21"/>
              </w:rPr>
            </w:pPr>
            <w:r>
              <w:rPr>
                <w:rFonts w:hint="default" w:ascii="Times New Roman" w:hAnsi="Times New Roman" w:cs="Times New Roman"/>
                <w:szCs w:val="21"/>
              </w:rPr>
              <w:t>5、撞击、人为破坏或自然灾害等造成储罐、管道、加油机等破裂而泄漏。</w:t>
            </w:r>
          </w:p>
        </w:tc>
        <w:tc>
          <w:tcPr>
            <w:tcW w:w="1263" w:type="dxa"/>
            <w:vAlign w:val="center"/>
          </w:tcPr>
          <w:p w14:paraId="24683233">
            <w:pPr>
              <w:spacing w:line="240" w:lineRule="atLeast"/>
              <w:rPr>
                <w:rFonts w:hint="default" w:ascii="Times New Roman" w:hAnsi="Times New Roman" w:cs="Times New Roman"/>
                <w:szCs w:val="21"/>
              </w:rPr>
            </w:pPr>
            <w:r>
              <w:rPr>
                <w:rFonts w:hint="eastAsia" w:ascii="Times New Roman" w:hAnsi="Times New Roman" w:eastAsia="宋体" w:cs="Times New Roman"/>
                <w:sz w:val="21"/>
                <w:szCs w:val="21"/>
              </w:rPr>
              <w:t>物料泄漏</w:t>
            </w:r>
          </w:p>
        </w:tc>
        <w:tc>
          <w:tcPr>
            <w:tcW w:w="2569" w:type="dxa"/>
            <w:vAlign w:val="center"/>
          </w:tcPr>
          <w:p w14:paraId="401FC27A">
            <w:pPr>
              <w:spacing w:line="240" w:lineRule="atLeast"/>
              <w:rPr>
                <w:rFonts w:hint="eastAsia"/>
              </w:rPr>
            </w:pPr>
            <w:r>
              <w:rPr>
                <w:rFonts w:hint="eastAsia"/>
                <w:lang w:val="en-US" w:eastAsia="zh-CN"/>
              </w:rPr>
              <w:t>1</w:t>
            </w:r>
            <w:r>
              <w:rPr>
                <w:rFonts w:hint="eastAsia"/>
                <w:lang w:eastAsia="zh-CN"/>
              </w:rPr>
              <w:t>、</w:t>
            </w:r>
            <w:r>
              <w:rPr>
                <w:rFonts w:hint="eastAsia"/>
              </w:rPr>
              <w:t>工艺参数异常；</w:t>
            </w:r>
          </w:p>
          <w:p w14:paraId="1902CD49">
            <w:pPr>
              <w:spacing w:line="240" w:lineRule="atLeast"/>
              <w:rPr>
                <w:rFonts w:hint="eastAsia"/>
              </w:rPr>
            </w:pPr>
            <w:r>
              <w:rPr>
                <w:rFonts w:hint="eastAsia"/>
                <w:lang w:val="en-US" w:eastAsia="zh-CN"/>
              </w:rPr>
              <w:t>2</w:t>
            </w:r>
            <w:r>
              <w:rPr>
                <w:rFonts w:hint="eastAsia"/>
                <w:lang w:eastAsia="zh-CN"/>
              </w:rPr>
              <w:t>、</w:t>
            </w:r>
            <w:r>
              <w:rPr>
                <w:rFonts w:hint="eastAsia"/>
              </w:rPr>
              <w:t>储罐具有先天性结构缺陷；</w:t>
            </w:r>
          </w:p>
          <w:p w14:paraId="0EEB9E44">
            <w:pPr>
              <w:spacing w:line="240" w:lineRule="atLeast"/>
              <w:rPr>
                <w:rFonts w:hint="default" w:ascii="Times New Roman" w:hAnsi="Times New Roman" w:cs="Times New Roman"/>
                <w:szCs w:val="21"/>
              </w:rPr>
            </w:pPr>
            <w:r>
              <w:rPr>
                <w:rFonts w:hint="eastAsia"/>
                <w:lang w:val="en-US" w:eastAsia="zh-CN"/>
              </w:rPr>
              <w:t>3</w:t>
            </w:r>
            <w:r>
              <w:rPr>
                <w:rFonts w:hint="eastAsia"/>
                <w:lang w:eastAsia="zh-CN"/>
              </w:rPr>
              <w:t>、</w:t>
            </w:r>
            <w:r>
              <w:rPr>
                <w:rFonts w:hint="eastAsia"/>
              </w:rPr>
              <w:t>介质侵蚀</w:t>
            </w:r>
          </w:p>
        </w:tc>
        <w:tc>
          <w:tcPr>
            <w:tcW w:w="728" w:type="dxa"/>
            <w:vAlign w:val="center"/>
          </w:tcPr>
          <w:p w14:paraId="6B1CB3DA">
            <w:pPr>
              <w:spacing w:line="240" w:lineRule="atLeast"/>
              <w:rPr>
                <w:rFonts w:hint="default" w:ascii="Times New Roman" w:hAnsi="Times New Roman" w:cs="Times New Roman"/>
                <w:szCs w:val="21"/>
              </w:rPr>
            </w:pPr>
            <w:r>
              <w:rPr>
                <w:rFonts w:hint="default" w:ascii="Times New Roman" w:hAnsi="Times New Roman" w:cs="Times New Roman"/>
                <w:szCs w:val="21"/>
              </w:rPr>
              <w:t>财产损失、人员伤亡、物料跑损</w:t>
            </w:r>
          </w:p>
        </w:tc>
        <w:tc>
          <w:tcPr>
            <w:tcW w:w="742" w:type="dxa"/>
            <w:vAlign w:val="center"/>
          </w:tcPr>
          <w:p w14:paraId="5E9456C9">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III</w:t>
            </w:r>
          </w:p>
        </w:tc>
        <w:tc>
          <w:tcPr>
            <w:tcW w:w="4953" w:type="dxa"/>
            <w:vAlign w:val="center"/>
          </w:tcPr>
          <w:p w14:paraId="729EC5E5">
            <w:pPr>
              <w:spacing w:line="240" w:lineRule="atLeast"/>
              <w:rPr>
                <w:rFonts w:hint="default" w:ascii="Times New Roman" w:hAnsi="Times New Roman" w:cs="Times New Roman"/>
                <w:szCs w:val="21"/>
              </w:rPr>
            </w:pPr>
            <w:r>
              <w:rPr>
                <w:rFonts w:hint="default" w:ascii="Times New Roman" w:hAnsi="Times New Roman" w:cs="Times New Roman"/>
                <w:szCs w:val="21"/>
              </w:rPr>
              <w:t>设备的定期检查、鉴定</w:t>
            </w:r>
          </w:p>
          <w:p w14:paraId="7B19ABD6">
            <w:pPr>
              <w:spacing w:line="240" w:lineRule="atLeast"/>
              <w:rPr>
                <w:rFonts w:hint="default" w:ascii="Times New Roman" w:hAnsi="Times New Roman" w:cs="Times New Roman"/>
                <w:szCs w:val="21"/>
              </w:rPr>
            </w:pPr>
          </w:p>
        </w:tc>
      </w:tr>
      <w:tr w14:paraId="7569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0" w:type="dxa"/>
            <w:vAlign w:val="center"/>
          </w:tcPr>
          <w:p w14:paraId="264BD9EA">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中毒</w:t>
            </w:r>
          </w:p>
          <w:p w14:paraId="49E686E1">
            <w:pPr>
              <w:spacing w:line="240" w:lineRule="atLeast"/>
              <w:jc w:val="center"/>
              <w:rPr>
                <w:rFonts w:hint="default" w:ascii="Times New Roman" w:hAnsi="Times New Roman" w:cs="Times New Roman"/>
                <w:szCs w:val="21"/>
              </w:rPr>
            </w:pPr>
          </w:p>
        </w:tc>
        <w:tc>
          <w:tcPr>
            <w:tcW w:w="1052" w:type="dxa"/>
            <w:vAlign w:val="center"/>
          </w:tcPr>
          <w:p w14:paraId="3F6FC4E2">
            <w:pPr>
              <w:spacing w:line="240" w:lineRule="atLeast"/>
              <w:rPr>
                <w:rFonts w:hint="default" w:ascii="Times New Roman" w:hAnsi="Times New Roman" w:cs="Times New Roman"/>
                <w:szCs w:val="21"/>
              </w:rPr>
            </w:pPr>
            <w:r>
              <w:rPr>
                <w:rFonts w:hint="default" w:ascii="Times New Roman" w:hAnsi="Times New Roman" w:cs="Times New Roman"/>
                <w:szCs w:val="21"/>
              </w:rPr>
              <w:t>1、</w:t>
            </w:r>
            <w:r>
              <w:rPr>
                <w:rFonts w:hint="eastAsia" w:cs="Times New Roman"/>
                <w:szCs w:val="21"/>
                <w:lang w:eastAsia="zh-CN"/>
              </w:rPr>
              <w:t>乙醇汽油</w:t>
            </w:r>
            <w:r>
              <w:rPr>
                <w:rFonts w:hint="default" w:ascii="Times New Roman" w:hAnsi="Times New Roman" w:cs="Times New Roman"/>
                <w:szCs w:val="21"/>
              </w:rPr>
              <w:t>、柴油大量泄漏。</w:t>
            </w:r>
          </w:p>
          <w:p w14:paraId="3A6206E8">
            <w:pPr>
              <w:spacing w:line="240" w:lineRule="atLeast"/>
              <w:rPr>
                <w:rFonts w:hint="default" w:ascii="Times New Roman" w:hAnsi="Times New Roman" w:cs="Times New Roman"/>
                <w:szCs w:val="21"/>
              </w:rPr>
            </w:pPr>
            <w:r>
              <w:rPr>
                <w:rFonts w:hint="default" w:ascii="Times New Roman" w:hAnsi="Times New Roman" w:cs="Times New Roman"/>
                <w:szCs w:val="21"/>
              </w:rPr>
              <w:t>2、检修、抢修设备设施等作业时空气中氧含量低</w:t>
            </w:r>
          </w:p>
        </w:tc>
        <w:tc>
          <w:tcPr>
            <w:tcW w:w="2105" w:type="dxa"/>
            <w:vAlign w:val="center"/>
          </w:tcPr>
          <w:p w14:paraId="582ECEBA">
            <w:pPr>
              <w:spacing w:line="240" w:lineRule="atLeast"/>
              <w:rPr>
                <w:rFonts w:hint="default" w:ascii="Times New Roman" w:hAnsi="Times New Roman" w:cs="Times New Roman"/>
                <w:szCs w:val="21"/>
              </w:rPr>
            </w:pPr>
            <w:r>
              <w:rPr>
                <w:rFonts w:hint="default" w:ascii="Times New Roman" w:hAnsi="Times New Roman" w:cs="Times New Roman"/>
                <w:szCs w:val="21"/>
              </w:rPr>
              <w:t>1、在封闭的空间内作业。</w:t>
            </w:r>
          </w:p>
          <w:p w14:paraId="6C7A94EC">
            <w:pPr>
              <w:spacing w:line="240" w:lineRule="atLeast"/>
              <w:rPr>
                <w:rFonts w:hint="default" w:ascii="Times New Roman" w:hAnsi="Times New Roman" w:cs="Times New Roman"/>
                <w:szCs w:val="21"/>
              </w:rPr>
            </w:pPr>
            <w:r>
              <w:rPr>
                <w:rFonts w:hint="default" w:ascii="Times New Roman" w:hAnsi="Times New Roman" w:cs="Times New Roman"/>
                <w:szCs w:val="21"/>
              </w:rPr>
              <w:t>2、检修、抢修（设备、管线、阀门等）时，有毒物料未彻底清洗干净。</w:t>
            </w:r>
          </w:p>
          <w:p w14:paraId="0B290A30">
            <w:pPr>
              <w:tabs>
                <w:tab w:val="left" w:pos="5115"/>
              </w:tabs>
              <w:spacing w:line="240" w:lineRule="atLeast"/>
              <w:rPr>
                <w:rFonts w:hint="default" w:ascii="Times New Roman" w:hAnsi="Times New Roman" w:cs="Times New Roman"/>
                <w:szCs w:val="21"/>
              </w:rPr>
            </w:pPr>
            <w:r>
              <w:rPr>
                <w:rFonts w:hint="default" w:ascii="Times New Roman" w:hAnsi="Times New Roman" w:cs="Times New Roman"/>
                <w:szCs w:val="21"/>
              </w:rPr>
              <w:t>3、通风不畅。</w:t>
            </w:r>
            <w:r>
              <w:rPr>
                <w:rFonts w:hint="default" w:ascii="Times New Roman" w:hAnsi="Times New Roman" w:cs="Times New Roman"/>
                <w:szCs w:val="21"/>
              </w:rPr>
              <w:tab/>
            </w:r>
          </w:p>
          <w:p w14:paraId="55F02C73">
            <w:pPr>
              <w:spacing w:line="240" w:lineRule="atLeast"/>
              <w:rPr>
                <w:rFonts w:hint="default" w:ascii="Times New Roman" w:hAnsi="Times New Roman" w:cs="Times New Roman"/>
                <w:szCs w:val="21"/>
              </w:rPr>
            </w:pPr>
            <w:r>
              <w:rPr>
                <w:rFonts w:hint="default" w:ascii="Times New Roman" w:hAnsi="Times New Roman" w:cs="Times New Roman"/>
                <w:szCs w:val="21"/>
              </w:rPr>
              <w:t>4、缺乏泄漏物料的危险、危害特性的知识及其应急预防方法。</w:t>
            </w:r>
          </w:p>
          <w:p w14:paraId="5A253742">
            <w:pPr>
              <w:spacing w:line="240" w:lineRule="atLeast"/>
              <w:rPr>
                <w:rFonts w:hint="default" w:ascii="Times New Roman" w:hAnsi="Times New Roman" w:cs="Times New Roman"/>
                <w:szCs w:val="21"/>
              </w:rPr>
            </w:pPr>
            <w:r>
              <w:rPr>
                <w:rFonts w:hint="default" w:ascii="Times New Roman" w:hAnsi="Times New Roman" w:cs="Times New Roman"/>
                <w:szCs w:val="21"/>
              </w:rPr>
              <w:t>5、应急不当、救护不当。</w:t>
            </w:r>
          </w:p>
          <w:p w14:paraId="61B74809">
            <w:pPr>
              <w:spacing w:line="240" w:lineRule="atLeast"/>
              <w:rPr>
                <w:rFonts w:hint="default" w:ascii="Times New Roman" w:hAnsi="Times New Roman" w:cs="Times New Roman"/>
                <w:szCs w:val="21"/>
              </w:rPr>
            </w:pPr>
            <w:r>
              <w:rPr>
                <w:rFonts w:hint="default" w:ascii="Times New Roman" w:hAnsi="Times New Roman" w:cs="Times New Roman"/>
                <w:szCs w:val="21"/>
              </w:rPr>
              <w:t>6、在窒息场所作业时无人监护。</w:t>
            </w:r>
          </w:p>
        </w:tc>
        <w:tc>
          <w:tcPr>
            <w:tcW w:w="1263" w:type="dxa"/>
            <w:vAlign w:val="center"/>
          </w:tcPr>
          <w:p w14:paraId="6F033B2B">
            <w:pPr>
              <w:spacing w:line="240" w:lineRule="atLeast"/>
              <w:rPr>
                <w:rFonts w:hint="default" w:ascii="Times New Roman" w:hAnsi="Times New Roman" w:cs="Times New Roman"/>
                <w:szCs w:val="21"/>
              </w:rPr>
            </w:pPr>
            <w:r>
              <w:rPr>
                <w:rFonts w:hint="default" w:ascii="Times New Roman" w:hAnsi="Times New Roman" w:cs="Times New Roman"/>
                <w:szCs w:val="21"/>
              </w:rPr>
              <w:t>人员中毒</w:t>
            </w:r>
          </w:p>
        </w:tc>
        <w:tc>
          <w:tcPr>
            <w:tcW w:w="2569" w:type="dxa"/>
            <w:vAlign w:val="center"/>
          </w:tcPr>
          <w:p w14:paraId="2F973E6E">
            <w:pPr>
              <w:spacing w:line="240" w:lineRule="atLeast"/>
              <w:rPr>
                <w:rFonts w:hint="default" w:ascii="Times New Roman" w:hAnsi="Times New Roman" w:cs="Times New Roman"/>
                <w:szCs w:val="21"/>
              </w:rPr>
            </w:pPr>
            <w:r>
              <w:rPr>
                <w:rFonts w:hint="default" w:ascii="Times New Roman" w:hAnsi="Times New Roman" w:cs="Times New Roman"/>
                <w:szCs w:val="21"/>
              </w:rPr>
              <w:t>1、窒息性气体泄漏，超过容许浓度。</w:t>
            </w:r>
          </w:p>
          <w:p w14:paraId="6DBDE94F">
            <w:pPr>
              <w:spacing w:line="240" w:lineRule="atLeast"/>
              <w:rPr>
                <w:rFonts w:hint="default" w:ascii="Times New Roman" w:hAnsi="Times New Roman" w:cs="Times New Roman"/>
                <w:szCs w:val="21"/>
              </w:rPr>
            </w:pPr>
            <w:r>
              <w:rPr>
                <w:rFonts w:hint="eastAsia" w:cs="Times New Roman"/>
                <w:szCs w:val="21"/>
                <w:lang w:val="en-US" w:eastAsia="zh-CN"/>
              </w:rPr>
              <w:t>2</w:t>
            </w:r>
            <w:r>
              <w:rPr>
                <w:rFonts w:hint="default" w:ascii="Times New Roman" w:hAnsi="Times New Roman" w:cs="Times New Roman"/>
                <w:szCs w:val="21"/>
              </w:rPr>
              <w:t>、有毒气体存在。</w:t>
            </w:r>
          </w:p>
        </w:tc>
        <w:tc>
          <w:tcPr>
            <w:tcW w:w="728" w:type="dxa"/>
            <w:vAlign w:val="center"/>
          </w:tcPr>
          <w:p w14:paraId="127E3373">
            <w:pPr>
              <w:spacing w:line="240" w:lineRule="atLeast"/>
              <w:rPr>
                <w:rFonts w:hint="default" w:ascii="Times New Roman" w:hAnsi="Times New Roman" w:cs="Times New Roman"/>
                <w:szCs w:val="21"/>
              </w:rPr>
            </w:pPr>
            <w:r>
              <w:rPr>
                <w:rFonts w:hint="default" w:ascii="Times New Roman" w:hAnsi="Times New Roman" w:cs="Times New Roman"/>
                <w:szCs w:val="21"/>
              </w:rPr>
              <w:t>人员伤亡</w:t>
            </w:r>
          </w:p>
        </w:tc>
        <w:tc>
          <w:tcPr>
            <w:tcW w:w="742" w:type="dxa"/>
            <w:vAlign w:val="center"/>
          </w:tcPr>
          <w:p w14:paraId="47855D81">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Ⅱ</w:t>
            </w:r>
          </w:p>
        </w:tc>
        <w:tc>
          <w:tcPr>
            <w:tcW w:w="4953" w:type="dxa"/>
            <w:vAlign w:val="center"/>
          </w:tcPr>
          <w:p w14:paraId="1AEE427E">
            <w:pPr>
              <w:spacing w:line="240" w:lineRule="atLeast"/>
              <w:rPr>
                <w:rFonts w:hint="default" w:ascii="Times New Roman" w:hAnsi="Times New Roman" w:cs="Times New Roman"/>
                <w:szCs w:val="21"/>
              </w:rPr>
            </w:pPr>
            <w:r>
              <w:rPr>
                <w:rFonts w:hint="default" w:ascii="Times New Roman" w:hAnsi="Times New Roman" w:cs="Times New Roman"/>
                <w:szCs w:val="21"/>
              </w:rPr>
              <w:t>1、严格控制设备及安装质量，消除泄漏的可能性。</w:t>
            </w:r>
          </w:p>
          <w:p w14:paraId="04EB204E">
            <w:pPr>
              <w:spacing w:line="240" w:lineRule="atLeast"/>
              <w:rPr>
                <w:rFonts w:hint="default" w:ascii="Times New Roman" w:hAnsi="Times New Roman" w:cs="Times New Roman"/>
                <w:szCs w:val="21"/>
              </w:rPr>
            </w:pPr>
            <w:r>
              <w:rPr>
                <w:rFonts w:hint="default" w:ascii="Times New Roman" w:hAnsi="Times New Roman" w:cs="Times New Roman"/>
                <w:szCs w:val="21"/>
              </w:rPr>
              <w:t>2、一旦发生泄漏，应立即采取措施：</w:t>
            </w:r>
          </w:p>
          <w:p w14:paraId="2EC77FC0">
            <w:pPr>
              <w:spacing w:line="240" w:lineRule="atLeast"/>
              <w:rPr>
                <w:rFonts w:hint="default" w:ascii="Times New Roman" w:hAnsi="Times New Roman" w:cs="Times New Roman"/>
                <w:szCs w:val="21"/>
              </w:rPr>
            </w:pPr>
            <w:r>
              <w:rPr>
                <w:rFonts w:hint="default" w:ascii="Times New Roman" w:hAnsi="Times New Roman" w:cs="Times New Roman"/>
                <w:szCs w:val="21"/>
              </w:rPr>
              <w:t>①查明泄漏点，切断相关阀门，消除泄漏源，及时报告；</w:t>
            </w:r>
          </w:p>
          <w:p w14:paraId="617DC31D">
            <w:pPr>
              <w:spacing w:line="240" w:lineRule="atLeast"/>
              <w:rPr>
                <w:rFonts w:hint="default" w:ascii="Times New Roman" w:hAnsi="Times New Roman" w:cs="Times New Roman"/>
                <w:szCs w:val="21"/>
              </w:rPr>
            </w:pPr>
            <w:r>
              <w:rPr>
                <w:rFonts w:hint="default" w:ascii="Times New Roman" w:hAnsi="Times New Roman" w:cs="Times New Roman"/>
                <w:szCs w:val="21"/>
              </w:rPr>
              <w:t>②如泄漏量大，应疏散相关人员至安全处。</w:t>
            </w:r>
          </w:p>
          <w:p w14:paraId="1E809734">
            <w:pPr>
              <w:spacing w:line="240" w:lineRule="atLeast"/>
              <w:rPr>
                <w:rFonts w:hint="default" w:ascii="Times New Roman" w:hAnsi="Times New Roman" w:cs="Times New Roman"/>
                <w:szCs w:val="21"/>
              </w:rPr>
            </w:pPr>
            <w:r>
              <w:rPr>
                <w:rFonts w:hint="default" w:ascii="Times New Roman" w:hAnsi="Times New Roman" w:cs="Times New Roman"/>
                <w:szCs w:val="21"/>
              </w:rPr>
              <w:t>3、定期检修、维护保养，保持设备的完好状态。检修时，要彻底清洗干净，作业时要有人监护及抢救后备措施，作业人员要穿戴好防护用品。</w:t>
            </w:r>
          </w:p>
          <w:p w14:paraId="0DC8DBB7">
            <w:pPr>
              <w:spacing w:line="240" w:lineRule="atLeast"/>
              <w:rPr>
                <w:rFonts w:hint="default" w:ascii="Times New Roman" w:hAnsi="Times New Roman" w:cs="Times New Roman"/>
                <w:szCs w:val="21"/>
              </w:rPr>
            </w:pPr>
            <w:r>
              <w:rPr>
                <w:rFonts w:hint="default" w:ascii="Times New Roman" w:hAnsi="Times New Roman" w:cs="Times New Roman"/>
                <w:szCs w:val="21"/>
              </w:rPr>
              <w:t>4、组织管理措施。</w:t>
            </w:r>
          </w:p>
          <w:p w14:paraId="53FAE692">
            <w:pPr>
              <w:spacing w:line="240" w:lineRule="atLeast"/>
              <w:rPr>
                <w:rFonts w:hint="default" w:ascii="Times New Roman" w:hAnsi="Times New Roman" w:cs="Times New Roman"/>
                <w:szCs w:val="21"/>
              </w:rPr>
            </w:pPr>
            <w:r>
              <w:rPr>
                <w:rFonts w:hint="default" w:ascii="Times New Roman" w:hAnsi="Times New Roman" w:cs="Times New Roman"/>
                <w:szCs w:val="21"/>
              </w:rPr>
              <w:t>①加强检测，杜绝泄漏；</w:t>
            </w:r>
          </w:p>
          <w:p w14:paraId="79BC5ABA">
            <w:pPr>
              <w:spacing w:line="240" w:lineRule="atLeast"/>
              <w:rPr>
                <w:rFonts w:hint="default" w:ascii="Times New Roman" w:hAnsi="Times New Roman" w:cs="Times New Roman"/>
                <w:szCs w:val="21"/>
              </w:rPr>
            </w:pPr>
            <w:r>
              <w:rPr>
                <w:rFonts w:hint="default" w:ascii="Times New Roman" w:hAnsi="Times New Roman" w:cs="Times New Roman"/>
                <w:szCs w:val="21"/>
              </w:rPr>
              <w:t>②教育、培训职工掌握有关预防窒息的方法及其急救法；</w:t>
            </w:r>
          </w:p>
          <w:p w14:paraId="2258A4FC">
            <w:pPr>
              <w:spacing w:line="240" w:lineRule="atLeast"/>
              <w:rPr>
                <w:rFonts w:hint="default" w:ascii="Times New Roman" w:hAnsi="Times New Roman" w:cs="Times New Roman"/>
                <w:szCs w:val="21"/>
              </w:rPr>
            </w:pPr>
            <w:r>
              <w:rPr>
                <w:rFonts w:hint="default" w:ascii="Times New Roman" w:hAnsi="Times New Roman" w:cs="Times New Roman"/>
                <w:szCs w:val="21"/>
              </w:rPr>
              <w:t>③要求职工严格遵守各种规章制度、操作规程；</w:t>
            </w:r>
          </w:p>
          <w:p w14:paraId="738369E9">
            <w:pPr>
              <w:spacing w:line="240" w:lineRule="atLeast"/>
              <w:rPr>
                <w:rFonts w:hint="default" w:ascii="Times New Roman" w:hAnsi="Times New Roman" w:cs="Times New Roman"/>
                <w:szCs w:val="21"/>
              </w:rPr>
            </w:pPr>
            <w:r>
              <w:rPr>
                <w:rFonts w:hint="default" w:ascii="Times New Roman" w:hAnsi="Times New Roman" w:cs="Times New Roman"/>
                <w:szCs w:val="21"/>
              </w:rPr>
              <w:t>④培训人员提高对窒息等急救处理能力。</w:t>
            </w:r>
          </w:p>
          <w:p w14:paraId="2F07BB38">
            <w:pPr>
              <w:spacing w:line="240" w:lineRule="atLeast"/>
              <w:rPr>
                <w:rFonts w:hint="default" w:ascii="Times New Roman" w:hAnsi="Times New Roman" w:cs="Times New Roman"/>
                <w:szCs w:val="21"/>
              </w:rPr>
            </w:pPr>
            <w:r>
              <w:rPr>
                <w:rFonts w:hint="default" w:ascii="Times New Roman" w:hAnsi="Times New Roman" w:cs="Times New Roman"/>
                <w:szCs w:val="21"/>
              </w:rPr>
              <w:t>5、防止车辆行驶过程中撞坏设备、管线，造成窒息性物料泄漏。</w:t>
            </w:r>
          </w:p>
          <w:p w14:paraId="1277F203">
            <w:pPr>
              <w:spacing w:line="240" w:lineRule="atLeast"/>
              <w:rPr>
                <w:rFonts w:hint="default" w:ascii="Times New Roman" w:hAnsi="Times New Roman" w:cs="Times New Roman"/>
                <w:szCs w:val="21"/>
              </w:rPr>
            </w:pPr>
            <w:r>
              <w:rPr>
                <w:rFonts w:hint="default" w:ascii="Times New Roman" w:hAnsi="Times New Roman" w:cs="Times New Roman"/>
                <w:szCs w:val="21"/>
              </w:rPr>
              <w:t>6、合理发放、正确穿戴劳动保护用品。</w:t>
            </w:r>
          </w:p>
          <w:p w14:paraId="1A7D11D1">
            <w:pPr>
              <w:spacing w:line="240" w:lineRule="atLeast"/>
              <w:rPr>
                <w:rFonts w:hint="default" w:ascii="Times New Roman" w:hAnsi="Times New Roman" w:cs="Times New Roman"/>
                <w:szCs w:val="21"/>
              </w:rPr>
            </w:pPr>
            <w:r>
              <w:rPr>
                <w:rFonts w:hint="default" w:ascii="Times New Roman" w:hAnsi="Times New Roman" w:cs="Times New Roman"/>
                <w:szCs w:val="21"/>
              </w:rPr>
              <w:t>7、严格执行安全操作规程及各种规章制度。</w:t>
            </w:r>
          </w:p>
          <w:p w14:paraId="587B0DD8">
            <w:pPr>
              <w:spacing w:line="240" w:lineRule="atLeast"/>
              <w:rPr>
                <w:rFonts w:hint="default" w:ascii="Times New Roman" w:hAnsi="Times New Roman" w:cs="Times New Roman"/>
                <w:szCs w:val="21"/>
              </w:rPr>
            </w:pPr>
            <w:r>
              <w:rPr>
                <w:rFonts w:hint="default" w:ascii="Times New Roman" w:hAnsi="Times New Roman" w:cs="Times New Roman"/>
                <w:szCs w:val="21"/>
              </w:rPr>
              <w:t>8、设立安全标志和风向标，作业场所要通风良好。</w:t>
            </w:r>
          </w:p>
          <w:p w14:paraId="2187C730">
            <w:pPr>
              <w:spacing w:line="240" w:lineRule="atLeast"/>
              <w:rPr>
                <w:rFonts w:hint="default" w:ascii="Times New Roman" w:hAnsi="Times New Roman" w:cs="Times New Roman"/>
                <w:szCs w:val="21"/>
              </w:rPr>
            </w:pPr>
            <w:r>
              <w:rPr>
                <w:rFonts w:hint="default" w:ascii="Times New Roman" w:hAnsi="Times New Roman" w:cs="Times New Roman"/>
                <w:szCs w:val="21"/>
              </w:rPr>
              <w:t>9、制定事故应急救援预案，并报有关部门备案，并定期组织演练。</w:t>
            </w:r>
          </w:p>
        </w:tc>
      </w:tr>
      <w:tr w14:paraId="60ED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0" w:type="dxa"/>
            <w:vAlign w:val="center"/>
          </w:tcPr>
          <w:p w14:paraId="756E4DA6">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窒息</w:t>
            </w:r>
          </w:p>
        </w:tc>
        <w:tc>
          <w:tcPr>
            <w:tcW w:w="1052" w:type="dxa"/>
            <w:vAlign w:val="center"/>
          </w:tcPr>
          <w:p w14:paraId="1EE7E454">
            <w:pPr>
              <w:spacing w:line="240" w:lineRule="atLeast"/>
              <w:rPr>
                <w:rFonts w:hint="default" w:ascii="Times New Roman" w:hAnsi="Times New Roman" w:cs="Times New Roman"/>
                <w:szCs w:val="21"/>
              </w:rPr>
            </w:pPr>
            <w:r>
              <w:rPr>
                <w:rFonts w:hint="default" w:ascii="Times New Roman" w:hAnsi="Times New Roman" w:cs="Times New Roman"/>
                <w:szCs w:val="21"/>
              </w:rPr>
              <w:t>1、</w:t>
            </w:r>
            <w:r>
              <w:rPr>
                <w:rFonts w:hint="eastAsia" w:cs="Times New Roman"/>
                <w:szCs w:val="21"/>
                <w:lang w:eastAsia="zh-CN"/>
              </w:rPr>
              <w:t>乙醇汽油</w:t>
            </w:r>
            <w:r>
              <w:rPr>
                <w:rFonts w:hint="default" w:ascii="Times New Roman" w:hAnsi="Times New Roman" w:cs="Times New Roman"/>
                <w:szCs w:val="21"/>
              </w:rPr>
              <w:t>、柴油大量泄漏。</w:t>
            </w:r>
          </w:p>
          <w:p w14:paraId="2882CA08">
            <w:pPr>
              <w:spacing w:line="240" w:lineRule="atLeast"/>
              <w:rPr>
                <w:rFonts w:hint="default" w:ascii="Times New Roman" w:hAnsi="Times New Roman" w:cs="Times New Roman"/>
                <w:szCs w:val="21"/>
              </w:rPr>
            </w:pPr>
            <w:r>
              <w:rPr>
                <w:rFonts w:hint="default" w:ascii="Times New Roman" w:hAnsi="Times New Roman" w:cs="Times New Roman"/>
                <w:szCs w:val="21"/>
              </w:rPr>
              <w:t>2、检修、抢修设备设施等作业时空气中氧含量低</w:t>
            </w:r>
          </w:p>
        </w:tc>
        <w:tc>
          <w:tcPr>
            <w:tcW w:w="2105" w:type="dxa"/>
            <w:vAlign w:val="center"/>
          </w:tcPr>
          <w:p w14:paraId="0C0E2109">
            <w:pPr>
              <w:spacing w:line="240" w:lineRule="atLeast"/>
              <w:rPr>
                <w:rFonts w:hint="default" w:ascii="Times New Roman" w:hAnsi="Times New Roman" w:cs="Times New Roman"/>
                <w:szCs w:val="21"/>
              </w:rPr>
            </w:pPr>
            <w:r>
              <w:rPr>
                <w:rFonts w:hint="default" w:ascii="Times New Roman" w:hAnsi="Times New Roman" w:cs="Times New Roman"/>
                <w:szCs w:val="21"/>
              </w:rPr>
              <w:t>1、在封闭的空间内作业。</w:t>
            </w:r>
          </w:p>
          <w:p w14:paraId="54B4AE9F">
            <w:pPr>
              <w:spacing w:line="240" w:lineRule="atLeast"/>
              <w:rPr>
                <w:rFonts w:hint="default" w:ascii="Times New Roman" w:hAnsi="Times New Roman" w:cs="Times New Roman"/>
                <w:szCs w:val="21"/>
              </w:rPr>
            </w:pPr>
            <w:r>
              <w:rPr>
                <w:rFonts w:hint="default" w:ascii="Times New Roman" w:hAnsi="Times New Roman" w:cs="Times New Roman"/>
                <w:szCs w:val="21"/>
              </w:rPr>
              <w:t>2、检修、抢修（设备、管线、阀门等）时，有毒物料未彻底清洗干净。</w:t>
            </w:r>
          </w:p>
          <w:p w14:paraId="191FC51E">
            <w:pPr>
              <w:tabs>
                <w:tab w:val="left" w:pos="5115"/>
              </w:tabs>
              <w:spacing w:line="240" w:lineRule="atLeast"/>
              <w:rPr>
                <w:rFonts w:hint="default" w:ascii="Times New Roman" w:hAnsi="Times New Roman" w:cs="Times New Roman"/>
                <w:szCs w:val="21"/>
              </w:rPr>
            </w:pPr>
            <w:r>
              <w:rPr>
                <w:rFonts w:hint="default" w:ascii="Times New Roman" w:hAnsi="Times New Roman" w:cs="Times New Roman"/>
                <w:szCs w:val="21"/>
              </w:rPr>
              <w:t>3、通风不畅。</w:t>
            </w:r>
            <w:r>
              <w:rPr>
                <w:rFonts w:hint="default" w:ascii="Times New Roman" w:hAnsi="Times New Roman" w:cs="Times New Roman"/>
                <w:szCs w:val="21"/>
              </w:rPr>
              <w:tab/>
            </w:r>
          </w:p>
          <w:p w14:paraId="423E60CD">
            <w:pPr>
              <w:spacing w:line="240" w:lineRule="atLeast"/>
              <w:rPr>
                <w:rFonts w:hint="default" w:ascii="Times New Roman" w:hAnsi="Times New Roman" w:cs="Times New Roman"/>
                <w:szCs w:val="21"/>
              </w:rPr>
            </w:pPr>
            <w:r>
              <w:rPr>
                <w:rFonts w:hint="default" w:ascii="Times New Roman" w:hAnsi="Times New Roman" w:cs="Times New Roman"/>
                <w:szCs w:val="21"/>
              </w:rPr>
              <w:t>4、缺乏泄漏物料的危险、危害特性的知识及其应急预防方法。</w:t>
            </w:r>
          </w:p>
          <w:p w14:paraId="7B5F8264">
            <w:pPr>
              <w:spacing w:line="240" w:lineRule="atLeast"/>
              <w:rPr>
                <w:rFonts w:hint="default" w:ascii="Times New Roman" w:hAnsi="Times New Roman" w:cs="Times New Roman"/>
                <w:szCs w:val="21"/>
              </w:rPr>
            </w:pPr>
            <w:r>
              <w:rPr>
                <w:rFonts w:hint="default" w:ascii="Times New Roman" w:hAnsi="Times New Roman" w:cs="Times New Roman"/>
                <w:szCs w:val="21"/>
              </w:rPr>
              <w:t>5、应急不当、救护不当。</w:t>
            </w:r>
          </w:p>
          <w:p w14:paraId="5A3F9F55">
            <w:pPr>
              <w:spacing w:line="240" w:lineRule="atLeast"/>
              <w:rPr>
                <w:rFonts w:hint="default" w:ascii="Times New Roman" w:hAnsi="Times New Roman" w:cs="Times New Roman"/>
                <w:szCs w:val="21"/>
              </w:rPr>
            </w:pPr>
            <w:r>
              <w:rPr>
                <w:rFonts w:hint="default" w:ascii="Times New Roman" w:hAnsi="Times New Roman" w:cs="Times New Roman"/>
                <w:szCs w:val="21"/>
              </w:rPr>
              <w:t>6、在窒息场所作业时无人监护。</w:t>
            </w:r>
          </w:p>
        </w:tc>
        <w:tc>
          <w:tcPr>
            <w:tcW w:w="1263" w:type="dxa"/>
            <w:vAlign w:val="center"/>
          </w:tcPr>
          <w:p w14:paraId="5780C7F5">
            <w:pPr>
              <w:spacing w:line="240" w:lineRule="atLeast"/>
              <w:rPr>
                <w:rFonts w:hint="default" w:ascii="Times New Roman" w:hAnsi="Times New Roman" w:cs="Times New Roman"/>
                <w:szCs w:val="21"/>
              </w:rPr>
            </w:pPr>
            <w:r>
              <w:rPr>
                <w:rFonts w:hint="default" w:ascii="Times New Roman" w:hAnsi="Times New Roman" w:cs="Times New Roman"/>
                <w:szCs w:val="21"/>
              </w:rPr>
              <w:t>人员窒息</w:t>
            </w:r>
          </w:p>
        </w:tc>
        <w:tc>
          <w:tcPr>
            <w:tcW w:w="2569" w:type="dxa"/>
            <w:vAlign w:val="center"/>
          </w:tcPr>
          <w:p w14:paraId="2F501DDF">
            <w:pPr>
              <w:spacing w:line="240" w:lineRule="atLeast"/>
              <w:rPr>
                <w:rFonts w:hint="default" w:ascii="Times New Roman" w:hAnsi="Times New Roman" w:cs="Times New Roman"/>
                <w:szCs w:val="21"/>
              </w:rPr>
            </w:pPr>
            <w:r>
              <w:rPr>
                <w:rFonts w:hint="default" w:ascii="Times New Roman" w:hAnsi="Times New Roman" w:cs="Times New Roman"/>
                <w:szCs w:val="21"/>
              </w:rPr>
              <w:t>1、窒息性气体泄漏，超过容许浓度。</w:t>
            </w:r>
          </w:p>
          <w:p w14:paraId="74E7B3D9">
            <w:pPr>
              <w:spacing w:line="240" w:lineRule="atLeast"/>
              <w:rPr>
                <w:rFonts w:hint="default" w:ascii="Times New Roman" w:hAnsi="Times New Roman" w:cs="Times New Roman"/>
                <w:szCs w:val="21"/>
              </w:rPr>
            </w:pPr>
            <w:r>
              <w:rPr>
                <w:rFonts w:hint="default" w:ascii="Times New Roman" w:hAnsi="Times New Roman" w:cs="Times New Roman"/>
                <w:szCs w:val="21"/>
              </w:rPr>
              <w:t>2、缺氧。</w:t>
            </w:r>
          </w:p>
        </w:tc>
        <w:tc>
          <w:tcPr>
            <w:tcW w:w="728" w:type="dxa"/>
            <w:vAlign w:val="center"/>
          </w:tcPr>
          <w:p w14:paraId="7EC35DE2">
            <w:pPr>
              <w:spacing w:line="240" w:lineRule="atLeast"/>
              <w:rPr>
                <w:rFonts w:hint="default" w:ascii="Times New Roman" w:hAnsi="Times New Roman" w:cs="Times New Roman"/>
                <w:szCs w:val="21"/>
              </w:rPr>
            </w:pPr>
            <w:r>
              <w:rPr>
                <w:rFonts w:hint="default" w:ascii="Times New Roman" w:hAnsi="Times New Roman" w:cs="Times New Roman"/>
                <w:szCs w:val="21"/>
              </w:rPr>
              <w:t>人员伤亡</w:t>
            </w:r>
          </w:p>
        </w:tc>
        <w:tc>
          <w:tcPr>
            <w:tcW w:w="742" w:type="dxa"/>
            <w:vAlign w:val="center"/>
          </w:tcPr>
          <w:p w14:paraId="083AEEE4">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Ⅱ</w:t>
            </w:r>
          </w:p>
        </w:tc>
        <w:tc>
          <w:tcPr>
            <w:tcW w:w="4953" w:type="dxa"/>
            <w:vAlign w:val="center"/>
          </w:tcPr>
          <w:p w14:paraId="2E943F94">
            <w:pPr>
              <w:spacing w:line="240" w:lineRule="atLeast"/>
              <w:rPr>
                <w:rFonts w:hint="default" w:ascii="Times New Roman" w:hAnsi="Times New Roman" w:cs="Times New Roman"/>
                <w:szCs w:val="21"/>
              </w:rPr>
            </w:pPr>
            <w:r>
              <w:rPr>
                <w:rFonts w:hint="default" w:ascii="Times New Roman" w:hAnsi="Times New Roman" w:cs="Times New Roman"/>
                <w:szCs w:val="21"/>
              </w:rPr>
              <w:t>1、严格控制设备及安装质量，消除泄漏的可能性。</w:t>
            </w:r>
          </w:p>
          <w:p w14:paraId="2D152DAB">
            <w:pPr>
              <w:spacing w:line="240" w:lineRule="atLeast"/>
              <w:rPr>
                <w:rFonts w:hint="default" w:ascii="Times New Roman" w:hAnsi="Times New Roman" w:cs="Times New Roman"/>
                <w:szCs w:val="21"/>
              </w:rPr>
            </w:pPr>
            <w:r>
              <w:rPr>
                <w:rFonts w:hint="default" w:ascii="Times New Roman" w:hAnsi="Times New Roman" w:cs="Times New Roman"/>
                <w:szCs w:val="21"/>
              </w:rPr>
              <w:t>2、一旦发生泄漏，应立即采取措施：</w:t>
            </w:r>
          </w:p>
          <w:p w14:paraId="7A5CA62A">
            <w:pPr>
              <w:spacing w:line="240" w:lineRule="atLeast"/>
              <w:rPr>
                <w:rFonts w:hint="default" w:ascii="Times New Roman" w:hAnsi="Times New Roman" w:cs="Times New Roman"/>
                <w:szCs w:val="21"/>
              </w:rPr>
            </w:pPr>
            <w:r>
              <w:rPr>
                <w:rFonts w:hint="default" w:ascii="Times New Roman" w:hAnsi="Times New Roman" w:cs="Times New Roman"/>
                <w:szCs w:val="21"/>
              </w:rPr>
              <w:t>①查明泄漏点，切断相关阀门，消除泄漏源，及时报告；</w:t>
            </w:r>
          </w:p>
          <w:p w14:paraId="118A9110">
            <w:pPr>
              <w:spacing w:line="240" w:lineRule="atLeast"/>
              <w:rPr>
                <w:rFonts w:hint="default" w:ascii="Times New Roman" w:hAnsi="Times New Roman" w:cs="Times New Roman"/>
                <w:szCs w:val="21"/>
              </w:rPr>
            </w:pPr>
            <w:r>
              <w:rPr>
                <w:rFonts w:hint="default" w:ascii="Times New Roman" w:hAnsi="Times New Roman" w:cs="Times New Roman"/>
                <w:szCs w:val="21"/>
              </w:rPr>
              <w:t>②如泄漏量大，应疏散相关人员至安全处。</w:t>
            </w:r>
          </w:p>
          <w:p w14:paraId="3836B710">
            <w:pPr>
              <w:spacing w:line="240" w:lineRule="atLeast"/>
              <w:rPr>
                <w:rFonts w:hint="default" w:ascii="Times New Roman" w:hAnsi="Times New Roman" w:cs="Times New Roman"/>
                <w:szCs w:val="21"/>
              </w:rPr>
            </w:pPr>
            <w:r>
              <w:rPr>
                <w:rFonts w:hint="default" w:ascii="Times New Roman" w:hAnsi="Times New Roman" w:cs="Times New Roman"/>
                <w:szCs w:val="21"/>
              </w:rPr>
              <w:t>3、定期检修、维护保养，保持设备的完好状态。检修时，要彻底清洗干净，作业时要有人监护及抢救后备措施，作业人员要穿戴好防护用品。</w:t>
            </w:r>
          </w:p>
          <w:p w14:paraId="58AD7040">
            <w:pPr>
              <w:spacing w:line="240" w:lineRule="atLeast"/>
              <w:rPr>
                <w:rFonts w:hint="default" w:ascii="Times New Roman" w:hAnsi="Times New Roman" w:cs="Times New Roman"/>
                <w:szCs w:val="21"/>
              </w:rPr>
            </w:pPr>
            <w:r>
              <w:rPr>
                <w:rFonts w:hint="default" w:ascii="Times New Roman" w:hAnsi="Times New Roman" w:cs="Times New Roman"/>
                <w:szCs w:val="21"/>
              </w:rPr>
              <w:t>4、组织管理措施。</w:t>
            </w:r>
          </w:p>
          <w:p w14:paraId="0541B375">
            <w:pPr>
              <w:spacing w:line="240" w:lineRule="atLeast"/>
              <w:rPr>
                <w:rFonts w:hint="default" w:ascii="Times New Roman" w:hAnsi="Times New Roman" w:cs="Times New Roman"/>
                <w:szCs w:val="21"/>
              </w:rPr>
            </w:pPr>
            <w:r>
              <w:rPr>
                <w:rFonts w:hint="default" w:ascii="Times New Roman" w:hAnsi="Times New Roman" w:cs="Times New Roman"/>
                <w:szCs w:val="21"/>
              </w:rPr>
              <w:t>①加强检测，杜绝泄漏；</w:t>
            </w:r>
          </w:p>
          <w:p w14:paraId="3951AD59">
            <w:pPr>
              <w:spacing w:line="240" w:lineRule="atLeast"/>
              <w:rPr>
                <w:rFonts w:hint="default" w:ascii="Times New Roman" w:hAnsi="Times New Roman" w:cs="Times New Roman"/>
                <w:szCs w:val="21"/>
              </w:rPr>
            </w:pPr>
            <w:r>
              <w:rPr>
                <w:rFonts w:hint="default" w:ascii="Times New Roman" w:hAnsi="Times New Roman" w:cs="Times New Roman"/>
                <w:szCs w:val="21"/>
              </w:rPr>
              <w:t>②教育、培训职工掌握有关预防窒息的方法及其急救法；</w:t>
            </w:r>
          </w:p>
          <w:p w14:paraId="6981F312">
            <w:pPr>
              <w:spacing w:line="240" w:lineRule="atLeast"/>
              <w:rPr>
                <w:rFonts w:hint="default" w:ascii="Times New Roman" w:hAnsi="Times New Roman" w:cs="Times New Roman"/>
                <w:szCs w:val="21"/>
              </w:rPr>
            </w:pPr>
            <w:r>
              <w:rPr>
                <w:rFonts w:hint="default" w:ascii="Times New Roman" w:hAnsi="Times New Roman" w:cs="Times New Roman"/>
                <w:szCs w:val="21"/>
              </w:rPr>
              <w:t>③要求职工严格遵守各种规章制度、操作规程；</w:t>
            </w:r>
          </w:p>
          <w:p w14:paraId="3830BDCB">
            <w:pPr>
              <w:spacing w:line="240" w:lineRule="atLeast"/>
              <w:rPr>
                <w:rFonts w:hint="default" w:ascii="Times New Roman" w:hAnsi="Times New Roman" w:cs="Times New Roman"/>
                <w:szCs w:val="21"/>
              </w:rPr>
            </w:pPr>
            <w:r>
              <w:rPr>
                <w:rFonts w:hint="default" w:ascii="Times New Roman" w:hAnsi="Times New Roman" w:cs="Times New Roman"/>
                <w:szCs w:val="21"/>
              </w:rPr>
              <w:t>④培训人员提高对窒息等急救处理能力。</w:t>
            </w:r>
          </w:p>
          <w:p w14:paraId="27D42607">
            <w:pPr>
              <w:spacing w:line="240" w:lineRule="atLeast"/>
              <w:rPr>
                <w:rFonts w:hint="default" w:ascii="Times New Roman" w:hAnsi="Times New Roman" w:cs="Times New Roman"/>
                <w:szCs w:val="21"/>
              </w:rPr>
            </w:pPr>
            <w:r>
              <w:rPr>
                <w:rFonts w:hint="default" w:ascii="Times New Roman" w:hAnsi="Times New Roman" w:cs="Times New Roman"/>
                <w:szCs w:val="21"/>
              </w:rPr>
              <w:t>5、防止车辆行驶过程中撞坏设备、管线，造成窒息性物料泄漏。</w:t>
            </w:r>
          </w:p>
          <w:p w14:paraId="4F790733">
            <w:pPr>
              <w:spacing w:line="240" w:lineRule="atLeast"/>
              <w:rPr>
                <w:rFonts w:hint="default" w:ascii="Times New Roman" w:hAnsi="Times New Roman" w:cs="Times New Roman"/>
                <w:szCs w:val="21"/>
              </w:rPr>
            </w:pPr>
            <w:r>
              <w:rPr>
                <w:rFonts w:hint="default" w:ascii="Times New Roman" w:hAnsi="Times New Roman" w:cs="Times New Roman"/>
                <w:szCs w:val="21"/>
              </w:rPr>
              <w:t>6、合理发放、正确穿戴劳动保护用品。</w:t>
            </w:r>
          </w:p>
          <w:p w14:paraId="4DC60BAA">
            <w:pPr>
              <w:spacing w:line="240" w:lineRule="atLeast"/>
              <w:rPr>
                <w:rFonts w:hint="default" w:ascii="Times New Roman" w:hAnsi="Times New Roman" w:cs="Times New Roman"/>
                <w:szCs w:val="21"/>
              </w:rPr>
            </w:pPr>
            <w:r>
              <w:rPr>
                <w:rFonts w:hint="default" w:ascii="Times New Roman" w:hAnsi="Times New Roman" w:cs="Times New Roman"/>
                <w:szCs w:val="21"/>
              </w:rPr>
              <w:t>7、严格执行安全操作规程及各种规章制度。</w:t>
            </w:r>
          </w:p>
          <w:p w14:paraId="1A9F08D0">
            <w:pPr>
              <w:spacing w:line="240" w:lineRule="atLeast"/>
              <w:rPr>
                <w:rFonts w:hint="default" w:ascii="Times New Roman" w:hAnsi="Times New Roman" w:cs="Times New Roman"/>
                <w:szCs w:val="21"/>
              </w:rPr>
            </w:pPr>
            <w:r>
              <w:rPr>
                <w:rFonts w:hint="default" w:ascii="Times New Roman" w:hAnsi="Times New Roman" w:cs="Times New Roman"/>
                <w:szCs w:val="21"/>
              </w:rPr>
              <w:t>8、设立安全标志和风向标，作业场所要通风良好。</w:t>
            </w:r>
          </w:p>
          <w:p w14:paraId="58332C0A">
            <w:pPr>
              <w:spacing w:line="240" w:lineRule="atLeast"/>
              <w:rPr>
                <w:rFonts w:hint="default" w:ascii="Times New Roman" w:hAnsi="Times New Roman" w:cs="Times New Roman"/>
                <w:szCs w:val="21"/>
              </w:rPr>
            </w:pPr>
            <w:r>
              <w:rPr>
                <w:rFonts w:hint="default" w:ascii="Times New Roman" w:hAnsi="Times New Roman" w:cs="Times New Roman"/>
                <w:szCs w:val="21"/>
              </w:rPr>
              <w:t>9、制定事故应急救援预案，并报有关部门备案，并定期组织演练。</w:t>
            </w:r>
          </w:p>
        </w:tc>
      </w:tr>
      <w:tr w14:paraId="3769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1090" w:type="dxa"/>
            <w:vAlign w:val="center"/>
          </w:tcPr>
          <w:p w14:paraId="3909B9F2">
            <w:pPr>
              <w:jc w:val="center"/>
              <w:rPr>
                <w:rFonts w:hint="default" w:ascii="Times New Roman" w:hAnsi="Times New Roman" w:cs="Times New Roman"/>
                <w:szCs w:val="21"/>
              </w:rPr>
            </w:pPr>
            <w:r>
              <w:rPr>
                <w:rFonts w:hint="default" w:ascii="Times New Roman" w:hAnsi="Times New Roman" w:cs="Times New Roman"/>
                <w:szCs w:val="21"/>
              </w:rPr>
              <w:t>触电</w:t>
            </w:r>
          </w:p>
        </w:tc>
        <w:tc>
          <w:tcPr>
            <w:tcW w:w="1052" w:type="dxa"/>
            <w:vAlign w:val="center"/>
          </w:tcPr>
          <w:p w14:paraId="674830D5">
            <w:pPr>
              <w:adjustRightInd w:val="0"/>
              <w:snapToGrid w:val="0"/>
              <w:spacing w:line="240" w:lineRule="atLeast"/>
              <w:jc w:val="center"/>
              <w:rPr>
                <w:rFonts w:hint="default" w:ascii="Times New Roman" w:hAnsi="Times New Roman" w:cs="Times New Roman"/>
                <w:szCs w:val="21"/>
              </w:rPr>
            </w:pPr>
            <w:r>
              <w:rPr>
                <w:rFonts w:hint="default" w:ascii="Times New Roman" w:hAnsi="Times New Roman" w:cs="Times New Roman"/>
                <w:szCs w:val="21"/>
              </w:rPr>
              <w:t>漏电、绝缘损坏、安全距离不够、雷击、静电</w:t>
            </w:r>
          </w:p>
        </w:tc>
        <w:tc>
          <w:tcPr>
            <w:tcW w:w="2105" w:type="dxa"/>
          </w:tcPr>
          <w:p w14:paraId="2D3EE759">
            <w:pPr>
              <w:adjustRightInd w:val="0"/>
              <w:snapToGrid w:val="0"/>
              <w:rPr>
                <w:rFonts w:hint="default" w:ascii="Times New Roman" w:hAnsi="Times New Roman" w:cs="Times New Roman"/>
                <w:szCs w:val="21"/>
              </w:rPr>
            </w:pPr>
            <w:r>
              <w:rPr>
                <w:rFonts w:hint="default" w:ascii="Times New Roman" w:hAnsi="Times New Roman" w:cs="Times New Roman"/>
                <w:szCs w:val="21"/>
              </w:rPr>
              <w:t>1. 电气线路或电气设备在设计、安装上存在缺陷，或在运行中缺乏必要的检修维护；</w:t>
            </w:r>
          </w:p>
          <w:p w14:paraId="7F9B055B">
            <w:pPr>
              <w:rPr>
                <w:rFonts w:hint="default" w:ascii="Times New Roman" w:hAnsi="Times New Roman" w:cs="Times New Roman"/>
                <w:szCs w:val="21"/>
              </w:rPr>
            </w:pPr>
            <w:r>
              <w:rPr>
                <w:rFonts w:hint="default" w:ascii="Times New Roman" w:hAnsi="Times New Roman" w:cs="Times New Roman"/>
                <w:szCs w:val="21"/>
              </w:rPr>
              <w:t>2. 没有设置必要的安全技术措施或安全措施失效；</w:t>
            </w:r>
          </w:p>
          <w:p w14:paraId="61890F69">
            <w:pPr>
              <w:rPr>
                <w:rFonts w:hint="default" w:ascii="Times New Roman" w:hAnsi="Times New Roman" w:cs="Times New Roman"/>
                <w:szCs w:val="21"/>
              </w:rPr>
            </w:pPr>
            <w:r>
              <w:rPr>
                <w:rFonts w:hint="default" w:ascii="Times New Roman" w:hAnsi="Times New Roman" w:cs="Times New Roman"/>
                <w:szCs w:val="21"/>
              </w:rPr>
              <w:t>3.电气设备运行管理不当，安全管理制度不完善，没有必要的安全组织措施；</w:t>
            </w:r>
          </w:p>
          <w:p w14:paraId="7FE4891C">
            <w:pPr>
              <w:rPr>
                <w:rFonts w:hint="default" w:ascii="Times New Roman" w:hAnsi="Times New Roman" w:cs="Times New Roman"/>
                <w:szCs w:val="21"/>
              </w:rPr>
            </w:pPr>
            <w:r>
              <w:rPr>
                <w:rFonts w:hint="default" w:ascii="Times New Roman" w:hAnsi="Times New Roman" w:cs="Times New Roman"/>
                <w:szCs w:val="21"/>
              </w:rPr>
              <w:t>4.专业电工或机电设备操作人员的操作失误，或违章作业等；</w:t>
            </w:r>
          </w:p>
          <w:p w14:paraId="2237C492">
            <w:pPr>
              <w:rPr>
                <w:rFonts w:hint="default" w:ascii="Times New Roman" w:hAnsi="Times New Roman" w:cs="Times New Roman"/>
                <w:szCs w:val="21"/>
              </w:rPr>
            </w:pPr>
            <w:r>
              <w:rPr>
                <w:rFonts w:hint="default" w:ascii="Times New Roman" w:hAnsi="Times New Roman" w:cs="Times New Roman"/>
                <w:szCs w:val="21"/>
              </w:rPr>
              <w:t>5. 雷击，包括直接雷、感应雷。</w:t>
            </w:r>
          </w:p>
        </w:tc>
        <w:tc>
          <w:tcPr>
            <w:tcW w:w="1263" w:type="dxa"/>
            <w:vAlign w:val="center"/>
          </w:tcPr>
          <w:p w14:paraId="698A57C6">
            <w:pPr>
              <w:spacing w:line="240" w:lineRule="atLeast"/>
              <w:jc w:val="left"/>
              <w:rPr>
                <w:rFonts w:hint="default" w:ascii="Times New Roman" w:hAnsi="Times New Roman" w:cs="Times New Roman"/>
                <w:szCs w:val="21"/>
              </w:rPr>
            </w:pPr>
            <w:r>
              <w:rPr>
                <w:rFonts w:hint="default" w:ascii="Times New Roman" w:hAnsi="Times New Roman" w:cs="Times New Roman"/>
                <w:szCs w:val="21"/>
              </w:rPr>
              <w:t>人体触及带电体</w:t>
            </w:r>
          </w:p>
        </w:tc>
        <w:tc>
          <w:tcPr>
            <w:tcW w:w="2569" w:type="dxa"/>
            <w:vAlign w:val="center"/>
          </w:tcPr>
          <w:p w14:paraId="6335D1C9">
            <w:pPr>
              <w:adjustRightInd w:val="0"/>
              <w:snapToGrid w:val="0"/>
              <w:jc w:val="left"/>
              <w:rPr>
                <w:rFonts w:hint="default" w:ascii="Times New Roman" w:hAnsi="Times New Roman" w:cs="Times New Roman"/>
                <w:szCs w:val="21"/>
              </w:rPr>
            </w:pPr>
            <w:r>
              <w:rPr>
                <w:rFonts w:hint="default" w:ascii="Times New Roman" w:hAnsi="Times New Roman" w:cs="Times New Roman"/>
                <w:szCs w:val="21"/>
              </w:rPr>
              <w:t>1．人体触及带电体；</w:t>
            </w:r>
          </w:p>
          <w:p w14:paraId="2AE137A2">
            <w:pPr>
              <w:adjustRightInd w:val="0"/>
              <w:snapToGrid w:val="0"/>
              <w:jc w:val="left"/>
              <w:rPr>
                <w:rFonts w:hint="default" w:ascii="Times New Roman" w:hAnsi="Times New Roman" w:cs="Times New Roman"/>
                <w:szCs w:val="21"/>
              </w:rPr>
            </w:pPr>
            <w:r>
              <w:rPr>
                <w:rFonts w:hint="default" w:ascii="Times New Roman" w:hAnsi="Times New Roman" w:cs="Times New Roman"/>
                <w:szCs w:val="21"/>
              </w:rPr>
              <w:t>2．流过人体的电流超过50mA·s，持续时间超过心动周期；</w:t>
            </w:r>
          </w:p>
          <w:p w14:paraId="73FA3AE2">
            <w:pPr>
              <w:spacing w:line="240" w:lineRule="atLeast"/>
              <w:rPr>
                <w:rFonts w:hint="default" w:ascii="Times New Roman" w:hAnsi="Times New Roman" w:cs="Times New Roman"/>
                <w:szCs w:val="21"/>
              </w:rPr>
            </w:pPr>
            <w:r>
              <w:rPr>
                <w:rFonts w:hint="default" w:ascii="Times New Roman" w:hAnsi="Times New Roman" w:cs="Times New Roman"/>
                <w:szCs w:val="21"/>
              </w:rPr>
              <w:t>3．安全距离不够，空气击穿。</w:t>
            </w:r>
          </w:p>
        </w:tc>
        <w:tc>
          <w:tcPr>
            <w:tcW w:w="728" w:type="dxa"/>
            <w:vAlign w:val="center"/>
          </w:tcPr>
          <w:p w14:paraId="1DB265F6">
            <w:pPr>
              <w:adjustRightInd w:val="0"/>
              <w:snapToGrid w:val="0"/>
              <w:spacing w:line="240" w:lineRule="atLeast"/>
              <w:jc w:val="center"/>
              <w:rPr>
                <w:rFonts w:hint="default" w:ascii="Times New Roman" w:hAnsi="Times New Roman" w:cs="Times New Roman"/>
                <w:szCs w:val="21"/>
              </w:rPr>
            </w:pPr>
            <w:r>
              <w:rPr>
                <w:rFonts w:hint="default" w:ascii="Times New Roman" w:hAnsi="Times New Roman" w:cs="Times New Roman"/>
                <w:szCs w:val="21"/>
              </w:rPr>
              <w:t>可能人员烫伤或死亡</w:t>
            </w:r>
          </w:p>
        </w:tc>
        <w:tc>
          <w:tcPr>
            <w:tcW w:w="742" w:type="dxa"/>
            <w:vAlign w:val="center"/>
          </w:tcPr>
          <w:p w14:paraId="3AF380DA">
            <w:pPr>
              <w:adjustRightInd w:val="0"/>
              <w:snapToGrid w:val="0"/>
              <w:spacing w:line="240" w:lineRule="atLeast"/>
              <w:jc w:val="center"/>
              <w:rPr>
                <w:rFonts w:hint="default" w:ascii="Times New Roman" w:hAnsi="Times New Roman" w:cs="Times New Roman"/>
                <w:szCs w:val="21"/>
              </w:rPr>
            </w:pPr>
            <w:r>
              <w:rPr>
                <w:rFonts w:hint="default" w:ascii="Times New Roman" w:hAnsi="Times New Roman" w:cs="Times New Roman"/>
                <w:szCs w:val="21"/>
              </w:rPr>
              <w:t>Ⅱ</w:t>
            </w:r>
          </w:p>
        </w:tc>
        <w:tc>
          <w:tcPr>
            <w:tcW w:w="4953" w:type="dxa"/>
            <w:vAlign w:val="center"/>
          </w:tcPr>
          <w:p w14:paraId="14CF98E3">
            <w:pPr>
              <w:adjustRightInd w:val="0"/>
              <w:snapToGrid w:val="0"/>
              <w:spacing w:line="240" w:lineRule="atLeast"/>
              <w:rPr>
                <w:rFonts w:hint="default" w:ascii="Times New Roman" w:hAnsi="Times New Roman" w:cs="Times New Roman"/>
                <w:szCs w:val="21"/>
              </w:rPr>
            </w:pPr>
            <w:r>
              <w:rPr>
                <w:rFonts w:hint="default" w:ascii="Times New Roman" w:hAnsi="Times New Roman" w:cs="Times New Roman"/>
                <w:szCs w:val="21"/>
              </w:rPr>
              <w:t>1.设备要采用合格产品，全面的质量保证措施，要有完好的保温层或其它防护措施，防止发生泄漏；</w:t>
            </w:r>
          </w:p>
          <w:p w14:paraId="2B8B4DAA">
            <w:pPr>
              <w:adjustRightInd w:val="0"/>
              <w:snapToGrid w:val="0"/>
              <w:spacing w:line="240" w:lineRule="atLeast"/>
              <w:rPr>
                <w:rFonts w:hint="default" w:ascii="Times New Roman" w:hAnsi="Times New Roman" w:cs="Times New Roman"/>
                <w:szCs w:val="21"/>
              </w:rPr>
            </w:pPr>
            <w:r>
              <w:rPr>
                <w:rFonts w:hint="default" w:ascii="Times New Roman" w:hAnsi="Times New Roman" w:cs="Times New Roman"/>
                <w:szCs w:val="21"/>
              </w:rPr>
              <w:t>2.设备要定期及时进行检修，保证其处于完好状态；</w:t>
            </w:r>
          </w:p>
          <w:p w14:paraId="6B06A982">
            <w:pPr>
              <w:adjustRightInd w:val="0"/>
              <w:snapToGrid w:val="0"/>
              <w:spacing w:line="240" w:lineRule="atLeast"/>
              <w:rPr>
                <w:rFonts w:hint="default" w:ascii="Times New Roman" w:hAnsi="Times New Roman" w:cs="Times New Roman"/>
                <w:szCs w:val="21"/>
              </w:rPr>
            </w:pPr>
            <w:r>
              <w:rPr>
                <w:rFonts w:hint="default" w:ascii="Times New Roman" w:hAnsi="Times New Roman" w:cs="Times New Roman"/>
                <w:szCs w:val="21"/>
              </w:rPr>
              <w:t>3.遵守操作规程；</w:t>
            </w:r>
          </w:p>
          <w:p w14:paraId="09CACB66">
            <w:pPr>
              <w:adjustRightInd w:val="0"/>
              <w:snapToGrid w:val="0"/>
              <w:spacing w:line="240" w:lineRule="atLeast"/>
              <w:rPr>
                <w:rFonts w:hint="default" w:ascii="Times New Roman" w:hAnsi="Times New Roman" w:cs="Times New Roman"/>
                <w:szCs w:val="21"/>
              </w:rPr>
            </w:pPr>
            <w:r>
              <w:rPr>
                <w:rFonts w:hint="default" w:ascii="Times New Roman" w:hAnsi="Times New Roman" w:cs="Times New Roman"/>
                <w:szCs w:val="21"/>
              </w:rPr>
              <w:t>4.穿戴合适的防护用品；</w:t>
            </w:r>
          </w:p>
          <w:p w14:paraId="1CEF7736">
            <w:pPr>
              <w:adjustRightInd w:val="0"/>
              <w:snapToGrid w:val="0"/>
              <w:spacing w:line="240" w:lineRule="atLeast"/>
              <w:rPr>
                <w:rFonts w:hint="default" w:ascii="Times New Roman" w:hAnsi="Times New Roman" w:cs="Times New Roman"/>
                <w:szCs w:val="21"/>
              </w:rPr>
            </w:pPr>
            <w:r>
              <w:rPr>
                <w:rFonts w:hint="default" w:ascii="Times New Roman" w:hAnsi="Times New Roman" w:cs="Times New Roman"/>
                <w:szCs w:val="21"/>
              </w:rPr>
              <w:t>5.要在相应地点设立警示标志；</w:t>
            </w:r>
          </w:p>
          <w:p w14:paraId="00118E56">
            <w:pPr>
              <w:spacing w:line="240" w:lineRule="atLeast"/>
              <w:rPr>
                <w:rFonts w:hint="default" w:ascii="Times New Roman" w:hAnsi="Times New Roman" w:cs="Times New Roman"/>
                <w:szCs w:val="21"/>
              </w:rPr>
            </w:pPr>
            <w:r>
              <w:rPr>
                <w:rFonts w:hint="default" w:ascii="Times New Roman" w:hAnsi="Times New Roman" w:cs="Times New Roman"/>
                <w:szCs w:val="21"/>
              </w:rPr>
              <w:t>6.要设立应急救援点，配备必要的急救设施，备用急救药品。</w:t>
            </w:r>
          </w:p>
        </w:tc>
      </w:tr>
      <w:tr w14:paraId="5F6C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jc w:val="center"/>
        </w:trPr>
        <w:tc>
          <w:tcPr>
            <w:tcW w:w="1090" w:type="dxa"/>
            <w:vAlign w:val="center"/>
          </w:tcPr>
          <w:p w14:paraId="2FF34C2F">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高处坠落</w:t>
            </w:r>
          </w:p>
        </w:tc>
        <w:tc>
          <w:tcPr>
            <w:tcW w:w="1052" w:type="dxa"/>
            <w:vAlign w:val="center"/>
          </w:tcPr>
          <w:p w14:paraId="089EACFE">
            <w:pPr>
              <w:spacing w:line="240" w:lineRule="atLeast"/>
              <w:rPr>
                <w:rFonts w:hint="default" w:ascii="Times New Roman" w:hAnsi="Times New Roman" w:cs="Times New Roman"/>
                <w:szCs w:val="21"/>
              </w:rPr>
            </w:pPr>
            <w:r>
              <w:rPr>
                <w:rFonts w:hint="default" w:ascii="Times New Roman" w:hAnsi="Times New Roman" w:cs="Times New Roman"/>
                <w:szCs w:val="21"/>
              </w:rPr>
              <w:t>未防护、防护不好或作业不当而发生人或物的坠落</w:t>
            </w:r>
          </w:p>
        </w:tc>
        <w:tc>
          <w:tcPr>
            <w:tcW w:w="2105" w:type="dxa"/>
            <w:vAlign w:val="center"/>
          </w:tcPr>
          <w:p w14:paraId="01E9F90C">
            <w:pPr>
              <w:adjustRightInd w:val="0"/>
              <w:snapToGrid w:val="0"/>
              <w:rPr>
                <w:rFonts w:hint="default" w:ascii="Times New Roman" w:hAnsi="Times New Roman" w:cs="Times New Roman"/>
              </w:rPr>
            </w:pPr>
            <w:r>
              <w:rPr>
                <w:rFonts w:hint="default" w:ascii="Times New Roman" w:hAnsi="Times New Roman" w:cs="Times New Roman"/>
                <w:kern w:val="1"/>
                <w:szCs w:val="22"/>
                <w:lang w:bidi="ar"/>
              </w:rPr>
              <w:t>1.作业场所防护装置缺乏或存在缺陷，如栏杆防护不稳固易移动等；</w:t>
            </w:r>
          </w:p>
          <w:p w14:paraId="49346543">
            <w:pPr>
              <w:adjustRightInd w:val="0"/>
              <w:snapToGrid w:val="0"/>
              <w:rPr>
                <w:rFonts w:hint="default" w:ascii="Times New Roman" w:hAnsi="Times New Roman" w:cs="Times New Roman"/>
              </w:rPr>
            </w:pPr>
            <w:r>
              <w:rPr>
                <w:rFonts w:hint="default" w:ascii="Times New Roman" w:hAnsi="Times New Roman" w:cs="Times New Roman"/>
                <w:kern w:val="1"/>
                <w:szCs w:val="22"/>
                <w:lang w:bidi="ar"/>
              </w:rPr>
              <w:t>2.作业人员个体防护用品缺乏或存在缺陷，如未戴安全帽、系安全带等；</w:t>
            </w:r>
          </w:p>
          <w:p w14:paraId="21D55719">
            <w:pPr>
              <w:adjustRightInd w:val="0"/>
              <w:snapToGrid w:val="0"/>
              <w:ind w:firstLine="198"/>
              <w:rPr>
                <w:rFonts w:hint="default" w:ascii="Times New Roman" w:hAnsi="Times New Roman" w:cs="Times New Roman"/>
              </w:rPr>
            </w:pPr>
            <w:r>
              <w:rPr>
                <w:rFonts w:hint="default" w:ascii="Times New Roman" w:hAnsi="Times New Roman" w:cs="Times New Roman"/>
                <w:spacing w:val="-6"/>
                <w:kern w:val="1"/>
                <w:szCs w:val="21"/>
                <w:lang w:bidi="ar"/>
              </w:rPr>
              <w:t>3.</w:t>
            </w:r>
            <w:r>
              <w:rPr>
                <w:rFonts w:hint="default" w:ascii="Times New Roman" w:hAnsi="Times New Roman" w:cs="Times New Roman"/>
                <w:kern w:val="1"/>
                <w:szCs w:val="22"/>
                <w:lang w:bidi="ar"/>
              </w:rPr>
              <w:t>违章作业、违章指挥、作业人员操作失误或注意力不集中；</w:t>
            </w:r>
          </w:p>
          <w:p w14:paraId="135401B7">
            <w:pPr>
              <w:widowControl/>
              <w:jc w:val="left"/>
              <w:rPr>
                <w:rFonts w:hint="default" w:ascii="Times New Roman" w:hAnsi="Times New Roman" w:cs="Times New Roman"/>
                <w:szCs w:val="21"/>
              </w:rPr>
            </w:pPr>
            <w:r>
              <w:rPr>
                <w:rFonts w:hint="default" w:ascii="Times New Roman" w:hAnsi="Times New Roman" w:cs="Times New Roman"/>
                <w:kern w:val="1"/>
                <w:szCs w:val="22"/>
                <w:lang w:bidi="ar"/>
              </w:rPr>
              <w:t>4.环境因素，如夜间作业等环境也是产生高处坠落的原因所在。</w:t>
            </w:r>
          </w:p>
        </w:tc>
        <w:tc>
          <w:tcPr>
            <w:tcW w:w="1263" w:type="dxa"/>
            <w:vAlign w:val="center"/>
          </w:tcPr>
          <w:p w14:paraId="06EB07F7">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人员摔伤</w:t>
            </w:r>
          </w:p>
        </w:tc>
        <w:tc>
          <w:tcPr>
            <w:tcW w:w="2569" w:type="dxa"/>
            <w:vAlign w:val="center"/>
          </w:tcPr>
          <w:p w14:paraId="784AF798">
            <w:pPr>
              <w:spacing w:line="240" w:lineRule="atLeast"/>
              <w:rPr>
                <w:rFonts w:hint="default" w:ascii="Times New Roman" w:hAnsi="Times New Roman" w:cs="Times New Roman"/>
                <w:szCs w:val="21"/>
              </w:rPr>
            </w:pPr>
            <w:r>
              <w:rPr>
                <w:rFonts w:hint="default" w:ascii="Times New Roman" w:hAnsi="Times New Roman" w:cs="Times New Roman"/>
                <w:szCs w:val="21"/>
              </w:rPr>
              <w:t>1.人员防护措施缺失；</w:t>
            </w:r>
          </w:p>
          <w:p w14:paraId="6CBF0EBB">
            <w:pPr>
              <w:spacing w:line="240" w:lineRule="atLeast"/>
              <w:rPr>
                <w:rFonts w:hint="default" w:ascii="Times New Roman" w:hAnsi="Times New Roman" w:cs="Times New Roman"/>
                <w:szCs w:val="21"/>
              </w:rPr>
            </w:pPr>
            <w:r>
              <w:rPr>
                <w:rFonts w:hint="default" w:ascii="Times New Roman" w:hAnsi="Times New Roman" w:cs="Times New Roman"/>
                <w:szCs w:val="21"/>
              </w:rPr>
              <w:t>2.违章作业；</w:t>
            </w:r>
          </w:p>
        </w:tc>
        <w:tc>
          <w:tcPr>
            <w:tcW w:w="728" w:type="dxa"/>
            <w:vAlign w:val="center"/>
          </w:tcPr>
          <w:p w14:paraId="764C25B0">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人员伤害</w:t>
            </w:r>
          </w:p>
        </w:tc>
        <w:tc>
          <w:tcPr>
            <w:tcW w:w="742" w:type="dxa"/>
            <w:vAlign w:val="center"/>
          </w:tcPr>
          <w:p w14:paraId="37D48C84">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Ⅱ</w:t>
            </w:r>
          </w:p>
        </w:tc>
        <w:tc>
          <w:tcPr>
            <w:tcW w:w="4953" w:type="dxa"/>
            <w:vAlign w:val="center"/>
          </w:tcPr>
          <w:p w14:paraId="462AC7B7">
            <w:pPr>
              <w:pStyle w:val="12"/>
              <w:keepLines/>
              <w:adjustRightInd w:val="0"/>
              <w:snapToGrid w:val="0"/>
              <w:spacing w:before="0" w:beforeAutospacing="0" w:after="0" w:afterAutospacing="0"/>
              <w:jc w:val="both"/>
              <w:rPr>
                <w:rFonts w:hint="default" w:ascii="Times New Roman" w:hAnsi="Times New Roman" w:cs="Times New Roman"/>
              </w:rPr>
            </w:pPr>
            <w:r>
              <w:rPr>
                <w:rFonts w:hint="default" w:ascii="Times New Roman" w:hAnsi="Times New Roman" w:cs="Times New Roman"/>
                <w:kern w:val="1"/>
                <w:sz w:val="21"/>
                <w:szCs w:val="21"/>
                <w:lang w:bidi="ar"/>
              </w:rPr>
              <w:t>1.高处的作业场所有孔洞要封堵或加盖，临边设置合格的护栏；</w:t>
            </w:r>
          </w:p>
          <w:p w14:paraId="165C6C33">
            <w:pPr>
              <w:pStyle w:val="12"/>
              <w:keepLines/>
              <w:adjustRightInd w:val="0"/>
              <w:snapToGrid w:val="0"/>
              <w:spacing w:before="0" w:beforeAutospacing="0" w:after="0" w:afterAutospacing="0"/>
              <w:jc w:val="both"/>
              <w:rPr>
                <w:rFonts w:hint="default" w:ascii="Times New Roman" w:hAnsi="Times New Roman" w:cs="Times New Roman"/>
              </w:rPr>
            </w:pPr>
            <w:r>
              <w:rPr>
                <w:rFonts w:hint="default" w:ascii="Times New Roman" w:hAnsi="Times New Roman" w:cs="Times New Roman"/>
                <w:kern w:val="1"/>
                <w:sz w:val="21"/>
                <w:szCs w:val="21"/>
                <w:lang w:bidi="ar"/>
              </w:rPr>
              <w:t>2.钢梯要符合要求；</w:t>
            </w:r>
          </w:p>
          <w:p w14:paraId="5EFD3A98">
            <w:pPr>
              <w:pStyle w:val="12"/>
              <w:keepLines/>
              <w:adjustRightInd w:val="0"/>
              <w:snapToGrid w:val="0"/>
              <w:spacing w:before="0" w:beforeAutospacing="0" w:after="0" w:afterAutospacing="0"/>
              <w:jc w:val="both"/>
              <w:rPr>
                <w:rFonts w:hint="default" w:ascii="Times New Roman" w:hAnsi="Times New Roman" w:cs="Times New Roman"/>
              </w:rPr>
            </w:pPr>
            <w:r>
              <w:rPr>
                <w:rFonts w:hint="default" w:ascii="Times New Roman" w:hAnsi="Times New Roman" w:cs="Times New Roman"/>
                <w:kern w:val="1"/>
                <w:sz w:val="21"/>
                <w:szCs w:val="21"/>
                <w:lang w:bidi="ar"/>
              </w:rPr>
              <w:t>3.要在相应地点设立警示标志；</w:t>
            </w:r>
          </w:p>
          <w:p w14:paraId="538CB3DB">
            <w:pPr>
              <w:widowControl/>
              <w:jc w:val="left"/>
              <w:rPr>
                <w:rFonts w:hint="default" w:ascii="Times New Roman" w:hAnsi="Times New Roman" w:cs="Times New Roman"/>
              </w:rPr>
            </w:pPr>
            <w:r>
              <w:rPr>
                <w:rFonts w:hint="default" w:ascii="Times New Roman" w:hAnsi="Times New Roman" w:cs="Times New Roman"/>
                <w:spacing w:val="-8"/>
                <w:kern w:val="1"/>
                <w:lang w:bidi="ar"/>
              </w:rPr>
              <w:t>4.严格按作业规程作业</w:t>
            </w:r>
            <w:r>
              <w:rPr>
                <w:rFonts w:hint="default" w:ascii="Times New Roman" w:hAnsi="Times New Roman" w:cs="Times New Roman"/>
                <w:kern w:val="1"/>
                <w:szCs w:val="22"/>
                <w:lang w:bidi="ar"/>
              </w:rPr>
              <w:t>。</w:t>
            </w:r>
          </w:p>
          <w:p w14:paraId="14FF4813">
            <w:pPr>
              <w:spacing w:line="240" w:lineRule="atLeast"/>
              <w:rPr>
                <w:rFonts w:hint="default" w:ascii="Times New Roman" w:hAnsi="Times New Roman" w:cs="Times New Roman"/>
                <w:szCs w:val="21"/>
              </w:rPr>
            </w:pPr>
          </w:p>
        </w:tc>
      </w:tr>
      <w:tr w14:paraId="40EA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0" w:type="dxa"/>
            <w:vAlign w:val="center"/>
          </w:tcPr>
          <w:p w14:paraId="67C19CA6">
            <w:pPr>
              <w:spacing w:line="240" w:lineRule="atLeast"/>
              <w:jc w:val="center"/>
              <w:rPr>
                <w:rFonts w:hint="default" w:ascii="Times New Roman" w:hAnsi="Times New Roman" w:cs="Times New Roman"/>
                <w:szCs w:val="21"/>
              </w:rPr>
            </w:pPr>
            <w:r>
              <w:rPr>
                <w:rFonts w:hint="eastAsia" w:cs="Times New Roman"/>
                <w:szCs w:val="21"/>
                <w:lang w:val="en-US" w:eastAsia="zh-CN"/>
              </w:rPr>
              <w:t>厂（场）内</w:t>
            </w:r>
            <w:r>
              <w:rPr>
                <w:rFonts w:hint="default" w:ascii="Times New Roman" w:hAnsi="Times New Roman" w:cs="Times New Roman"/>
                <w:szCs w:val="21"/>
              </w:rPr>
              <w:t>车辆</w:t>
            </w:r>
          </w:p>
          <w:p w14:paraId="20E19B74">
            <w:pPr>
              <w:spacing w:line="240" w:lineRule="atLeast"/>
              <w:jc w:val="center"/>
              <w:rPr>
                <w:rFonts w:hint="default" w:ascii="Times New Roman" w:hAnsi="Times New Roman" w:cs="Times New Roman"/>
                <w:szCs w:val="21"/>
              </w:rPr>
            </w:pPr>
            <w:r>
              <w:rPr>
                <w:rFonts w:hint="eastAsia" w:cs="Times New Roman"/>
                <w:szCs w:val="21"/>
                <w:lang w:val="en-US" w:eastAsia="zh-CN"/>
              </w:rPr>
              <w:t>致</w:t>
            </w:r>
            <w:r>
              <w:rPr>
                <w:rFonts w:hint="default" w:ascii="Times New Roman" w:hAnsi="Times New Roman" w:cs="Times New Roman"/>
                <w:szCs w:val="21"/>
              </w:rPr>
              <w:t>害</w:t>
            </w:r>
          </w:p>
        </w:tc>
        <w:tc>
          <w:tcPr>
            <w:tcW w:w="1052" w:type="dxa"/>
            <w:vAlign w:val="center"/>
          </w:tcPr>
          <w:p w14:paraId="187370C3">
            <w:pPr>
              <w:spacing w:line="240" w:lineRule="atLeast"/>
              <w:rPr>
                <w:rFonts w:hint="default" w:ascii="Times New Roman" w:hAnsi="Times New Roman" w:cs="Times New Roman"/>
                <w:szCs w:val="21"/>
              </w:rPr>
            </w:pPr>
            <w:r>
              <w:rPr>
                <w:rFonts w:hint="default" w:ascii="Times New Roman" w:hAnsi="Times New Roman" w:cs="Times New Roman"/>
                <w:szCs w:val="21"/>
              </w:rPr>
              <w:t>油品运输作业</w:t>
            </w:r>
          </w:p>
          <w:p w14:paraId="05FF41C9">
            <w:pPr>
              <w:spacing w:line="240" w:lineRule="atLeast"/>
              <w:rPr>
                <w:rFonts w:hint="default" w:ascii="Times New Roman" w:hAnsi="Times New Roman" w:cs="Times New Roman"/>
                <w:spacing w:val="-20"/>
                <w:szCs w:val="21"/>
              </w:rPr>
            </w:pPr>
            <w:r>
              <w:rPr>
                <w:rFonts w:hint="default" w:ascii="Times New Roman" w:hAnsi="Times New Roman" w:cs="Times New Roman"/>
                <w:szCs w:val="21"/>
              </w:rPr>
              <w:t>来站加油车辆</w:t>
            </w:r>
          </w:p>
        </w:tc>
        <w:tc>
          <w:tcPr>
            <w:tcW w:w="2105" w:type="dxa"/>
            <w:vAlign w:val="center"/>
          </w:tcPr>
          <w:p w14:paraId="10B672A7">
            <w:pPr>
              <w:spacing w:line="240" w:lineRule="atLeast"/>
              <w:rPr>
                <w:rFonts w:hint="default" w:ascii="Times New Roman" w:hAnsi="Times New Roman" w:cs="Times New Roman"/>
                <w:szCs w:val="21"/>
              </w:rPr>
            </w:pPr>
            <w:r>
              <w:rPr>
                <w:rFonts w:hint="default" w:ascii="Times New Roman" w:hAnsi="Times New Roman" w:cs="Times New Roman"/>
                <w:szCs w:val="21"/>
              </w:rPr>
              <w:t>1.车辆有故障;</w:t>
            </w:r>
          </w:p>
          <w:p w14:paraId="1D761B23">
            <w:pPr>
              <w:spacing w:line="240" w:lineRule="atLeast"/>
              <w:rPr>
                <w:rFonts w:hint="default" w:ascii="Times New Roman" w:hAnsi="Times New Roman" w:cs="Times New Roman"/>
                <w:szCs w:val="21"/>
              </w:rPr>
            </w:pPr>
            <w:r>
              <w:rPr>
                <w:rFonts w:hint="default" w:ascii="Times New Roman" w:hAnsi="Times New Roman" w:cs="Times New Roman"/>
                <w:szCs w:val="21"/>
              </w:rPr>
              <w:t>2.车速太快;</w:t>
            </w:r>
          </w:p>
          <w:p w14:paraId="669C9AB1">
            <w:pPr>
              <w:spacing w:line="240" w:lineRule="atLeast"/>
              <w:rPr>
                <w:rFonts w:hint="default" w:ascii="Times New Roman" w:hAnsi="Times New Roman" w:cs="Times New Roman"/>
                <w:szCs w:val="21"/>
              </w:rPr>
            </w:pPr>
            <w:r>
              <w:rPr>
                <w:rFonts w:hint="default" w:ascii="Times New Roman" w:hAnsi="Times New Roman" w:cs="Times New Roman"/>
                <w:szCs w:val="21"/>
              </w:rPr>
              <w:t>3.道路管线、管架等在马路边无防止车辆撞击设施;</w:t>
            </w:r>
          </w:p>
          <w:p w14:paraId="5FFDF48C">
            <w:pPr>
              <w:spacing w:line="240" w:lineRule="atLeast"/>
              <w:rPr>
                <w:rFonts w:hint="default" w:ascii="Times New Roman" w:hAnsi="Times New Roman" w:cs="Times New Roman"/>
                <w:szCs w:val="21"/>
              </w:rPr>
            </w:pPr>
            <w:r>
              <w:rPr>
                <w:rFonts w:hint="default" w:ascii="Times New Roman" w:hAnsi="Times New Roman" w:cs="Times New Roman"/>
                <w:szCs w:val="21"/>
              </w:rPr>
              <w:t>4.路面不太好；</w:t>
            </w:r>
          </w:p>
        </w:tc>
        <w:tc>
          <w:tcPr>
            <w:tcW w:w="1263" w:type="dxa"/>
            <w:vAlign w:val="center"/>
          </w:tcPr>
          <w:p w14:paraId="32F65E39">
            <w:pPr>
              <w:spacing w:line="240" w:lineRule="atLeast"/>
              <w:rPr>
                <w:rFonts w:hint="default" w:ascii="Times New Roman" w:hAnsi="Times New Roman" w:cs="Times New Roman"/>
                <w:szCs w:val="21"/>
              </w:rPr>
            </w:pPr>
            <w:r>
              <w:rPr>
                <w:rFonts w:hint="default" w:ascii="Times New Roman" w:hAnsi="Times New Roman" w:cs="Times New Roman"/>
                <w:szCs w:val="21"/>
              </w:rPr>
              <w:t>车辆撞击人体、设备等</w:t>
            </w:r>
          </w:p>
        </w:tc>
        <w:tc>
          <w:tcPr>
            <w:tcW w:w="2569" w:type="dxa"/>
            <w:vAlign w:val="center"/>
          </w:tcPr>
          <w:p w14:paraId="78319E03">
            <w:pPr>
              <w:spacing w:line="240" w:lineRule="atLeast"/>
              <w:rPr>
                <w:rFonts w:hint="default" w:ascii="Times New Roman" w:hAnsi="Times New Roman" w:cs="Times New Roman"/>
                <w:szCs w:val="21"/>
              </w:rPr>
            </w:pPr>
            <w:r>
              <w:rPr>
                <w:rFonts w:hint="default" w:ascii="Times New Roman" w:hAnsi="Times New Roman" w:cs="Times New Roman"/>
                <w:szCs w:val="21"/>
              </w:rPr>
              <w:t>1．驾驶员违章行驶；</w:t>
            </w:r>
          </w:p>
          <w:p w14:paraId="232F6BB1">
            <w:pPr>
              <w:spacing w:line="240" w:lineRule="atLeast"/>
              <w:rPr>
                <w:rFonts w:hint="default" w:ascii="Times New Roman" w:hAnsi="Times New Roman" w:cs="Times New Roman"/>
                <w:szCs w:val="21"/>
              </w:rPr>
            </w:pPr>
            <w:r>
              <w:rPr>
                <w:rFonts w:hint="default" w:ascii="Times New Roman" w:hAnsi="Times New Roman" w:cs="Times New Roman"/>
                <w:szCs w:val="21"/>
              </w:rPr>
              <w:t>2．驾驶员精力不集中（如抽烟、谈话等）；</w:t>
            </w:r>
          </w:p>
          <w:p w14:paraId="525BA263">
            <w:pPr>
              <w:spacing w:line="240" w:lineRule="atLeast"/>
              <w:rPr>
                <w:rFonts w:hint="default" w:ascii="Times New Roman" w:hAnsi="Times New Roman" w:cs="Times New Roman"/>
                <w:szCs w:val="21"/>
              </w:rPr>
            </w:pPr>
            <w:r>
              <w:rPr>
                <w:rFonts w:hint="default" w:ascii="Times New Roman" w:hAnsi="Times New Roman" w:cs="Times New Roman"/>
                <w:szCs w:val="21"/>
              </w:rPr>
              <w:t>3．酒后驾车；</w:t>
            </w:r>
          </w:p>
          <w:p w14:paraId="7C01C7B6">
            <w:pPr>
              <w:spacing w:line="240" w:lineRule="atLeast"/>
              <w:rPr>
                <w:rFonts w:hint="default" w:ascii="Times New Roman" w:hAnsi="Times New Roman" w:cs="Times New Roman"/>
                <w:szCs w:val="21"/>
              </w:rPr>
            </w:pPr>
            <w:r>
              <w:rPr>
                <w:rFonts w:hint="default" w:ascii="Times New Roman" w:hAnsi="Times New Roman" w:cs="Times New Roman"/>
                <w:szCs w:val="21"/>
              </w:rPr>
              <w:t>4．疲劳驾驶；</w:t>
            </w:r>
          </w:p>
          <w:p w14:paraId="367BDBC9">
            <w:pPr>
              <w:spacing w:line="240" w:lineRule="atLeast"/>
              <w:rPr>
                <w:rFonts w:hint="default" w:ascii="Times New Roman" w:hAnsi="Times New Roman" w:cs="Times New Roman"/>
                <w:szCs w:val="21"/>
              </w:rPr>
            </w:pPr>
            <w:r>
              <w:rPr>
                <w:rFonts w:hint="default" w:ascii="Times New Roman" w:hAnsi="Times New Roman" w:cs="Times New Roman"/>
                <w:szCs w:val="21"/>
              </w:rPr>
              <w:t>5．驾驶员心境差，激情驾驶。</w:t>
            </w:r>
          </w:p>
        </w:tc>
        <w:tc>
          <w:tcPr>
            <w:tcW w:w="728" w:type="dxa"/>
            <w:vAlign w:val="center"/>
          </w:tcPr>
          <w:p w14:paraId="7B2F8C79">
            <w:pPr>
              <w:spacing w:line="240" w:lineRule="atLeast"/>
              <w:rPr>
                <w:rFonts w:hint="default" w:ascii="Times New Roman" w:hAnsi="Times New Roman" w:cs="Times New Roman"/>
                <w:szCs w:val="21"/>
              </w:rPr>
            </w:pPr>
            <w:r>
              <w:rPr>
                <w:rFonts w:hint="default" w:ascii="Times New Roman" w:hAnsi="Times New Roman" w:cs="Times New Roman"/>
                <w:szCs w:val="21"/>
              </w:rPr>
              <w:t>人员伤害、财产损失</w:t>
            </w:r>
          </w:p>
        </w:tc>
        <w:tc>
          <w:tcPr>
            <w:tcW w:w="742" w:type="dxa"/>
            <w:vAlign w:val="center"/>
          </w:tcPr>
          <w:p w14:paraId="44300AB2">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Ⅱ</w:t>
            </w:r>
          </w:p>
        </w:tc>
        <w:tc>
          <w:tcPr>
            <w:tcW w:w="4953" w:type="dxa"/>
            <w:vAlign w:val="center"/>
          </w:tcPr>
          <w:p w14:paraId="35D4C9AC">
            <w:pPr>
              <w:spacing w:line="240" w:lineRule="atLeast"/>
              <w:rPr>
                <w:rFonts w:hint="default" w:ascii="Times New Roman" w:hAnsi="Times New Roman" w:cs="Times New Roman"/>
                <w:szCs w:val="21"/>
              </w:rPr>
            </w:pPr>
            <w:r>
              <w:rPr>
                <w:rFonts w:hint="default" w:ascii="Times New Roman" w:hAnsi="Times New Roman" w:cs="Times New Roman"/>
                <w:szCs w:val="21"/>
              </w:rPr>
              <w:t>1．增设交通标志（包括限速、限高标志）；</w:t>
            </w:r>
          </w:p>
          <w:p w14:paraId="7C643B4B">
            <w:pPr>
              <w:spacing w:line="240" w:lineRule="atLeast"/>
              <w:rPr>
                <w:rFonts w:hint="default" w:ascii="Times New Roman" w:hAnsi="Times New Roman" w:cs="Times New Roman"/>
                <w:szCs w:val="21"/>
              </w:rPr>
            </w:pPr>
            <w:r>
              <w:rPr>
                <w:rFonts w:hint="default" w:ascii="Times New Roman" w:hAnsi="Times New Roman" w:cs="Times New Roman"/>
                <w:szCs w:val="21"/>
              </w:rPr>
              <w:t>2．保持路面状态良好；</w:t>
            </w:r>
          </w:p>
          <w:p w14:paraId="06133A5B">
            <w:pPr>
              <w:spacing w:line="240" w:lineRule="atLeast"/>
              <w:rPr>
                <w:rFonts w:hint="default" w:ascii="Times New Roman" w:hAnsi="Times New Roman" w:cs="Times New Roman"/>
                <w:szCs w:val="21"/>
              </w:rPr>
            </w:pPr>
            <w:r>
              <w:rPr>
                <w:rFonts w:hint="default" w:ascii="Times New Roman" w:hAnsi="Times New Roman" w:cs="Times New Roman"/>
                <w:szCs w:val="21"/>
              </w:rPr>
              <w:t>3．管线应埋地敷设并做钢管保护；</w:t>
            </w:r>
          </w:p>
          <w:p w14:paraId="31558B78">
            <w:pPr>
              <w:spacing w:line="240" w:lineRule="atLeast"/>
              <w:rPr>
                <w:rFonts w:hint="default" w:ascii="Times New Roman" w:hAnsi="Times New Roman" w:cs="Times New Roman"/>
                <w:szCs w:val="21"/>
              </w:rPr>
            </w:pPr>
            <w:r>
              <w:rPr>
                <w:rFonts w:hint="default" w:ascii="Times New Roman" w:hAnsi="Times New Roman" w:cs="Times New Roman"/>
                <w:szCs w:val="21"/>
              </w:rPr>
              <w:t>4．驾驶员遵守交通规则，不违章行驾；</w:t>
            </w:r>
          </w:p>
          <w:p w14:paraId="6918A6E6">
            <w:pPr>
              <w:spacing w:line="240" w:lineRule="atLeast"/>
              <w:rPr>
                <w:rFonts w:hint="default" w:ascii="Times New Roman" w:hAnsi="Times New Roman" w:cs="Times New Roman"/>
                <w:szCs w:val="21"/>
              </w:rPr>
            </w:pPr>
            <w:r>
              <w:rPr>
                <w:rFonts w:hint="default" w:ascii="Times New Roman" w:hAnsi="Times New Roman" w:cs="Times New Roman"/>
                <w:szCs w:val="21"/>
              </w:rPr>
              <w:t>5．车辆保证完好状态。</w:t>
            </w:r>
          </w:p>
        </w:tc>
      </w:tr>
      <w:tr w14:paraId="36D9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3" w:hRule="atLeast"/>
          <w:jc w:val="center"/>
        </w:trPr>
        <w:tc>
          <w:tcPr>
            <w:tcW w:w="1090" w:type="dxa"/>
            <w:vAlign w:val="center"/>
          </w:tcPr>
          <w:p w14:paraId="773BEB3E">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机械</w:t>
            </w:r>
            <w:r>
              <w:rPr>
                <w:rFonts w:hint="eastAsia" w:cs="Times New Roman"/>
                <w:szCs w:val="21"/>
                <w:lang w:val="en-US" w:eastAsia="zh-CN"/>
              </w:rPr>
              <w:t>致</w:t>
            </w:r>
            <w:r>
              <w:rPr>
                <w:rFonts w:hint="default" w:ascii="Times New Roman" w:hAnsi="Times New Roman" w:cs="Times New Roman"/>
                <w:szCs w:val="21"/>
              </w:rPr>
              <w:t>害</w:t>
            </w:r>
          </w:p>
        </w:tc>
        <w:tc>
          <w:tcPr>
            <w:tcW w:w="1052" w:type="dxa"/>
            <w:vAlign w:val="center"/>
          </w:tcPr>
          <w:p w14:paraId="621377B2">
            <w:pPr>
              <w:spacing w:line="240" w:lineRule="atLeast"/>
              <w:rPr>
                <w:rFonts w:hint="default" w:ascii="Times New Roman" w:hAnsi="Times New Roman" w:cs="Times New Roman"/>
                <w:szCs w:val="21"/>
              </w:rPr>
            </w:pPr>
            <w:r>
              <w:rPr>
                <w:rFonts w:hint="default" w:ascii="Times New Roman" w:hAnsi="Times New Roman" w:cs="Times New Roman"/>
                <w:szCs w:val="21"/>
              </w:rPr>
              <w:t>机械设备传动部位绞、碰、戳、砸伤人体</w:t>
            </w:r>
          </w:p>
        </w:tc>
        <w:tc>
          <w:tcPr>
            <w:tcW w:w="2105" w:type="dxa"/>
            <w:vAlign w:val="center"/>
          </w:tcPr>
          <w:p w14:paraId="3EBB4FFE">
            <w:pPr>
              <w:rPr>
                <w:rFonts w:hint="default" w:ascii="Times New Roman" w:hAnsi="Times New Roman" w:cs="Times New Roman"/>
                <w:szCs w:val="21"/>
              </w:rPr>
            </w:pPr>
            <w:r>
              <w:rPr>
                <w:rFonts w:hint="default" w:ascii="Times New Roman" w:hAnsi="Times New Roman" w:cs="Times New Roman"/>
                <w:szCs w:val="21"/>
              </w:rPr>
              <w:t>1、在生产检查、维修设备时不注意被碰、割、戳</w:t>
            </w:r>
          </w:p>
          <w:p w14:paraId="79741709">
            <w:pPr>
              <w:rPr>
                <w:rFonts w:hint="default" w:ascii="Times New Roman" w:hAnsi="Times New Roman" w:cs="Times New Roman"/>
                <w:szCs w:val="21"/>
              </w:rPr>
            </w:pPr>
            <w:r>
              <w:rPr>
                <w:rFonts w:hint="default" w:ascii="Times New Roman" w:hAnsi="Times New Roman" w:cs="Times New Roman"/>
                <w:szCs w:val="21"/>
              </w:rPr>
              <w:t>2、运转设备撞击人体、衣物绞入</w:t>
            </w:r>
          </w:p>
          <w:p w14:paraId="395D6916">
            <w:pPr>
              <w:spacing w:line="240" w:lineRule="atLeast"/>
              <w:rPr>
                <w:rFonts w:hint="default" w:ascii="Times New Roman" w:hAnsi="Times New Roman" w:cs="Times New Roman"/>
                <w:szCs w:val="21"/>
              </w:rPr>
            </w:pPr>
            <w:r>
              <w:rPr>
                <w:rFonts w:hint="default" w:ascii="Times New Roman" w:hAnsi="Times New Roman" w:cs="Times New Roman"/>
                <w:szCs w:val="21"/>
              </w:rPr>
              <w:t>3、检修设备时电源未切断，他人误启动设备等</w:t>
            </w:r>
          </w:p>
        </w:tc>
        <w:tc>
          <w:tcPr>
            <w:tcW w:w="1263" w:type="dxa"/>
            <w:vAlign w:val="center"/>
          </w:tcPr>
          <w:p w14:paraId="619722F0">
            <w:pPr>
              <w:spacing w:line="240" w:lineRule="atLeast"/>
              <w:rPr>
                <w:rFonts w:hint="default" w:ascii="Times New Roman" w:hAnsi="Times New Roman" w:cs="Times New Roman"/>
                <w:szCs w:val="21"/>
              </w:rPr>
            </w:pPr>
            <w:r>
              <w:rPr>
                <w:rFonts w:hint="default" w:ascii="Times New Roman" w:hAnsi="Times New Roman" w:cs="Times New Roman"/>
                <w:szCs w:val="21"/>
              </w:rPr>
              <w:t>人体、衣物卷入，或人体碰到转动、移动的物体</w:t>
            </w:r>
          </w:p>
        </w:tc>
        <w:tc>
          <w:tcPr>
            <w:tcW w:w="2569" w:type="dxa"/>
            <w:vAlign w:val="center"/>
          </w:tcPr>
          <w:p w14:paraId="3FEFE1E2">
            <w:pPr>
              <w:rPr>
                <w:rFonts w:hint="default" w:ascii="Times New Roman" w:hAnsi="Times New Roman" w:cs="Times New Roman"/>
                <w:szCs w:val="21"/>
              </w:rPr>
            </w:pPr>
            <w:r>
              <w:rPr>
                <w:rFonts w:hint="default" w:ascii="Times New Roman" w:hAnsi="Times New Roman" w:cs="Times New Roman"/>
                <w:szCs w:val="21"/>
              </w:rPr>
              <w:t>1、违章操作或检修</w:t>
            </w:r>
          </w:p>
          <w:p w14:paraId="22222DFD">
            <w:pPr>
              <w:rPr>
                <w:rFonts w:hint="default" w:ascii="Times New Roman" w:hAnsi="Times New Roman" w:cs="Times New Roman"/>
                <w:szCs w:val="21"/>
              </w:rPr>
            </w:pPr>
            <w:r>
              <w:rPr>
                <w:rFonts w:hint="default" w:ascii="Times New Roman" w:hAnsi="Times New Roman" w:cs="Times New Roman"/>
                <w:szCs w:val="21"/>
              </w:rPr>
              <w:t>2、无防护罩等防护设施</w:t>
            </w:r>
          </w:p>
          <w:p w14:paraId="512C3F47">
            <w:pPr>
              <w:rPr>
                <w:rFonts w:hint="default" w:ascii="Times New Roman" w:hAnsi="Times New Roman" w:cs="Times New Roman"/>
                <w:szCs w:val="21"/>
              </w:rPr>
            </w:pPr>
            <w:r>
              <w:rPr>
                <w:rFonts w:hint="default" w:ascii="Times New Roman" w:hAnsi="Times New Roman" w:cs="Times New Roman"/>
                <w:szCs w:val="21"/>
              </w:rPr>
              <w:t>3、工作时注意力不集中</w:t>
            </w:r>
          </w:p>
          <w:p w14:paraId="03A1011B">
            <w:pPr>
              <w:spacing w:line="240" w:lineRule="atLeast"/>
              <w:rPr>
                <w:rFonts w:hint="default" w:ascii="Times New Roman" w:hAnsi="Times New Roman" w:cs="Times New Roman"/>
                <w:szCs w:val="21"/>
              </w:rPr>
            </w:pPr>
            <w:r>
              <w:rPr>
                <w:rFonts w:hint="default" w:ascii="Times New Roman" w:hAnsi="Times New Roman" w:cs="Times New Roman"/>
                <w:szCs w:val="21"/>
              </w:rPr>
              <w:t>4、劳动护具未正确穿戴</w:t>
            </w:r>
          </w:p>
        </w:tc>
        <w:tc>
          <w:tcPr>
            <w:tcW w:w="728" w:type="dxa"/>
            <w:vAlign w:val="center"/>
          </w:tcPr>
          <w:p w14:paraId="0CA72943">
            <w:pPr>
              <w:spacing w:line="240" w:lineRule="atLeast"/>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人员伤害</w:t>
            </w:r>
          </w:p>
        </w:tc>
        <w:tc>
          <w:tcPr>
            <w:tcW w:w="742" w:type="dxa"/>
            <w:vAlign w:val="center"/>
          </w:tcPr>
          <w:p w14:paraId="0FE85EE7">
            <w:pPr>
              <w:spacing w:line="240" w:lineRule="atLeast"/>
              <w:jc w:val="center"/>
              <w:rPr>
                <w:rFonts w:hint="default" w:ascii="Times New Roman" w:hAnsi="Times New Roman" w:cs="Times New Roman"/>
                <w:szCs w:val="21"/>
              </w:rPr>
            </w:pPr>
            <w:r>
              <w:rPr>
                <w:rFonts w:hint="default" w:ascii="Times New Roman" w:hAnsi="Times New Roman" w:cs="Times New Roman"/>
                <w:szCs w:val="21"/>
              </w:rPr>
              <w:t>Ⅱ</w:t>
            </w:r>
          </w:p>
        </w:tc>
        <w:tc>
          <w:tcPr>
            <w:tcW w:w="4953" w:type="dxa"/>
            <w:vAlign w:val="center"/>
          </w:tcPr>
          <w:p w14:paraId="08FA48B6">
            <w:pPr>
              <w:rPr>
                <w:rFonts w:hint="default" w:ascii="Times New Roman" w:hAnsi="Times New Roman" w:cs="Times New Roman"/>
                <w:szCs w:val="21"/>
              </w:rPr>
            </w:pPr>
            <w:r>
              <w:rPr>
                <w:rFonts w:hint="default" w:ascii="Times New Roman" w:hAnsi="Times New Roman" w:cs="Times New Roman"/>
                <w:szCs w:val="21"/>
              </w:rPr>
              <w:t>1、严格遵守有关操作规程</w:t>
            </w:r>
          </w:p>
          <w:p w14:paraId="1F1612CF">
            <w:pPr>
              <w:rPr>
                <w:rFonts w:hint="default" w:ascii="Times New Roman" w:hAnsi="Times New Roman" w:cs="Times New Roman"/>
                <w:szCs w:val="21"/>
              </w:rPr>
            </w:pPr>
            <w:r>
              <w:rPr>
                <w:rFonts w:hint="default" w:ascii="Times New Roman" w:hAnsi="Times New Roman" w:cs="Times New Roman"/>
                <w:szCs w:val="21"/>
              </w:rPr>
              <w:t>2、正确穿戴劳动保护用品</w:t>
            </w:r>
          </w:p>
          <w:p w14:paraId="098131FA">
            <w:pPr>
              <w:rPr>
                <w:rFonts w:hint="default" w:ascii="Times New Roman" w:hAnsi="Times New Roman" w:cs="Times New Roman"/>
                <w:szCs w:val="21"/>
              </w:rPr>
            </w:pPr>
            <w:r>
              <w:rPr>
                <w:rFonts w:hint="default" w:ascii="Times New Roman" w:hAnsi="Times New Roman" w:cs="Times New Roman"/>
                <w:szCs w:val="21"/>
              </w:rPr>
              <w:t>3、转动部位应有防护罩</w:t>
            </w:r>
          </w:p>
          <w:p w14:paraId="609EF7EE">
            <w:pPr>
              <w:rPr>
                <w:rFonts w:hint="default" w:ascii="Times New Roman" w:hAnsi="Times New Roman" w:cs="Times New Roman"/>
                <w:szCs w:val="21"/>
              </w:rPr>
            </w:pPr>
            <w:r>
              <w:rPr>
                <w:rFonts w:hint="default" w:ascii="Times New Roman" w:hAnsi="Times New Roman" w:cs="Times New Roman"/>
                <w:szCs w:val="21"/>
              </w:rPr>
              <w:t>4、工作时注意力要集中，注意观察</w:t>
            </w:r>
          </w:p>
          <w:p w14:paraId="4D31DB6A">
            <w:pPr>
              <w:rPr>
                <w:rFonts w:hint="default" w:ascii="Times New Roman" w:hAnsi="Times New Roman" w:cs="Times New Roman"/>
                <w:szCs w:val="21"/>
              </w:rPr>
            </w:pPr>
            <w:r>
              <w:rPr>
                <w:rFonts w:hint="default" w:ascii="Times New Roman" w:hAnsi="Times New Roman" w:cs="Times New Roman"/>
                <w:szCs w:val="21"/>
              </w:rPr>
              <w:t>5、设备定期检修、保持完好</w:t>
            </w:r>
          </w:p>
          <w:p w14:paraId="0C07CDAA">
            <w:pPr>
              <w:spacing w:line="240" w:lineRule="atLeast"/>
              <w:rPr>
                <w:rFonts w:hint="default" w:ascii="Times New Roman" w:hAnsi="Times New Roman" w:cs="Times New Roman"/>
                <w:szCs w:val="21"/>
              </w:rPr>
            </w:pPr>
            <w:r>
              <w:rPr>
                <w:rFonts w:hint="default" w:ascii="Times New Roman" w:hAnsi="Times New Roman" w:cs="Times New Roman"/>
                <w:szCs w:val="21"/>
              </w:rPr>
              <w:t>6、检修时要遵守检修规程采取安全措施</w:t>
            </w:r>
          </w:p>
        </w:tc>
      </w:tr>
      <w:tr w14:paraId="375F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0" w:type="dxa"/>
            <w:vAlign w:val="center"/>
          </w:tcPr>
          <w:p w14:paraId="7D2016CC">
            <w:pPr>
              <w:jc w:val="center"/>
              <w:rPr>
                <w:rFonts w:hint="default" w:ascii="Times New Roman" w:hAnsi="Times New Roman" w:cs="Times New Roman"/>
                <w:szCs w:val="21"/>
              </w:rPr>
            </w:pPr>
            <w:r>
              <w:rPr>
                <w:rFonts w:hint="default" w:ascii="Times New Roman" w:hAnsi="Times New Roman" w:cs="Times New Roman"/>
                <w:szCs w:val="21"/>
              </w:rPr>
              <w:t>物体打击</w:t>
            </w:r>
          </w:p>
        </w:tc>
        <w:tc>
          <w:tcPr>
            <w:tcW w:w="1052" w:type="dxa"/>
            <w:vAlign w:val="center"/>
          </w:tcPr>
          <w:p w14:paraId="3AE36E84">
            <w:pPr>
              <w:rPr>
                <w:rFonts w:hint="default" w:ascii="Times New Roman" w:hAnsi="Times New Roman" w:cs="Times New Roman"/>
                <w:szCs w:val="21"/>
              </w:rPr>
            </w:pPr>
            <w:r>
              <w:rPr>
                <w:rFonts w:hint="default" w:ascii="Times New Roman" w:hAnsi="Times New Roman" w:cs="Times New Roman"/>
                <w:szCs w:val="21"/>
              </w:rPr>
              <w:t>物体坠落；物体弹击；坍塌撞击；挤压等</w:t>
            </w:r>
          </w:p>
        </w:tc>
        <w:tc>
          <w:tcPr>
            <w:tcW w:w="2105" w:type="dxa"/>
            <w:vAlign w:val="center"/>
          </w:tcPr>
          <w:p w14:paraId="073D5B62">
            <w:pPr>
              <w:adjustRightInd w:val="0"/>
              <w:snapToGrid w:val="0"/>
              <w:rPr>
                <w:rFonts w:hint="default" w:ascii="Times New Roman" w:hAnsi="Times New Roman" w:cs="Times New Roman"/>
                <w:szCs w:val="21"/>
              </w:rPr>
            </w:pPr>
            <w:r>
              <w:rPr>
                <w:rFonts w:hint="default" w:ascii="Times New Roman" w:hAnsi="Times New Roman" w:cs="Times New Roman"/>
                <w:szCs w:val="21"/>
              </w:rPr>
              <w:t>1、在高处有浮物或设施不牢，即将倒塌的地方行进或停留；</w:t>
            </w:r>
          </w:p>
          <w:p w14:paraId="5773C8B3">
            <w:pPr>
              <w:adjustRightInd w:val="0"/>
              <w:snapToGrid w:val="0"/>
              <w:rPr>
                <w:rFonts w:hint="default" w:ascii="Times New Roman" w:hAnsi="Times New Roman" w:cs="Times New Roman"/>
                <w:szCs w:val="21"/>
              </w:rPr>
            </w:pPr>
            <w:r>
              <w:rPr>
                <w:rFonts w:hint="default" w:ascii="Times New Roman" w:hAnsi="Times New Roman" w:cs="Times New Roman"/>
                <w:szCs w:val="21"/>
              </w:rPr>
              <w:t>2、作业人员在堆放不合要求的区域内工作</w:t>
            </w:r>
          </w:p>
          <w:p w14:paraId="05325B89">
            <w:pPr>
              <w:rPr>
                <w:rFonts w:hint="default" w:ascii="Times New Roman" w:hAnsi="Times New Roman" w:cs="Times New Roman"/>
                <w:szCs w:val="21"/>
              </w:rPr>
            </w:pPr>
            <w:r>
              <w:rPr>
                <w:rFonts w:hint="default" w:ascii="Times New Roman" w:hAnsi="Times New Roman" w:cs="Times New Roman"/>
                <w:szCs w:val="21"/>
              </w:rPr>
              <w:t>3、燃爆事故波及</w:t>
            </w:r>
          </w:p>
        </w:tc>
        <w:tc>
          <w:tcPr>
            <w:tcW w:w="1263" w:type="dxa"/>
            <w:vAlign w:val="center"/>
          </w:tcPr>
          <w:p w14:paraId="68C24624">
            <w:pPr>
              <w:rPr>
                <w:rFonts w:hint="default" w:ascii="Times New Roman" w:hAnsi="Times New Roman" w:cs="Times New Roman"/>
                <w:szCs w:val="21"/>
              </w:rPr>
            </w:pPr>
            <w:r>
              <w:rPr>
                <w:rFonts w:hint="default" w:ascii="Times New Roman" w:hAnsi="Times New Roman" w:cs="Times New Roman"/>
                <w:szCs w:val="21"/>
              </w:rPr>
              <w:t>坠落、飞出物体击中人体</w:t>
            </w:r>
          </w:p>
        </w:tc>
        <w:tc>
          <w:tcPr>
            <w:tcW w:w="2569" w:type="dxa"/>
            <w:vAlign w:val="center"/>
          </w:tcPr>
          <w:p w14:paraId="7B6443EB">
            <w:pPr>
              <w:adjustRightInd w:val="0"/>
              <w:snapToGrid w:val="0"/>
              <w:rPr>
                <w:rFonts w:hint="default" w:ascii="Times New Roman" w:hAnsi="Times New Roman" w:cs="Times New Roman"/>
                <w:szCs w:val="21"/>
              </w:rPr>
            </w:pPr>
            <w:r>
              <w:rPr>
                <w:rFonts w:hint="default" w:ascii="Times New Roman" w:hAnsi="Times New Roman" w:cs="Times New Roman"/>
                <w:szCs w:val="21"/>
              </w:rPr>
              <w:t>1、高处有未被固定的物体被碰撞或风吹等坠落</w:t>
            </w:r>
          </w:p>
          <w:p w14:paraId="42760F99">
            <w:pPr>
              <w:adjustRightInd w:val="0"/>
              <w:snapToGrid w:val="0"/>
              <w:rPr>
                <w:rFonts w:hint="default" w:ascii="Times New Roman" w:hAnsi="Times New Roman" w:cs="Times New Roman"/>
                <w:szCs w:val="21"/>
              </w:rPr>
            </w:pPr>
            <w:r>
              <w:rPr>
                <w:rFonts w:hint="default" w:ascii="Times New Roman" w:hAnsi="Times New Roman" w:cs="Times New Roman"/>
                <w:szCs w:val="21"/>
              </w:rPr>
              <w:t>2、工具、器具等上下抛掷</w:t>
            </w:r>
          </w:p>
          <w:p w14:paraId="13454663">
            <w:pPr>
              <w:adjustRightInd w:val="0"/>
              <w:snapToGrid w:val="0"/>
              <w:rPr>
                <w:rFonts w:hint="default" w:ascii="Times New Roman" w:hAnsi="Times New Roman" w:cs="Times New Roman"/>
                <w:szCs w:val="21"/>
              </w:rPr>
            </w:pPr>
            <w:r>
              <w:rPr>
                <w:rFonts w:hint="default" w:ascii="Times New Roman" w:hAnsi="Times New Roman" w:cs="Times New Roman"/>
                <w:szCs w:val="21"/>
              </w:rPr>
              <w:t>3、设施、堆垛倒塌</w:t>
            </w:r>
          </w:p>
          <w:p w14:paraId="2DA60D3C">
            <w:pPr>
              <w:spacing w:line="320" w:lineRule="exact"/>
              <w:rPr>
                <w:rFonts w:hint="default" w:ascii="Times New Roman" w:hAnsi="Times New Roman" w:cs="Times New Roman"/>
                <w:szCs w:val="21"/>
              </w:rPr>
            </w:pPr>
            <w:r>
              <w:rPr>
                <w:rFonts w:hint="default" w:ascii="Times New Roman" w:hAnsi="Times New Roman" w:cs="Times New Roman"/>
                <w:szCs w:val="21"/>
              </w:rPr>
              <w:t>4、违章作业、违章指挥、违反劳动纪律等</w:t>
            </w:r>
          </w:p>
        </w:tc>
        <w:tc>
          <w:tcPr>
            <w:tcW w:w="728" w:type="dxa"/>
            <w:vAlign w:val="center"/>
          </w:tcPr>
          <w:p w14:paraId="05E0225A">
            <w:pPr>
              <w:rPr>
                <w:rFonts w:hint="default" w:ascii="Times New Roman" w:hAnsi="Times New Roman" w:cs="Times New Roman"/>
                <w:szCs w:val="21"/>
              </w:rPr>
            </w:pPr>
            <w:r>
              <w:rPr>
                <w:rFonts w:hint="default" w:ascii="Times New Roman" w:hAnsi="Times New Roman" w:cs="Times New Roman"/>
                <w:szCs w:val="21"/>
              </w:rPr>
              <w:t>人员伤亡</w:t>
            </w:r>
          </w:p>
        </w:tc>
        <w:tc>
          <w:tcPr>
            <w:tcW w:w="742" w:type="dxa"/>
            <w:vAlign w:val="center"/>
          </w:tcPr>
          <w:p w14:paraId="3F9DDDF0">
            <w:pPr>
              <w:jc w:val="center"/>
              <w:rPr>
                <w:rFonts w:hint="default" w:ascii="Times New Roman" w:hAnsi="Times New Roman" w:cs="Times New Roman"/>
                <w:szCs w:val="21"/>
              </w:rPr>
            </w:pPr>
            <w:r>
              <w:rPr>
                <w:rFonts w:hint="default" w:ascii="Times New Roman" w:hAnsi="Times New Roman" w:cs="Times New Roman"/>
                <w:szCs w:val="21"/>
              </w:rPr>
              <w:t>Ⅱ</w:t>
            </w:r>
          </w:p>
        </w:tc>
        <w:tc>
          <w:tcPr>
            <w:tcW w:w="4953" w:type="dxa"/>
            <w:vAlign w:val="center"/>
          </w:tcPr>
          <w:p w14:paraId="54A7CE3F">
            <w:pPr>
              <w:adjustRightInd w:val="0"/>
              <w:snapToGrid w:val="0"/>
              <w:rPr>
                <w:rFonts w:hint="default" w:ascii="Times New Roman" w:hAnsi="Times New Roman" w:cs="Times New Roman"/>
                <w:szCs w:val="21"/>
              </w:rPr>
            </w:pPr>
            <w:r>
              <w:rPr>
                <w:rFonts w:hint="default" w:ascii="Times New Roman" w:hAnsi="Times New Roman" w:cs="Times New Roman"/>
                <w:szCs w:val="21"/>
              </w:rPr>
              <w:t>1、高处作业时物品要放置牢固、平稳，禁止抛物作业</w:t>
            </w:r>
          </w:p>
          <w:p w14:paraId="53DDA87C">
            <w:pPr>
              <w:adjustRightInd w:val="0"/>
              <w:snapToGrid w:val="0"/>
              <w:rPr>
                <w:rFonts w:hint="default" w:ascii="Times New Roman" w:hAnsi="Times New Roman" w:cs="Times New Roman"/>
                <w:szCs w:val="21"/>
              </w:rPr>
            </w:pPr>
            <w:r>
              <w:rPr>
                <w:rFonts w:hint="default" w:ascii="Times New Roman" w:hAnsi="Times New Roman" w:cs="Times New Roman"/>
                <w:szCs w:val="21"/>
              </w:rPr>
              <w:t>2、及时清除、加固可能倒塌的设施；</w:t>
            </w:r>
          </w:p>
          <w:p w14:paraId="1B34AA9C">
            <w:pPr>
              <w:adjustRightInd w:val="0"/>
              <w:snapToGrid w:val="0"/>
              <w:rPr>
                <w:rFonts w:hint="default" w:ascii="Times New Roman" w:hAnsi="Times New Roman" w:cs="Times New Roman"/>
                <w:szCs w:val="21"/>
              </w:rPr>
            </w:pPr>
            <w:r>
              <w:rPr>
                <w:rFonts w:hint="default" w:ascii="Times New Roman" w:hAnsi="Times New Roman" w:cs="Times New Roman"/>
                <w:szCs w:val="21"/>
              </w:rPr>
              <w:t>3、加强对员工的安全意识教育，杜绝“三违”；</w:t>
            </w:r>
          </w:p>
          <w:p w14:paraId="62605B72">
            <w:pPr>
              <w:adjustRightInd w:val="0"/>
              <w:snapToGrid w:val="0"/>
              <w:rPr>
                <w:rFonts w:hint="default" w:ascii="Times New Roman" w:hAnsi="Times New Roman" w:cs="Times New Roman"/>
                <w:szCs w:val="21"/>
              </w:rPr>
            </w:pPr>
            <w:r>
              <w:rPr>
                <w:rFonts w:hint="default" w:ascii="Times New Roman" w:hAnsi="Times New Roman" w:cs="Times New Roman"/>
                <w:szCs w:val="21"/>
              </w:rPr>
              <w:t>4、作业人员、进入现场的其他人员都应穿戴必要的防护用品，特别是安全帽</w:t>
            </w:r>
          </w:p>
        </w:tc>
      </w:tr>
      <w:tr w14:paraId="029F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0" w:type="dxa"/>
            <w:vAlign w:val="center"/>
          </w:tcPr>
          <w:p w14:paraId="0FE6F1BC">
            <w:pPr>
              <w:jc w:val="center"/>
              <w:rPr>
                <w:rFonts w:hint="default" w:ascii="Times New Roman" w:hAnsi="Times New Roman" w:cs="Times New Roman"/>
                <w:szCs w:val="21"/>
              </w:rPr>
            </w:pPr>
            <w:r>
              <w:rPr>
                <w:rFonts w:hint="default" w:ascii="Times New Roman" w:hAnsi="Times New Roman" w:cs="Times New Roman"/>
                <w:szCs w:val="21"/>
              </w:rPr>
              <w:t>坍塌</w:t>
            </w:r>
          </w:p>
        </w:tc>
        <w:tc>
          <w:tcPr>
            <w:tcW w:w="1052" w:type="dxa"/>
            <w:vAlign w:val="center"/>
          </w:tcPr>
          <w:p w14:paraId="59E6D6D3">
            <w:pPr>
              <w:rPr>
                <w:rFonts w:hint="default" w:ascii="Times New Roman" w:hAnsi="Times New Roman" w:cs="Times New Roman"/>
                <w:szCs w:val="21"/>
              </w:rPr>
            </w:pPr>
            <w:r>
              <w:rPr>
                <w:rFonts w:hint="default" w:ascii="Times New Roman" w:hAnsi="Times New Roman" w:cs="Times New Roman"/>
                <w:szCs w:val="21"/>
              </w:rPr>
              <w:t>站房、</w:t>
            </w:r>
            <w:r>
              <w:rPr>
                <w:rFonts w:hint="default" w:ascii="Times New Roman" w:hAnsi="Times New Roman" w:cs="Times New Roman"/>
                <w:szCs w:val="21"/>
                <w:lang w:val="en-US" w:eastAsia="zh-CN"/>
              </w:rPr>
              <w:t>加油</w:t>
            </w:r>
            <w:r>
              <w:rPr>
                <w:rFonts w:hint="default" w:ascii="Times New Roman" w:hAnsi="Times New Roman" w:cs="Times New Roman"/>
                <w:szCs w:val="21"/>
              </w:rPr>
              <w:t>罩棚</w:t>
            </w:r>
            <w:r>
              <w:rPr>
                <w:rFonts w:hint="default" w:ascii="Times New Roman" w:hAnsi="Times New Roman" w:cs="Times New Roman"/>
                <w:szCs w:val="21"/>
                <w:lang w:val="en-US" w:eastAsia="zh-CN"/>
              </w:rPr>
              <w:t>和</w:t>
            </w:r>
            <w:r>
              <w:rPr>
                <w:rFonts w:hint="default" w:ascii="Times New Roman" w:hAnsi="Times New Roman" w:cs="Times New Roman"/>
                <w:szCs w:val="21"/>
              </w:rPr>
              <w:t>围墙倒塌砸伤或淹埋人员</w:t>
            </w:r>
          </w:p>
        </w:tc>
        <w:tc>
          <w:tcPr>
            <w:tcW w:w="2105" w:type="dxa"/>
            <w:vAlign w:val="center"/>
          </w:tcPr>
          <w:p w14:paraId="673E006E">
            <w:pPr>
              <w:rPr>
                <w:rFonts w:hint="default" w:ascii="Times New Roman" w:hAnsi="Times New Roman" w:cs="Times New Roman"/>
                <w:szCs w:val="21"/>
              </w:rPr>
            </w:pPr>
            <w:r>
              <w:rPr>
                <w:rFonts w:hint="default" w:ascii="Times New Roman" w:hAnsi="Times New Roman" w:cs="Times New Roman"/>
                <w:szCs w:val="21"/>
              </w:rPr>
              <w:t>1、人员在站房、罩棚</w:t>
            </w:r>
            <w:r>
              <w:rPr>
                <w:rFonts w:hint="default" w:ascii="Times New Roman" w:hAnsi="Times New Roman" w:cs="Times New Roman"/>
                <w:szCs w:val="21"/>
                <w:lang w:eastAsia="zh-CN"/>
              </w:rPr>
              <w:t>、</w:t>
            </w:r>
            <w:r>
              <w:rPr>
                <w:rFonts w:hint="default" w:ascii="Times New Roman" w:hAnsi="Times New Roman" w:cs="Times New Roman"/>
                <w:szCs w:val="21"/>
              </w:rPr>
              <w:t>顶部作业</w:t>
            </w:r>
          </w:p>
          <w:p w14:paraId="2597165F">
            <w:pPr>
              <w:rPr>
                <w:rFonts w:hint="default" w:ascii="Times New Roman" w:hAnsi="Times New Roman" w:cs="Times New Roman"/>
                <w:szCs w:val="21"/>
              </w:rPr>
            </w:pPr>
            <w:r>
              <w:rPr>
                <w:rFonts w:hint="default" w:ascii="Times New Roman" w:hAnsi="Times New Roman" w:cs="Times New Roman"/>
                <w:szCs w:val="21"/>
              </w:rPr>
              <w:t>2、人员在围墙周围作业</w:t>
            </w:r>
          </w:p>
          <w:p w14:paraId="6FF2F878">
            <w:pPr>
              <w:rPr>
                <w:rFonts w:hint="default" w:ascii="Times New Roman" w:hAnsi="Times New Roman" w:cs="Times New Roman"/>
                <w:szCs w:val="21"/>
              </w:rPr>
            </w:pPr>
            <w:r>
              <w:rPr>
                <w:rFonts w:hint="default" w:ascii="Times New Roman" w:hAnsi="Times New Roman" w:cs="Times New Roman"/>
                <w:szCs w:val="21"/>
              </w:rPr>
              <w:t>3、恶劣气候条件</w:t>
            </w:r>
          </w:p>
          <w:p w14:paraId="39CF9C40">
            <w:pPr>
              <w:rPr>
                <w:rFonts w:hint="default" w:ascii="Times New Roman" w:hAnsi="Times New Roman" w:cs="Times New Roman"/>
                <w:szCs w:val="21"/>
              </w:rPr>
            </w:pPr>
            <w:r>
              <w:rPr>
                <w:rFonts w:hint="default" w:ascii="Times New Roman" w:hAnsi="Times New Roman" w:cs="Times New Roman"/>
                <w:szCs w:val="21"/>
              </w:rPr>
              <w:t>4、车辆撞击罩棚或围墙</w:t>
            </w:r>
          </w:p>
          <w:p w14:paraId="5091A6F8">
            <w:pPr>
              <w:rPr>
                <w:rFonts w:hint="default" w:ascii="Times New Roman" w:hAnsi="Times New Roman" w:cs="Times New Roman"/>
                <w:szCs w:val="21"/>
              </w:rPr>
            </w:pPr>
            <w:r>
              <w:rPr>
                <w:rFonts w:hint="default" w:ascii="Times New Roman" w:hAnsi="Times New Roman" w:cs="Times New Roman"/>
                <w:szCs w:val="21"/>
              </w:rPr>
              <w:t>5、站内发生火灾</w:t>
            </w:r>
          </w:p>
        </w:tc>
        <w:tc>
          <w:tcPr>
            <w:tcW w:w="1263" w:type="dxa"/>
            <w:vAlign w:val="center"/>
          </w:tcPr>
          <w:p w14:paraId="0C6FA3DE">
            <w:pPr>
              <w:rPr>
                <w:rFonts w:hint="default" w:ascii="Times New Roman" w:hAnsi="Times New Roman" w:cs="Times New Roman"/>
                <w:szCs w:val="21"/>
              </w:rPr>
            </w:pPr>
            <w:r>
              <w:rPr>
                <w:rFonts w:hint="default" w:ascii="Times New Roman" w:hAnsi="Times New Roman" w:cs="Times New Roman"/>
                <w:szCs w:val="21"/>
              </w:rPr>
              <w:t>站房、罩棚、围墙倒塌砸伤或淹埋人员</w:t>
            </w:r>
          </w:p>
        </w:tc>
        <w:tc>
          <w:tcPr>
            <w:tcW w:w="2569" w:type="dxa"/>
            <w:vAlign w:val="center"/>
          </w:tcPr>
          <w:p w14:paraId="79B5A4A7">
            <w:pPr>
              <w:rPr>
                <w:rFonts w:hint="default" w:ascii="Times New Roman" w:hAnsi="Times New Roman" w:cs="Times New Roman"/>
                <w:szCs w:val="21"/>
              </w:rPr>
            </w:pPr>
            <w:r>
              <w:rPr>
                <w:rFonts w:hint="default" w:ascii="Times New Roman" w:hAnsi="Times New Roman" w:cs="Times New Roman"/>
                <w:szCs w:val="21"/>
              </w:rPr>
              <w:t>1、站房、罩棚、围墙基础未经地质勘查和设计；</w:t>
            </w:r>
          </w:p>
          <w:p w14:paraId="19F31167">
            <w:pPr>
              <w:rPr>
                <w:rFonts w:hint="default" w:ascii="Times New Roman" w:hAnsi="Times New Roman" w:cs="Times New Roman"/>
                <w:szCs w:val="21"/>
              </w:rPr>
            </w:pPr>
            <w:r>
              <w:rPr>
                <w:rFonts w:hint="default" w:ascii="Times New Roman" w:hAnsi="Times New Roman" w:cs="Times New Roman"/>
                <w:szCs w:val="21"/>
              </w:rPr>
              <w:t>2、站房、罩棚、围墙基础未按设计要求施工；</w:t>
            </w:r>
          </w:p>
          <w:p w14:paraId="3D2AABA2">
            <w:pPr>
              <w:rPr>
                <w:rFonts w:hint="default" w:ascii="Times New Roman" w:hAnsi="Times New Roman" w:cs="Times New Roman"/>
                <w:szCs w:val="21"/>
              </w:rPr>
            </w:pPr>
            <w:r>
              <w:rPr>
                <w:rFonts w:hint="default" w:ascii="Times New Roman" w:hAnsi="Times New Roman" w:cs="Times New Roman"/>
                <w:szCs w:val="21"/>
              </w:rPr>
              <w:t>3、施工单位无相应资质；</w:t>
            </w:r>
          </w:p>
          <w:p w14:paraId="448F69BD">
            <w:pPr>
              <w:rPr>
                <w:rFonts w:hint="default" w:ascii="Times New Roman" w:hAnsi="Times New Roman" w:cs="Times New Roman"/>
                <w:szCs w:val="21"/>
              </w:rPr>
            </w:pPr>
            <w:r>
              <w:rPr>
                <w:rFonts w:hint="default" w:ascii="Times New Roman" w:hAnsi="Times New Roman" w:cs="Times New Roman"/>
                <w:szCs w:val="21"/>
              </w:rPr>
              <w:t>4、加油车辆违章驾驶撞坏</w:t>
            </w:r>
            <w:r>
              <w:rPr>
                <w:rFonts w:hint="default" w:ascii="Times New Roman" w:hAnsi="Times New Roman" w:cs="Times New Roman"/>
                <w:szCs w:val="21"/>
                <w:lang w:val="en-US" w:eastAsia="zh-CN"/>
              </w:rPr>
              <w:t>加油</w:t>
            </w:r>
            <w:r>
              <w:rPr>
                <w:rFonts w:hint="default" w:ascii="Times New Roman" w:hAnsi="Times New Roman" w:cs="Times New Roman"/>
                <w:szCs w:val="21"/>
              </w:rPr>
              <w:t>罩棚</w:t>
            </w:r>
            <w:r>
              <w:rPr>
                <w:rFonts w:hint="default" w:ascii="Times New Roman" w:hAnsi="Times New Roman" w:cs="Times New Roman"/>
                <w:szCs w:val="21"/>
                <w:lang w:eastAsia="zh-CN"/>
              </w:rPr>
              <w:t>、</w:t>
            </w:r>
            <w:r>
              <w:rPr>
                <w:rFonts w:hint="default" w:ascii="Times New Roman" w:hAnsi="Times New Roman" w:cs="Times New Roman"/>
                <w:szCs w:val="21"/>
              </w:rPr>
              <w:t>支柱或围墙；</w:t>
            </w:r>
          </w:p>
          <w:p w14:paraId="4E10B336">
            <w:pPr>
              <w:rPr>
                <w:rFonts w:hint="default" w:ascii="Times New Roman" w:hAnsi="Times New Roman" w:cs="Times New Roman"/>
                <w:szCs w:val="21"/>
              </w:rPr>
            </w:pPr>
            <w:r>
              <w:rPr>
                <w:rFonts w:hint="default" w:ascii="Times New Roman" w:hAnsi="Times New Roman" w:cs="Times New Roman"/>
                <w:szCs w:val="21"/>
              </w:rPr>
              <w:t>5、其它如管理上的缺陷、标志缺陷等；</w:t>
            </w:r>
          </w:p>
          <w:p w14:paraId="3A405748">
            <w:pPr>
              <w:rPr>
                <w:rFonts w:hint="default" w:ascii="Times New Roman" w:hAnsi="Times New Roman" w:cs="Times New Roman"/>
                <w:szCs w:val="21"/>
              </w:rPr>
            </w:pPr>
            <w:r>
              <w:rPr>
                <w:rFonts w:hint="default" w:ascii="Times New Roman" w:hAnsi="Times New Roman" w:cs="Times New Roman"/>
                <w:szCs w:val="21"/>
              </w:rPr>
              <w:t>6、站房或罩棚</w:t>
            </w:r>
            <w:r>
              <w:rPr>
                <w:rFonts w:hint="default" w:ascii="Times New Roman" w:hAnsi="Times New Roman" w:cs="Times New Roman"/>
                <w:szCs w:val="21"/>
                <w:lang w:eastAsia="zh-CN"/>
              </w:rPr>
              <w:t>、</w:t>
            </w:r>
            <w:r>
              <w:rPr>
                <w:rFonts w:hint="default" w:ascii="Times New Roman" w:hAnsi="Times New Roman" w:cs="Times New Roman"/>
                <w:szCs w:val="21"/>
              </w:rPr>
              <w:t>钢框架结构没有采取防火处理（涂刷防火涂料），当发生火灾时，有发生坍塌的危险；</w:t>
            </w:r>
          </w:p>
          <w:p w14:paraId="59AAB234">
            <w:pPr>
              <w:rPr>
                <w:rFonts w:hint="default" w:ascii="Times New Roman" w:hAnsi="Times New Roman" w:cs="Times New Roman"/>
                <w:szCs w:val="21"/>
              </w:rPr>
            </w:pPr>
            <w:r>
              <w:rPr>
                <w:rFonts w:hint="default" w:ascii="Times New Roman" w:hAnsi="Times New Roman" w:cs="Times New Roman"/>
                <w:szCs w:val="21"/>
              </w:rPr>
              <w:t>7、雪载荷设计不够，大雪造成站房、罩棚</w:t>
            </w:r>
            <w:r>
              <w:rPr>
                <w:rFonts w:hint="default" w:ascii="Times New Roman" w:hAnsi="Times New Roman" w:cs="Times New Roman"/>
                <w:szCs w:val="21"/>
                <w:lang w:eastAsia="zh-CN"/>
              </w:rPr>
              <w:t>、</w:t>
            </w:r>
            <w:r>
              <w:rPr>
                <w:rFonts w:hint="default" w:ascii="Times New Roman" w:hAnsi="Times New Roman" w:cs="Times New Roman"/>
                <w:szCs w:val="21"/>
              </w:rPr>
              <w:t>顶盖结构破坏。</w:t>
            </w:r>
          </w:p>
        </w:tc>
        <w:tc>
          <w:tcPr>
            <w:tcW w:w="728" w:type="dxa"/>
            <w:vAlign w:val="center"/>
          </w:tcPr>
          <w:p w14:paraId="47CA4E8F">
            <w:pPr>
              <w:jc w:val="center"/>
              <w:rPr>
                <w:rFonts w:hint="default" w:ascii="Times New Roman" w:hAnsi="Times New Roman" w:cs="Times New Roman"/>
                <w:szCs w:val="21"/>
              </w:rPr>
            </w:pPr>
            <w:r>
              <w:rPr>
                <w:rFonts w:hint="default" w:ascii="Times New Roman" w:hAnsi="Times New Roman" w:cs="Times New Roman"/>
                <w:szCs w:val="21"/>
              </w:rPr>
              <w:t>人员伤亡、</w:t>
            </w:r>
          </w:p>
          <w:p w14:paraId="11C22F96">
            <w:pPr>
              <w:jc w:val="center"/>
              <w:rPr>
                <w:rFonts w:hint="default" w:ascii="Times New Roman" w:hAnsi="Times New Roman" w:cs="Times New Roman"/>
                <w:szCs w:val="21"/>
              </w:rPr>
            </w:pPr>
            <w:r>
              <w:rPr>
                <w:rFonts w:hint="default" w:ascii="Times New Roman" w:hAnsi="Times New Roman" w:cs="Times New Roman"/>
                <w:szCs w:val="21"/>
              </w:rPr>
              <w:t>财产损失、</w:t>
            </w:r>
          </w:p>
          <w:p w14:paraId="4A469DE4">
            <w:pPr>
              <w:rPr>
                <w:rFonts w:hint="default" w:ascii="Times New Roman" w:hAnsi="Times New Roman" w:cs="Times New Roman"/>
                <w:szCs w:val="21"/>
              </w:rPr>
            </w:pPr>
            <w:r>
              <w:rPr>
                <w:rFonts w:hint="default" w:ascii="Times New Roman" w:hAnsi="Times New Roman" w:cs="Times New Roman"/>
                <w:szCs w:val="21"/>
              </w:rPr>
              <w:t>停产</w:t>
            </w:r>
          </w:p>
        </w:tc>
        <w:tc>
          <w:tcPr>
            <w:tcW w:w="742" w:type="dxa"/>
            <w:vAlign w:val="center"/>
          </w:tcPr>
          <w:p w14:paraId="48D7970F">
            <w:pPr>
              <w:jc w:val="center"/>
              <w:rPr>
                <w:rFonts w:hint="default" w:ascii="Times New Roman" w:hAnsi="Times New Roman" w:cs="Times New Roman"/>
                <w:szCs w:val="21"/>
              </w:rPr>
            </w:pPr>
            <w:r>
              <w:rPr>
                <w:rFonts w:hint="default" w:ascii="Times New Roman" w:hAnsi="Times New Roman" w:cs="Times New Roman"/>
                <w:szCs w:val="21"/>
              </w:rPr>
              <w:fldChar w:fldCharType="begin"/>
            </w:r>
            <w:r>
              <w:rPr>
                <w:rFonts w:hint="default" w:ascii="Times New Roman" w:hAnsi="Times New Roman" w:cs="Times New Roman"/>
                <w:szCs w:val="21"/>
              </w:rPr>
              <w:instrText xml:space="preserve"> = 2 \* ROMAN </w:instrText>
            </w:r>
            <w:r>
              <w:rPr>
                <w:rFonts w:hint="default" w:ascii="Times New Roman" w:hAnsi="Times New Roman" w:cs="Times New Roman"/>
                <w:szCs w:val="21"/>
              </w:rPr>
              <w:fldChar w:fldCharType="separate"/>
            </w:r>
            <w:r>
              <w:rPr>
                <w:rFonts w:hint="default" w:ascii="Times New Roman" w:hAnsi="Times New Roman" w:cs="Times New Roman"/>
                <w:szCs w:val="21"/>
              </w:rPr>
              <w:t>II</w:t>
            </w:r>
            <w:r>
              <w:rPr>
                <w:rFonts w:hint="default" w:ascii="Times New Roman" w:hAnsi="Times New Roman" w:cs="Times New Roman"/>
                <w:szCs w:val="21"/>
              </w:rPr>
              <w:fldChar w:fldCharType="end"/>
            </w:r>
          </w:p>
        </w:tc>
        <w:tc>
          <w:tcPr>
            <w:tcW w:w="4953" w:type="dxa"/>
            <w:vAlign w:val="center"/>
          </w:tcPr>
          <w:p w14:paraId="5550A923">
            <w:pPr>
              <w:rPr>
                <w:rFonts w:hint="default" w:ascii="Times New Roman" w:hAnsi="Times New Roman" w:cs="Times New Roman"/>
                <w:szCs w:val="21"/>
              </w:rPr>
            </w:pPr>
            <w:r>
              <w:rPr>
                <w:rFonts w:hint="default" w:ascii="Times New Roman" w:hAnsi="Times New Roman" w:cs="Times New Roman"/>
                <w:szCs w:val="21"/>
              </w:rPr>
              <w:t>1、建站前应进行地质勘察和设计</w:t>
            </w:r>
          </w:p>
          <w:p w14:paraId="0F9B143A">
            <w:pPr>
              <w:rPr>
                <w:rFonts w:hint="default" w:ascii="Times New Roman" w:hAnsi="Times New Roman" w:cs="Times New Roman"/>
                <w:szCs w:val="21"/>
              </w:rPr>
            </w:pPr>
            <w:r>
              <w:rPr>
                <w:rFonts w:hint="default" w:ascii="Times New Roman" w:hAnsi="Times New Roman" w:cs="Times New Roman"/>
                <w:szCs w:val="21"/>
              </w:rPr>
              <w:t>2、.聘用具有资质的施工单位进行施工</w:t>
            </w:r>
          </w:p>
          <w:p w14:paraId="5B7F514A">
            <w:pPr>
              <w:rPr>
                <w:rFonts w:hint="default" w:ascii="Times New Roman" w:hAnsi="Times New Roman" w:cs="Times New Roman"/>
                <w:szCs w:val="21"/>
              </w:rPr>
            </w:pPr>
            <w:r>
              <w:rPr>
                <w:rFonts w:hint="default" w:ascii="Times New Roman" w:hAnsi="Times New Roman" w:cs="Times New Roman"/>
                <w:szCs w:val="21"/>
              </w:rPr>
              <w:t>3、</w:t>
            </w:r>
            <w:r>
              <w:rPr>
                <w:rFonts w:hint="default" w:ascii="Times New Roman" w:hAnsi="Times New Roman" w:cs="Times New Roman"/>
                <w:szCs w:val="21"/>
                <w:lang w:val="en-US" w:eastAsia="zh-CN"/>
              </w:rPr>
              <w:t>加油</w:t>
            </w:r>
            <w:r>
              <w:rPr>
                <w:rFonts w:hint="default" w:ascii="Times New Roman" w:hAnsi="Times New Roman" w:cs="Times New Roman"/>
                <w:szCs w:val="21"/>
              </w:rPr>
              <w:t>罩棚处设置防撞柱和警示标志</w:t>
            </w:r>
          </w:p>
          <w:p w14:paraId="3F6E3078">
            <w:pPr>
              <w:rPr>
                <w:rFonts w:hint="default" w:ascii="Times New Roman" w:hAnsi="Times New Roman" w:cs="Times New Roman"/>
                <w:szCs w:val="21"/>
              </w:rPr>
            </w:pPr>
            <w:r>
              <w:rPr>
                <w:rFonts w:hint="default" w:ascii="Times New Roman" w:hAnsi="Times New Roman" w:cs="Times New Roman"/>
                <w:szCs w:val="21"/>
              </w:rPr>
              <w:t>4、对罩棚支柱涂刷防火涂料</w:t>
            </w:r>
          </w:p>
          <w:p w14:paraId="076ECC5B">
            <w:pPr>
              <w:rPr>
                <w:rFonts w:hint="default" w:ascii="Times New Roman" w:hAnsi="Times New Roman" w:cs="Times New Roman"/>
                <w:szCs w:val="21"/>
              </w:rPr>
            </w:pPr>
            <w:r>
              <w:rPr>
                <w:rFonts w:hint="default" w:ascii="Times New Roman" w:hAnsi="Times New Roman" w:cs="Times New Roman"/>
                <w:szCs w:val="21"/>
              </w:rPr>
              <w:t>5、针对当地气候条件特点，对站房、罩棚等建构筑物进行雪载荷设计</w:t>
            </w:r>
          </w:p>
        </w:tc>
      </w:tr>
      <w:tr w14:paraId="3DAB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0" w:type="dxa"/>
            <w:vAlign w:val="center"/>
          </w:tcPr>
          <w:p w14:paraId="2C110789">
            <w:pPr>
              <w:jc w:val="center"/>
              <w:rPr>
                <w:rFonts w:hint="default" w:ascii="Times New Roman" w:hAnsi="Times New Roman" w:cs="Times New Roman"/>
                <w:szCs w:val="21"/>
              </w:rPr>
            </w:pPr>
            <w:r>
              <w:rPr>
                <w:rFonts w:hint="eastAsia" w:cs="Times New Roman"/>
                <w:szCs w:val="21"/>
                <w:lang w:val="en-US" w:eastAsia="zh-CN"/>
              </w:rPr>
              <w:t>其他（</w:t>
            </w:r>
            <w:r>
              <w:rPr>
                <w:rFonts w:hint="default" w:ascii="Times New Roman" w:hAnsi="Times New Roman" w:cs="Times New Roman"/>
                <w:szCs w:val="21"/>
                <w:lang w:eastAsia="zh-CN"/>
              </w:rPr>
              <w:t>噪声</w:t>
            </w:r>
            <w:r>
              <w:rPr>
                <w:rFonts w:hint="eastAsia" w:cs="Times New Roman"/>
                <w:szCs w:val="21"/>
                <w:lang w:val="en-US" w:eastAsia="zh-CN"/>
              </w:rPr>
              <w:t>）</w:t>
            </w:r>
          </w:p>
        </w:tc>
        <w:tc>
          <w:tcPr>
            <w:tcW w:w="1052" w:type="dxa"/>
            <w:vAlign w:val="center"/>
          </w:tcPr>
          <w:p w14:paraId="3AA36070">
            <w:pPr>
              <w:rPr>
                <w:rFonts w:hint="default" w:ascii="Times New Roman" w:hAnsi="Times New Roman" w:cs="Times New Roman"/>
                <w:szCs w:val="21"/>
              </w:rPr>
            </w:pPr>
            <w:r>
              <w:rPr>
                <w:rFonts w:hint="default" w:ascii="Times New Roman" w:hAnsi="Times New Roman" w:cs="Times New Roman"/>
                <w:szCs w:val="21"/>
              </w:rPr>
              <w:t>加油机、车辆等设备运行</w:t>
            </w:r>
          </w:p>
        </w:tc>
        <w:tc>
          <w:tcPr>
            <w:tcW w:w="2105" w:type="dxa"/>
            <w:vAlign w:val="center"/>
          </w:tcPr>
          <w:p w14:paraId="378F4E01">
            <w:pPr>
              <w:rPr>
                <w:rFonts w:hint="default" w:ascii="Times New Roman" w:hAnsi="Times New Roman" w:cs="Times New Roman"/>
                <w:szCs w:val="21"/>
              </w:rPr>
            </w:pPr>
            <w:r>
              <w:rPr>
                <w:rFonts w:hint="default" w:ascii="Times New Roman" w:hAnsi="Times New Roman" w:cs="Times New Roman"/>
                <w:szCs w:val="21"/>
              </w:rPr>
              <w:t>作业人员在噪声环境中作业</w:t>
            </w:r>
          </w:p>
        </w:tc>
        <w:tc>
          <w:tcPr>
            <w:tcW w:w="1263" w:type="dxa"/>
            <w:vAlign w:val="center"/>
          </w:tcPr>
          <w:p w14:paraId="5BA05677">
            <w:pPr>
              <w:jc w:val="center"/>
              <w:rPr>
                <w:rFonts w:hint="eastAsia" w:ascii="Times New Roman" w:hAnsi="Times New Roman" w:eastAsia="宋体" w:cs="Times New Roman"/>
                <w:szCs w:val="21"/>
                <w:lang w:val="en-US" w:eastAsia="zh-CN"/>
              </w:rPr>
            </w:pPr>
            <w:r>
              <w:rPr>
                <w:rFonts w:hint="eastAsia" w:cs="Times New Roman"/>
                <w:szCs w:val="21"/>
                <w:lang w:val="en-US" w:eastAsia="zh-CN"/>
              </w:rPr>
              <w:t>-</w:t>
            </w:r>
          </w:p>
        </w:tc>
        <w:tc>
          <w:tcPr>
            <w:tcW w:w="2569" w:type="dxa"/>
            <w:vAlign w:val="center"/>
          </w:tcPr>
          <w:p w14:paraId="381254F8">
            <w:pPr>
              <w:spacing w:line="320" w:lineRule="exact"/>
              <w:rPr>
                <w:rFonts w:hint="default" w:ascii="Times New Roman" w:hAnsi="Times New Roman" w:cs="Times New Roman"/>
                <w:szCs w:val="21"/>
              </w:rPr>
            </w:pPr>
            <w:r>
              <w:rPr>
                <w:rFonts w:hint="default" w:ascii="Times New Roman" w:hAnsi="Times New Roman" w:cs="Times New Roman"/>
                <w:szCs w:val="21"/>
              </w:rPr>
              <w:t>1、加油设备在安装时未采取减振、降噪措施；</w:t>
            </w:r>
          </w:p>
          <w:p w14:paraId="67935E8B">
            <w:pPr>
              <w:spacing w:line="320" w:lineRule="exact"/>
              <w:rPr>
                <w:rFonts w:hint="eastAsia" w:ascii="Times New Roman" w:hAnsi="Times New Roman" w:eastAsia="宋体" w:cs="Times New Roman"/>
                <w:szCs w:val="21"/>
                <w:lang w:eastAsia="zh-CN"/>
              </w:rPr>
            </w:pPr>
            <w:r>
              <w:rPr>
                <w:rFonts w:hint="default" w:ascii="Times New Roman" w:hAnsi="Times New Roman" w:cs="Times New Roman"/>
                <w:szCs w:val="21"/>
              </w:rPr>
              <w:t>2、操作人员本身有职业禁忌症，不适合接触噪声岗位</w:t>
            </w:r>
            <w:r>
              <w:rPr>
                <w:rFonts w:hint="eastAsia" w:cs="Times New Roman"/>
                <w:szCs w:val="21"/>
                <w:lang w:eastAsia="zh-CN"/>
              </w:rPr>
              <w:t>。</w:t>
            </w:r>
          </w:p>
        </w:tc>
        <w:tc>
          <w:tcPr>
            <w:tcW w:w="728" w:type="dxa"/>
            <w:vAlign w:val="center"/>
          </w:tcPr>
          <w:p w14:paraId="20D696B0">
            <w:pPr>
              <w:rPr>
                <w:rFonts w:hint="default" w:ascii="Times New Roman" w:hAnsi="Times New Roman" w:cs="Times New Roman"/>
                <w:szCs w:val="21"/>
              </w:rPr>
            </w:pPr>
            <w:r>
              <w:rPr>
                <w:rFonts w:hint="default" w:ascii="Times New Roman" w:hAnsi="Times New Roman" w:cs="Times New Roman"/>
                <w:szCs w:val="21"/>
              </w:rPr>
              <w:t>听力损坏</w:t>
            </w:r>
          </w:p>
        </w:tc>
        <w:tc>
          <w:tcPr>
            <w:tcW w:w="742" w:type="dxa"/>
            <w:vAlign w:val="center"/>
          </w:tcPr>
          <w:p w14:paraId="4DED3857">
            <w:pPr>
              <w:jc w:val="center"/>
              <w:rPr>
                <w:rFonts w:hint="default" w:ascii="Times New Roman" w:hAnsi="Times New Roman" w:cs="Times New Roman"/>
                <w:szCs w:val="21"/>
              </w:rPr>
            </w:pPr>
            <w:r>
              <w:rPr>
                <w:rFonts w:hint="default" w:ascii="Times New Roman" w:hAnsi="Times New Roman" w:cs="Times New Roman"/>
                <w:szCs w:val="21"/>
              </w:rPr>
              <w:t>Ⅱ</w:t>
            </w:r>
          </w:p>
        </w:tc>
        <w:tc>
          <w:tcPr>
            <w:tcW w:w="4953" w:type="dxa"/>
            <w:vAlign w:val="center"/>
          </w:tcPr>
          <w:p w14:paraId="1EC54FC2">
            <w:pPr>
              <w:rPr>
                <w:rFonts w:hint="default" w:ascii="Times New Roman" w:hAnsi="Times New Roman" w:cs="Times New Roman"/>
                <w:szCs w:val="21"/>
              </w:rPr>
            </w:pPr>
            <w:r>
              <w:rPr>
                <w:rFonts w:hint="default" w:ascii="Times New Roman" w:hAnsi="Times New Roman" w:cs="Times New Roman"/>
                <w:szCs w:val="21"/>
              </w:rPr>
              <w:t>1、采用隔声、吸声等降噪措施。</w:t>
            </w:r>
          </w:p>
          <w:p w14:paraId="7E60DD9E">
            <w:pPr>
              <w:rPr>
                <w:rFonts w:hint="default" w:ascii="Times New Roman" w:hAnsi="Times New Roman" w:cs="Times New Roman"/>
                <w:szCs w:val="21"/>
              </w:rPr>
            </w:pPr>
            <w:r>
              <w:rPr>
                <w:rFonts w:hint="eastAsia" w:cs="Times New Roman"/>
                <w:szCs w:val="21"/>
                <w:lang w:val="en-US" w:eastAsia="zh-CN"/>
              </w:rPr>
              <w:t>2</w:t>
            </w:r>
            <w:r>
              <w:rPr>
                <w:rFonts w:hint="default" w:ascii="Times New Roman" w:hAnsi="Times New Roman" w:cs="Times New Roman"/>
                <w:szCs w:val="21"/>
              </w:rPr>
              <w:t>、设置减振、阻尼等装置。</w:t>
            </w:r>
          </w:p>
          <w:p w14:paraId="54DA7F66">
            <w:pPr>
              <w:rPr>
                <w:rFonts w:hint="default" w:ascii="Times New Roman" w:hAnsi="Times New Roman" w:cs="Times New Roman"/>
                <w:szCs w:val="21"/>
              </w:rPr>
            </w:pPr>
            <w:r>
              <w:rPr>
                <w:rFonts w:hint="eastAsia" w:cs="Times New Roman"/>
                <w:szCs w:val="21"/>
                <w:lang w:val="en-US" w:eastAsia="zh-CN"/>
              </w:rPr>
              <w:t>3</w:t>
            </w:r>
            <w:r>
              <w:rPr>
                <w:rFonts w:hint="default" w:ascii="Times New Roman" w:hAnsi="Times New Roman" w:cs="Times New Roman"/>
                <w:szCs w:val="21"/>
              </w:rPr>
              <w:t>、尽量减少在噪声处停留时间。</w:t>
            </w:r>
          </w:p>
        </w:tc>
      </w:tr>
      <w:bookmarkEnd w:id="485"/>
      <w:bookmarkEnd w:id="486"/>
      <w:bookmarkEnd w:id="487"/>
    </w:tbl>
    <w:p w14:paraId="0AECD652">
      <w:pPr>
        <w:keepNext w:val="0"/>
        <w:keepLines w:val="0"/>
        <w:pageBreakBefore w:val="0"/>
        <w:widowControl w:val="0"/>
        <w:kinsoku/>
        <w:wordWrap/>
        <w:overflowPunct/>
        <w:topLinePunct w:val="0"/>
        <w:autoSpaceDE/>
        <w:autoSpaceDN/>
        <w:bidi w:val="0"/>
        <w:adjustRightInd w:val="0"/>
        <w:snapToGrid w:val="0"/>
        <w:spacing w:before="164" w:beforeLines="50" w:line="360" w:lineRule="auto"/>
        <w:ind w:firstLine="560" w:firstLineChars="200"/>
        <w:textAlignment w:val="auto"/>
        <w:rPr>
          <w:rFonts w:hint="default" w:ascii="Times New Roman" w:hAnsi="Times New Roman" w:cs="Times New Roman"/>
          <w:sz w:val="28"/>
          <w:szCs w:val="28"/>
        </w:rPr>
      </w:pPr>
      <w:bookmarkStart w:id="488" w:name="_Toc21976"/>
      <w:r>
        <w:rPr>
          <w:rFonts w:hint="default" w:ascii="Times New Roman" w:hAnsi="Times New Roman" w:cs="Times New Roman"/>
          <w:sz w:val="28"/>
          <w:szCs w:val="28"/>
        </w:rPr>
        <w:t>从以上分析可以得出，工艺过程单元火灾、可燃液体蒸汽爆炸</w:t>
      </w:r>
      <w:r>
        <w:rPr>
          <w:rFonts w:hint="eastAsia" w:cs="Times New Roman"/>
          <w:sz w:val="28"/>
          <w:szCs w:val="28"/>
          <w:lang w:eastAsia="zh-CN"/>
        </w:rPr>
        <w:t>、</w:t>
      </w:r>
      <w:r>
        <w:rPr>
          <w:rFonts w:hint="eastAsia" w:cs="Times New Roman"/>
          <w:sz w:val="28"/>
          <w:szCs w:val="28"/>
          <w:lang w:val="en-US" w:eastAsia="zh-CN"/>
        </w:rPr>
        <w:t>管道</w:t>
      </w:r>
      <w:r>
        <w:rPr>
          <w:rFonts w:hint="default" w:ascii="Times New Roman" w:hAnsi="Times New Roman" w:cs="Times New Roman"/>
          <w:sz w:val="28"/>
          <w:szCs w:val="28"/>
        </w:rPr>
        <w:t>爆炸</w:t>
      </w:r>
      <w:r>
        <w:rPr>
          <w:rFonts w:hint="eastAsia" w:cs="Times New Roman"/>
          <w:sz w:val="28"/>
          <w:szCs w:val="28"/>
          <w:lang w:eastAsia="zh-CN"/>
        </w:rPr>
        <w:t>、</w:t>
      </w:r>
      <w:r>
        <w:rPr>
          <w:rFonts w:hint="eastAsia" w:cs="Times New Roman"/>
          <w:sz w:val="28"/>
          <w:szCs w:val="28"/>
          <w:lang w:val="en-US" w:eastAsia="zh-CN"/>
        </w:rPr>
        <w:t>泄漏</w:t>
      </w:r>
      <w:r>
        <w:rPr>
          <w:rFonts w:hint="default" w:ascii="Times New Roman" w:hAnsi="Times New Roman" w:cs="Times New Roman"/>
          <w:sz w:val="28"/>
          <w:szCs w:val="28"/>
        </w:rPr>
        <w:t>的危险程度为Ⅲ级，危险程度为危险的，需要采取相应安全措施并予以重视；中毒</w:t>
      </w:r>
      <w:r>
        <w:rPr>
          <w:rFonts w:hint="eastAsia" w:cs="Times New Roman"/>
          <w:sz w:val="28"/>
          <w:szCs w:val="28"/>
          <w:lang w:eastAsia="zh-CN"/>
        </w:rPr>
        <w:t>、</w:t>
      </w:r>
      <w:r>
        <w:rPr>
          <w:rFonts w:hint="default" w:ascii="Times New Roman" w:hAnsi="Times New Roman" w:cs="Times New Roman"/>
          <w:sz w:val="28"/>
          <w:szCs w:val="28"/>
        </w:rPr>
        <w:t>窒息、触电、</w:t>
      </w:r>
      <w:r>
        <w:rPr>
          <w:rFonts w:hint="eastAsia" w:cs="Times New Roman"/>
          <w:sz w:val="28"/>
          <w:szCs w:val="28"/>
          <w:lang w:val="en-US" w:eastAsia="zh-CN"/>
        </w:rPr>
        <w:t>厂（场）内</w:t>
      </w:r>
      <w:r>
        <w:rPr>
          <w:rFonts w:hint="default" w:ascii="Times New Roman" w:hAnsi="Times New Roman" w:cs="Times New Roman"/>
          <w:sz w:val="28"/>
          <w:szCs w:val="28"/>
        </w:rPr>
        <w:t>车辆</w:t>
      </w:r>
      <w:r>
        <w:rPr>
          <w:rFonts w:hint="eastAsia" w:cs="Times New Roman"/>
          <w:sz w:val="28"/>
          <w:szCs w:val="28"/>
          <w:lang w:val="en-US" w:eastAsia="zh-CN"/>
        </w:rPr>
        <w:t>致</w:t>
      </w:r>
      <w:r>
        <w:rPr>
          <w:rFonts w:hint="default" w:ascii="Times New Roman" w:hAnsi="Times New Roman" w:cs="Times New Roman"/>
          <w:sz w:val="28"/>
          <w:szCs w:val="28"/>
        </w:rPr>
        <w:t>害、高处坠落</w:t>
      </w:r>
      <w:r>
        <w:rPr>
          <w:rFonts w:hint="default" w:ascii="Times New Roman" w:hAnsi="Times New Roman" w:cs="Times New Roman"/>
          <w:sz w:val="28"/>
          <w:szCs w:val="28"/>
          <w:lang w:val="en-US" w:eastAsia="zh-CN"/>
        </w:rPr>
        <w:t>、机械</w:t>
      </w:r>
      <w:r>
        <w:rPr>
          <w:rFonts w:hint="eastAsia" w:cs="Times New Roman"/>
          <w:sz w:val="28"/>
          <w:szCs w:val="28"/>
          <w:lang w:val="en-US" w:eastAsia="zh-CN"/>
        </w:rPr>
        <w:t>致</w:t>
      </w:r>
      <w:r>
        <w:rPr>
          <w:rFonts w:hint="default" w:ascii="Times New Roman" w:hAnsi="Times New Roman" w:cs="Times New Roman"/>
          <w:sz w:val="28"/>
          <w:szCs w:val="28"/>
          <w:lang w:val="en-US" w:eastAsia="zh-CN"/>
        </w:rPr>
        <w:t>害、物体打击、坍塌</w:t>
      </w:r>
      <w:r>
        <w:rPr>
          <w:rFonts w:hint="default" w:ascii="Times New Roman" w:hAnsi="Times New Roman" w:cs="Times New Roman"/>
          <w:sz w:val="28"/>
          <w:szCs w:val="28"/>
        </w:rPr>
        <w:t>和</w:t>
      </w:r>
      <w:r>
        <w:rPr>
          <w:rFonts w:hint="eastAsia" w:cs="Times New Roman"/>
          <w:sz w:val="28"/>
          <w:szCs w:val="28"/>
          <w:lang w:val="en-US" w:eastAsia="zh-CN"/>
        </w:rPr>
        <w:t>其他（</w:t>
      </w:r>
      <w:r>
        <w:rPr>
          <w:rFonts w:hint="default" w:ascii="Times New Roman" w:hAnsi="Times New Roman" w:cs="Times New Roman"/>
          <w:sz w:val="28"/>
          <w:szCs w:val="28"/>
          <w:lang w:val="en-US" w:eastAsia="zh-CN"/>
        </w:rPr>
        <w:t>噪声</w:t>
      </w:r>
      <w:r>
        <w:rPr>
          <w:rFonts w:hint="eastAsia" w:cs="Times New Roman"/>
          <w:sz w:val="28"/>
          <w:szCs w:val="28"/>
          <w:lang w:val="en-US" w:eastAsia="zh-CN"/>
        </w:rPr>
        <w:t>）</w:t>
      </w:r>
      <w:r>
        <w:rPr>
          <w:rFonts w:hint="default" w:ascii="Times New Roman" w:hAnsi="Times New Roman" w:cs="Times New Roman"/>
          <w:sz w:val="28"/>
          <w:szCs w:val="28"/>
        </w:rPr>
        <w:t>的危险等级为Ⅱ级，临界的，需要注意。</w:t>
      </w:r>
    </w:p>
    <w:p w14:paraId="3E7A486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sz w:val="28"/>
          <w:szCs w:val="28"/>
        </w:rPr>
        <w:sectPr>
          <w:pgSz w:w="16838" w:h="11906" w:orient="landscape"/>
          <w:pgMar w:top="1588" w:right="1418" w:bottom="1134" w:left="1134" w:header="851" w:footer="992" w:gutter="0"/>
          <w:pgBorders>
            <w:top w:val="none" w:sz="0" w:space="0"/>
            <w:left w:val="none" w:sz="0" w:space="0"/>
            <w:bottom w:val="none" w:sz="0" w:space="0"/>
            <w:right w:val="none" w:sz="0" w:space="0"/>
          </w:pgBorders>
          <w:pgNumType w:fmt="decimal"/>
          <w:cols w:space="720" w:num="1"/>
          <w:docGrid w:type="lines" w:linePitch="326" w:charSpace="6144"/>
        </w:sectPr>
      </w:pPr>
    </w:p>
    <w:p w14:paraId="40281D69">
      <w:pPr>
        <w:pStyle w:val="3"/>
        <w:keepNext/>
        <w:keepLines/>
        <w:pageBreakBefore w:val="0"/>
        <w:widowControl w:val="0"/>
        <w:kinsoku/>
        <w:wordWrap/>
        <w:overflowPunct/>
        <w:topLinePunct w:val="0"/>
        <w:autoSpaceDE/>
        <w:autoSpaceDN/>
        <w:bidi w:val="0"/>
        <w:adjustRightInd w:val="0"/>
        <w:snapToGrid w:val="0"/>
        <w:spacing w:before="327" w:beforeLines="100" w:after="327" w:afterLines="100" w:line="360" w:lineRule="auto"/>
        <w:jc w:val="center"/>
        <w:textAlignment w:val="auto"/>
        <w:rPr>
          <w:rFonts w:hint="default" w:ascii="Times New Roman" w:hAnsi="Times New Roman" w:eastAsia="楷体" w:cs="Times New Roman"/>
          <w:b/>
          <w:bCs/>
          <w:sz w:val="32"/>
          <w:szCs w:val="32"/>
          <w:lang w:val="en-US" w:eastAsia="zh-CN"/>
        </w:rPr>
      </w:pPr>
      <w:bookmarkStart w:id="489" w:name="_Toc2803"/>
      <w:r>
        <w:rPr>
          <w:rFonts w:hint="default" w:ascii="Times New Roman" w:hAnsi="Times New Roman" w:eastAsia="楷体" w:cs="Times New Roman"/>
          <w:b/>
          <w:bCs/>
          <w:sz w:val="32"/>
          <w:szCs w:val="32"/>
          <w:lang w:val="en-US" w:eastAsia="zh-CN"/>
        </w:rPr>
        <w:t>F4.3蒸汽云爆炸模拟</w:t>
      </w:r>
      <w:bookmarkEnd w:id="488"/>
      <w:bookmarkEnd w:id="489"/>
    </w:p>
    <w:p w14:paraId="3D1E40B9">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cs="Times New Roman"/>
          <w:sz w:val="28"/>
          <w:szCs w:val="28"/>
        </w:rPr>
      </w:pPr>
      <w:r>
        <w:rPr>
          <w:rFonts w:hint="default" w:ascii="Times New Roman" w:hAnsi="Times New Roman" w:eastAsia="楷体" w:cs="Times New Roman"/>
          <w:b/>
        </w:rPr>
        <w:t xml:space="preserve"> </w:t>
      </w:r>
      <w:r>
        <w:rPr>
          <w:rFonts w:hint="default" w:ascii="Times New Roman" w:hAnsi="Times New Roman" w:cs="Times New Roman"/>
          <w:sz w:val="28"/>
          <w:szCs w:val="28"/>
        </w:rPr>
        <w:t>储罐区物质泄漏后形成蒸汽云，蒸汽云爆炸的能量常用TNT当量描述，即将参与爆炸的可燃气体释放的能量折合为能释放相同能量的TNT炸药描述。</w:t>
      </w:r>
    </w:p>
    <w:p w14:paraId="0726841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TNT当量计算公式如下：</w:t>
      </w:r>
    </w:p>
    <w:p w14:paraId="259F591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W</w:t>
      </w:r>
      <w:r>
        <w:rPr>
          <w:rFonts w:hint="default" w:ascii="Times New Roman" w:hAnsi="Times New Roman" w:eastAsia="宋体" w:cs="Times New Roman"/>
          <w:sz w:val="28"/>
          <w:szCs w:val="28"/>
          <w:highlight w:val="none"/>
          <w:vertAlign w:val="subscript"/>
        </w:rPr>
        <w:t>TNT</w:t>
      </w:r>
      <w:r>
        <w:rPr>
          <w:rFonts w:hint="default" w:ascii="Times New Roman" w:hAnsi="Times New Roman" w:eastAsia="宋体" w:cs="Times New Roman"/>
          <w:sz w:val="28"/>
          <w:szCs w:val="28"/>
          <w:highlight w:val="none"/>
        </w:rPr>
        <w:t>  =βAW</w:t>
      </w:r>
      <w:r>
        <w:rPr>
          <w:rFonts w:hint="default" w:ascii="Times New Roman" w:hAnsi="Times New Roman" w:eastAsia="宋体" w:cs="Times New Roman"/>
          <w:sz w:val="28"/>
          <w:szCs w:val="28"/>
          <w:highlight w:val="none"/>
          <w:vertAlign w:val="subscript"/>
        </w:rPr>
        <w:t>f</w:t>
      </w:r>
      <w:r>
        <w:rPr>
          <w:rFonts w:hint="default" w:ascii="Times New Roman" w:hAnsi="Times New Roman" w:eastAsia="宋体" w:cs="Times New Roman"/>
          <w:sz w:val="28"/>
          <w:szCs w:val="28"/>
          <w:highlight w:val="none"/>
        </w:rPr>
        <w:t>Q</w:t>
      </w:r>
      <w:r>
        <w:rPr>
          <w:rFonts w:hint="default" w:ascii="Times New Roman" w:hAnsi="Times New Roman" w:eastAsia="宋体" w:cs="Times New Roman"/>
          <w:sz w:val="28"/>
          <w:szCs w:val="28"/>
          <w:highlight w:val="none"/>
          <w:vertAlign w:val="subscript"/>
        </w:rPr>
        <w:t>f </w:t>
      </w:r>
      <w:r>
        <w:rPr>
          <w:rFonts w:hint="default" w:ascii="Times New Roman" w:hAnsi="Times New Roman" w:eastAsia="宋体" w:cs="Times New Roman"/>
          <w:sz w:val="28"/>
          <w:szCs w:val="28"/>
          <w:highlight w:val="none"/>
        </w:rPr>
        <w:t>/ Q</w:t>
      </w:r>
      <w:r>
        <w:rPr>
          <w:rFonts w:hint="default" w:ascii="Times New Roman" w:hAnsi="Times New Roman" w:eastAsia="宋体" w:cs="Times New Roman"/>
          <w:sz w:val="28"/>
          <w:szCs w:val="28"/>
          <w:highlight w:val="none"/>
          <w:vertAlign w:val="subscript"/>
        </w:rPr>
        <w:t>TNT</w:t>
      </w:r>
    </w:p>
    <w:p w14:paraId="4E1B791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式中：W</w:t>
      </w:r>
      <w:r>
        <w:rPr>
          <w:rFonts w:hint="default" w:ascii="Times New Roman" w:hAnsi="Times New Roman" w:eastAsia="宋体" w:cs="Times New Roman"/>
          <w:sz w:val="28"/>
          <w:szCs w:val="28"/>
          <w:highlight w:val="none"/>
          <w:vertAlign w:val="subscript"/>
        </w:rPr>
        <w:t>TNT</w:t>
      </w:r>
      <w:r>
        <w:rPr>
          <w:rFonts w:hint="default" w:ascii="Times New Roman" w:hAnsi="Times New Roman" w:eastAsia="宋体" w:cs="Times New Roman"/>
          <w:sz w:val="28"/>
          <w:szCs w:val="28"/>
          <w:highlight w:val="none"/>
        </w:rPr>
        <w:t>——蒸气云的TNT当量，kg；</w:t>
      </w:r>
    </w:p>
    <w:p w14:paraId="62CB26D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 xml:space="preserve">      β——地面爆炸系数，取β=1.8； </w:t>
      </w:r>
    </w:p>
    <w:p w14:paraId="7BE092D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 xml:space="preserve">      A——蒸气云的TNT当量系数，A=4%； </w:t>
      </w:r>
    </w:p>
    <w:p w14:paraId="0B812C8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      W</w:t>
      </w:r>
      <w:r>
        <w:rPr>
          <w:rFonts w:hint="default" w:ascii="Times New Roman" w:hAnsi="Times New Roman" w:eastAsia="宋体" w:cs="Times New Roman"/>
          <w:sz w:val="28"/>
          <w:szCs w:val="28"/>
          <w:highlight w:val="none"/>
          <w:vertAlign w:val="subscript"/>
        </w:rPr>
        <w:t>f</w:t>
      </w:r>
      <w:r>
        <w:rPr>
          <w:rFonts w:hint="default" w:ascii="Times New Roman" w:hAnsi="Times New Roman" w:eastAsia="宋体" w:cs="Times New Roman"/>
          <w:sz w:val="28"/>
          <w:szCs w:val="28"/>
          <w:highlight w:val="none"/>
        </w:rPr>
        <w:t xml:space="preserve">——蒸气云中燃料的总质量：kg； </w:t>
      </w:r>
    </w:p>
    <w:p w14:paraId="3003456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      Q</w:t>
      </w:r>
      <w:r>
        <w:rPr>
          <w:rFonts w:hint="default" w:ascii="Times New Roman" w:hAnsi="Times New Roman" w:eastAsia="宋体" w:cs="Times New Roman"/>
          <w:sz w:val="28"/>
          <w:szCs w:val="28"/>
          <w:highlight w:val="none"/>
          <w:vertAlign w:val="subscript"/>
        </w:rPr>
        <w:t>f</w:t>
      </w:r>
      <w:r>
        <w:rPr>
          <w:rFonts w:hint="default" w:ascii="Times New Roman" w:hAnsi="Times New Roman" w:eastAsia="宋体" w:cs="Times New Roman"/>
          <w:sz w:val="28"/>
          <w:szCs w:val="28"/>
          <w:highlight w:val="none"/>
        </w:rPr>
        <w:t xml:space="preserve">——燃料的燃烧热，kJ/kg； </w:t>
      </w:r>
    </w:p>
    <w:p w14:paraId="385AD67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      Q</w:t>
      </w:r>
      <w:r>
        <w:rPr>
          <w:rFonts w:hint="default" w:ascii="Times New Roman" w:hAnsi="Times New Roman" w:eastAsia="宋体" w:cs="Times New Roman"/>
          <w:sz w:val="28"/>
          <w:szCs w:val="28"/>
          <w:highlight w:val="none"/>
          <w:vertAlign w:val="subscript"/>
        </w:rPr>
        <w:t>TNT</w:t>
      </w:r>
      <w:r>
        <w:rPr>
          <w:rFonts w:hint="default" w:ascii="Times New Roman" w:hAnsi="Times New Roman" w:eastAsia="宋体" w:cs="Times New Roman"/>
          <w:sz w:val="28"/>
          <w:szCs w:val="28"/>
          <w:highlight w:val="none"/>
        </w:rPr>
        <w:t>——TNT的爆热，Q</w:t>
      </w:r>
      <w:r>
        <w:rPr>
          <w:rFonts w:hint="default" w:ascii="Times New Roman" w:hAnsi="Times New Roman" w:eastAsia="宋体" w:cs="Times New Roman"/>
          <w:sz w:val="28"/>
          <w:szCs w:val="28"/>
          <w:highlight w:val="none"/>
          <w:vertAlign w:val="subscript"/>
        </w:rPr>
        <w:t>TNT</w:t>
      </w:r>
      <w:r>
        <w:rPr>
          <w:rFonts w:hint="default" w:ascii="Times New Roman" w:hAnsi="Times New Roman" w:eastAsia="宋体" w:cs="Times New Roman"/>
          <w:sz w:val="28"/>
          <w:szCs w:val="28"/>
          <w:highlight w:val="none"/>
        </w:rPr>
        <w:t xml:space="preserve">=4520kJ/kg。 </w:t>
      </w:r>
    </w:p>
    <w:p w14:paraId="1EEC85E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以乙醇汽油储罐蒸汽云爆炸的TNT当量计算为例：</w:t>
      </w:r>
    </w:p>
    <w:p w14:paraId="36881C3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本项目一个埋地乙醇汽油罐储存的质量为</w:t>
      </w:r>
      <w:r>
        <w:rPr>
          <w:rFonts w:hint="eastAsia" w:ascii="Times New Roman" w:hAnsi="Times New Roman" w:eastAsia="宋体" w:cs="Times New Roman"/>
          <w:sz w:val="28"/>
          <w:szCs w:val="28"/>
          <w:highlight w:val="none"/>
          <w:lang w:val="en-US" w:eastAsia="zh-CN"/>
        </w:rPr>
        <w:t>24</w:t>
      </w:r>
      <w:r>
        <w:rPr>
          <w:rFonts w:hint="default" w:ascii="Times New Roman" w:hAnsi="Times New Roman" w:eastAsia="宋体" w:cs="Times New Roman"/>
          <w:sz w:val="28"/>
          <w:szCs w:val="28"/>
          <w:highlight w:val="none"/>
        </w:rPr>
        <w:t>t，假设参加蒸气云爆炸的量为10%，则W</w:t>
      </w:r>
      <w:r>
        <w:rPr>
          <w:rFonts w:hint="default" w:ascii="Times New Roman" w:hAnsi="Times New Roman" w:eastAsia="宋体" w:cs="Times New Roman"/>
          <w:sz w:val="28"/>
          <w:szCs w:val="28"/>
          <w:highlight w:val="none"/>
          <w:vertAlign w:val="subscript"/>
        </w:rPr>
        <w:t>f</w:t>
      </w:r>
      <w:r>
        <w:rPr>
          <w:rFonts w:hint="default" w:ascii="Times New Roman" w:hAnsi="Times New Roman" w:eastAsia="宋体" w:cs="Times New Roman"/>
          <w:sz w:val="28"/>
          <w:szCs w:val="28"/>
          <w:highlight w:val="none"/>
        </w:rPr>
        <w:t>=</w:t>
      </w:r>
      <w:r>
        <w:rPr>
          <w:rFonts w:hint="eastAsia" w:ascii="Times New Roman" w:hAnsi="Times New Roman" w:eastAsia="宋体" w:cs="Times New Roman"/>
          <w:sz w:val="28"/>
          <w:szCs w:val="28"/>
          <w:highlight w:val="none"/>
          <w:lang w:val="en-US" w:eastAsia="zh-CN"/>
        </w:rPr>
        <w:t>2.4</w:t>
      </w:r>
      <w:r>
        <w:rPr>
          <w:rFonts w:hint="default" w:ascii="Times New Roman" w:hAnsi="Times New Roman" w:eastAsia="宋体" w:cs="Times New Roman"/>
          <w:sz w:val="28"/>
          <w:szCs w:val="28"/>
          <w:highlight w:val="none"/>
        </w:rPr>
        <w:t>t。</w:t>
      </w:r>
    </w:p>
    <w:p w14:paraId="17E5722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W</w:t>
      </w:r>
      <w:r>
        <w:rPr>
          <w:rFonts w:hint="default" w:ascii="Times New Roman" w:hAnsi="Times New Roman" w:eastAsia="宋体" w:cs="Times New Roman"/>
          <w:sz w:val="28"/>
          <w:szCs w:val="28"/>
          <w:highlight w:val="none"/>
          <w:vertAlign w:val="subscript"/>
        </w:rPr>
        <w:t>TNT</w:t>
      </w:r>
      <w:r>
        <w:rPr>
          <w:rFonts w:hint="default" w:ascii="Times New Roman" w:hAnsi="Times New Roman" w:eastAsia="宋体" w:cs="Times New Roman"/>
          <w:sz w:val="28"/>
          <w:szCs w:val="28"/>
          <w:highlight w:val="none"/>
        </w:rPr>
        <w:t>=βAW</w:t>
      </w:r>
      <w:r>
        <w:rPr>
          <w:rFonts w:hint="default" w:ascii="Times New Roman" w:hAnsi="Times New Roman" w:eastAsia="宋体" w:cs="Times New Roman"/>
          <w:sz w:val="28"/>
          <w:szCs w:val="28"/>
          <w:highlight w:val="none"/>
          <w:vertAlign w:val="subscript"/>
        </w:rPr>
        <w:t>f</w:t>
      </w:r>
      <w:r>
        <w:rPr>
          <w:rFonts w:hint="default" w:ascii="Times New Roman" w:hAnsi="Times New Roman" w:eastAsia="宋体" w:cs="Times New Roman"/>
          <w:sz w:val="28"/>
          <w:szCs w:val="28"/>
          <w:highlight w:val="none"/>
        </w:rPr>
        <w:t>Q</w:t>
      </w:r>
      <w:r>
        <w:rPr>
          <w:rFonts w:hint="default" w:ascii="Times New Roman" w:hAnsi="Times New Roman" w:eastAsia="宋体" w:cs="Times New Roman"/>
          <w:sz w:val="28"/>
          <w:szCs w:val="28"/>
          <w:highlight w:val="none"/>
          <w:vertAlign w:val="subscript"/>
        </w:rPr>
        <w:t>f</w:t>
      </w:r>
      <w:r>
        <w:rPr>
          <w:rFonts w:hint="default" w:ascii="Times New Roman" w:hAnsi="Times New Roman" w:eastAsia="宋体" w:cs="Times New Roman"/>
          <w:sz w:val="28"/>
          <w:szCs w:val="28"/>
          <w:highlight w:val="none"/>
        </w:rPr>
        <w:t>/Q</w:t>
      </w:r>
      <w:r>
        <w:rPr>
          <w:rFonts w:hint="default" w:ascii="Times New Roman" w:hAnsi="Times New Roman" w:eastAsia="宋体" w:cs="Times New Roman"/>
          <w:sz w:val="28"/>
          <w:szCs w:val="28"/>
          <w:highlight w:val="none"/>
          <w:vertAlign w:val="subscript"/>
        </w:rPr>
        <w:t>TNT</w:t>
      </w:r>
      <w:r>
        <w:rPr>
          <w:rFonts w:hint="default" w:ascii="Times New Roman" w:hAnsi="Times New Roman" w:eastAsia="宋体" w:cs="Times New Roman"/>
          <w:sz w:val="28"/>
          <w:szCs w:val="28"/>
          <w:highlight w:val="none"/>
        </w:rPr>
        <w:t xml:space="preserve"> =1.8×0.04×</w:t>
      </w:r>
      <w:r>
        <w:rPr>
          <w:rFonts w:hint="eastAsia" w:ascii="Times New Roman" w:hAnsi="Times New Roman" w:eastAsia="宋体" w:cs="Times New Roman"/>
          <w:sz w:val="28"/>
          <w:szCs w:val="28"/>
          <w:highlight w:val="none"/>
          <w:lang w:val="en-US" w:eastAsia="zh-CN"/>
        </w:rPr>
        <w:t>2.4</w:t>
      </w:r>
      <w:r>
        <w:rPr>
          <w:rFonts w:hint="default" w:ascii="Times New Roman" w:hAnsi="Times New Roman" w:eastAsia="宋体" w:cs="Times New Roman"/>
          <w:sz w:val="28"/>
          <w:szCs w:val="28"/>
          <w:highlight w:val="none"/>
        </w:rPr>
        <w:t>×10</w:t>
      </w:r>
      <w:r>
        <w:rPr>
          <w:rFonts w:hint="default" w:ascii="Times New Roman" w:hAnsi="Times New Roman" w:eastAsia="宋体" w:cs="Times New Roman"/>
          <w:sz w:val="28"/>
          <w:szCs w:val="28"/>
          <w:highlight w:val="none"/>
          <w:vertAlign w:val="superscript"/>
        </w:rPr>
        <w:t>3</w:t>
      </w:r>
      <w:r>
        <w:rPr>
          <w:rFonts w:hint="default" w:ascii="Times New Roman" w:hAnsi="Times New Roman" w:eastAsia="宋体" w:cs="Times New Roman"/>
          <w:sz w:val="28"/>
          <w:szCs w:val="28"/>
          <w:highlight w:val="none"/>
        </w:rPr>
        <w:t>×45980/4520</w:t>
      </w:r>
    </w:p>
    <w:p w14:paraId="2FC22AB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w:t>
      </w:r>
      <w:r>
        <w:rPr>
          <w:rFonts w:hint="eastAsia" w:ascii="Times New Roman" w:hAnsi="Times New Roman" w:eastAsia="宋体" w:cs="Times New Roman"/>
          <w:sz w:val="28"/>
          <w:szCs w:val="28"/>
          <w:highlight w:val="none"/>
          <w:lang w:val="en-US" w:eastAsia="zh-CN"/>
        </w:rPr>
        <w:t>1757</w:t>
      </w:r>
      <w:r>
        <w:rPr>
          <w:rFonts w:hint="default" w:ascii="Times New Roman" w:hAnsi="Times New Roman" w:eastAsia="宋体" w:cs="Times New Roman"/>
          <w:sz w:val="28"/>
          <w:szCs w:val="28"/>
          <w:highlight w:val="none"/>
        </w:rPr>
        <w:t>.8</w:t>
      </w:r>
      <w:r>
        <w:rPr>
          <w:rFonts w:hint="eastAsia" w:ascii="Times New Roman" w:hAnsi="Times New Roman" w:eastAsia="宋体" w:cs="Times New Roman"/>
          <w:sz w:val="28"/>
          <w:szCs w:val="28"/>
          <w:highlight w:val="none"/>
          <w:lang w:val="en-US" w:eastAsia="zh-CN"/>
        </w:rPr>
        <w:t>2</w:t>
      </w:r>
      <w:r>
        <w:rPr>
          <w:rFonts w:hint="default" w:ascii="Times New Roman" w:hAnsi="Times New Roman" w:eastAsia="宋体" w:cs="Times New Roman"/>
          <w:sz w:val="28"/>
          <w:szCs w:val="28"/>
          <w:highlight w:val="none"/>
        </w:rPr>
        <w:t>kg</w:t>
      </w:r>
    </w:p>
    <w:p w14:paraId="5728B3D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相当于梯恩梯（TNT）的摩尔量：1</w:t>
      </w:r>
      <w:r>
        <w:rPr>
          <w:rFonts w:hint="eastAsia" w:ascii="Times New Roman" w:hAnsi="Times New Roman" w:eastAsia="宋体" w:cs="Times New Roman"/>
          <w:sz w:val="28"/>
          <w:szCs w:val="28"/>
          <w:highlight w:val="none"/>
          <w:lang w:val="en-US" w:eastAsia="zh-CN"/>
        </w:rPr>
        <w:t>757.82</w:t>
      </w:r>
      <w:r>
        <w:rPr>
          <w:rFonts w:hint="default" w:ascii="Times New Roman" w:hAnsi="Times New Roman" w:eastAsia="宋体" w:cs="Times New Roman"/>
          <w:sz w:val="28"/>
          <w:szCs w:val="28"/>
          <w:highlight w:val="none"/>
        </w:rPr>
        <w:t>/227=</w:t>
      </w:r>
      <w:r>
        <w:rPr>
          <w:rFonts w:hint="eastAsia" w:ascii="Times New Roman" w:hAnsi="Times New Roman" w:eastAsia="宋体" w:cs="Times New Roman"/>
          <w:sz w:val="28"/>
          <w:szCs w:val="28"/>
          <w:highlight w:val="none"/>
          <w:lang w:val="en-US" w:eastAsia="zh-CN"/>
        </w:rPr>
        <w:t>7.74</w:t>
      </w:r>
      <w:r>
        <w:rPr>
          <w:rFonts w:hint="default" w:ascii="Times New Roman" w:hAnsi="Times New Roman" w:eastAsia="宋体" w:cs="Times New Roman"/>
          <w:sz w:val="28"/>
          <w:szCs w:val="28"/>
          <w:highlight w:val="none"/>
        </w:rPr>
        <w:t>kmol</w:t>
      </w:r>
    </w:p>
    <w:p w14:paraId="5016D70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死亡半径计算根据超压-冲量准则和概率模型得出的死亡半径公式R</w:t>
      </w:r>
      <w:r>
        <w:rPr>
          <w:rFonts w:hint="default" w:ascii="Times New Roman" w:hAnsi="Times New Roman" w:eastAsia="宋体" w:cs="Times New Roman"/>
          <w:sz w:val="28"/>
          <w:szCs w:val="28"/>
          <w:highlight w:val="none"/>
          <w:vertAlign w:val="subscript"/>
        </w:rPr>
        <w:t>0.5=</w:t>
      </w:r>
      <w:r>
        <w:rPr>
          <w:rFonts w:hint="default" w:ascii="Times New Roman" w:hAnsi="Times New Roman" w:eastAsia="宋体" w:cs="Times New Roman"/>
          <w:sz w:val="28"/>
          <w:szCs w:val="28"/>
          <w:highlight w:val="none"/>
        </w:rPr>
        <w:t>13.6(W</w:t>
      </w:r>
      <w:r>
        <w:rPr>
          <w:rFonts w:hint="default" w:ascii="Times New Roman" w:hAnsi="Times New Roman" w:eastAsia="宋体" w:cs="Times New Roman"/>
          <w:sz w:val="28"/>
          <w:szCs w:val="28"/>
          <w:highlight w:val="none"/>
          <w:vertAlign w:val="subscript"/>
        </w:rPr>
        <w:t>TNT</w:t>
      </w:r>
      <w:r>
        <w:rPr>
          <w:rFonts w:hint="default" w:ascii="Times New Roman" w:hAnsi="Times New Roman" w:eastAsia="宋体" w:cs="Times New Roman"/>
          <w:sz w:val="28"/>
          <w:szCs w:val="28"/>
          <w:highlight w:val="none"/>
        </w:rPr>
        <w:t> /1000)</w:t>
      </w:r>
      <w:r>
        <w:rPr>
          <w:rFonts w:hint="default" w:ascii="Times New Roman" w:hAnsi="Times New Roman" w:eastAsia="宋体" w:cs="Times New Roman"/>
          <w:sz w:val="28"/>
          <w:szCs w:val="28"/>
          <w:highlight w:val="none"/>
          <w:vertAlign w:val="superscript"/>
        </w:rPr>
        <w:t>0.37</w:t>
      </w:r>
    </w:p>
    <w:p w14:paraId="62689CE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R</w:t>
      </w:r>
      <w:r>
        <w:rPr>
          <w:rFonts w:hint="default" w:ascii="Times New Roman" w:hAnsi="Times New Roman" w:eastAsia="宋体" w:cs="Times New Roman"/>
          <w:sz w:val="28"/>
          <w:szCs w:val="28"/>
          <w:highlight w:val="none"/>
          <w:vertAlign w:val="subscript"/>
        </w:rPr>
        <w:t>0.5</w:t>
      </w:r>
      <w:r>
        <w:rPr>
          <w:rFonts w:hint="default" w:ascii="Times New Roman" w:hAnsi="Times New Roman" w:eastAsia="宋体" w:cs="Times New Roman"/>
          <w:sz w:val="28"/>
          <w:szCs w:val="28"/>
          <w:highlight w:val="none"/>
        </w:rPr>
        <w:t>=13.6(W</w:t>
      </w:r>
      <w:r>
        <w:rPr>
          <w:rFonts w:hint="default" w:ascii="Times New Roman" w:hAnsi="Times New Roman" w:eastAsia="宋体" w:cs="Times New Roman"/>
          <w:sz w:val="28"/>
          <w:szCs w:val="28"/>
          <w:highlight w:val="none"/>
          <w:vertAlign w:val="subscript"/>
        </w:rPr>
        <w:t>TNT</w:t>
      </w:r>
      <w:r>
        <w:rPr>
          <w:rFonts w:hint="default" w:ascii="Times New Roman" w:hAnsi="Times New Roman" w:eastAsia="宋体" w:cs="Times New Roman"/>
          <w:sz w:val="28"/>
          <w:szCs w:val="28"/>
          <w:highlight w:val="none"/>
        </w:rPr>
        <w:t> /1000)</w:t>
      </w:r>
      <w:r>
        <w:rPr>
          <w:rFonts w:hint="default" w:ascii="Times New Roman" w:hAnsi="Times New Roman" w:eastAsia="宋体" w:cs="Times New Roman"/>
          <w:sz w:val="28"/>
          <w:szCs w:val="28"/>
          <w:highlight w:val="none"/>
          <w:vertAlign w:val="superscript"/>
        </w:rPr>
        <w:t>0.37</w:t>
      </w:r>
      <w:r>
        <w:rPr>
          <w:rFonts w:hint="default" w:ascii="Times New Roman" w:hAnsi="Times New Roman" w:eastAsia="宋体" w:cs="Times New Roman"/>
          <w:sz w:val="28"/>
          <w:szCs w:val="28"/>
          <w:highlight w:val="none"/>
        </w:rPr>
        <w:t>=13.6(</w:t>
      </w:r>
      <w:r>
        <w:rPr>
          <w:rFonts w:hint="eastAsia" w:ascii="Times New Roman" w:hAnsi="Times New Roman" w:eastAsia="宋体" w:cs="Times New Roman"/>
          <w:sz w:val="28"/>
          <w:szCs w:val="28"/>
          <w:highlight w:val="none"/>
          <w:lang w:val="en-US" w:eastAsia="zh-CN"/>
        </w:rPr>
        <w:t>1757.82</w:t>
      </w:r>
      <w:r>
        <w:rPr>
          <w:rFonts w:hint="default" w:ascii="Times New Roman" w:hAnsi="Times New Roman" w:eastAsia="宋体" w:cs="Times New Roman"/>
          <w:sz w:val="28"/>
          <w:szCs w:val="28"/>
          <w:highlight w:val="none"/>
        </w:rPr>
        <w:t>/1000)</w:t>
      </w:r>
      <w:r>
        <w:rPr>
          <w:rFonts w:hint="default" w:ascii="Times New Roman" w:hAnsi="Times New Roman" w:eastAsia="宋体" w:cs="Times New Roman"/>
          <w:sz w:val="28"/>
          <w:szCs w:val="28"/>
          <w:highlight w:val="none"/>
          <w:vertAlign w:val="superscript"/>
        </w:rPr>
        <w:t>0.37</w:t>
      </w:r>
      <w:r>
        <w:rPr>
          <w:rFonts w:hint="default" w:ascii="Times New Roman" w:hAnsi="Times New Roman" w:eastAsia="宋体" w:cs="Times New Roman"/>
          <w:sz w:val="28"/>
          <w:szCs w:val="28"/>
          <w:highlight w:val="none"/>
        </w:rPr>
        <w:t>=</w:t>
      </w:r>
      <w:r>
        <w:rPr>
          <w:rFonts w:hint="eastAsia" w:ascii="Times New Roman" w:hAnsi="Times New Roman" w:eastAsia="宋体" w:cs="Times New Roman"/>
          <w:sz w:val="28"/>
          <w:szCs w:val="28"/>
          <w:highlight w:val="none"/>
          <w:lang w:val="en-US" w:eastAsia="zh-CN"/>
        </w:rPr>
        <w:t>16.76</w:t>
      </w:r>
      <w:r>
        <w:rPr>
          <w:rFonts w:hint="default" w:ascii="Times New Roman" w:hAnsi="Times New Roman" w:eastAsia="宋体" w:cs="Times New Roman"/>
          <w:sz w:val="28"/>
          <w:szCs w:val="28"/>
          <w:highlight w:val="none"/>
        </w:rPr>
        <w:t>m</w:t>
      </w:r>
    </w:p>
    <w:p w14:paraId="48574F3F">
      <w:pPr>
        <w:keepNext w:val="0"/>
        <w:keepLines w:val="0"/>
        <w:pageBreakBefore w:val="0"/>
        <w:widowControl w:val="0"/>
        <w:kinsoku/>
        <w:wordWrap/>
        <w:overflowPunct/>
        <w:topLinePunct w:val="0"/>
        <w:autoSpaceDE/>
        <w:autoSpaceDN/>
        <w:bidi w:val="0"/>
        <w:adjustRightInd w:val="0"/>
        <w:snapToGrid w:val="0"/>
        <w:spacing w:before="469" w:beforeLines="150" w:after="469" w:afterLines="150" w:line="360" w:lineRule="auto"/>
        <w:ind w:firstLine="0"/>
        <w:jc w:val="center"/>
        <w:textAlignment w:val="auto"/>
        <w:outlineLvl w:val="0"/>
        <w:rPr>
          <w:rFonts w:hint="default" w:ascii="Times New Roman" w:hAnsi="Times New Roman" w:eastAsia="黑体" w:cs="Times New Roman"/>
          <w:b/>
          <w:bCs/>
          <w:kern w:val="2"/>
          <w:sz w:val="32"/>
          <w:szCs w:val="32"/>
          <w:lang w:val="en-US" w:eastAsia="zh-CN" w:bidi="ar-SA"/>
        </w:rPr>
      </w:pPr>
      <w:r>
        <w:rPr>
          <w:rFonts w:hint="default" w:ascii="Times New Roman" w:hAnsi="Times New Roman" w:cs="Times New Roman"/>
          <w:sz w:val="28"/>
          <w:szCs w:val="28"/>
        </w:rPr>
        <w:br w:type="page"/>
      </w:r>
      <w:bookmarkStart w:id="490" w:name="_Toc410312021"/>
      <w:bookmarkStart w:id="491" w:name="_Toc410311944"/>
      <w:bookmarkStart w:id="492" w:name="_Toc16343"/>
      <w:bookmarkStart w:id="493" w:name="_Toc20141"/>
      <w:bookmarkStart w:id="494" w:name="_Toc41246778"/>
      <w:r>
        <w:rPr>
          <w:rFonts w:hint="default" w:ascii="Times New Roman" w:hAnsi="Times New Roman" w:eastAsia="黑体" w:cs="Times New Roman"/>
          <w:b/>
          <w:bCs w:val="0"/>
          <w:kern w:val="32"/>
          <w:sz w:val="32"/>
          <w:szCs w:val="32"/>
          <w:lang w:val="en-US" w:eastAsia="zh-CN" w:bidi="ar-SA"/>
        </w:rPr>
        <w:t>附</w:t>
      </w:r>
      <w:bookmarkEnd w:id="490"/>
      <w:bookmarkEnd w:id="491"/>
      <w:r>
        <w:rPr>
          <w:rFonts w:hint="default" w:ascii="Times New Roman" w:hAnsi="Times New Roman" w:eastAsia="黑体" w:cs="Times New Roman"/>
          <w:b/>
          <w:bCs w:val="0"/>
          <w:kern w:val="32"/>
          <w:sz w:val="32"/>
          <w:szCs w:val="32"/>
          <w:lang w:val="en-US" w:eastAsia="zh-CN" w:bidi="ar-SA"/>
        </w:rPr>
        <w:t>录F5报告附件目录</w:t>
      </w:r>
      <w:bookmarkEnd w:id="492"/>
      <w:bookmarkEnd w:id="493"/>
      <w:bookmarkEnd w:id="494"/>
    </w:p>
    <w:p w14:paraId="46157AEE">
      <w:pPr>
        <w:numPr>
          <w:ilvl w:val="0"/>
          <w:numId w:val="32"/>
        </w:numPr>
        <w:ind w:firstLine="560" w:firstLineChars="200"/>
        <w:rPr>
          <w:rFonts w:hint="default" w:ascii="Times New Roman" w:hAnsi="Times New Roman" w:cs="Times New Roman"/>
          <w:bCs/>
          <w:sz w:val="28"/>
          <w:szCs w:val="28"/>
        </w:rPr>
      </w:pPr>
      <w:bookmarkStart w:id="495" w:name="_Toc6886"/>
      <w:bookmarkStart w:id="496" w:name="OLE_LINK1"/>
      <w:r>
        <w:rPr>
          <w:rFonts w:hint="default" w:ascii="Times New Roman" w:hAnsi="Times New Roman" w:cs="Times New Roman"/>
          <w:bCs/>
          <w:sz w:val="28"/>
          <w:szCs w:val="28"/>
        </w:rPr>
        <w:t>营业执照</w:t>
      </w:r>
      <w:bookmarkEnd w:id="495"/>
    </w:p>
    <w:p w14:paraId="541468CE">
      <w:pPr>
        <w:numPr>
          <w:ilvl w:val="0"/>
          <w:numId w:val="32"/>
        </w:numPr>
        <w:ind w:firstLine="560" w:firstLineChars="200"/>
        <w:rPr>
          <w:rFonts w:hint="default" w:ascii="Times New Roman" w:hAnsi="Times New Roman" w:cs="Times New Roman"/>
          <w:bCs/>
          <w:sz w:val="28"/>
          <w:szCs w:val="28"/>
        </w:rPr>
      </w:pPr>
      <w:r>
        <w:rPr>
          <w:rFonts w:hint="eastAsia" w:cs="Times New Roman"/>
          <w:bCs/>
          <w:sz w:val="28"/>
          <w:szCs w:val="28"/>
          <w:lang w:val="en-US" w:eastAsia="zh-CN"/>
        </w:rPr>
        <w:t>土地证</w:t>
      </w:r>
    </w:p>
    <w:bookmarkEnd w:id="496"/>
    <w:p w14:paraId="421BCF02">
      <w:pPr>
        <w:numPr>
          <w:ilvl w:val="0"/>
          <w:numId w:val="32"/>
        </w:numPr>
        <w:ind w:left="0" w:leftChars="0" w:firstLine="560" w:firstLineChars="200"/>
        <w:rPr>
          <w:rFonts w:hint="default" w:ascii="Times New Roman" w:hAnsi="Times New Roman" w:cs="Times New Roman"/>
          <w:bCs/>
          <w:sz w:val="28"/>
          <w:szCs w:val="28"/>
        </w:rPr>
      </w:pPr>
      <w:r>
        <w:rPr>
          <w:rFonts w:hint="eastAsia" w:cs="Times New Roman"/>
          <w:bCs/>
          <w:sz w:val="28"/>
          <w:szCs w:val="28"/>
          <w:lang w:val="en-US" w:eastAsia="zh-CN"/>
        </w:rPr>
        <w:t>备案证明</w:t>
      </w:r>
    </w:p>
    <w:p w14:paraId="6F28DC93">
      <w:pPr>
        <w:numPr>
          <w:ilvl w:val="0"/>
          <w:numId w:val="32"/>
        </w:numPr>
        <w:ind w:left="0" w:leftChars="0" w:firstLine="560" w:firstLineChars="200"/>
        <w:rPr>
          <w:rFonts w:hint="default" w:ascii="Times New Roman" w:hAnsi="Times New Roman" w:cs="Times New Roman"/>
          <w:bCs/>
          <w:sz w:val="28"/>
          <w:szCs w:val="28"/>
        </w:rPr>
      </w:pPr>
      <w:r>
        <w:rPr>
          <w:rFonts w:hint="default" w:ascii="Times New Roman" w:hAnsi="Times New Roman" w:cs="Times New Roman"/>
          <w:bCs/>
          <w:sz w:val="28"/>
          <w:szCs w:val="28"/>
        </w:rPr>
        <w:t>总平面布置图</w:t>
      </w:r>
    </w:p>
    <w:p w14:paraId="3939FA39">
      <w:pPr>
        <w:numPr>
          <w:ilvl w:val="0"/>
          <w:numId w:val="32"/>
        </w:numPr>
        <w:ind w:left="0" w:leftChars="0" w:firstLine="560" w:firstLineChars="200"/>
        <w:rPr>
          <w:rFonts w:hint="default" w:ascii="Times New Roman" w:hAnsi="Times New Roman" w:cs="Times New Roman"/>
          <w:bCs/>
          <w:sz w:val="28"/>
          <w:szCs w:val="28"/>
        </w:rPr>
      </w:pPr>
      <w:r>
        <w:rPr>
          <w:rFonts w:hint="eastAsia" w:cs="Times New Roman"/>
          <w:bCs/>
          <w:sz w:val="28"/>
          <w:szCs w:val="28"/>
          <w:lang w:val="en-US" w:eastAsia="zh-CN"/>
        </w:rPr>
        <w:t>工艺管道及仪表流程图</w:t>
      </w:r>
    </w:p>
    <w:p w14:paraId="3380FB1F">
      <w:pPr>
        <w:numPr>
          <w:ilvl w:val="0"/>
          <w:numId w:val="32"/>
        </w:numPr>
        <w:ind w:left="0" w:leftChars="0" w:firstLine="560" w:firstLineChars="200"/>
        <w:rPr>
          <w:rFonts w:hint="default" w:ascii="Times New Roman" w:hAnsi="Times New Roman" w:cs="Times New Roman"/>
          <w:bCs/>
          <w:sz w:val="28"/>
          <w:szCs w:val="28"/>
        </w:rPr>
      </w:pPr>
      <w:r>
        <w:rPr>
          <w:rFonts w:hint="eastAsia" w:cs="Times New Roman"/>
          <w:bCs/>
          <w:sz w:val="28"/>
          <w:szCs w:val="28"/>
          <w:lang w:val="en-US" w:eastAsia="zh-CN"/>
        </w:rPr>
        <w:t>爆炸危险区域等级及范围划分平面图</w:t>
      </w:r>
    </w:p>
    <w:p w14:paraId="11818376">
      <w:pPr>
        <w:numPr>
          <w:ilvl w:val="0"/>
          <w:numId w:val="32"/>
        </w:numPr>
        <w:ind w:left="0" w:leftChars="0" w:firstLine="560" w:firstLineChars="200"/>
        <w:rPr>
          <w:rFonts w:hint="default" w:ascii="Times New Roman" w:hAnsi="Times New Roman" w:cs="Times New Roman"/>
          <w:bCs/>
          <w:sz w:val="28"/>
          <w:szCs w:val="28"/>
        </w:rPr>
      </w:pPr>
      <w:r>
        <w:rPr>
          <w:rFonts w:hint="eastAsia" w:cs="Times New Roman"/>
          <w:bCs/>
          <w:sz w:val="28"/>
          <w:szCs w:val="28"/>
          <w:lang w:val="en-US" w:eastAsia="zh-CN"/>
        </w:rPr>
        <w:t>评审意见</w:t>
      </w:r>
    </w:p>
    <w:p w14:paraId="5BA91545">
      <w:pPr>
        <w:numPr>
          <w:ilvl w:val="0"/>
          <w:numId w:val="32"/>
        </w:numPr>
        <w:ind w:left="0" w:leftChars="0" w:firstLine="560" w:firstLineChars="200"/>
        <w:rPr>
          <w:rFonts w:hint="default" w:ascii="Times New Roman" w:hAnsi="Times New Roman" w:cs="Times New Roman"/>
          <w:bCs/>
          <w:sz w:val="28"/>
          <w:szCs w:val="28"/>
        </w:rPr>
      </w:pPr>
      <w:r>
        <w:rPr>
          <w:rFonts w:hint="eastAsia" w:cs="Times New Roman"/>
          <w:bCs/>
          <w:sz w:val="28"/>
          <w:szCs w:val="28"/>
          <w:lang w:val="en-US" w:eastAsia="zh-CN"/>
        </w:rPr>
        <w:t>报告修改说明</w:t>
      </w:r>
    </w:p>
    <w:p w14:paraId="33CEC36E">
      <w:pPr>
        <w:rPr>
          <w:rFonts w:hint="default" w:ascii="Times New Roman" w:hAnsi="Times New Roman" w:cs="Times New Roman"/>
        </w:rPr>
      </w:pPr>
    </w:p>
    <w:p w14:paraId="58F5FC9A">
      <w:pPr>
        <w:rPr>
          <w:rFonts w:hint="default" w:ascii="Times New Roman" w:hAnsi="Times New Roman" w:cs="Times New Roman"/>
        </w:rPr>
      </w:pPr>
    </w:p>
    <w:p w14:paraId="7D521CAF">
      <w:pPr>
        <w:pStyle w:val="5"/>
        <w:rPr>
          <w:rFonts w:hint="default" w:ascii="Times New Roman" w:hAnsi="Times New Roman" w:cs="Times New Roman"/>
        </w:rPr>
      </w:pPr>
    </w:p>
    <w:p w14:paraId="59BCDF3D">
      <w:pPr>
        <w:pStyle w:val="5"/>
        <w:rPr>
          <w:rFonts w:hint="default" w:ascii="Times New Roman" w:hAnsi="Times New Roman" w:cs="Times New Roman"/>
        </w:rPr>
      </w:pPr>
    </w:p>
    <w:p w14:paraId="609E395A">
      <w:pPr>
        <w:pStyle w:val="5"/>
        <w:rPr>
          <w:rFonts w:hint="default" w:ascii="Times New Roman" w:hAnsi="Times New Roman" w:cs="Times New Roman"/>
        </w:rPr>
      </w:pPr>
    </w:p>
    <w:p w14:paraId="1889D580">
      <w:pPr>
        <w:pStyle w:val="5"/>
        <w:rPr>
          <w:rFonts w:hint="default" w:ascii="Times New Roman" w:hAnsi="Times New Roman" w:cs="Times New Roman"/>
        </w:rPr>
      </w:pPr>
    </w:p>
    <w:p w14:paraId="53F785B6">
      <w:pPr>
        <w:pStyle w:val="5"/>
        <w:rPr>
          <w:rFonts w:hint="default" w:ascii="Times New Roman" w:hAnsi="Times New Roman" w:cs="Times New Roman"/>
        </w:rPr>
      </w:pPr>
    </w:p>
    <w:p w14:paraId="5467C1CC">
      <w:pPr>
        <w:pStyle w:val="5"/>
        <w:rPr>
          <w:rFonts w:hint="default" w:ascii="Times New Roman" w:hAnsi="Times New Roman" w:cs="Times New Roman"/>
        </w:rPr>
      </w:pPr>
    </w:p>
    <w:p w14:paraId="618F62B1">
      <w:pPr>
        <w:rPr>
          <w:rFonts w:hint="default" w:ascii="Times New Roman" w:hAnsi="Times New Roman" w:cs="Times New Roman"/>
        </w:rPr>
      </w:pPr>
    </w:p>
    <w:sectPr>
      <w:footerReference r:id="rId9" w:type="default"/>
      <w:pgSz w:w="11906" w:h="16838"/>
      <w:pgMar w:top="1417" w:right="1134" w:bottom="1134" w:left="158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13471">
    <w:pPr>
      <w:pStyle w:val="8"/>
      <w:jc w:val="right"/>
    </w:pPr>
  </w:p>
  <w:p w14:paraId="1970B9FF">
    <w:pPr>
      <w:pStyle w:val="8"/>
      <w:pBdr>
        <w:top w:val="none" w:color="auto" w:sz="0" w:space="1"/>
      </w:pBdr>
      <w:wordWrap w:val="0"/>
      <w:spacing w:line="300"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5D511">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77C6B">
    <w:pPr>
      <w:pStyle w:val="8"/>
      <w:pBdr>
        <w:top w:val="single" w:color="auto" w:sz="4" w:space="1"/>
      </w:pBdr>
      <w:wordWrap w:val="0"/>
      <w:spacing w:line="300" w:lineRule="exac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626986">
                          <w:pPr>
                            <w:pStyle w:val="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1626986">
                    <w:pPr>
                      <w:pStyle w:val="8"/>
                    </w:pPr>
                    <w:r>
                      <w:fldChar w:fldCharType="begin"/>
                    </w:r>
                    <w:r>
                      <w:instrText xml:space="preserve"> PAGE  \* MERGEFORMAT </w:instrText>
                    </w:r>
                    <w:r>
                      <w:fldChar w:fldCharType="separate"/>
                    </w:r>
                    <w:r>
                      <w:t>8</w:t>
                    </w:r>
                    <w:r>
                      <w:fldChar w:fldCharType="end"/>
                    </w:r>
                  </w:p>
                </w:txbxContent>
              </v:textbox>
            </v:shape>
          </w:pict>
        </mc:Fallback>
      </mc:AlternateContent>
    </w:r>
    <w:r>
      <w:rPr>
        <w:rFonts w:hint="eastAsia"/>
      </w:rPr>
      <w:drawing>
        <wp:inline distT="0" distB="0" distL="114300" distR="114300">
          <wp:extent cx="361315" cy="136525"/>
          <wp:effectExtent l="0" t="0" r="0" b="15875"/>
          <wp:docPr id="173"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sz w:val="21"/>
        <w:szCs w:val="21"/>
      </w:rPr>
      <w:t>辽宁诺诚安全科技有限公司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9CD9E">
    <w:pPr>
      <w:pStyle w:val="8"/>
      <w:pBdr>
        <w:top w:val="single" w:color="auto" w:sz="4" w:space="1"/>
      </w:pBdr>
      <w:wordWrap w:val="0"/>
      <w:spacing w:line="300" w:lineRule="exact"/>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7ECA6">
                          <w:pPr>
                            <w:pStyle w:val="8"/>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E27ECA6">
                    <w:pPr>
                      <w:pStyle w:val="8"/>
                    </w:pPr>
                    <w:r>
                      <w:fldChar w:fldCharType="begin"/>
                    </w:r>
                    <w:r>
                      <w:instrText xml:space="preserve"> PAGE  \* MERGEFORMAT </w:instrText>
                    </w:r>
                    <w:r>
                      <w:fldChar w:fldCharType="separate"/>
                    </w:r>
                    <w:r>
                      <w:t>19</w:t>
                    </w:r>
                    <w:r>
                      <w:fldChar w:fldCharType="end"/>
                    </w:r>
                  </w:p>
                </w:txbxContent>
              </v:textbox>
            </v:shape>
          </w:pict>
        </mc:Fallback>
      </mc:AlternateContent>
    </w:r>
    <w:r>
      <w:rPr>
        <w:rFonts w:hint="eastAsia"/>
      </w:rPr>
      <w:drawing>
        <wp:inline distT="0" distB="0" distL="114300" distR="114300">
          <wp:extent cx="361315" cy="136525"/>
          <wp:effectExtent l="0" t="0" r="0" b="15875"/>
          <wp:docPr id="74"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sz w:val="21"/>
        <w:szCs w:val="21"/>
      </w:rPr>
      <w:t>辽宁诺诚安全科技有限公司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B1942">
    <w:pPr>
      <w:pStyle w:val="8"/>
      <w:jc w:val="right"/>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F2ACF">
                          <w:pPr>
                            <w:pStyle w:val="8"/>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9F2ACF">
                    <w:pPr>
                      <w:pStyle w:val="8"/>
                    </w:pPr>
                    <w:r>
                      <w:fldChar w:fldCharType="begin"/>
                    </w:r>
                    <w:r>
                      <w:instrText xml:space="preserve"> PAGE  \* MERGEFORMAT </w:instrText>
                    </w:r>
                    <w:r>
                      <w:fldChar w:fldCharType="separate"/>
                    </w:r>
                    <w:r>
                      <w:t>94</w:t>
                    </w:r>
                    <w:r>
                      <w:fldChar w:fldCharType="end"/>
                    </w:r>
                  </w:p>
                </w:txbxContent>
              </v:textbox>
            </v:shape>
          </w:pict>
        </mc:Fallback>
      </mc:AlternateContent>
    </w:r>
  </w:p>
  <w:p w14:paraId="13099C80">
    <w:pPr>
      <w:pStyle w:val="8"/>
      <w:pBdr>
        <w:top w:val="single" w:color="auto" w:sz="4" w:space="1"/>
      </w:pBdr>
      <w:wordWrap w:val="0"/>
      <w:spacing w:line="300" w:lineRule="exact"/>
    </w:pPr>
    <w:r>
      <w:rPr>
        <w:rFonts w:hint="eastAsia"/>
      </w:rPr>
      <w:drawing>
        <wp:inline distT="0" distB="0" distL="114300" distR="114300">
          <wp:extent cx="361315" cy="136525"/>
          <wp:effectExtent l="0" t="0" r="0" b="15875"/>
          <wp:docPr id="143"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sz w:val="21"/>
        <w:szCs w:val="21"/>
      </w:rPr>
      <w:t>辽宁诺诚安全科技有限公司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7537E">
    <w:pPr>
      <w:pStyle w:val="9"/>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CFF85">
    <w:pPr>
      <w:pBdr>
        <w:bottom w:val="single" w:color="auto" w:sz="4" w:space="1"/>
      </w:pBdr>
      <w:jc w:val="center"/>
      <w:rPr>
        <w:rFonts w:hint="eastAsia" w:ascii="楷体" w:hAnsi="楷体" w:eastAsia="楷体"/>
        <w:szCs w:val="21"/>
        <w:lang w:val="en-US" w:eastAsia="zh-CN"/>
      </w:rPr>
    </w:pPr>
    <w:r>
      <w:rPr>
        <w:rFonts w:hint="eastAsia" w:ascii="楷体" w:hAnsi="楷体" w:eastAsia="楷体"/>
        <w:szCs w:val="21"/>
        <w:lang w:val="en-US" w:eastAsia="zh-CN"/>
      </w:rPr>
      <w:t>中国石化销售股份有限公司辽宁葫芦岛石油分公司海飞路加能站新建项目（加油部分）</w:t>
    </w:r>
  </w:p>
  <w:p w14:paraId="2C4FF795">
    <w:pPr>
      <w:pBdr>
        <w:bottom w:val="single" w:color="auto" w:sz="4" w:space="1"/>
      </w:pBdr>
      <w:jc w:val="center"/>
      <w:rPr>
        <w:rFonts w:hint="default" w:ascii="楷体" w:hAnsi="楷体" w:eastAsia="楷体"/>
        <w:szCs w:val="21"/>
        <w:lang w:val="en-US" w:eastAsia="zh-CN"/>
      </w:rPr>
    </w:pPr>
    <w:r>
      <w:rPr>
        <w:rFonts w:hint="eastAsia" w:ascii="楷体" w:hAnsi="楷体" w:eastAsia="楷体"/>
        <w:szCs w:val="21"/>
        <w:lang w:val="en-US" w:eastAsia="zh-CN"/>
      </w:rPr>
      <w:t>设立安全评价报告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3BAB56"/>
    <w:multiLevelType w:val="singleLevel"/>
    <w:tmpl w:val="803BAB56"/>
    <w:lvl w:ilvl="0" w:tentative="0">
      <w:start w:val="1"/>
      <w:numFmt w:val="decimal"/>
      <w:suff w:val="nothing"/>
      <w:lvlText w:val="（%1）"/>
      <w:lvlJc w:val="left"/>
    </w:lvl>
  </w:abstractNum>
  <w:abstractNum w:abstractNumId="1">
    <w:nsid w:val="835E44C6"/>
    <w:multiLevelType w:val="singleLevel"/>
    <w:tmpl w:val="835E44C6"/>
    <w:lvl w:ilvl="0" w:tentative="0">
      <w:start w:val="1"/>
      <w:numFmt w:val="decimal"/>
      <w:suff w:val="nothing"/>
      <w:lvlText w:val="（%1）"/>
      <w:lvlJc w:val="left"/>
    </w:lvl>
  </w:abstractNum>
  <w:abstractNum w:abstractNumId="2">
    <w:nsid w:val="95B12C48"/>
    <w:multiLevelType w:val="multilevel"/>
    <w:tmpl w:val="95B12C48"/>
    <w:lvl w:ilvl="0" w:tentative="0">
      <w:start w:val="1"/>
      <w:numFmt w:val="decimal"/>
      <w:suff w:val="nothing"/>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A647F3E9"/>
    <w:multiLevelType w:val="singleLevel"/>
    <w:tmpl w:val="A647F3E9"/>
    <w:lvl w:ilvl="0" w:tentative="0">
      <w:start w:val="1"/>
      <w:numFmt w:val="decimal"/>
      <w:suff w:val="nothing"/>
      <w:lvlText w:val="（%1）"/>
      <w:lvlJc w:val="left"/>
    </w:lvl>
  </w:abstractNum>
  <w:abstractNum w:abstractNumId="4">
    <w:nsid w:val="BCA4CCF5"/>
    <w:multiLevelType w:val="singleLevel"/>
    <w:tmpl w:val="BCA4CCF5"/>
    <w:lvl w:ilvl="0" w:tentative="0">
      <w:start w:val="1"/>
      <w:numFmt w:val="decimal"/>
      <w:suff w:val="nothing"/>
      <w:lvlText w:val="%1、"/>
      <w:lvlJc w:val="left"/>
    </w:lvl>
  </w:abstractNum>
  <w:abstractNum w:abstractNumId="5">
    <w:nsid w:val="C88FE9D1"/>
    <w:multiLevelType w:val="multilevel"/>
    <w:tmpl w:val="C88FE9D1"/>
    <w:lvl w:ilvl="0" w:tentative="0">
      <w:start w:val="1"/>
      <w:numFmt w:val="decimal"/>
      <w:suff w:val="nothing"/>
      <w:lvlText w:val="（%1）"/>
      <w:lvlJc w:val="left"/>
      <w:pPr>
        <w:ind w:left="0" w:firstLine="0"/>
      </w:pPr>
      <w:rPr>
        <w:rFonts w:hint="default"/>
        <w:sz w:val="28"/>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E0727D46"/>
    <w:multiLevelType w:val="singleLevel"/>
    <w:tmpl w:val="E0727D46"/>
    <w:lvl w:ilvl="0" w:tentative="0">
      <w:start w:val="1"/>
      <w:numFmt w:val="decimal"/>
      <w:suff w:val="nothing"/>
      <w:lvlText w:val="（%1）"/>
      <w:lvlJc w:val="left"/>
    </w:lvl>
  </w:abstractNum>
  <w:abstractNum w:abstractNumId="7">
    <w:nsid w:val="E6A987A7"/>
    <w:multiLevelType w:val="singleLevel"/>
    <w:tmpl w:val="E6A987A7"/>
    <w:lvl w:ilvl="0" w:tentative="0">
      <w:start w:val="1"/>
      <w:numFmt w:val="decimal"/>
      <w:suff w:val="nothing"/>
      <w:lvlText w:val="（%1）"/>
      <w:lvlJc w:val="left"/>
    </w:lvl>
  </w:abstractNum>
  <w:abstractNum w:abstractNumId="8">
    <w:nsid w:val="EF08D37D"/>
    <w:multiLevelType w:val="multilevel"/>
    <w:tmpl w:val="EF08D37D"/>
    <w:lvl w:ilvl="0" w:tentative="0">
      <w:start w:val="1"/>
      <w:numFmt w:val="decimal"/>
      <w:suff w:val="nothing"/>
      <w:lvlText w:val="%1."/>
      <w:lvlJc w:val="left"/>
      <w:pPr>
        <w:ind w:left="440" w:hanging="440"/>
      </w:pPr>
      <w:rPr>
        <w:sz w:val="21"/>
        <w:szCs w:val="21"/>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F1F96558"/>
    <w:multiLevelType w:val="singleLevel"/>
    <w:tmpl w:val="F1F96558"/>
    <w:lvl w:ilvl="0" w:tentative="0">
      <w:start w:val="1"/>
      <w:numFmt w:val="decimal"/>
      <w:suff w:val="nothing"/>
      <w:lvlText w:val="（%1）"/>
      <w:lvlJc w:val="left"/>
    </w:lvl>
  </w:abstractNum>
  <w:abstractNum w:abstractNumId="10">
    <w:nsid w:val="F8D856F5"/>
    <w:multiLevelType w:val="singleLevel"/>
    <w:tmpl w:val="F8D856F5"/>
    <w:lvl w:ilvl="0" w:tentative="0">
      <w:start w:val="1"/>
      <w:numFmt w:val="decimal"/>
      <w:suff w:val="nothing"/>
      <w:lvlText w:val="（%1）"/>
      <w:lvlJc w:val="left"/>
    </w:lvl>
  </w:abstractNum>
  <w:abstractNum w:abstractNumId="11">
    <w:nsid w:val="021DA405"/>
    <w:multiLevelType w:val="singleLevel"/>
    <w:tmpl w:val="021DA405"/>
    <w:lvl w:ilvl="0" w:tentative="0">
      <w:start w:val="1"/>
      <w:numFmt w:val="decimal"/>
      <w:suff w:val="nothing"/>
      <w:lvlText w:val="（%1）"/>
      <w:lvlJc w:val="left"/>
    </w:lvl>
  </w:abstractNum>
  <w:abstractNum w:abstractNumId="12">
    <w:nsid w:val="03DE04E6"/>
    <w:multiLevelType w:val="singleLevel"/>
    <w:tmpl w:val="03DE04E6"/>
    <w:lvl w:ilvl="0" w:tentative="0">
      <w:start w:val="1"/>
      <w:numFmt w:val="decimal"/>
      <w:suff w:val="nothing"/>
      <w:lvlText w:val="（%1）"/>
      <w:lvlJc w:val="left"/>
      <w:rPr>
        <w:rFonts w:hint="default"/>
        <w:sz w:val="28"/>
        <w:szCs w:val="28"/>
      </w:rPr>
    </w:lvl>
  </w:abstractNum>
  <w:abstractNum w:abstractNumId="13">
    <w:nsid w:val="0B49C83B"/>
    <w:multiLevelType w:val="singleLevel"/>
    <w:tmpl w:val="0B49C83B"/>
    <w:lvl w:ilvl="0" w:tentative="0">
      <w:start w:val="1"/>
      <w:numFmt w:val="decimal"/>
      <w:suff w:val="nothing"/>
      <w:lvlText w:val="（%1）"/>
      <w:lvlJc w:val="left"/>
    </w:lvl>
  </w:abstractNum>
  <w:abstractNum w:abstractNumId="14">
    <w:nsid w:val="18291386"/>
    <w:multiLevelType w:val="multilevel"/>
    <w:tmpl w:val="18291386"/>
    <w:lvl w:ilvl="0" w:tentative="0">
      <w:start w:val="1"/>
      <w:numFmt w:val="decimal"/>
      <w:pStyle w:val="21"/>
      <w:lvlText w:val="(%1)"/>
      <w:lvlJc w:val="left"/>
      <w:pPr>
        <w:ind w:left="1000" w:hanging="440"/>
      </w:pPr>
      <w:rPr>
        <w:rFonts w:hint="default" w:ascii="宋体" w:hAnsi="宋体" w:eastAsia="宋体"/>
        <w:color w:val="auto"/>
        <w:sz w:val="28"/>
        <w:szCs w:val="28"/>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15">
    <w:nsid w:val="288E8747"/>
    <w:multiLevelType w:val="singleLevel"/>
    <w:tmpl w:val="288E8747"/>
    <w:lvl w:ilvl="0" w:tentative="0">
      <w:start w:val="1"/>
      <w:numFmt w:val="decimal"/>
      <w:suff w:val="nothing"/>
      <w:lvlText w:val="（%1）"/>
      <w:lvlJc w:val="left"/>
    </w:lvl>
  </w:abstractNum>
  <w:abstractNum w:abstractNumId="16">
    <w:nsid w:val="2A82E938"/>
    <w:multiLevelType w:val="singleLevel"/>
    <w:tmpl w:val="2A82E938"/>
    <w:lvl w:ilvl="0" w:tentative="0">
      <w:start w:val="1"/>
      <w:numFmt w:val="decimal"/>
      <w:suff w:val="nothing"/>
      <w:lvlText w:val="%1、"/>
      <w:lvlJc w:val="left"/>
    </w:lvl>
  </w:abstractNum>
  <w:abstractNum w:abstractNumId="17">
    <w:nsid w:val="2CE7D7A3"/>
    <w:multiLevelType w:val="singleLevel"/>
    <w:tmpl w:val="2CE7D7A3"/>
    <w:lvl w:ilvl="0" w:tentative="0">
      <w:start w:val="1"/>
      <w:numFmt w:val="decimal"/>
      <w:lvlText w:val="(%1)"/>
      <w:lvlJc w:val="left"/>
      <w:pPr>
        <w:ind w:left="425" w:hanging="425"/>
      </w:pPr>
      <w:rPr>
        <w:rFonts w:hint="default" w:ascii="宋体" w:hAnsi="宋体" w:eastAsia="宋体" w:cs="宋体"/>
      </w:rPr>
    </w:lvl>
  </w:abstractNum>
  <w:abstractNum w:abstractNumId="18">
    <w:nsid w:val="303A5B12"/>
    <w:multiLevelType w:val="singleLevel"/>
    <w:tmpl w:val="303A5B12"/>
    <w:lvl w:ilvl="0" w:tentative="0">
      <w:start w:val="6"/>
      <w:numFmt w:val="decimal"/>
      <w:suff w:val="nothing"/>
      <w:lvlText w:val="（%1）"/>
      <w:lvlJc w:val="left"/>
    </w:lvl>
  </w:abstractNum>
  <w:abstractNum w:abstractNumId="19">
    <w:nsid w:val="3CF3A7E5"/>
    <w:multiLevelType w:val="singleLevel"/>
    <w:tmpl w:val="3CF3A7E5"/>
    <w:lvl w:ilvl="0" w:tentative="0">
      <w:start w:val="1"/>
      <w:numFmt w:val="decimal"/>
      <w:suff w:val="nothing"/>
      <w:lvlText w:val="（%1）"/>
      <w:lvlJc w:val="left"/>
    </w:lvl>
  </w:abstractNum>
  <w:abstractNum w:abstractNumId="20">
    <w:nsid w:val="3EEC36F7"/>
    <w:multiLevelType w:val="multilevel"/>
    <w:tmpl w:val="3EEC36F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3F674F50"/>
    <w:multiLevelType w:val="singleLevel"/>
    <w:tmpl w:val="3F674F50"/>
    <w:lvl w:ilvl="0" w:tentative="0">
      <w:start w:val="1"/>
      <w:numFmt w:val="decimal"/>
      <w:suff w:val="nothing"/>
      <w:lvlText w:val="（%1）"/>
      <w:lvlJc w:val="left"/>
    </w:lvl>
  </w:abstractNum>
  <w:abstractNum w:abstractNumId="22">
    <w:nsid w:val="408E1F00"/>
    <w:multiLevelType w:val="singleLevel"/>
    <w:tmpl w:val="408E1F00"/>
    <w:lvl w:ilvl="0" w:tentative="0">
      <w:start w:val="1"/>
      <w:numFmt w:val="decimal"/>
      <w:suff w:val="nothing"/>
      <w:lvlText w:val="（%1）"/>
      <w:lvlJc w:val="left"/>
    </w:lvl>
  </w:abstractNum>
  <w:abstractNum w:abstractNumId="23">
    <w:nsid w:val="451DC936"/>
    <w:multiLevelType w:val="singleLevel"/>
    <w:tmpl w:val="451DC936"/>
    <w:lvl w:ilvl="0" w:tentative="0">
      <w:start w:val="1"/>
      <w:numFmt w:val="decimal"/>
      <w:suff w:val="nothing"/>
      <w:lvlText w:val="（%1）"/>
      <w:lvlJc w:val="left"/>
    </w:lvl>
  </w:abstractNum>
  <w:abstractNum w:abstractNumId="24">
    <w:nsid w:val="517DC0AE"/>
    <w:multiLevelType w:val="singleLevel"/>
    <w:tmpl w:val="517DC0AE"/>
    <w:lvl w:ilvl="0" w:tentative="0">
      <w:start w:val="1"/>
      <w:numFmt w:val="decimal"/>
      <w:suff w:val="nothing"/>
      <w:lvlText w:val="（%1）"/>
      <w:lvlJc w:val="left"/>
    </w:lvl>
  </w:abstractNum>
  <w:abstractNum w:abstractNumId="25">
    <w:nsid w:val="53A3F232"/>
    <w:multiLevelType w:val="singleLevel"/>
    <w:tmpl w:val="53A3F232"/>
    <w:lvl w:ilvl="0" w:tentative="0">
      <w:start w:val="1"/>
      <w:numFmt w:val="decimal"/>
      <w:suff w:val="nothing"/>
      <w:lvlText w:val="%1、"/>
      <w:lvlJc w:val="left"/>
    </w:lvl>
  </w:abstractNum>
  <w:abstractNum w:abstractNumId="26">
    <w:nsid w:val="53EAC145"/>
    <w:multiLevelType w:val="singleLevel"/>
    <w:tmpl w:val="53EAC145"/>
    <w:lvl w:ilvl="0" w:tentative="0">
      <w:start w:val="4"/>
      <w:numFmt w:val="decimal"/>
      <w:suff w:val="nothing"/>
      <w:lvlText w:val="（%1）"/>
      <w:lvlJc w:val="left"/>
    </w:lvl>
  </w:abstractNum>
  <w:abstractNum w:abstractNumId="27">
    <w:nsid w:val="565E6F67"/>
    <w:multiLevelType w:val="singleLevel"/>
    <w:tmpl w:val="565E6F67"/>
    <w:lvl w:ilvl="0" w:tentative="0">
      <w:start w:val="1"/>
      <w:numFmt w:val="decimal"/>
      <w:suff w:val="nothing"/>
      <w:lvlText w:val="（%1）"/>
      <w:lvlJc w:val="left"/>
    </w:lvl>
  </w:abstractNum>
  <w:abstractNum w:abstractNumId="28">
    <w:nsid w:val="5E2956E6"/>
    <w:multiLevelType w:val="singleLevel"/>
    <w:tmpl w:val="5E2956E6"/>
    <w:lvl w:ilvl="0" w:tentative="0">
      <w:start w:val="1"/>
      <w:numFmt w:val="decimal"/>
      <w:suff w:val="nothing"/>
      <w:lvlText w:val="（%1）"/>
      <w:lvlJc w:val="left"/>
    </w:lvl>
  </w:abstractNum>
  <w:abstractNum w:abstractNumId="29">
    <w:nsid w:val="60B98FF6"/>
    <w:multiLevelType w:val="multilevel"/>
    <w:tmpl w:val="60B98FF6"/>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6ED26B1E"/>
    <w:multiLevelType w:val="singleLevel"/>
    <w:tmpl w:val="6ED26B1E"/>
    <w:lvl w:ilvl="0" w:tentative="0">
      <w:start w:val="1"/>
      <w:numFmt w:val="decimal"/>
      <w:suff w:val="nothing"/>
      <w:lvlText w:val="（%1）"/>
      <w:lvlJc w:val="left"/>
    </w:lvl>
  </w:abstractNum>
  <w:abstractNum w:abstractNumId="31">
    <w:nsid w:val="7839A165"/>
    <w:multiLevelType w:val="singleLevel"/>
    <w:tmpl w:val="7839A165"/>
    <w:lvl w:ilvl="0" w:tentative="0">
      <w:start w:val="1"/>
      <w:numFmt w:val="decimal"/>
      <w:suff w:val="nothing"/>
      <w:lvlText w:val="%1、"/>
      <w:lvlJc w:val="left"/>
    </w:lvl>
  </w:abstractNum>
  <w:num w:numId="1">
    <w:abstractNumId w:val="14"/>
  </w:num>
  <w:num w:numId="2">
    <w:abstractNumId w:val="18"/>
  </w:num>
  <w:num w:numId="3">
    <w:abstractNumId w:val="26"/>
  </w:num>
  <w:num w:numId="4">
    <w:abstractNumId w:val="20"/>
  </w:num>
  <w:num w:numId="5">
    <w:abstractNumId w:val="17"/>
  </w:num>
  <w:num w:numId="6">
    <w:abstractNumId w:val="29"/>
  </w:num>
  <w:num w:numId="7">
    <w:abstractNumId w:val="4"/>
  </w:num>
  <w:num w:numId="8">
    <w:abstractNumId w:val="25"/>
  </w:num>
  <w:num w:numId="9">
    <w:abstractNumId w:val="16"/>
  </w:num>
  <w:num w:numId="10">
    <w:abstractNumId w:val="31"/>
  </w:num>
  <w:num w:numId="11">
    <w:abstractNumId w:val="3"/>
  </w:num>
  <w:num w:numId="12">
    <w:abstractNumId w:val="7"/>
  </w:num>
  <w:num w:numId="13">
    <w:abstractNumId w:val="19"/>
  </w:num>
  <w:num w:numId="14">
    <w:abstractNumId w:val="28"/>
  </w:num>
  <w:num w:numId="15">
    <w:abstractNumId w:val="13"/>
  </w:num>
  <w:num w:numId="16">
    <w:abstractNumId w:val="10"/>
  </w:num>
  <w:num w:numId="17">
    <w:abstractNumId w:val="23"/>
  </w:num>
  <w:num w:numId="18">
    <w:abstractNumId w:val="27"/>
  </w:num>
  <w:num w:numId="19">
    <w:abstractNumId w:val="11"/>
  </w:num>
  <w:num w:numId="20">
    <w:abstractNumId w:val="22"/>
  </w:num>
  <w:num w:numId="21">
    <w:abstractNumId w:val="21"/>
  </w:num>
  <w:num w:numId="22">
    <w:abstractNumId w:val="12"/>
  </w:num>
  <w:num w:numId="23">
    <w:abstractNumId w:val="5"/>
  </w:num>
  <w:num w:numId="24">
    <w:abstractNumId w:val="9"/>
  </w:num>
  <w:num w:numId="25">
    <w:abstractNumId w:val="30"/>
  </w:num>
  <w:num w:numId="26">
    <w:abstractNumId w:val="24"/>
  </w:num>
  <w:num w:numId="27">
    <w:abstractNumId w:val="6"/>
  </w:num>
  <w:num w:numId="28">
    <w:abstractNumId w:val="15"/>
  </w:num>
  <w:num w:numId="29">
    <w:abstractNumId w:val="1"/>
  </w:num>
  <w:num w:numId="30">
    <w:abstractNumId w:val="2"/>
  </w:num>
  <w:num w:numId="31">
    <w:abstractNumId w:val="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1ZjZjZjUxY2I0MGFlNzkwYTRmOGE2YjZlY2UwNzMifQ=="/>
  </w:docVars>
  <w:rsids>
    <w:rsidRoot w:val="2E1B4B38"/>
    <w:rsid w:val="00173C90"/>
    <w:rsid w:val="0058253A"/>
    <w:rsid w:val="005C6ADC"/>
    <w:rsid w:val="00950C33"/>
    <w:rsid w:val="00A95A9A"/>
    <w:rsid w:val="00AF4147"/>
    <w:rsid w:val="01360345"/>
    <w:rsid w:val="01825B45"/>
    <w:rsid w:val="01971CCC"/>
    <w:rsid w:val="01B0404B"/>
    <w:rsid w:val="01DC3F33"/>
    <w:rsid w:val="029F2E1F"/>
    <w:rsid w:val="02BF6F00"/>
    <w:rsid w:val="02C960CD"/>
    <w:rsid w:val="02DA1F3A"/>
    <w:rsid w:val="02EF513A"/>
    <w:rsid w:val="03327554"/>
    <w:rsid w:val="039C4C1C"/>
    <w:rsid w:val="03A9642F"/>
    <w:rsid w:val="04027BD2"/>
    <w:rsid w:val="04260AA2"/>
    <w:rsid w:val="042B5143"/>
    <w:rsid w:val="0434142E"/>
    <w:rsid w:val="04513BA5"/>
    <w:rsid w:val="04770389"/>
    <w:rsid w:val="04CE5ACF"/>
    <w:rsid w:val="04E377CC"/>
    <w:rsid w:val="04E90EDE"/>
    <w:rsid w:val="04EB39F0"/>
    <w:rsid w:val="04F33787"/>
    <w:rsid w:val="04F75026"/>
    <w:rsid w:val="053F1976"/>
    <w:rsid w:val="056326BB"/>
    <w:rsid w:val="056A6957"/>
    <w:rsid w:val="058E5C40"/>
    <w:rsid w:val="05BB0E6A"/>
    <w:rsid w:val="05F9584B"/>
    <w:rsid w:val="06163BD1"/>
    <w:rsid w:val="06472934"/>
    <w:rsid w:val="06E053AA"/>
    <w:rsid w:val="06E15F8D"/>
    <w:rsid w:val="06EB6E0C"/>
    <w:rsid w:val="07695D3D"/>
    <w:rsid w:val="079C309F"/>
    <w:rsid w:val="07EC4BEA"/>
    <w:rsid w:val="07F34523"/>
    <w:rsid w:val="07F92E63"/>
    <w:rsid w:val="08122176"/>
    <w:rsid w:val="08566303"/>
    <w:rsid w:val="08F85810"/>
    <w:rsid w:val="093A7BD7"/>
    <w:rsid w:val="0957673C"/>
    <w:rsid w:val="097924AD"/>
    <w:rsid w:val="097C1F9D"/>
    <w:rsid w:val="09A93BB8"/>
    <w:rsid w:val="0A015C8E"/>
    <w:rsid w:val="0A8C2FBF"/>
    <w:rsid w:val="0ACB4F8A"/>
    <w:rsid w:val="0AD100C7"/>
    <w:rsid w:val="0ADB76CC"/>
    <w:rsid w:val="0AE24082"/>
    <w:rsid w:val="0AF1050E"/>
    <w:rsid w:val="0B1A281D"/>
    <w:rsid w:val="0B352404"/>
    <w:rsid w:val="0B421176"/>
    <w:rsid w:val="0B582739"/>
    <w:rsid w:val="0B66198C"/>
    <w:rsid w:val="0B8830DC"/>
    <w:rsid w:val="0B9158B5"/>
    <w:rsid w:val="0B974E6D"/>
    <w:rsid w:val="0BA06774"/>
    <w:rsid w:val="0BA13F3D"/>
    <w:rsid w:val="0BE678A2"/>
    <w:rsid w:val="0BF13329"/>
    <w:rsid w:val="0C0D3381"/>
    <w:rsid w:val="0C1810B1"/>
    <w:rsid w:val="0C447B92"/>
    <w:rsid w:val="0C692CAD"/>
    <w:rsid w:val="0C711B61"/>
    <w:rsid w:val="0C776A4C"/>
    <w:rsid w:val="0C8F1FE8"/>
    <w:rsid w:val="0D093BAF"/>
    <w:rsid w:val="0D212044"/>
    <w:rsid w:val="0D433517"/>
    <w:rsid w:val="0D7A2C98"/>
    <w:rsid w:val="0DE12B69"/>
    <w:rsid w:val="0E320E7D"/>
    <w:rsid w:val="0E644A75"/>
    <w:rsid w:val="0EE630DC"/>
    <w:rsid w:val="0EF13EB7"/>
    <w:rsid w:val="0FE711B5"/>
    <w:rsid w:val="100920B1"/>
    <w:rsid w:val="10263ACB"/>
    <w:rsid w:val="104B091B"/>
    <w:rsid w:val="10C93EEC"/>
    <w:rsid w:val="10FB7C4C"/>
    <w:rsid w:val="110C6396"/>
    <w:rsid w:val="110E0629"/>
    <w:rsid w:val="11431C5D"/>
    <w:rsid w:val="11A45C86"/>
    <w:rsid w:val="11A71B81"/>
    <w:rsid w:val="11BB5F4C"/>
    <w:rsid w:val="11CA6C66"/>
    <w:rsid w:val="12127DBC"/>
    <w:rsid w:val="12815FE3"/>
    <w:rsid w:val="129629FD"/>
    <w:rsid w:val="129E11D6"/>
    <w:rsid w:val="13056812"/>
    <w:rsid w:val="134747F7"/>
    <w:rsid w:val="13CA5996"/>
    <w:rsid w:val="13DD188A"/>
    <w:rsid w:val="141319BD"/>
    <w:rsid w:val="151A266A"/>
    <w:rsid w:val="1553011A"/>
    <w:rsid w:val="15632263"/>
    <w:rsid w:val="158703BA"/>
    <w:rsid w:val="15916675"/>
    <w:rsid w:val="159A389B"/>
    <w:rsid w:val="15A70CC8"/>
    <w:rsid w:val="15BF56EC"/>
    <w:rsid w:val="15E038B4"/>
    <w:rsid w:val="15FD4466"/>
    <w:rsid w:val="16B71056"/>
    <w:rsid w:val="17017F86"/>
    <w:rsid w:val="172F064F"/>
    <w:rsid w:val="176B74E9"/>
    <w:rsid w:val="1789006A"/>
    <w:rsid w:val="17B0591C"/>
    <w:rsid w:val="17B84AE8"/>
    <w:rsid w:val="181A12FF"/>
    <w:rsid w:val="18330C03"/>
    <w:rsid w:val="18532050"/>
    <w:rsid w:val="185E63CF"/>
    <w:rsid w:val="18830D1E"/>
    <w:rsid w:val="188D5F04"/>
    <w:rsid w:val="189510F7"/>
    <w:rsid w:val="18C87828"/>
    <w:rsid w:val="18E92A80"/>
    <w:rsid w:val="18F94D15"/>
    <w:rsid w:val="191C3577"/>
    <w:rsid w:val="192201CA"/>
    <w:rsid w:val="1983491E"/>
    <w:rsid w:val="19877439"/>
    <w:rsid w:val="199E260D"/>
    <w:rsid w:val="19A5109C"/>
    <w:rsid w:val="19F85670"/>
    <w:rsid w:val="1A5517FB"/>
    <w:rsid w:val="1AB5530F"/>
    <w:rsid w:val="1B2D30F7"/>
    <w:rsid w:val="1BBD41C9"/>
    <w:rsid w:val="1BCB485C"/>
    <w:rsid w:val="1C273FEB"/>
    <w:rsid w:val="1C334F74"/>
    <w:rsid w:val="1C676ADD"/>
    <w:rsid w:val="1C6D2803"/>
    <w:rsid w:val="1C9C2643"/>
    <w:rsid w:val="1C9D31E1"/>
    <w:rsid w:val="1CE974F2"/>
    <w:rsid w:val="1D564801"/>
    <w:rsid w:val="1D577807"/>
    <w:rsid w:val="1D8F4298"/>
    <w:rsid w:val="1DB16262"/>
    <w:rsid w:val="1E285DF8"/>
    <w:rsid w:val="1E32259E"/>
    <w:rsid w:val="1EEE6017"/>
    <w:rsid w:val="1FA350BC"/>
    <w:rsid w:val="1FA62962"/>
    <w:rsid w:val="1FB83575"/>
    <w:rsid w:val="202D39A2"/>
    <w:rsid w:val="20303903"/>
    <w:rsid w:val="203B29C0"/>
    <w:rsid w:val="20BA6845"/>
    <w:rsid w:val="20C56C84"/>
    <w:rsid w:val="20D444E5"/>
    <w:rsid w:val="20FA1D7A"/>
    <w:rsid w:val="217B307E"/>
    <w:rsid w:val="21CF315A"/>
    <w:rsid w:val="21DA38AD"/>
    <w:rsid w:val="22006C46"/>
    <w:rsid w:val="222D60D3"/>
    <w:rsid w:val="22AE6BC3"/>
    <w:rsid w:val="22C52C87"/>
    <w:rsid w:val="22D07B47"/>
    <w:rsid w:val="22EF1C60"/>
    <w:rsid w:val="233918BD"/>
    <w:rsid w:val="238D7510"/>
    <w:rsid w:val="23FE1B85"/>
    <w:rsid w:val="24101808"/>
    <w:rsid w:val="24397141"/>
    <w:rsid w:val="243A0633"/>
    <w:rsid w:val="244F2331"/>
    <w:rsid w:val="24724271"/>
    <w:rsid w:val="249E0BC2"/>
    <w:rsid w:val="24A61AD5"/>
    <w:rsid w:val="24A82452"/>
    <w:rsid w:val="24E16D01"/>
    <w:rsid w:val="24E853DE"/>
    <w:rsid w:val="24F2482F"/>
    <w:rsid w:val="25167FBD"/>
    <w:rsid w:val="25333942"/>
    <w:rsid w:val="25537BFE"/>
    <w:rsid w:val="25556F73"/>
    <w:rsid w:val="256C14EE"/>
    <w:rsid w:val="259C54CD"/>
    <w:rsid w:val="25D97D0F"/>
    <w:rsid w:val="25DF617D"/>
    <w:rsid w:val="260A3821"/>
    <w:rsid w:val="260E1AC4"/>
    <w:rsid w:val="267C4F33"/>
    <w:rsid w:val="26B65C33"/>
    <w:rsid w:val="26F15921"/>
    <w:rsid w:val="27067BCD"/>
    <w:rsid w:val="27561C28"/>
    <w:rsid w:val="275711AA"/>
    <w:rsid w:val="276A2F80"/>
    <w:rsid w:val="27766978"/>
    <w:rsid w:val="27960276"/>
    <w:rsid w:val="27C75E6D"/>
    <w:rsid w:val="27E502D5"/>
    <w:rsid w:val="27E62FAC"/>
    <w:rsid w:val="284A58CD"/>
    <w:rsid w:val="284B1061"/>
    <w:rsid w:val="28907339"/>
    <w:rsid w:val="28912A57"/>
    <w:rsid w:val="28B94130"/>
    <w:rsid w:val="28D234CC"/>
    <w:rsid w:val="28D822EF"/>
    <w:rsid w:val="28FC7E58"/>
    <w:rsid w:val="2A0B6CFA"/>
    <w:rsid w:val="2A1D6127"/>
    <w:rsid w:val="2A9752F1"/>
    <w:rsid w:val="2AB64C6D"/>
    <w:rsid w:val="2AEC5B81"/>
    <w:rsid w:val="2AF375EC"/>
    <w:rsid w:val="2B733244"/>
    <w:rsid w:val="2BE91E7B"/>
    <w:rsid w:val="2CA355EA"/>
    <w:rsid w:val="2CA62D0A"/>
    <w:rsid w:val="2CA927FA"/>
    <w:rsid w:val="2D496A35"/>
    <w:rsid w:val="2D6971FE"/>
    <w:rsid w:val="2DAA4A7C"/>
    <w:rsid w:val="2DAB7757"/>
    <w:rsid w:val="2DD104EF"/>
    <w:rsid w:val="2E0C5D86"/>
    <w:rsid w:val="2E1B4B38"/>
    <w:rsid w:val="2E35264B"/>
    <w:rsid w:val="2E4B1DBB"/>
    <w:rsid w:val="2EE772F7"/>
    <w:rsid w:val="2EE94938"/>
    <w:rsid w:val="2F2C7220"/>
    <w:rsid w:val="2F353943"/>
    <w:rsid w:val="2F430CE4"/>
    <w:rsid w:val="2F4A02C4"/>
    <w:rsid w:val="2F6D7D7A"/>
    <w:rsid w:val="304A5035"/>
    <w:rsid w:val="30D03A7C"/>
    <w:rsid w:val="31102E48"/>
    <w:rsid w:val="31416F71"/>
    <w:rsid w:val="314F1BC2"/>
    <w:rsid w:val="31741628"/>
    <w:rsid w:val="32596714"/>
    <w:rsid w:val="32606E16"/>
    <w:rsid w:val="32981347"/>
    <w:rsid w:val="32EA6B11"/>
    <w:rsid w:val="33873486"/>
    <w:rsid w:val="33A5774B"/>
    <w:rsid w:val="34886716"/>
    <w:rsid w:val="34E64F92"/>
    <w:rsid w:val="35057111"/>
    <w:rsid w:val="35804ACD"/>
    <w:rsid w:val="35A746CB"/>
    <w:rsid w:val="35FF230D"/>
    <w:rsid w:val="36687EA9"/>
    <w:rsid w:val="374C6A52"/>
    <w:rsid w:val="375031B1"/>
    <w:rsid w:val="375B39ED"/>
    <w:rsid w:val="376155F0"/>
    <w:rsid w:val="37981819"/>
    <w:rsid w:val="37A03524"/>
    <w:rsid w:val="38C8225A"/>
    <w:rsid w:val="38DE4F53"/>
    <w:rsid w:val="392747CC"/>
    <w:rsid w:val="39D114E5"/>
    <w:rsid w:val="3A5C5A06"/>
    <w:rsid w:val="3A8B03FD"/>
    <w:rsid w:val="3ABA37D6"/>
    <w:rsid w:val="3B091033"/>
    <w:rsid w:val="3B135AA1"/>
    <w:rsid w:val="3B331C0C"/>
    <w:rsid w:val="3B806E1C"/>
    <w:rsid w:val="3BA13269"/>
    <w:rsid w:val="3BCB7603"/>
    <w:rsid w:val="3BD704EA"/>
    <w:rsid w:val="3BE41CF3"/>
    <w:rsid w:val="3C28373B"/>
    <w:rsid w:val="3C752336"/>
    <w:rsid w:val="3D003919"/>
    <w:rsid w:val="3D2E2FD3"/>
    <w:rsid w:val="3D530A18"/>
    <w:rsid w:val="3D6F7148"/>
    <w:rsid w:val="3E147B57"/>
    <w:rsid w:val="3E835B97"/>
    <w:rsid w:val="3EEE6F53"/>
    <w:rsid w:val="3EF21DDE"/>
    <w:rsid w:val="3FFA719D"/>
    <w:rsid w:val="403A57EB"/>
    <w:rsid w:val="4048235C"/>
    <w:rsid w:val="40513FE3"/>
    <w:rsid w:val="4081297D"/>
    <w:rsid w:val="40CD6240"/>
    <w:rsid w:val="40DD79B5"/>
    <w:rsid w:val="41285F8B"/>
    <w:rsid w:val="41B255C8"/>
    <w:rsid w:val="41B8730F"/>
    <w:rsid w:val="41CF6407"/>
    <w:rsid w:val="41F06AA9"/>
    <w:rsid w:val="42105272"/>
    <w:rsid w:val="424D6905"/>
    <w:rsid w:val="42671AEE"/>
    <w:rsid w:val="427C1979"/>
    <w:rsid w:val="43416302"/>
    <w:rsid w:val="436573AD"/>
    <w:rsid w:val="439416B6"/>
    <w:rsid w:val="442C7B41"/>
    <w:rsid w:val="444046B4"/>
    <w:rsid w:val="44686700"/>
    <w:rsid w:val="44A96285"/>
    <w:rsid w:val="451114E0"/>
    <w:rsid w:val="453945F8"/>
    <w:rsid w:val="45436DA3"/>
    <w:rsid w:val="459E48A5"/>
    <w:rsid w:val="45BF7239"/>
    <w:rsid w:val="45E22BAD"/>
    <w:rsid w:val="460348D1"/>
    <w:rsid w:val="4672145A"/>
    <w:rsid w:val="4688208B"/>
    <w:rsid w:val="46BF2EEE"/>
    <w:rsid w:val="47022DDB"/>
    <w:rsid w:val="478258AB"/>
    <w:rsid w:val="47C60B35"/>
    <w:rsid w:val="47E80223"/>
    <w:rsid w:val="47F608CC"/>
    <w:rsid w:val="48203094"/>
    <w:rsid w:val="48726585"/>
    <w:rsid w:val="494B74BB"/>
    <w:rsid w:val="49535B70"/>
    <w:rsid w:val="495518E8"/>
    <w:rsid w:val="496658A3"/>
    <w:rsid w:val="49F93CCA"/>
    <w:rsid w:val="4A062BE2"/>
    <w:rsid w:val="4A83051B"/>
    <w:rsid w:val="4AB70B24"/>
    <w:rsid w:val="4AD47800"/>
    <w:rsid w:val="4B247D70"/>
    <w:rsid w:val="4B814E49"/>
    <w:rsid w:val="4B955C21"/>
    <w:rsid w:val="4BC863A1"/>
    <w:rsid w:val="4BDC3915"/>
    <w:rsid w:val="4C165EE2"/>
    <w:rsid w:val="4C2F4672"/>
    <w:rsid w:val="4C4D7C67"/>
    <w:rsid w:val="4C80328D"/>
    <w:rsid w:val="4CA95044"/>
    <w:rsid w:val="4CDF6AF8"/>
    <w:rsid w:val="4D010961"/>
    <w:rsid w:val="4D114108"/>
    <w:rsid w:val="4D3B4177"/>
    <w:rsid w:val="4D677E3B"/>
    <w:rsid w:val="4D9B6E60"/>
    <w:rsid w:val="4E104E28"/>
    <w:rsid w:val="4E440D24"/>
    <w:rsid w:val="4E600B13"/>
    <w:rsid w:val="4E7869F6"/>
    <w:rsid w:val="4F337FD5"/>
    <w:rsid w:val="4F6678D4"/>
    <w:rsid w:val="4F731D86"/>
    <w:rsid w:val="4F9D7B44"/>
    <w:rsid w:val="4FC16DCA"/>
    <w:rsid w:val="5018108D"/>
    <w:rsid w:val="50520CB9"/>
    <w:rsid w:val="5055041F"/>
    <w:rsid w:val="50811214"/>
    <w:rsid w:val="50F73284"/>
    <w:rsid w:val="50F7714A"/>
    <w:rsid w:val="5109619C"/>
    <w:rsid w:val="512C43DD"/>
    <w:rsid w:val="513D513B"/>
    <w:rsid w:val="514A6566"/>
    <w:rsid w:val="51693DBC"/>
    <w:rsid w:val="518333A6"/>
    <w:rsid w:val="5226503B"/>
    <w:rsid w:val="522B7CF0"/>
    <w:rsid w:val="52454C5D"/>
    <w:rsid w:val="52541F68"/>
    <w:rsid w:val="52B97B8E"/>
    <w:rsid w:val="52C8312A"/>
    <w:rsid w:val="52E67B1E"/>
    <w:rsid w:val="52EB0768"/>
    <w:rsid w:val="531A13EB"/>
    <w:rsid w:val="53423A51"/>
    <w:rsid w:val="534A79EB"/>
    <w:rsid w:val="53724DB6"/>
    <w:rsid w:val="545D7245"/>
    <w:rsid w:val="54CB0CB0"/>
    <w:rsid w:val="54CC4724"/>
    <w:rsid w:val="54D55DAD"/>
    <w:rsid w:val="54EA7388"/>
    <w:rsid w:val="550813D5"/>
    <w:rsid w:val="55DC3BD8"/>
    <w:rsid w:val="55EE05FC"/>
    <w:rsid w:val="563C685C"/>
    <w:rsid w:val="56621F9E"/>
    <w:rsid w:val="568D2242"/>
    <w:rsid w:val="5699792A"/>
    <w:rsid w:val="56EF4E37"/>
    <w:rsid w:val="570C4BB7"/>
    <w:rsid w:val="57527A9D"/>
    <w:rsid w:val="575C550F"/>
    <w:rsid w:val="57832FAF"/>
    <w:rsid w:val="57F17AB9"/>
    <w:rsid w:val="57F64296"/>
    <w:rsid w:val="582901C7"/>
    <w:rsid w:val="586438F5"/>
    <w:rsid w:val="58D42829"/>
    <w:rsid w:val="591C5E7C"/>
    <w:rsid w:val="59BE3A27"/>
    <w:rsid w:val="59C41AF9"/>
    <w:rsid w:val="5A252118"/>
    <w:rsid w:val="5A47527D"/>
    <w:rsid w:val="5A4F2AC3"/>
    <w:rsid w:val="5AE37D52"/>
    <w:rsid w:val="5B384102"/>
    <w:rsid w:val="5B515638"/>
    <w:rsid w:val="5BD24641"/>
    <w:rsid w:val="5C3F2D6B"/>
    <w:rsid w:val="5CF75A42"/>
    <w:rsid w:val="5E0756C5"/>
    <w:rsid w:val="5E1032A2"/>
    <w:rsid w:val="5E1B6804"/>
    <w:rsid w:val="5E945144"/>
    <w:rsid w:val="5EA70098"/>
    <w:rsid w:val="5EA96B93"/>
    <w:rsid w:val="5ED5446C"/>
    <w:rsid w:val="5EF71274"/>
    <w:rsid w:val="5F4973A1"/>
    <w:rsid w:val="5F675C84"/>
    <w:rsid w:val="5F8852BC"/>
    <w:rsid w:val="5FBB029F"/>
    <w:rsid w:val="5FBB1EAF"/>
    <w:rsid w:val="5FE8775E"/>
    <w:rsid w:val="5FEE53C1"/>
    <w:rsid w:val="60436CE4"/>
    <w:rsid w:val="609B59DA"/>
    <w:rsid w:val="60D1769E"/>
    <w:rsid w:val="60F33A68"/>
    <w:rsid w:val="60FA4DF7"/>
    <w:rsid w:val="61077514"/>
    <w:rsid w:val="61222F99"/>
    <w:rsid w:val="61450C58"/>
    <w:rsid w:val="614E0C9F"/>
    <w:rsid w:val="616401E3"/>
    <w:rsid w:val="616975DA"/>
    <w:rsid w:val="61BC4EEB"/>
    <w:rsid w:val="61ED02FD"/>
    <w:rsid w:val="6209262B"/>
    <w:rsid w:val="62C10318"/>
    <w:rsid w:val="62CB59BF"/>
    <w:rsid w:val="62F13FD7"/>
    <w:rsid w:val="63043D0B"/>
    <w:rsid w:val="633B64B1"/>
    <w:rsid w:val="638B6CE0"/>
    <w:rsid w:val="63C4349A"/>
    <w:rsid w:val="63D40DB7"/>
    <w:rsid w:val="63D569F8"/>
    <w:rsid w:val="64155AA4"/>
    <w:rsid w:val="643A7BE0"/>
    <w:rsid w:val="646513B7"/>
    <w:rsid w:val="64917820"/>
    <w:rsid w:val="65A23197"/>
    <w:rsid w:val="65A74E21"/>
    <w:rsid w:val="665E1984"/>
    <w:rsid w:val="666B40BF"/>
    <w:rsid w:val="67552C4B"/>
    <w:rsid w:val="675E2D22"/>
    <w:rsid w:val="67674FB0"/>
    <w:rsid w:val="678F3DBF"/>
    <w:rsid w:val="68A14661"/>
    <w:rsid w:val="68D35D0B"/>
    <w:rsid w:val="69127871"/>
    <w:rsid w:val="6922313D"/>
    <w:rsid w:val="69BD2665"/>
    <w:rsid w:val="6A510385"/>
    <w:rsid w:val="6A994DE3"/>
    <w:rsid w:val="6AAF6C52"/>
    <w:rsid w:val="6AF757D9"/>
    <w:rsid w:val="6B032AFA"/>
    <w:rsid w:val="6B535169"/>
    <w:rsid w:val="6B5415A7"/>
    <w:rsid w:val="6B9D2F4E"/>
    <w:rsid w:val="6BC93D43"/>
    <w:rsid w:val="6BDD0871"/>
    <w:rsid w:val="6C020CB1"/>
    <w:rsid w:val="6C0234D9"/>
    <w:rsid w:val="6C8065B2"/>
    <w:rsid w:val="6CA976D1"/>
    <w:rsid w:val="6D5D6CA1"/>
    <w:rsid w:val="6D907A20"/>
    <w:rsid w:val="6DA13F45"/>
    <w:rsid w:val="6DBF323E"/>
    <w:rsid w:val="6DCA5B51"/>
    <w:rsid w:val="6DCF13B9"/>
    <w:rsid w:val="6DFF4F9D"/>
    <w:rsid w:val="6E0A4D8A"/>
    <w:rsid w:val="6E1E2DBD"/>
    <w:rsid w:val="6E307083"/>
    <w:rsid w:val="6E453429"/>
    <w:rsid w:val="6E7B1FE3"/>
    <w:rsid w:val="6F21253B"/>
    <w:rsid w:val="6F2E0FD5"/>
    <w:rsid w:val="70024204"/>
    <w:rsid w:val="700530E1"/>
    <w:rsid w:val="702A3DFF"/>
    <w:rsid w:val="704905C7"/>
    <w:rsid w:val="70A068F9"/>
    <w:rsid w:val="70F864E2"/>
    <w:rsid w:val="726A0057"/>
    <w:rsid w:val="728256FA"/>
    <w:rsid w:val="72974471"/>
    <w:rsid w:val="729F5179"/>
    <w:rsid w:val="72A66907"/>
    <w:rsid w:val="72F4409B"/>
    <w:rsid w:val="731139C3"/>
    <w:rsid w:val="73203EF1"/>
    <w:rsid w:val="7379604F"/>
    <w:rsid w:val="73C70E68"/>
    <w:rsid w:val="73D7089D"/>
    <w:rsid w:val="73EB1201"/>
    <w:rsid w:val="73F627C6"/>
    <w:rsid w:val="741E09A4"/>
    <w:rsid w:val="742E02BF"/>
    <w:rsid w:val="745B0739"/>
    <w:rsid w:val="747B6434"/>
    <w:rsid w:val="748403CB"/>
    <w:rsid w:val="74BB059E"/>
    <w:rsid w:val="750556C0"/>
    <w:rsid w:val="7552110D"/>
    <w:rsid w:val="75585787"/>
    <w:rsid w:val="75715EFC"/>
    <w:rsid w:val="757A3DC5"/>
    <w:rsid w:val="75845A4F"/>
    <w:rsid w:val="75F47E48"/>
    <w:rsid w:val="75F628F1"/>
    <w:rsid w:val="765F35B7"/>
    <w:rsid w:val="766C7695"/>
    <w:rsid w:val="76A6460C"/>
    <w:rsid w:val="76AF4308"/>
    <w:rsid w:val="7709593C"/>
    <w:rsid w:val="77286765"/>
    <w:rsid w:val="77B21E06"/>
    <w:rsid w:val="77B70DC1"/>
    <w:rsid w:val="77C01C53"/>
    <w:rsid w:val="77F2017E"/>
    <w:rsid w:val="780D0266"/>
    <w:rsid w:val="781C6174"/>
    <w:rsid w:val="78206744"/>
    <w:rsid w:val="78650950"/>
    <w:rsid w:val="78663CA7"/>
    <w:rsid w:val="790D5E18"/>
    <w:rsid w:val="792D6B2B"/>
    <w:rsid w:val="797352EE"/>
    <w:rsid w:val="797730FC"/>
    <w:rsid w:val="798219D5"/>
    <w:rsid w:val="7A28483B"/>
    <w:rsid w:val="7A3C5159"/>
    <w:rsid w:val="7A4506B8"/>
    <w:rsid w:val="7A656EA7"/>
    <w:rsid w:val="7A707A80"/>
    <w:rsid w:val="7AC342DE"/>
    <w:rsid w:val="7AEC1EC3"/>
    <w:rsid w:val="7B08546C"/>
    <w:rsid w:val="7B1E128A"/>
    <w:rsid w:val="7B241440"/>
    <w:rsid w:val="7B6C46EB"/>
    <w:rsid w:val="7B777A4F"/>
    <w:rsid w:val="7BF44ADE"/>
    <w:rsid w:val="7C0F5091"/>
    <w:rsid w:val="7C3D655A"/>
    <w:rsid w:val="7CA852AF"/>
    <w:rsid w:val="7D9D5D08"/>
    <w:rsid w:val="7DFB2EED"/>
    <w:rsid w:val="7E5F14AF"/>
    <w:rsid w:val="7E9D7ADC"/>
    <w:rsid w:val="7F013A2E"/>
    <w:rsid w:val="7F0B18FA"/>
    <w:rsid w:val="7F547970"/>
    <w:rsid w:val="7FBA5A25"/>
    <w:rsid w:val="7FF345EF"/>
    <w:rsid w:val="7FF57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spacing w:before="240" w:after="240" w:line="576" w:lineRule="auto"/>
      <w:jc w:val="center"/>
      <w:outlineLvl w:val="0"/>
    </w:pPr>
    <w:rPr>
      <w:rFonts w:eastAsia="黑体"/>
      <w:bCs/>
      <w:kern w:val="44"/>
      <w:sz w:val="32"/>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spacing w:line="360" w:lineRule="auto"/>
      <w:ind w:firstLine="560" w:firstLineChars="200"/>
      <w:jc w:val="center"/>
    </w:pPr>
    <w:rPr>
      <w:bCs/>
      <w:kern w:val="0"/>
      <w:sz w:val="28"/>
      <w:szCs w:val="28"/>
    </w:rPr>
  </w:style>
  <w:style w:type="paragraph" w:styleId="6">
    <w:name w:val="Body Text"/>
    <w:basedOn w:val="1"/>
    <w:qFormat/>
    <w:uiPriority w:val="0"/>
    <w:pPr>
      <w:spacing w:after="120"/>
    </w:pPr>
  </w:style>
  <w:style w:type="paragraph" w:styleId="7">
    <w:name w:val="Plain Text"/>
    <w:basedOn w:val="1"/>
    <w:qFormat/>
    <w:uiPriority w:val="0"/>
    <w:rPr>
      <w:rFonts w:ascii="宋体" w:hAnsi="Courier New"/>
      <w:kern w:val="0"/>
      <w:sz w:val="20"/>
      <w:szCs w:val="20"/>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39"/>
    <w:pPr>
      <w:spacing w:before="120" w:after="120"/>
      <w:jc w:val="left"/>
    </w:pPr>
    <w:rPr>
      <w:b/>
      <w:bCs/>
      <w:caps/>
      <w:sz w:val="20"/>
      <w:szCs w:val="20"/>
    </w:rPr>
  </w:style>
  <w:style w:type="paragraph" w:styleId="11">
    <w:name w:val="toc 2"/>
    <w:basedOn w:val="1"/>
    <w:next w:val="1"/>
    <w:qFormat/>
    <w:uiPriority w:val="39"/>
    <w:pPr>
      <w:ind w:left="210"/>
      <w:jc w:val="left"/>
    </w:pPr>
    <w:rPr>
      <w:smallCaps/>
      <w:sz w:val="20"/>
      <w:szCs w:val="20"/>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basedOn w:val="15"/>
    <w:qFormat/>
    <w:uiPriority w:val="0"/>
    <w:rPr>
      <w:color w:val="CC0000"/>
      <w:sz w:val="24"/>
      <w:szCs w:val="24"/>
    </w:rPr>
  </w:style>
  <w:style w:type="paragraph" w:customStyle="1" w:styleId="17">
    <w:name w:val="正文11"/>
    <w:autoRedefine/>
    <w:qFormat/>
    <w:uiPriority w:val="0"/>
    <w:pPr>
      <w:widowControl w:val="0"/>
      <w:adjustRightInd w:val="0"/>
      <w:snapToGrid w:val="0"/>
      <w:spacing w:line="360" w:lineRule="auto"/>
      <w:ind w:firstLine="480" w:firstLineChars="200"/>
      <w:jc w:val="both"/>
    </w:pPr>
    <w:rPr>
      <w:rFonts w:ascii="Times New Roman" w:hAnsi="Times New Roman" w:eastAsia="宋体" w:cs="宋体"/>
      <w:snapToGrid w:val="0"/>
      <w:kern w:val="24"/>
      <w:sz w:val="24"/>
      <w:szCs w:val="24"/>
      <w:lang w:val="en-US" w:eastAsia="zh-CN" w:bidi="ar-SA"/>
    </w:rPr>
  </w:style>
  <w:style w:type="paragraph" w:customStyle="1" w:styleId="18">
    <w:name w:val="TOC 标题1"/>
    <w:basedOn w:val="2"/>
    <w:next w:val="1"/>
    <w:autoRedefine/>
    <w:unhideWhenUsed/>
    <w:qFormat/>
    <w:uiPriority w:val="39"/>
    <w:pPr>
      <w:widowControl/>
      <w:spacing w:after="0" w:line="259" w:lineRule="auto"/>
      <w:jc w:val="left"/>
      <w:outlineLvl w:val="9"/>
    </w:pPr>
    <w:rPr>
      <w:rFonts w:asciiTheme="majorHAnsi" w:hAnsiTheme="majorHAnsi" w:eastAsiaTheme="majorEastAsia" w:cstheme="majorBidi"/>
      <w:bCs w:val="0"/>
      <w:color w:val="2E54A1" w:themeColor="accent1" w:themeShade="BF"/>
      <w:kern w:val="0"/>
      <w:szCs w:val="32"/>
    </w:rPr>
  </w:style>
  <w:style w:type="paragraph" w:customStyle="1" w:styleId="19">
    <w:name w:val="样式1"/>
    <w:basedOn w:val="1"/>
    <w:autoRedefine/>
    <w:qFormat/>
    <w:uiPriority w:val="0"/>
    <w:pPr>
      <w:shd w:val="clear" w:color="auto" w:fill="FFFFFF"/>
      <w:autoSpaceDE w:val="0"/>
      <w:autoSpaceDN w:val="0"/>
      <w:adjustRightInd w:val="0"/>
      <w:spacing w:line="360" w:lineRule="auto"/>
      <w:jc w:val="center"/>
    </w:pPr>
    <w:rPr>
      <w:rFonts w:ascii="宋体" w:hAnsi="宋体"/>
      <w:color w:val="000000"/>
      <w:position w:val="-6"/>
      <w:sz w:val="24"/>
    </w:rPr>
  </w:style>
  <w:style w:type="paragraph" w:customStyle="1" w:styleId="20">
    <w:name w:val="正文22"/>
    <w:autoRedefine/>
    <w:qFormat/>
    <w:uiPriority w:val="0"/>
    <w:pPr>
      <w:widowControl w:val="0"/>
      <w:adjustRightInd w:val="0"/>
      <w:snapToGrid w:val="0"/>
      <w:spacing w:line="360" w:lineRule="auto"/>
      <w:ind w:firstLine="560" w:firstLineChars="200"/>
    </w:pPr>
    <w:rPr>
      <w:rFonts w:ascii="Times New Roman" w:hAnsi="宋体" w:eastAsia="宋体" w:cs="Times New Roman"/>
      <w:kern w:val="28"/>
      <w:sz w:val="28"/>
      <w:szCs w:val="28"/>
      <w:lang w:val="en-US" w:eastAsia="zh-CN" w:bidi="ar-SA"/>
    </w:rPr>
  </w:style>
  <w:style w:type="paragraph" w:styleId="21">
    <w:name w:val="List Paragraph"/>
    <w:basedOn w:val="1"/>
    <w:autoRedefine/>
    <w:qFormat/>
    <w:uiPriority w:val="0"/>
    <w:pPr>
      <w:numPr>
        <w:ilvl w:val="0"/>
        <w:numId w:val="1"/>
      </w:numPr>
      <w:tabs>
        <w:tab w:val="left" w:pos="1200"/>
        <w:tab w:val="left" w:pos="1276"/>
      </w:tabs>
      <w:adjustRightInd w:val="0"/>
      <w:snapToGrid w:val="0"/>
      <w:spacing w:line="360" w:lineRule="auto"/>
      <w:ind w:left="0" w:firstLine="561"/>
      <w:jc w:val="left"/>
    </w:pPr>
    <w:rPr>
      <w:rFonts w:ascii="Calibri" w:hAnsi="Calibri"/>
      <w:kern w:val="0"/>
      <w:sz w:val="24"/>
      <w:lang w:eastAsia="en-US"/>
    </w:rPr>
  </w:style>
  <w:style w:type="character" w:customStyle="1" w:styleId="22">
    <w:name w:val="NormalCharacter"/>
    <w:autoRedefine/>
    <w:semiHidden/>
    <w:qFormat/>
    <w:uiPriority w:val="0"/>
  </w:style>
  <w:style w:type="paragraph" w:customStyle="1" w:styleId="23">
    <w:name w:val="zw"/>
    <w:basedOn w:val="1"/>
    <w:autoRedefine/>
    <w:qFormat/>
    <w:uiPriority w:val="0"/>
    <w:pPr>
      <w:widowControl/>
      <w:spacing w:before="100" w:beforeAutospacing="1" w:after="100" w:afterAutospacing="1" w:line="440" w:lineRule="atLeast"/>
      <w:jc w:val="left"/>
    </w:pPr>
    <w:rPr>
      <w:rFonts w:ascii="宋体" w:hAnsi="宋体" w:cs="宋体"/>
      <w:kern w:val="0"/>
      <w:sz w:val="22"/>
      <w:szCs w:val="22"/>
    </w:rPr>
  </w:style>
  <w:style w:type="character" w:customStyle="1" w:styleId="24">
    <w:name w:val="zw1"/>
    <w:autoRedefine/>
    <w:qFormat/>
    <w:uiPriority w:val="0"/>
    <w:rPr>
      <w:rFonts w:hint="eastAsia" w:ascii="宋体" w:hAnsi="宋体" w:eastAsia="宋体"/>
      <w:sz w:val="22"/>
      <w:szCs w:val="22"/>
    </w:rPr>
  </w:style>
  <w:style w:type="paragraph" w:customStyle="1" w:styleId="25">
    <w:name w:val="样式 样式 正文22 + 首行缩进:  2 字符 + 首行缩进:  2 字符"/>
    <w:basedOn w:val="26"/>
    <w:autoRedefine/>
    <w:qFormat/>
    <w:uiPriority w:val="0"/>
    <w:rPr>
      <w:rFonts w:hAnsi="Times New Roman" w:cs="宋体"/>
      <w:szCs w:val="28"/>
    </w:rPr>
  </w:style>
  <w:style w:type="paragraph" w:customStyle="1" w:styleId="26">
    <w:name w:val="样式 正文22 + 首行缩进:  2 字符"/>
    <w:basedOn w:val="20"/>
    <w:autoRedefine/>
    <w:qFormat/>
    <w:uiPriority w:val="0"/>
    <w:rPr>
      <w:rFonts w:ascii="宋体"/>
      <w:szCs w:val="20"/>
    </w:rPr>
  </w:style>
  <w:style w:type="paragraph" w:customStyle="1" w:styleId="27">
    <w:name w:val="图表五号"/>
    <w:basedOn w:val="1"/>
    <w:autoRedefine/>
    <w:qFormat/>
    <w:uiPriority w:val="0"/>
    <w:pPr>
      <w:autoSpaceDE w:val="0"/>
      <w:autoSpaceDN w:val="0"/>
      <w:adjustRightInd w:val="0"/>
      <w:snapToGrid w:val="0"/>
      <w:spacing w:line="20" w:lineRule="atLeast"/>
      <w:jc w:val="center"/>
    </w:pPr>
  </w:style>
  <w:style w:type="paragraph" w:customStyle="1" w:styleId="28">
    <w:name w:val="WPSOffice手动目录 1"/>
    <w:qFormat/>
    <w:uiPriority w:val="0"/>
    <w:pPr>
      <w:ind w:leftChars="0"/>
    </w:pPr>
    <w:rPr>
      <w:rFonts w:ascii="Times New Roman" w:hAnsi="Times New Roman" w:eastAsia="宋体" w:cs="Times New Roman"/>
      <w:sz w:val="20"/>
      <w:szCs w:val="20"/>
    </w:rPr>
  </w:style>
  <w:style w:type="paragraph" w:customStyle="1" w:styleId="29">
    <w:name w:val="WPSOffice手动目录 2"/>
    <w:qFormat/>
    <w:uiPriority w:val="0"/>
    <w:pPr>
      <w:ind w:leftChars="200"/>
    </w:pPr>
    <w:rPr>
      <w:rFonts w:ascii="Times New Roman" w:hAnsi="Times New Roman" w:eastAsia="宋体" w:cs="Times New Roman"/>
      <w:sz w:val="20"/>
      <w:szCs w:val="20"/>
    </w:rPr>
  </w:style>
  <w:style w:type="character" w:customStyle="1" w:styleId="30">
    <w:name w:val="标题 1 Char"/>
    <w:link w:val="2"/>
    <w:qFormat/>
    <w:uiPriority w:val="0"/>
    <w:rPr>
      <w:rFonts w:eastAsia="黑体"/>
      <w:bCs/>
      <w:kern w:val="44"/>
      <w:sz w:val="32"/>
      <w:szCs w:val="44"/>
    </w:rPr>
  </w:style>
  <w:style w:type="paragraph" w:customStyle="1" w:styleId="31">
    <w:name w:val="正文首行缩进 21"/>
    <w:qFormat/>
    <w:uiPriority w:val="0"/>
    <w:pPr>
      <w:widowControl w:val="0"/>
      <w:autoSpaceDE w:val="0"/>
      <w:autoSpaceDN w:val="0"/>
      <w:spacing w:after="120"/>
      <w:ind w:left="420" w:leftChars="200" w:firstLine="420" w:firstLineChars="200"/>
    </w:pPr>
    <w:rPr>
      <w:rFonts w:ascii="Times New Roman" w:hAnsi="Times New Roman" w:eastAsia="宋体" w:cs="宋体"/>
      <w:sz w:val="21"/>
      <w:szCs w:val="24"/>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101</Pages>
  <Words>10617</Words>
  <Characters>11614</Characters>
  <Lines>0</Lines>
  <Paragraphs>0</Paragraphs>
  <TotalTime>1</TotalTime>
  <ScaleCrop>false</ScaleCrop>
  <LinksUpToDate>false</LinksUpToDate>
  <CharactersWithSpaces>11827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2024-06-25T02:00:00Z</dcterms:created>
  <dc:creator>彤</dc:creator>
  <cp:lastModifiedBy>林存广</cp:lastModifiedBy>
  <dcterms:modified xsi:type="dcterms:W3CDTF">2026-10-20T02:19:55Z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C8DCC9792A534DA08260E1395404A7DA_13</vt:lpwstr>
  </property>
  <property fmtid="{D5CDD505-2E9C-101B-9397-08002B2CF9AE}" pid="4" name="KSOTemplateDocerSaveRecord">
    <vt:lpwstr>eyJoZGlkIjoiZmI1ZjZjZjUxY2I0MGFlNzkwYTRmOGE2YjZlY2UwNzMiLCJ1c2VySWQiOiIxMTc3MDAyODE0In0=</vt:lpwstr>
  </property>
</Properties>
</file>