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6651E">
      <w:pPr>
        <w:spacing w:line="360" w:lineRule="auto"/>
        <w:jc w:val="center"/>
        <w:rPr>
          <w:rFonts w:hint="eastAsia" w:ascii="黑体" w:hAnsi="黑体" w:eastAsia="黑体" w:cs="黑体"/>
          <w:color w:val="auto"/>
          <w:sz w:val="31"/>
          <w:szCs w:val="31"/>
          <w:highlight w:val="none"/>
          <w:lang w:eastAsia="zh-CN"/>
        </w:rPr>
      </w:pPr>
      <w:r>
        <w:rPr>
          <w:rFonts w:ascii="黑体" w:hAnsi="黑体" w:eastAsia="黑体" w:cs="黑体"/>
          <w:b/>
          <w:bCs/>
          <w:color w:val="auto"/>
          <w:sz w:val="31"/>
          <w:szCs w:val="31"/>
          <w:highlight w:val="none"/>
          <w:lang w:eastAsia="zh-CN"/>
        </w:rPr>
        <w:t>前</w:t>
      </w:r>
      <w:r>
        <w:rPr>
          <w:rFonts w:hint="eastAsia" w:ascii="黑体" w:hAnsi="黑体" w:eastAsia="黑体" w:cs="黑体"/>
          <w:b/>
          <w:bCs/>
          <w:color w:val="auto"/>
          <w:sz w:val="31"/>
          <w:szCs w:val="31"/>
          <w:highlight w:val="none"/>
          <w:lang w:eastAsia="zh-CN"/>
        </w:rPr>
        <w:t xml:space="preserve"> </w:t>
      </w:r>
      <w:r>
        <w:rPr>
          <w:rFonts w:ascii="黑体" w:hAnsi="黑体" w:eastAsia="黑体" w:cs="黑体"/>
          <w:b/>
          <w:bCs/>
          <w:color w:val="auto"/>
          <w:sz w:val="31"/>
          <w:szCs w:val="31"/>
          <w:highlight w:val="none"/>
          <w:lang w:eastAsia="zh-CN"/>
        </w:rPr>
        <w:t>言</w:t>
      </w:r>
    </w:p>
    <w:p w14:paraId="2BE21FC5">
      <w:pPr>
        <w:keepNext w:val="0"/>
        <w:keepLines w:val="0"/>
        <w:pageBreakBefore w:val="0"/>
        <w:wordWrap/>
        <w:overflowPunct/>
        <w:topLinePunct w:val="0"/>
        <w:bidi w:val="0"/>
        <w:adjustRightInd w:val="0"/>
        <w:snapToGrid w:val="0"/>
        <w:spacing w:line="360" w:lineRule="auto"/>
        <w:ind w:firstLine="584" w:firstLineChars="200"/>
        <w:jc w:val="both"/>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6"/>
          <w:sz w:val="28"/>
          <w:szCs w:val="28"/>
          <w:highlight w:val="none"/>
          <w:lang w:eastAsia="zh-CN"/>
        </w:rPr>
        <w:t>葫芦岛岳强矿业有限责任公司位于葫芦岛市连山区杨郊乡松树卯村后东沟</w:t>
      </w:r>
      <w:r>
        <w:rPr>
          <w:rFonts w:hint="eastAsia" w:ascii="Times New Roman Regular" w:hAnsi="Times New Roman Regular" w:eastAsia="宋体" w:cs="Times New Roman Regular"/>
          <w:color w:val="auto"/>
          <w:spacing w:val="6"/>
          <w:sz w:val="28"/>
          <w:szCs w:val="28"/>
          <w:highlight w:val="none"/>
          <w:lang w:eastAsia="zh-CN"/>
        </w:rPr>
        <w:t>，</w:t>
      </w:r>
      <w:r>
        <w:rPr>
          <w:rFonts w:hint="default" w:ascii="Times New Roman Regular" w:hAnsi="Times New Roman Regular" w:eastAsia="宋体" w:cs="Times New Roman Regular"/>
          <w:color w:val="auto"/>
          <w:spacing w:val="-2"/>
          <w:sz w:val="28"/>
          <w:szCs w:val="28"/>
          <w:highlight w:val="none"/>
          <w:lang w:eastAsia="zh-CN"/>
        </w:rPr>
        <w:t>法定代表人为赵兴岩</w:t>
      </w:r>
      <w:r>
        <w:rPr>
          <w:rFonts w:hint="eastAsia" w:ascii="Times New Roman Regular" w:hAnsi="Times New Roman Regular" w:eastAsia="宋体" w:cs="Times New Roman Regular"/>
          <w:color w:val="auto"/>
          <w:spacing w:val="-2"/>
          <w:sz w:val="28"/>
          <w:szCs w:val="28"/>
          <w:highlight w:val="none"/>
          <w:lang w:eastAsia="zh-CN"/>
        </w:rPr>
        <w:t>，</w:t>
      </w:r>
      <w:r>
        <w:rPr>
          <w:rFonts w:hint="default" w:ascii="Times New Roman Regular" w:hAnsi="Times New Roman Regular" w:eastAsia="宋体" w:cs="Times New Roman Regular"/>
          <w:color w:val="auto"/>
          <w:spacing w:val="-2"/>
          <w:sz w:val="28"/>
          <w:szCs w:val="28"/>
          <w:highlight w:val="none"/>
          <w:lang w:eastAsia="zh-CN"/>
        </w:rPr>
        <w:t>公司类型</w:t>
      </w:r>
      <w:r>
        <w:rPr>
          <w:rFonts w:hint="eastAsia" w:ascii="Times New Roman Regular" w:hAnsi="Times New Roman Regular" w:eastAsia="宋体" w:cs="Times New Roman Regular"/>
          <w:color w:val="auto"/>
          <w:spacing w:val="-2"/>
          <w:sz w:val="28"/>
          <w:szCs w:val="28"/>
          <w:highlight w:val="none"/>
          <w:lang w:val="en-US" w:eastAsia="zh-CN"/>
        </w:rPr>
        <w:t>为</w:t>
      </w:r>
      <w:r>
        <w:rPr>
          <w:rFonts w:hint="default" w:ascii="Times New Roman Regular" w:hAnsi="Times New Roman Regular" w:eastAsia="宋体" w:cs="Times New Roman Regular"/>
          <w:color w:val="auto"/>
          <w:spacing w:val="-2"/>
          <w:sz w:val="28"/>
          <w:szCs w:val="28"/>
          <w:highlight w:val="none"/>
          <w:lang w:eastAsia="zh-CN"/>
        </w:rPr>
        <w:t>有限责任公司</w:t>
      </w:r>
      <w:r>
        <w:rPr>
          <w:rFonts w:hint="eastAsia" w:ascii="Times New Roman Regular" w:hAnsi="Times New Roman Regular" w:eastAsia="宋体" w:cs="Times New Roman Regular"/>
          <w:color w:val="auto"/>
          <w:spacing w:val="-2"/>
          <w:sz w:val="28"/>
          <w:szCs w:val="28"/>
          <w:highlight w:val="none"/>
          <w:lang w:eastAsia="zh-CN"/>
        </w:rPr>
        <w:t>。</w:t>
      </w:r>
      <w:r>
        <w:rPr>
          <w:rFonts w:hint="default" w:ascii="Times New Roman Regular" w:hAnsi="Times New Roman Regular" w:eastAsia="宋体" w:cs="Times New Roman Regular"/>
          <w:color w:val="auto"/>
          <w:spacing w:val="-2"/>
          <w:sz w:val="28"/>
          <w:szCs w:val="28"/>
          <w:highlight w:val="none"/>
          <w:lang w:eastAsia="zh-CN"/>
        </w:rPr>
        <w:t>公司</w:t>
      </w:r>
      <w:r>
        <w:rPr>
          <w:rFonts w:hint="default" w:ascii="Times New Roman Regular" w:hAnsi="Times New Roman Regular" w:eastAsia="宋体" w:cs="Times New Roman Regular"/>
          <w:color w:val="auto"/>
          <w:spacing w:val="-3"/>
          <w:sz w:val="28"/>
          <w:szCs w:val="28"/>
          <w:highlight w:val="none"/>
          <w:lang w:eastAsia="zh-CN"/>
        </w:rPr>
        <w:t>经营范围</w:t>
      </w:r>
      <w:r>
        <w:rPr>
          <w:rFonts w:hint="eastAsia"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宋体" w:cs="Times New Roman Regular"/>
          <w:color w:val="auto"/>
          <w:spacing w:val="-3"/>
          <w:sz w:val="28"/>
          <w:szCs w:val="28"/>
          <w:highlight w:val="none"/>
          <w:lang w:eastAsia="zh-CN"/>
        </w:rPr>
        <w:t>铅矿、铁矿、锌矿、石墨地下开采、销售</w:t>
      </w:r>
      <w:r>
        <w:rPr>
          <w:rFonts w:hint="eastAsia"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宋体" w:cs="Times New Roman Regular"/>
          <w:color w:val="auto"/>
          <w:spacing w:val="-3"/>
          <w:sz w:val="28"/>
          <w:szCs w:val="28"/>
          <w:highlight w:val="none"/>
          <w:lang w:eastAsia="zh-CN"/>
        </w:rPr>
        <w:t>选矿（除依法须经批准的项目外，凭营业执照依法自主开展经营活动）。</w:t>
      </w:r>
    </w:p>
    <w:p w14:paraId="1CE98350">
      <w:pPr>
        <w:keepNext w:val="0"/>
        <w:keepLines w:val="0"/>
        <w:pageBreakBefore w:val="0"/>
        <w:wordWrap/>
        <w:overflowPunct/>
        <w:topLinePunct w:val="0"/>
        <w:bidi w:val="0"/>
        <w:adjustRightInd w:val="0"/>
        <w:snapToGrid w:val="0"/>
        <w:spacing w:line="360" w:lineRule="auto"/>
        <w:ind w:firstLine="584"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6"/>
          <w:sz w:val="28"/>
          <w:szCs w:val="28"/>
          <w:highlight w:val="none"/>
          <w:lang w:eastAsia="zh-CN"/>
        </w:rPr>
        <w:t>葫芦岛岳强矿业有限责任公司</w:t>
      </w:r>
      <w:r>
        <w:rPr>
          <w:rFonts w:hint="default" w:ascii="Times New Roman Regular" w:hAnsi="Times New Roman Regular" w:eastAsia="宋体" w:cs="Times New Roman Regular"/>
          <w:color w:val="auto"/>
          <w:spacing w:val="5"/>
          <w:sz w:val="28"/>
          <w:szCs w:val="28"/>
          <w:highlight w:val="none"/>
          <w:lang w:eastAsia="zh-CN"/>
        </w:rPr>
        <w:t>尾矿库（以下简称：该尾矿库）</w:t>
      </w:r>
      <w:r>
        <w:rPr>
          <w:rFonts w:hint="default" w:ascii="Times New Roman Regular" w:hAnsi="Times New Roman Regular" w:eastAsia="宋体" w:cs="Times New Roman Regular"/>
          <w:color w:val="auto"/>
          <w:spacing w:val="3"/>
          <w:sz w:val="28"/>
          <w:szCs w:val="28"/>
          <w:highlight w:val="none"/>
          <w:lang w:eastAsia="zh-CN"/>
        </w:rPr>
        <w:t>位于</w:t>
      </w:r>
      <w:r>
        <w:rPr>
          <w:rFonts w:hint="default" w:ascii="Times New Roman Regular" w:hAnsi="Times New Roman Regular" w:eastAsia="宋体" w:cs="Times New Roman Regular"/>
          <w:color w:val="auto"/>
          <w:spacing w:val="6"/>
          <w:sz w:val="28"/>
          <w:szCs w:val="28"/>
          <w:highlight w:val="none"/>
          <w:lang w:eastAsia="zh-CN"/>
        </w:rPr>
        <w:t>葫芦岛市连山区杨郊乡松树卯村后东沟</w:t>
      </w:r>
      <w:r>
        <w:rPr>
          <w:rFonts w:hint="default" w:ascii="Times New Roman Regular" w:hAnsi="Times New Roman Regular" w:eastAsia="宋体" w:cs="Times New Roman Regular"/>
          <w:color w:val="auto"/>
          <w:spacing w:val="3"/>
          <w:sz w:val="28"/>
          <w:szCs w:val="28"/>
          <w:highlight w:val="none"/>
          <w:lang w:eastAsia="zh-CN"/>
        </w:rPr>
        <w:t>。该尾矿库为“山谷型”尾矿</w:t>
      </w:r>
      <w:r>
        <w:rPr>
          <w:rFonts w:hint="default" w:ascii="Times New Roman Regular" w:hAnsi="Times New Roman Regular" w:eastAsia="宋体" w:cs="Times New Roman Regular"/>
          <w:color w:val="auto"/>
          <w:spacing w:val="-5"/>
          <w:sz w:val="28"/>
          <w:szCs w:val="28"/>
          <w:highlight w:val="none"/>
          <w:lang w:eastAsia="zh-CN"/>
        </w:rPr>
        <w:t>库，设计总库容36.03万m³，设计最大坝高29m，现状已堆存尾矿砂26万m</w:t>
      </w:r>
      <w:r>
        <w:rPr>
          <w:rFonts w:hint="default" w:ascii="Times New Roman Regular" w:hAnsi="Times New Roman Regular" w:eastAsia="宋体" w:cs="Times New Roman Regular"/>
          <w:color w:val="auto"/>
          <w:spacing w:val="-5"/>
          <w:sz w:val="28"/>
          <w:szCs w:val="28"/>
          <w:highlight w:val="none"/>
          <w:vertAlign w:val="superscript"/>
          <w:lang w:eastAsia="zh-CN"/>
        </w:rPr>
        <w:t>3</w:t>
      </w:r>
      <w:r>
        <w:rPr>
          <w:rFonts w:hint="default" w:ascii="Times New Roman Regular" w:hAnsi="Times New Roman Regular" w:eastAsia="宋体" w:cs="Times New Roman Regular"/>
          <w:color w:val="auto"/>
          <w:spacing w:val="-5"/>
          <w:sz w:val="28"/>
          <w:szCs w:val="28"/>
          <w:highlight w:val="none"/>
          <w:lang w:eastAsia="zh-CN"/>
        </w:rPr>
        <w:t>，现状最大堆积坝高26m，尾矿库为五等库，干式排放。</w:t>
      </w:r>
    </w:p>
    <w:p w14:paraId="455F5720">
      <w:pPr>
        <w:keepNext w:val="0"/>
        <w:keepLines w:val="0"/>
        <w:pageBreakBefore w:val="0"/>
        <w:widowControl w:val="0"/>
        <w:kinsoku/>
        <w:wordWrap/>
        <w:overflowPunct/>
        <w:topLinePunct w:val="0"/>
        <w:autoSpaceDE/>
        <w:autoSpaceDN/>
        <w:bidi w:val="0"/>
        <w:adjustRightInd w:val="0"/>
        <w:snapToGrid w:val="0"/>
        <w:spacing w:line="360" w:lineRule="auto"/>
        <w:ind w:firstLine="548" w:firstLineChars="200"/>
        <w:jc w:val="both"/>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企业于</w:t>
      </w:r>
      <w:r>
        <w:rPr>
          <w:rFonts w:hint="default" w:ascii="Times New Roman Regular" w:hAnsi="Times New Roman Regular" w:eastAsia="宋体" w:cs="Times New Roman Regular"/>
          <w:color w:val="auto"/>
          <w:sz w:val="28"/>
          <w:szCs w:val="28"/>
          <w:highlight w:val="none"/>
          <w:lang w:eastAsia="zh-CN"/>
        </w:rPr>
        <w:t>2012</w:t>
      </w:r>
      <w:r>
        <w:rPr>
          <w:rFonts w:hint="default" w:ascii="Times New Roman Regular" w:hAnsi="Times New Roman Regular" w:eastAsia="宋体" w:cs="Times New Roman Regular"/>
          <w:color w:val="auto"/>
          <w:sz w:val="28"/>
          <w:szCs w:val="28"/>
          <w:highlight w:val="none"/>
          <w:lang w:val="zh-CN" w:eastAsia="zh-CN"/>
        </w:rPr>
        <w:t>年</w:t>
      </w:r>
      <w:r>
        <w:rPr>
          <w:rFonts w:hint="default" w:ascii="Times New Roman Regular" w:hAnsi="Times New Roman Regular" w:eastAsia="宋体" w:cs="Times New Roman Regular"/>
          <w:color w:val="auto"/>
          <w:sz w:val="28"/>
          <w:szCs w:val="28"/>
          <w:highlight w:val="none"/>
          <w:lang w:eastAsia="zh-CN"/>
        </w:rPr>
        <w:t>10</w:t>
      </w:r>
      <w:r>
        <w:rPr>
          <w:rFonts w:hint="default" w:ascii="Times New Roman Regular" w:hAnsi="Times New Roman Regular" w:eastAsia="宋体" w:cs="Times New Roman Regular"/>
          <w:color w:val="auto"/>
          <w:sz w:val="28"/>
          <w:szCs w:val="28"/>
          <w:highlight w:val="none"/>
          <w:lang w:val="zh-CN" w:eastAsia="zh-CN"/>
        </w:rPr>
        <w:t>月</w:t>
      </w:r>
      <w:r>
        <w:rPr>
          <w:rFonts w:hint="default" w:ascii="Times New Roman Regular" w:hAnsi="Times New Roman Regular" w:eastAsia="宋体" w:cs="Times New Roman Regular"/>
          <w:color w:val="auto"/>
          <w:sz w:val="28"/>
          <w:szCs w:val="28"/>
          <w:highlight w:val="none"/>
          <w:lang w:eastAsia="zh-CN"/>
        </w:rPr>
        <w:t>委托</w:t>
      </w:r>
      <w:r>
        <w:rPr>
          <w:rFonts w:hint="default" w:ascii="Times New Roman Regular" w:hAnsi="Times New Roman Regular" w:eastAsia="宋体" w:cs="Times New Roman Regular"/>
          <w:color w:val="auto"/>
          <w:sz w:val="28"/>
          <w:szCs w:val="28"/>
          <w:highlight w:val="none"/>
          <w:lang w:val="zh-CN" w:eastAsia="zh-CN"/>
        </w:rPr>
        <w:t>河北宏达绿洲工程设计有限公司</w:t>
      </w:r>
      <w:r>
        <w:rPr>
          <w:rFonts w:hint="default" w:ascii="Times New Roman Regular" w:hAnsi="Times New Roman Regular" w:eastAsia="宋体" w:cs="Times New Roman Regular"/>
          <w:color w:val="auto"/>
          <w:sz w:val="28"/>
          <w:szCs w:val="28"/>
          <w:highlight w:val="none"/>
          <w:lang w:eastAsia="zh-CN"/>
        </w:rPr>
        <w:t>编制完成了</w:t>
      </w:r>
      <w:r>
        <w:rPr>
          <w:rFonts w:hint="default" w:ascii="Times New Roman Regular" w:hAnsi="Times New Roman Regular" w:eastAsia="宋体" w:cs="Times New Roman Regular"/>
          <w:color w:val="auto"/>
          <w:sz w:val="28"/>
          <w:szCs w:val="28"/>
          <w:highlight w:val="none"/>
          <w:lang w:val="zh-CN" w:eastAsia="zh-CN"/>
        </w:rPr>
        <w:t>《葫芦岛岳强矿业有限责任公司干堆尾矿库初步设计》</w:t>
      </w:r>
      <w:r>
        <w:rPr>
          <w:rFonts w:hint="default" w:ascii="Times New Roman Regular" w:hAnsi="Times New Roman Regular" w:eastAsia="宋体" w:cs="Times New Roman Regular"/>
          <w:color w:val="auto"/>
          <w:sz w:val="28"/>
          <w:szCs w:val="28"/>
          <w:highlight w:val="none"/>
          <w:lang w:eastAsia="zh-CN"/>
        </w:rPr>
        <w:t>和</w:t>
      </w:r>
      <w:r>
        <w:rPr>
          <w:rFonts w:hint="default" w:ascii="Times New Roman Regular" w:hAnsi="Times New Roman Regular" w:eastAsia="宋体" w:cs="Times New Roman Regular"/>
          <w:color w:val="auto"/>
          <w:sz w:val="28"/>
          <w:szCs w:val="28"/>
          <w:highlight w:val="none"/>
          <w:lang w:val="zh-CN" w:eastAsia="zh-CN"/>
        </w:rPr>
        <w:t>《葫芦岛岳强矿业有限责任公司干堆尾矿库安全专篇》</w:t>
      </w:r>
      <w:r>
        <w:rPr>
          <w:rFonts w:hint="eastAsia" w:ascii="Times New Roman Regular" w:hAnsi="Times New Roman Regular" w:eastAsia="宋体" w:cs="Times New Roman Regular"/>
          <w:color w:val="auto"/>
          <w:sz w:val="28"/>
          <w:szCs w:val="28"/>
          <w:highlight w:val="none"/>
          <w:lang w:val="zh-CN" w:eastAsia="zh-CN"/>
        </w:rPr>
        <w:t>，</w:t>
      </w:r>
      <w:r>
        <w:rPr>
          <w:rFonts w:hint="default" w:ascii="Times New Roman Regular" w:hAnsi="Times New Roman Regular" w:eastAsia="宋体" w:cs="Times New Roman Regular"/>
          <w:color w:val="auto"/>
          <w:sz w:val="28"/>
          <w:szCs w:val="28"/>
          <w:highlight w:val="none"/>
          <w:lang w:eastAsia="zh-CN"/>
        </w:rPr>
        <w:t>于</w:t>
      </w:r>
      <w:r>
        <w:rPr>
          <w:rFonts w:hint="default" w:ascii="Times New Roman Regular" w:hAnsi="Times New Roman Regular" w:eastAsia="宋体" w:cs="Times New Roman Regular"/>
          <w:color w:val="auto"/>
          <w:sz w:val="28"/>
          <w:szCs w:val="28"/>
          <w:highlight w:val="none"/>
          <w:lang w:val="zh-CN" w:eastAsia="zh-CN"/>
        </w:rPr>
        <w:t>20</w:t>
      </w:r>
      <w:r>
        <w:rPr>
          <w:rFonts w:hint="default" w:ascii="Times New Roman Regular" w:hAnsi="Times New Roman Regular" w:eastAsia="宋体" w:cs="Times New Roman Regular"/>
          <w:color w:val="auto"/>
          <w:sz w:val="28"/>
          <w:szCs w:val="28"/>
          <w:highlight w:val="none"/>
          <w:lang w:eastAsia="zh-CN"/>
        </w:rPr>
        <w:t>21</w:t>
      </w:r>
      <w:r>
        <w:rPr>
          <w:rFonts w:hint="default" w:ascii="Times New Roman Regular" w:hAnsi="Times New Roman Regular" w:eastAsia="宋体" w:cs="Times New Roman Regular"/>
          <w:color w:val="auto"/>
          <w:sz w:val="28"/>
          <w:szCs w:val="28"/>
          <w:highlight w:val="none"/>
          <w:lang w:val="zh-CN" w:eastAsia="zh-CN"/>
        </w:rPr>
        <w:t>年</w:t>
      </w:r>
      <w:r>
        <w:rPr>
          <w:rFonts w:hint="default" w:ascii="Times New Roman Regular" w:hAnsi="Times New Roman Regular" w:eastAsia="宋体" w:cs="Times New Roman Regular"/>
          <w:color w:val="auto"/>
          <w:sz w:val="28"/>
          <w:szCs w:val="28"/>
          <w:highlight w:val="none"/>
          <w:lang w:eastAsia="zh-CN"/>
        </w:rPr>
        <w:t>10</w:t>
      </w:r>
      <w:r>
        <w:rPr>
          <w:rFonts w:hint="default" w:ascii="Times New Roman Regular" w:hAnsi="Times New Roman Regular" w:eastAsia="宋体" w:cs="Times New Roman Regular"/>
          <w:color w:val="auto"/>
          <w:sz w:val="28"/>
          <w:szCs w:val="28"/>
          <w:highlight w:val="none"/>
          <w:lang w:val="zh-CN" w:eastAsia="zh-CN"/>
        </w:rPr>
        <w:t>月</w:t>
      </w:r>
      <w:r>
        <w:rPr>
          <w:rFonts w:hint="default" w:ascii="Times New Roman Regular" w:hAnsi="Times New Roman Regular" w:eastAsia="宋体" w:cs="Times New Roman Regular"/>
          <w:color w:val="auto"/>
          <w:sz w:val="28"/>
          <w:szCs w:val="28"/>
          <w:highlight w:val="none"/>
          <w:lang w:eastAsia="zh-CN"/>
        </w:rPr>
        <w:t>委托</w:t>
      </w:r>
      <w:r>
        <w:rPr>
          <w:rFonts w:hint="default" w:ascii="Times New Roman Regular" w:hAnsi="Times New Roman Regular" w:eastAsia="宋体" w:cs="Times New Roman Regular"/>
          <w:color w:val="auto"/>
          <w:sz w:val="28"/>
          <w:szCs w:val="28"/>
          <w:highlight w:val="none"/>
          <w:lang w:val="zh-CN" w:eastAsia="zh-CN"/>
        </w:rPr>
        <w:t>辽宁牧鼎矿业科技有限公司</w:t>
      </w:r>
      <w:r>
        <w:rPr>
          <w:rFonts w:hint="default" w:ascii="Times New Roman Regular" w:hAnsi="Times New Roman Regular" w:eastAsia="宋体" w:cs="Times New Roman Regular"/>
          <w:color w:val="auto"/>
          <w:sz w:val="28"/>
          <w:szCs w:val="28"/>
          <w:highlight w:val="none"/>
          <w:lang w:eastAsia="zh-CN"/>
        </w:rPr>
        <w:t>编制完成了</w:t>
      </w:r>
      <w:r>
        <w:rPr>
          <w:rFonts w:hint="default" w:ascii="Times New Roman Regular" w:hAnsi="Times New Roman Regular" w:eastAsia="宋体" w:cs="Times New Roman Regular"/>
          <w:color w:val="auto"/>
          <w:sz w:val="28"/>
          <w:szCs w:val="28"/>
          <w:highlight w:val="none"/>
          <w:lang w:val="zh-CN" w:eastAsia="zh-CN"/>
        </w:rPr>
        <w:t>《葫芦岛岳强矿业有限责任公司干堆尾矿库在线安全监测系统工程方案设计》</w:t>
      </w:r>
      <w:r>
        <w:rPr>
          <w:rFonts w:hint="default" w:ascii="Times New Roman Regular" w:hAnsi="Times New Roman Regular" w:eastAsia="宋体" w:cs="Times New Roman Regular"/>
          <w:color w:val="auto"/>
          <w:spacing w:val="-1"/>
          <w:sz w:val="28"/>
          <w:szCs w:val="28"/>
          <w:highlight w:val="none"/>
          <w:lang w:eastAsia="zh-CN"/>
        </w:rPr>
        <w:t>。企业按照相关设计对该尾矿库进行施工</w:t>
      </w:r>
      <w:r>
        <w:rPr>
          <w:rFonts w:hint="eastAsia" w:ascii="Times New Roman Regular" w:hAnsi="Times New Roman Regular" w:eastAsia="宋体" w:cs="Times New Roman Regular"/>
          <w:color w:val="auto"/>
          <w:spacing w:val="-1"/>
          <w:sz w:val="28"/>
          <w:szCs w:val="28"/>
          <w:highlight w:val="none"/>
          <w:lang w:eastAsia="zh-CN"/>
        </w:rPr>
        <w:t>，并</w:t>
      </w:r>
      <w:r>
        <w:rPr>
          <w:rFonts w:hint="default" w:ascii="Times New Roman Regular" w:hAnsi="Times New Roman Regular" w:eastAsia="宋体" w:cs="Times New Roman Regular"/>
          <w:color w:val="auto"/>
          <w:spacing w:val="-1"/>
          <w:sz w:val="28"/>
          <w:szCs w:val="28"/>
          <w:highlight w:val="none"/>
          <w:lang w:eastAsia="zh-CN"/>
        </w:rPr>
        <w:t>根据政府要求进行安全生产许可证的申领和延期换证工作。该尾矿库的安全生产许可证将</w:t>
      </w:r>
      <w:r>
        <w:rPr>
          <w:rFonts w:hint="default" w:ascii="Times New Roman Regular" w:hAnsi="Times New Roman Regular" w:eastAsia="宋体" w:cs="Times New Roman Regular"/>
          <w:color w:val="auto"/>
          <w:spacing w:val="-5"/>
          <w:sz w:val="28"/>
          <w:szCs w:val="28"/>
          <w:highlight w:val="none"/>
          <w:lang w:eastAsia="zh-CN"/>
        </w:rPr>
        <w:t>于</w:t>
      </w:r>
      <w:r>
        <w:rPr>
          <w:rFonts w:hint="default" w:ascii="Times New Roman Regular" w:hAnsi="Times New Roman Regular" w:eastAsia="Times New Roman" w:cs="Times New Roman Regular"/>
          <w:color w:val="auto"/>
          <w:spacing w:val="-5"/>
          <w:sz w:val="28"/>
          <w:szCs w:val="28"/>
          <w:highlight w:val="none"/>
          <w:lang w:eastAsia="zh-CN"/>
        </w:rPr>
        <w:t>202</w:t>
      </w:r>
      <w:r>
        <w:rPr>
          <w:rFonts w:hint="default" w:ascii="Times New Roman Regular" w:hAnsi="Times New Roman Regular" w:eastAsia="宋体" w:cs="Times New Roman Regular"/>
          <w:color w:val="auto"/>
          <w:spacing w:val="-5"/>
          <w:sz w:val="28"/>
          <w:szCs w:val="28"/>
          <w:highlight w:val="none"/>
          <w:lang w:eastAsia="zh-CN"/>
        </w:rPr>
        <w:t>6年</w:t>
      </w:r>
      <w:r>
        <w:rPr>
          <w:rFonts w:hint="default" w:ascii="Times New Roman Regular" w:hAnsi="Times New Roman Regular" w:eastAsia="Times New Roman" w:cs="Times New Roman Regular"/>
          <w:color w:val="auto"/>
          <w:spacing w:val="-5"/>
          <w:sz w:val="28"/>
          <w:szCs w:val="28"/>
          <w:highlight w:val="none"/>
          <w:lang w:eastAsia="zh-CN"/>
        </w:rPr>
        <w:t>3</w:t>
      </w:r>
      <w:r>
        <w:rPr>
          <w:rFonts w:hint="default" w:ascii="Times New Roman Regular" w:hAnsi="Times New Roman Regular" w:eastAsia="宋体" w:cs="Times New Roman Regular"/>
          <w:color w:val="auto"/>
          <w:spacing w:val="-5"/>
          <w:sz w:val="28"/>
          <w:szCs w:val="28"/>
          <w:highlight w:val="none"/>
          <w:lang w:eastAsia="zh-CN"/>
        </w:rPr>
        <w:t>月10日到期，现需办理延期换证事项，因此企业委托我</w:t>
      </w:r>
      <w:r>
        <w:rPr>
          <w:rFonts w:hint="default" w:ascii="Times New Roman Regular" w:hAnsi="Times New Roman Regular" w:eastAsia="宋体" w:cs="Times New Roman Regular"/>
          <w:color w:val="auto"/>
          <w:spacing w:val="-1"/>
          <w:sz w:val="28"/>
          <w:szCs w:val="28"/>
          <w:highlight w:val="none"/>
          <w:lang w:eastAsia="zh-CN"/>
        </w:rPr>
        <w:t>公司对其进行安全现状评价。</w:t>
      </w:r>
    </w:p>
    <w:p w14:paraId="759E2FE7">
      <w:pPr>
        <w:keepNext w:val="0"/>
        <w:keepLines w:val="0"/>
        <w:pageBreakBefore w:val="0"/>
        <w:wordWrap/>
        <w:overflowPunct/>
        <w:topLinePunct w:val="0"/>
        <w:bidi w:val="0"/>
        <w:adjustRightInd w:val="0"/>
        <w:snapToGrid w:val="0"/>
        <w:spacing w:line="360" w:lineRule="auto"/>
        <w:ind w:firstLine="556"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1"/>
          <w:sz w:val="28"/>
          <w:szCs w:val="28"/>
          <w:highlight w:val="none"/>
          <w:lang w:eastAsia="zh-CN"/>
        </w:rPr>
        <w:t>为了圆满完成该项目，公司专门成立评价小组，于</w:t>
      </w:r>
      <w:r>
        <w:rPr>
          <w:rFonts w:hint="default" w:ascii="Times New Roman Regular" w:hAnsi="Times New Roman Regular" w:eastAsia="Times New Roman" w:cs="Times New Roman Regular"/>
          <w:color w:val="auto"/>
          <w:spacing w:val="-1"/>
          <w:sz w:val="28"/>
          <w:szCs w:val="28"/>
          <w:highlight w:val="none"/>
          <w:lang w:eastAsia="zh-CN"/>
        </w:rPr>
        <w:t>202</w:t>
      </w:r>
      <w:r>
        <w:rPr>
          <w:rFonts w:hint="default" w:ascii="Times New Roman Regular" w:hAnsi="Times New Roman Regular" w:eastAsia="宋体" w:cs="Times New Roman Regular"/>
          <w:color w:val="auto"/>
          <w:spacing w:val="-1"/>
          <w:sz w:val="28"/>
          <w:szCs w:val="28"/>
          <w:highlight w:val="none"/>
          <w:lang w:eastAsia="zh-CN"/>
        </w:rPr>
        <w:t>6年</w:t>
      </w:r>
      <w:r>
        <w:rPr>
          <w:rFonts w:hint="default" w:ascii="Times New Roman Regular" w:hAnsi="Times New Roman Regular" w:eastAsia="Times New Roman" w:cs="Times New Roman Regular"/>
          <w:color w:val="auto"/>
          <w:spacing w:val="-4"/>
          <w:sz w:val="28"/>
          <w:szCs w:val="28"/>
          <w:highlight w:val="none"/>
          <w:lang w:eastAsia="zh-CN"/>
        </w:rPr>
        <w:t>2</w:t>
      </w:r>
      <w:r>
        <w:rPr>
          <w:rFonts w:hint="default" w:ascii="Times New Roman Regular" w:hAnsi="Times New Roman Regular" w:eastAsia="宋体" w:cs="Times New Roman Regular"/>
          <w:color w:val="auto"/>
          <w:spacing w:val="-4"/>
          <w:sz w:val="28"/>
          <w:szCs w:val="28"/>
          <w:highlight w:val="none"/>
          <w:lang w:eastAsia="zh-CN"/>
        </w:rPr>
        <w:t>月</w:t>
      </w:r>
      <w:r>
        <w:rPr>
          <w:rFonts w:hint="default" w:ascii="Times New Roman Regular" w:hAnsi="Times New Roman Regular" w:eastAsia="Times New Roman" w:cs="Times New Roman Regular"/>
          <w:color w:val="auto"/>
          <w:spacing w:val="-4"/>
          <w:sz w:val="28"/>
          <w:szCs w:val="28"/>
          <w:highlight w:val="none"/>
          <w:lang w:eastAsia="zh-CN"/>
        </w:rPr>
        <w:t>9</w:t>
      </w:r>
      <w:r>
        <w:rPr>
          <w:rFonts w:hint="default" w:ascii="Times New Roman Regular" w:hAnsi="Times New Roman Regular" w:eastAsia="宋体" w:cs="Times New Roman Regular"/>
          <w:color w:val="auto"/>
          <w:spacing w:val="-4"/>
          <w:sz w:val="28"/>
          <w:szCs w:val="28"/>
          <w:highlight w:val="none"/>
          <w:lang w:eastAsia="zh-CN"/>
        </w:rPr>
        <w:t>日对该尾矿库进行实地勘察、测量和</w:t>
      </w:r>
      <w:r>
        <w:rPr>
          <w:rFonts w:hint="default" w:ascii="Times New Roman Regular" w:hAnsi="Times New Roman Regular" w:eastAsia="宋体" w:cs="Times New Roman Regular"/>
          <w:color w:val="auto"/>
          <w:spacing w:val="-5"/>
          <w:sz w:val="28"/>
          <w:szCs w:val="28"/>
          <w:highlight w:val="none"/>
          <w:lang w:eastAsia="zh-CN"/>
        </w:rPr>
        <w:t>资料收集工作并提出现</w:t>
      </w:r>
      <w:r>
        <w:rPr>
          <w:rFonts w:hint="default" w:ascii="Times New Roman Regular" w:hAnsi="Times New Roman Regular" w:eastAsia="宋体" w:cs="Times New Roman Regular"/>
          <w:color w:val="auto"/>
          <w:sz w:val="28"/>
          <w:szCs w:val="28"/>
          <w:highlight w:val="none"/>
          <w:lang w:eastAsia="zh-CN"/>
        </w:rPr>
        <w:t>场整改意见，企业认真落实。经过详细的</w:t>
      </w:r>
      <w:r>
        <w:rPr>
          <w:rFonts w:hint="eastAsia" w:ascii="Times New Roman Regular" w:hAnsi="Times New Roman Regular" w:eastAsia="宋体" w:cs="Times New Roman Regular"/>
          <w:color w:val="auto"/>
          <w:sz w:val="28"/>
          <w:szCs w:val="28"/>
          <w:highlight w:val="none"/>
          <w:lang w:eastAsia="zh-CN"/>
        </w:rPr>
        <w:t>实地考察</w:t>
      </w:r>
      <w:r>
        <w:rPr>
          <w:rFonts w:hint="default" w:ascii="Times New Roman Regular" w:hAnsi="Times New Roman Regular" w:eastAsia="宋体" w:cs="Times New Roman Regular"/>
          <w:color w:val="auto"/>
          <w:spacing w:val="-1"/>
          <w:sz w:val="28"/>
          <w:szCs w:val="28"/>
          <w:highlight w:val="none"/>
          <w:lang w:eastAsia="zh-CN"/>
        </w:rPr>
        <w:t>和</w:t>
      </w:r>
      <w:r>
        <w:rPr>
          <w:rFonts w:hint="default" w:ascii="Times New Roman Regular" w:hAnsi="Times New Roman Regular" w:eastAsia="宋体" w:cs="Times New Roman Regular"/>
          <w:color w:val="auto"/>
          <w:spacing w:val="-2"/>
          <w:sz w:val="28"/>
          <w:szCs w:val="28"/>
          <w:highlight w:val="none"/>
          <w:lang w:eastAsia="zh-CN"/>
        </w:rPr>
        <w:t>现场调研，依据现行的有关安全生产法律、行政法规、部门规章、</w:t>
      </w:r>
      <w:r>
        <w:rPr>
          <w:rFonts w:hint="default" w:ascii="Times New Roman Regular" w:hAnsi="Times New Roman Regular" w:eastAsia="宋体" w:cs="Times New Roman Regular"/>
          <w:color w:val="auto"/>
          <w:sz w:val="28"/>
          <w:szCs w:val="28"/>
          <w:highlight w:val="none"/>
          <w:lang w:eastAsia="zh-CN"/>
        </w:rPr>
        <w:t>地方性法规、地方政府规章和有关规范性文</w:t>
      </w:r>
      <w:r>
        <w:rPr>
          <w:rFonts w:hint="default" w:ascii="Times New Roman Regular" w:hAnsi="Times New Roman Regular" w:eastAsia="宋体" w:cs="Times New Roman Regular"/>
          <w:color w:val="auto"/>
          <w:spacing w:val="-1"/>
          <w:sz w:val="28"/>
          <w:szCs w:val="28"/>
          <w:highlight w:val="none"/>
          <w:lang w:eastAsia="zh-CN"/>
        </w:rPr>
        <w:t>件</w:t>
      </w:r>
      <w:r>
        <w:rPr>
          <w:rFonts w:hint="eastAsia" w:ascii="Times New Roman Regular" w:hAnsi="Times New Roman Regular" w:eastAsia="宋体" w:cs="Times New Roman Regular"/>
          <w:color w:val="auto"/>
          <w:spacing w:val="-1"/>
          <w:sz w:val="28"/>
          <w:szCs w:val="28"/>
          <w:highlight w:val="none"/>
          <w:lang w:eastAsia="zh-CN"/>
        </w:rPr>
        <w:t>以及</w:t>
      </w:r>
      <w:r>
        <w:rPr>
          <w:rFonts w:hint="default" w:ascii="Times New Roman Regular" w:hAnsi="Times New Roman Regular" w:eastAsia="宋体" w:cs="Times New Roman Regular"/>
          <w:color w:val="auto"/>
          <w:spacing w:val="-1"/>
          <w:sz w:val="28"/>
          <w:szCs w:val="28"/>
          <w:highlight w:val="none"/>
          <w:lang w:eastAsia="zh-CN"/>
        </w:rPr>
        <w:t>委托方所提供的其</w:t>
      </w:r>
      <w:r>
        <w:rPr>
          <w:rFonts w:hint="default" w:ascii="Times New Roman Regular" w:hAnsi="Times New Roman Regular" w:eastAsia="宋体" w:cs="Times New Roman Regular"/>
          <w:color w:val="auto"/>
          <w:sz w:val="28"/>
          <w:szCs w:val="28"/>
          <w:highlight w:val="none"/>
          <w:lang w:eastAsia="zh-CN"/>
        </w:rPr>
        <w:t>他资料，分析该尾矿库可能存在的主要危险</w:t>
      </w:r>
      <w:r>
        <w:rPr>
          <w:rFonts w:hint="default" w:ascii="Times New Roman Regular" w:hAnsi="Times New Roman Regular" w:eastAsia="宋体" w:cs="Times New Roman Regular"/>
          <w:color w:val="auto"/>
          <w:spacing w:val="-1"/>
          <w:sz w:val="28"/>
          <w:szCs w:val="28"/>
          <w:highlight w:val="none"/>
          <w:lang w:eastAsia="zh-CN"/>
        </w:rPr>
        <w:t>、有害因素，并运用定性、定量分析法进行评价</w:t>
      </w:r>
      <w:r>
        <w:rPr>
          <w:rFonts w:hint="eastAsia" w:ascii="Times New Roman Regular" w:hAnsi="Times New Roman Regular" w:eastAsia="宋体" w:cs="Times New Roman Regular"/>
          <w:color w:val="auto"/>
          <w:spacing w:val="-1"/>
          <w:sz w:val="28"/>
          <w:szCs w:val="28"/>
          <w:highlight w:val="none"/>
          <w:lang w:eastAsia="zh-CN"/>
        </w:rPr>
        <w:t>。</w:t>
      </w:r>
      <w:r>
        <w:rPr>
          <w:rFonts w:hint="default" w:ascii="Times New Roman Regular" w:hAnsi="Times New Roman Regular" w:eastAsia="宋体" w:cs="Times New Roman Regular"/>
          <w:color w:val="auto"/>
          <w:spacing w:val="-1"/>
          <w:sz w:val="28"/>
          <w:szCs w:val="28"/>
          <w:highlight w:val="none"/>
          <w:lang w:eastAsia="zh-CN"/>
        </w:rPr>
        <w:t>在评价的基础上</w:t>
      </w:r>
      <w:r>
        <w:rPr>
          <w:rFonts w:hint="eastAsia" w:ascii="Times New Roman Regular" w:hAnsi="Times New Roman Regular" w:eastAsia="宋体" w:cs="Times New Roman Regular"/>
          <w:color w:val="auto"/>
          <w:spacing w:val="-1"/>
          <w:sz w:val="28"/>
          <w:szCs w:val="28"/>
          <w:highlight w:val="none"/>
          <w:lang w:eastAsia="zh-CN"/>
        </w:rPr>
        <w:t>，提出</w:t>
      </w:r>
      <w:r>
        <w:rPr>
          <w:rFonts w:hint="default" w:ascii="Times New Roman Regular" w:hAnsi="Times New Roman Regular" w:eastAsia="宋体" w:cs="Times New Roman Regular"/>
          <w:color w:val="auto"/>
          <w:spacing w:val="-1"/>
          <w:sz w:val="28"/>
          <w:szCs w:val="28"/>
          <w:highlight w:val="none"/>
          <w:lang w:eastAsia="zh-CN"/>
        </w:rPr>
        <w:t>了相应的安全措施</w:t>
      </w:r>
      <w:r>
        <w:rPr>
          <w:rFonts w:hint="default" w:ascii="Times New Roman Regular" w:hAnsi="Times New Roman Regular" w:eastAsia="宋体" w:cs="Times New Roman Regular"/>
          <w:color w:val="auto"/>
          <w:spacing w:val="-2"/>
          <w:sz w:val="28"/>
          <w:szCs w:val="28"/>
          <w:highlight w:val="none"/>
          <w:lang w:eastAsia="zh-CN"/>
        </w:rPr>
        <w:t>和建议，最终得出了该项目的安全现状评价结论</w:t>
      </w:r>
      <w:r>
        <w:rPr>
          <w:rFonts w:hint="eastAsia" w:ascii="Times New Roman Regular" w:hAnsi="Times New Roman Regular" w:eastAsia="宋体" w:cs="Times New Roman Regular"/>
          <w:color w:val="auto"/>
          <w:spacing w:val="-2"/>
          <w:sz w:val="28"/>
          <w:szCs w:val="28"/>
          <w:highlight w:val="none"/>
          <w:lang w:eastAsia="zh-CN"/>
        </w:rPr>
        <w:t>，并</w:t>
      </w:r>
      <w:r>
        <w:rPr>
          <w:rFonts w:hint="default" w:ascii="Times New Roman Regular" w:hAnsi="Times New Roman Regular" w:eastAsia="宋体" w:cs="Times New Roman Regular"/>
          <w:color w:val="auto"/>
          <w:spacing w:val="-2"/>
          <w:sz w:val="28"/>
          <w:szCs w:val="28"/>
          <w:highlight w:val="none"/>
          <w:lang w:eastAsia="zh-CN"/>
        </w:rPr>
        <w:t>于</w:t>
      </w:r>
      <w:r>
        <w:rPr>
          <w:rFonts w:hint="default" w:ascii="Times New Roman Regular" w:hAnsi="Times New Roman Regular" w:eastAsia="Times New Roman" w:cs="Times New Roman Regular"/>
          <w:color w:val="auto"/>
          <w:spacing w:val="-3"/>
          <w:sz w:val="28"/>
          <w:szCs w:val="28"/>
          <w:highlight w:val="none"/>
          <w:lang w:eastAsia="zh-CN"/>
        </w:rPr>
        <w:t>202</w:t>
      </w:r>
      <w:r>
        <w:rPr>
          <w:rFonts w:hint="default" w:ascii="Times New Roman Regular" w:hAnsi="Times New Roman Regular" w:eastAsia="宋体" w:cs="Times New Roman Regular"/>
          <w:color w:val="auto"/>
          <w:spacing w:val="-3"/>
          <w:sz w:val="28"/>
          <w:szCs w:val="28"/>
          <w:highlight w:val="none"/>
          <w:lang w:eastAsia="zh-CN"/>
        </w:rPr>
        <w:t>6年</w:t>
      </w:r>
      <w:r>
        <w:rPr>
          <w:rFonts w:hint="default" w:ascii="Times New Roman Regular" w:hAnsi="Times New Roman Regular" w:eastAsia="Times New Roman" w:cs="Times New Roman Regular"/>
          <w:color w:val="auto"/>
          <w:spacing w:val="-3"/>
          <w:sz w:val="28"/>
          <w:szCs w:val="28"/>
          <w:highlight w:val="none"/>
          <w:lang w:eastAsia="zh-CN"/>
        </w:rPr>
        <w:t>3</w:t>
      </w:r>
      <w:r>
        <w:rPr>
          <w:rFonts w:hint="default" w:ascii="Times New Roman Regular" w:hAnsi="Times New Roman Regular" w:eastAsia="宋体" w:cs="Times New Roman Regular"/>
          <w:color w:val="auto"/>
          <w:spacing w:val="-3"/>
          <w:sz w:val="28"/>
          <w:szCs w:val="28"/>
          <w:highlight w:val="none"/>
          <w:lang w:eastAsia="zh-CN"/>
        </w:rPr>
        <w:t>月</w:t>
      </w:r>
      <w:r>
        <w:rPr>
          <w:rFonts w:hint="default" w:ascii="Times New Roman Regular" w:hAnsi="Times New Roman Regular" w:eastAsia="宋体" w:cs="Times New Roman Regular"/>
          <w:color w:val="auto"/>
          <w:spacing w:val="-1"/>
          <w:sz w:val="28"/>
          <w:szCs w:val="28"/>
          <w:highlight w:val="none"/>
          <w:lang w:eastAsia="zh-CN"/>
        </w:rPr>
        <w:t>编制完成了《葫芦岛岳强矿业有限责任公司尾矿库安全现状评价报告</w:t>
      </w:r>
      <w:r>
        <w:rPr>
          <w:rFonts w:hint="default" w:ascii="Times New Roman Regular" w:hAnsi="Times New Roman Regular" w:eastAsia="宋体" w:cs="Times New Roman Regular"/>
          <w:color w:val="auto"/>
          <w:spacing w:val="-4"/>
          <w:sz w:val="28"/>
          <w:szCs w:val="28"/>
          <w:highlight w:val="none"/>
          <w:lang w:eastAsia="zh-CN"/>
        </w:rPr>
        <w:t>》。</w:t>
      </w:r>
    </w:p>
    <w:p w14:paraId="50A0A37C">
      <w:pPr>
        <w:keepNext w:val="0"/>
        <w:keepLines w:val="0"/>
        <w:pageBreakBefore w:val="0"/>
        <w:wordWrap/>
        <w:overflowPunct/>
        <w:topLinePunct w:val="0"/>
        <w:bidi w:val="0"/>
        <w:adjustRightInd w:val="0"/>
        <w:snapToGrid w:val="0"/>
        <w:spacing w:line="360" w:lineRule="auto"/>
        <w:ind w:firstLine="628"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17"/>
          <w:sz w:val="28"/>
          <w:szCs w:val="28"/>
          <w:highlight w:val="none"/>
          <w:lang w:eastAsia="zh-CN"/>
        </w:rPr>
        <w:t>本安全现状评价报告的格式和内容，按照《安全评价通则》</w:t>
      </w:r>
      <w:r>
        <w:rPr>
          <w:rFonts w:hint="default" w:ascii="Times New Roman Regular" w:hAnsi="Times New Roman Regular" w:eastAsia="宋体" w:cs="Times New Roman Regular"/>
          <w:color w:val="auto"/>
          <w:sz w:val="28"/>
          <w:szCs w:val="28"/>
          <w:highlight w:val="none"/>
          <w:lang w:eastAsia="zh-CN"/>
        </w:rPr>
        <w:t>（AQ 8001-2007）、《尾矿库安全规程》（GB 39496-2020）、《国家矿山安全监察局关于印发</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关于加强非煤矿山安全生产工作的指导</w:t>
      </w:r>
      <w:r>
        <w:rPr>
          <w:rFonts w:hint="default" w:ascii="Times New Roman Regular" w:hAnsi="Times New Roman Regular" w:eastAsia="宋体" w:cs="Times New Roman Regular"/>
          <w:color w:val="auto"/>
          <w:spacing w:val="4"/>
          <w:sz w:val="28"/>
          <w:szCs w:val="28"/>
          <w:highlight w:val="none"/>
          <w:lang w:eastAsia="zh-CN"/>
        </w:rPr>
        <w:t>意见</w:t>
      </w:r>
      <w:r>
        <w:rPr>
          <w:rFonts w:hint="eastAsia" w:ascii="Times New Roman Regular" w:hAnsi="Times New Roman Regular" w:eastAsia="宋体" w:cs="Times New Roman Regular"/>
          <w:color w:val="auto"/>
          <w:spacing w:val="4"/>
          <w:sz w:val="28"/>
          <w:szCs w:val="28"/>
          <w:highlight w:val="none"/>
          <w:lang w:eastAsia="zh-CN"/>
        </w:rPr>
        <w:t>〉</w:t>
      </w:r>
      <w:r>
        <w:rPr>
          <w:rFonts w:hint="default" w:ascii="Times New Roman Regular" w:hAnsi="Times New Roman Regular" w:eastAsia="宋体" w:cs="Times New Roman Regular"/>
          <w:color w:val="auto"/>
          <w:spacing w:val="-29"/>
          <w:sz w:val="28"/>
          <w:szCs w:val="28"/>
          <w:highlight w:val="none"/>
          <w:lang w:eastAsia="zh-CN"/>
        </w:rPr>
        <w:t xml:space="preserve"> </w:t>
      </w:r>
      <w:r>
        <w:rPr>
          <w:rFonts w:hint="default" w:ascii="Times New Roman Regular" w:hAnsi="Times New Roman Regular" w:eastAsia="宋体" w:cs="Times New Roman Regular"/>
          <w:color w:val="auto"/>
          <w:spacing w:val="4"/>
          <w:sz w:val="28"/>
          <w:szCs w:val="28"/>
          <w:highlight w:val="none"/>
          <w:lang w:eastAsia="zh-CN"/>
        </w:rPr>
        <w:t>的通知》（矿安</w:t>
      </w:r>
      <w:r>
        <w:rPr>
          <w:rFonts w:hint="eastAsia" w:ascii="Times New Roman Regular" w:hAnsi="Times New Roman Regular" w:eastAsia="宋体" w:cs="Times New Roman Regular"/>
          <w:color w:val="auto"/>
          <w:spacing w:val="4"/>
          <w:sz w:val="28"/>
          <w:szCs w:val="28"/>
          <w:highlight w:val="none"/>
          <w:lang w:eastAsia="zh-CN"/>
        </w:rPr>
        <w:t>〔2022〕4号</w:t>
      </w:r>
      <w:r>
        <w:rPr>
          <w:rFonts w:hint="default" w:ascii="Times New Roman Regular" w:hAnsi="Times New Roman Regular" w:eastAsia="宋体" w:cs="Times New Roman Regular"/>
          <w:color w:val="auto"/>
          <w:spacing w:val="4"/>
          <w:sz w:val="28"/>
          <w:szCs w:val="28"/>
          <w:highlight w:val="none"/>
          <w:lang w:eastAsia="zh-CN"/>
        </w:rPr>
        <w:t>）、《国家矿山安全监察局关于印</w:t>
      </w:r>
      <w:r>
        <w:rPr>
          <w:rFonts w:hint="default" w:ascii="Times New Roman Regular" w:hAnsi="Times New Roman Regular" w:eastAsia="宋体" w:cs="Times New Roman Regular"/>
          <w:color w:val="auto"/>
          <w:spacing w:val="3"/>
          <w:sz w:val="28"/>
          <w:szCs w:val="28"/>
          <w:highlight w:val="none"/>
          <w:lang w:eastAsia="zh-CN"/>
        </w:rPr>
        <w:t>发</w:t>
      </w:r>
      <w:r>
        <w:rPr>
          <w:rFonts w:hint="eastAsia"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宋体" w:cs="Times New Roman Regular"/>
          <w:color w:val="auto"/>
          <w:spacing w:val="3"/>
          <w:sz w:val="28"/>
          <w:szCs w:val="28"/>
          <w:highlight w:val="none"/>
          <w:lang w:eastAsia="zh-CN"/>
        </w:rPr>
        <w:t>金属非金属矿山重大事故隐患判定标准补充情形</w:t>
      </w:r>
      <w:r>
        <w:rPr>
          <w:rFonts w:hint="eastAsia" w:ascii="Times New Roman Regular" w:hAnsi="Times New Roman Regular" w:eastAsia="宋体" w:cs="Times New Roman Regular"/>
          <w:color w:val="auto"/>
          <w:spacing w:val="3"/>
          <w:sz w:val="28"/>
          <w:szCs w:val="28"/>
          <w:highlight w:val="none"/>
          <w:lang w:eastAsia="zh-CN"/>
        </w:rPr>
        <w:t>〉的通知》</w:t>
      </w:r>
      <w:r>
        <w:rPr>
          <w:rFonts w:hint="default" w:ascii="Times New Roman Regular" w:hAnsi="Times New Roman Regular" w:eastAsia="宋体" w:cs="Times New Roman Regular"/>
          <w:color w:val="auto"/>
          <w:spacing w:val="3"/>
          <w:sz w:val="28"/>
          <w:szCs w:val="28"/>
          <w:highlight w:val="none"/>
          <w:lang w:eastAsia="zh-CN"/>
        </w:rPr>
        <w:t>（矿</w:t>
      </w:r>
      <w:r>
        <w:rPr>
          <w:rFonts w:hint="default" w:ascii="Times New Roman Regular" w:hAnsi="Times New Roman Regular" w:eastAsia="宋体" w:cs="Times New Roman Regular"/>
          <w:color w:val="auto"/>
          <w:spacing w:val="8"/>
          <w:sz w:val="28"/>
          <w:szCs w:val="28"/>
          <w:highlight w:val="none"/>
          <w:lang w:eastAsia="zh-CN"/>
        </w:rPr>
        <w:t>安</w:t>
      </w:r>
      <w:r>
        <w:rPr>
          <w:rFonts w:hint="eastAsia" w:ascii="Times New Roman Regular" w:hAnsi="Times New Roman Regular" w:eastAsia="宋体" w:cs="Times New Roman Regular"/>
          <w:color w:val="auto"/>
          <w:spacing w:val="8"/>
          <w:sz w:val="28"/>
          <w:szCs w:val="28"/>
          <w:highlight w:val="none"/>
          <w:lang w:eastAsia="zh-CN"/>
        </w:rPr>
        <w:t>〔2024〕41号</w:t>
      </w:r>
      <w:r>
        <w:rPr>
          <w:rFonts w:hint="default" w:ascii="Times New Roman Regular" w:hAnsi="Times New Roman Regular" w:eastAsia="宋体" w:cs="Times New Roman Regular"/>
          <w:color w:val="auto"/>
          <w:spacing w:val="8"/>
          <w:sz w:val="28"/>
          <w:szCs w:val="28"/>
          <w:highlight w:val="none"/>
          <w:lang w:eastAsia="zh-CN"/>
        </w:rPr>
        <w:t>）、《辽宁省安全生产监督管理局关于进一步规范非</w:t>
      </w:r>
      <w:r>
        <w:rPr>
          <w:rFonts w:hint="default" w:ascii="Times New Roman Regular" w:hAnsi="Times New Roman Regular" w:eastAsia="宋体" w:cs="Times New Roman Regular"/>
          <w:color w:val="auto"/>
          <w:spacing w:val="35"/>
          <w:sz w:val="28"/>
          <w:szCs w:val="28"/>
          <w:highlight w:val="none"/>
          <w:lang w:eastAsia="zh-CN"/>
        </w:rPr>
        <w:t>煤矿矿山安全生产行政许可管理工作的通知》（辽安监</w:t>
      </w:r>
      <w:r>
        <w:rPr>
          <w:rFonts w:hint="default" w:ascii="Times New Roman Regular" w:hAnsi="Times New Roman Regular" w:eastAsia="宋体" w:cs="Times New Roman Regular"/>
          <w:color w:val="auto"/>
          <w:spacing w:val="34"/>
          <w:sz w:val="28"/>
          <w:szCs w:val="28"/>
          <w:highlight w:val="none"/>
          <w:lang w:eastAsia="zh-CN"/>
        </w:rPr>
        <w:t>非煤</w:t>
      </w:r>
      <w:r>
        <w:rPr>
          <w:rFonts w:hint="eastAsia" w:ascii="Times New Roman Regular" w:hAnsi="Times New Roman Regular" w:eastAsia="宋体" w:cs="Times New Roman Regular"/>
          <w:color w:val="auto"/>
          <w:spacing w:val="34"/>
          <w:sz w:val="28"/>
          <w:szCs w:val="28"/>
          <w:highlight w:val="none"/>
          <w:lang w:eastAsia="zh-CN"/>
        </w:rPr>
        <w:t>〔2018〕29号</w:t>
      </w:r>
      <w:r>
        <w:rPr>
          <w:rFonts w:hint="default" w:ascii="Times New Roman Regular" w:hAnsi="Times New Roman Regular" w:eastAsia="宋体" w:cs="Times New Roman Regular"/>
          <w:color w:val="auto"/>
          <w:spacing w:val="1"/>
          <w:sz w:val="28"/>
          <w:szCs w:val="28"/>
          <w:highlight w:val="none"/>
          <w:lang w:eastAsia="zh-CN"/>
        </w:rPr>
        <w:t>）及《国家矿山安全监察局关于</w:t>
      </w:r>
      <w:r>
        <w:rPr>
          <w:rFonts w:hint="eastAsia" w:ascii="Times New Roman Regular" w:hAnsi="Times New Roman Regular" w:eastAsia="宋体" w:cs="Times New Roman Regular"/>
          <w:color w:val="auto"/>
          <w:spacing w:val="1"/>
          <w:sz w:val="28"/>
          <w:szCs w:val="28"/>
          <w:highlight w:val="none"/>
          <w:lang w:eastAsia="zh-CN"/>
        </w:rPr>
        <w:t>〈</w:t>
      </w:r>
      <w:r>
        <w:rPr>
          <w:rFonts w:hint="default" w:ascii="Times New Roman Regular" w:hAnsi="Times New Roman Regular" w:eastAsia="宋体" w:cs="Times New Roman Regular"/>
          <w:color w:val="auto"/>
          <w:spacing w:val="1"/>
          <w:sz w:val="28"/>
          <w:szCs w:val="28"/>
          <w:highlight w:val="none"/>
          <w:lang w:eastAsia="zh-CN"/>
        </w:rPr>
        <w:t>进一步加强非煤矿山安</w:t>
      </w:r>
      <w:r>
        <w:rPr>
          <w:rFonts w:hint="default" w:ascii="Times New Roman Regular" w:hAnsi="Times New Roman Regular" w:eastAsia="宋体" w:cs="Times New Roman Regular"/>
          <w:color w:val="auto"/>
          <w:spacing w:val="-3"/>
          <w:sz w:val="28"/>
          <w:szCs w:val="28"/>
          <w:highlight w:val="none"/>
          <w:lang w:eastAsia="zh-CN"/>
        </w:rPr>
        <w:t>全生产行政许可工作</w:t>
      </w:r>
      <w:r>
        <w:rPr>
          <w:rFonts w:hint="eastAsia"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宋体" w:cs="Times New Roman Regular"/>
          <w:color w:val="auto"/>
          <w:spacing w:val="-3"/>
          <w:sz w:val="28"/>
          <w:szCs w:val="28"/>
          <w:highlight w:val="none"/>
          <w:lang w:eastAsia="zh-CN"/>
        </w:rPr>
        <w:t>的通知》（矿安</w:t>
      </w:r>
      <w:r>
        <w:rPr>
          <w:rFonts w:hint="eastAsia" w:ascii="Times New Roman Regular" w:hAnsi="Times New Roman Regular" w:eastAsia="宋体" w:cs="Times New Roman Regular"/>
          <w:color w:val="auto"/>
          <w:spacing w:val="-3"/>
          <w:sz w:val="28"/>
          <w:szCs w:val="28"/>
          <w:highlight w:val="none"/>
          <w:lang w:eastAsia="zh-CN"/>
        </w:rPr>
        <w:t>〔2024〕70号</w:t>
      </w:r>
      <w:r>
        <w:rPr>
          <w:rFonts w:hint="default" w:ascii="Times New Roman Regular" w:hAnsi="Times New Roman Regular" w:eastAsia="宋体" w:cs="Times New Roman Regular"/>
          <w:color w:val="auto"/>
          <w:spacing w:val="-3"/>
          <w:sz w:val="28"/>
          <w:szCs w:val="28"/>
          <w:highlight w:val="none"/>
          <w:lang w:eastAsia="zh-CN"/>
        </w:rPr>
        <w:t>）等相关要求确定。</w:t>
      </w:r>
    </w:p>
    <w:p w14:paraId="3DAC9B8C">
      <w:pPr>
        <w:keepNext w:val="0"/>
        <w:keepLines w:val="0"/>
        <w:pageBreakBefore w:val="0"/>
        <w:wordWrap/>
        <w:overflowPunct/>
        <w:topLinePunct w:val="0"/>
        <w:bidi w:val="0"/>
        <w:adjustRightInd w:val="0"/>
        <w:snapToGrid w:val="0"/>
        <w:spacing w:line="360" w:lineRule="auto"/>
        <w:ind w:firstLine="552" w:firstLineChars="200"/>
        <w:rPr>
          <w:rFonts w:hint="default" w:ascii="Times New Roman Regular" w:hAnsi="Times New Roman Regular" w:eastAsia="宋体" w:cs="Times New Roman Regular"/>
          <w:color w:val="auto"/>
          <w:sz w:val="28"/>
          <w:szCs w:val="28"/>
          <w:highlight w:val="none"/>
          <w:lang w:eastAsia="zh-CN"/>
        </w:rPr>
        <w:sectPr>
          <w:pgSz w:w="11906" w:h="16839"/>
          <w:pgMar w:top="1431" w:right="1627" w:bottom="1429" w:left="1785" w:header="0" w:footer="0" w:gutter="0"/>
          <w:cols w:space="720" w:num="1"/>
        </w:sectPr>
      </w:pPr>
      <w:r>
        <w:rPr>
          <w:rFonts w:hint="default" w:ascii="Times New Roman Regular" w:hAnsi="Times New Roman Regular" w:eastAsia="宋体" w:cs="Times New Roman Regular"/>
          <w:color w:val="auto"/>
          <w:spacing w:val="-2"/>
          <w:sz w:val="28"/>
          <w:szCs w:val="28"/>
          <w:highlight w:val="none"/>
          <w:lang w:eastAsia="zh-CN"/>
        </w:rPr>
        <w:t>在此，对评价过程中给予我公司评价组帮助和配合的各位领导、</w:t>
      </w:r>
      <w:r>
        <w:rPr>
          <w:rFonts w:hint="default" w:ascii="Times New Roman Regular" w:hAnsi="Times New Roman Regular" w:eastAsia="宋体" w:cs="Times New Roman Regular"/>
          <w:color w:val="auto"/>
          <w:spacing w:val="-1"/>
          <w:sz w:val="28"/>
          <w:szCs w:val="28"/>
          <w:highlight w:val="none"/>
          <w:lang w:eastAsia="zh-CN"/>
        </w:rPr>
        <w:t>工程师、现场工作人员表示由衷的感谢！</w:t>
      </w:r>
    </w:p>
    <w:sdt>
      <w:sdtPr>
        <w:rPr>
          <w:rFonts w:hint="eastAsia" w:ascii="黑体" w:hAnsi="黑体" w:eastAsia="黑体" w:cs="黑体"/>
          <w:b/>
          <w:bCs/>
          <w:snapToGrid w:val="0"/>
          <w:color w:val="auto"/>
          <w:sz w:val="36"/>
          <w:szCs w:val="36"/>
          <w:highlight w:val="none"/>
          <w:lang w:val="en-US" w:eastAsia="en-US" w:bidi="ar-SA"/>
        </w:rPr>
        <w:id w:val="592380999"/>
        <w15:color w:val="DBDBDB"/>
        <w:docPartObj>
          <w:docPartGallery w:val="Table of Contents"/>
          <w:docPartUnique/>
        </w:docPartObj>
      </w:sdtPr>
      <w:sdtEndPr>
        <w:rPr>
          <w:rFonts w:hint="eastAsia" w:ascii="Times New Roman" w:hAnsi="Times New Roman" w:eastAsia="宋体" w:cs="Times New Roman"/>
          <w:b/>
          <w:bCs/>
          <w:snapToGrid w:val="0"/>
          <w:color w:val="auto"/>
          <w:kern w:val="2"/>
          <w:sz w:val="21"/>
          <w:szCs w:val="24"/>
          <w:highlight w:val="none"/>
          <w:lang w:val="en-US" w:eastAsia="zh-CN" w:bidi="ar-SA"/>
        </w:rPr>
      </w:sdtEndPr>
      <w:sdtContent>
        <w:p w14:paraId="50FAC6FE">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t>目录</w:t>
          </w:r>
        </w:p>
        <w:p w14:paraId="3C525060">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color w:val="auto"/>
              <w:highlight w:val="none"/>
            </w:rPr>
            <w:fldChar w:fldCharType="begin"/>
          </w:r>
          <w:r>
            <w:rPr>
              <w:color w:val="auto"/>
              <w:highlight w:val="none"/>
            </w:rPr>
            <w:instrText xml:space="preserve">TOC \o "1-2" \h \u </w:instrText>
          </w:r>
          <w:r>
            <w:rPr>
              <w:color w:val="auto"/>
              <w:highlight w:val="none"/>
            </w:rPr>
            <w:fldChar w:fldCharType="separate"/>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_Toc887668321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1 安全评价的目的、范围、依据与工作程序</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_Toc887668321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4407A66D">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_Toc472575338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1.1 安全现状评价目的</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_Toc472575338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1509ACD6">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_Toc1179179160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1.2 安全评价的范围</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_Toc1179179160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402B7945">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_Toc1485047604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1.3 安全现状评价依据</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_Toc1485047604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943CB1F">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_Toc1140134994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1.4 安全评价的工作程序</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_Toc1140134994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9</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B52EC18">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_Toc252261977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2 项目概况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_Toc252261977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338E880">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_Toc634328261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2.1 企业概况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_Toc634328261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6E5E8E13">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_Toc1046258919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2.2 自然环境概况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_Toc1046258919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3F6C239">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_Toc877549997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2.3 地质概况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_Toc877549997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13</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741D9E25">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_Toc65111983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2.4 尾矿库设计概况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_Toc65111983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3ACBA52D">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_Toc1267921958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2.5 尾矿库现状</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_Toc1267921958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20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301A40D3">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_Toc484118925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3 主要危险、有害因素辨识及分析</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_Toc484118925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38</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4286DDF8">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_Toc1918717639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3.1 主要危险因素辨识及分析</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_Toc1918717639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38</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5022164D">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_Toc1272915321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3.2 主要有害因素辨识及分析</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_Toc1272915321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45</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AC3745F">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_Toc655708633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4 评价单元划分与评价方法选择</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_Toc655708633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47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41259CC4">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_Toc1756402074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4.1 评价单元划分</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_Toc1756402074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47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104E1985">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_Toc539446056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4.2 评价方法选择</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_Toc539446056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47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D71E5E2">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_Toc1941389205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4.3 各评价单元采用的评价方法</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_Toc1941389205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48</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073F497">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_Toc61835917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5 定性定量评价</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_Toc61835917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66A3C38D">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_Toc2041655518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5.1 周边环境单元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_Toc2041655518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718EAB89">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_Toc1610579260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5.2 尾矿坝单元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_Toc1610579260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51</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1DA58D55">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_Toc2121736032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5.3 防排洪系统单元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_Toc2121736032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56</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650E5B73">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_Toc1051531389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5.4 安全监测设施单元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_Toc1051531389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1A92826D">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_Toc1445123760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5.5 辅助设施单元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_Toc1445123760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69</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24CC8C0">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_Toc154986750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5.6 安全管理单元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_Toc154986750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000243AD">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_Toc2112127086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5.7 重大事故隐患判定单元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_Toc2112127086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6B0A3ED4">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_Toc615249492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5.8 “延期换证审核”单元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_Toc615249492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76</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313724E7">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_Toc364451739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6 建议补充的安全对策措施</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_Toc364451739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79</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5529FFD3">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_Toc717016129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6.1 周边环境单元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_Toc717016129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79</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2B271836">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_Toc1359336786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6.2 尾矿坝单元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_Toc1359336786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79</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46CB3812">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_Toc1442325516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6.3 排洪系统单元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_Toc1442325516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180DFB2B">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_Toc369540076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6.4 安全监测设施单元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_Toc369540076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38AA8F66">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_Toc337350208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6.5 安全管理单元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_Toc337350208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81</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2D624091">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_Toc488117776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7 评价结论</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_Toc488117776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7D851BBD">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_Toc407929692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7.1 安全现状综合评述</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_Toc407929692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50B816C0">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_Toc1306532220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7.2 各评价单元评价结果</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_Toc1306532220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5EAD933E">
          <w:pPr>
            <w:pStyle w:val="16"/>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_Toc866730965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7.3 总体评价结论</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_Toc866730965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84</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434C89F0">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_Toc765751154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8 附件</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_Toc765751154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85</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48B7A4C0">
          <w:pPr>
            <w:pStyle w:val="13"/>
            <w:keepNext w:val="0"/>
            <w:keepLines w:val="0"/>
            <w:pageBreakBefore w:val="0"/>
            <w:widowControl/>
            <w:tabs>
              <w:tab w:val="right" w:leader="dot" w:pos="8504"/>
            </w:tabs>
            <w:kinsoku w:val="0"/>
            <w:wordWrap/>
            <w:overflowPunct/>
            <w:topLinePunct w:val="0"/>
            <w:autoSpaceDE w:val="0"/>
            <w:autoSpaceDN w:val="0"/>
            <w:bidi w:val="0"/>
            <w:adjustRightInd w:val="0"/>
            <w:snapToGrid w:val="0"/>
            <w:spacing w:line="360" w:lineRule="auto"/>
            <w:textAlignment w:val="baseline"/>
            <w:rPr>
              <w:color w:val="auto"/>
              <w:highlight w:val="none"/>
            </w:rPr>
          </w:pP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\l _Toc110148807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bCs/>
              <w:snapToGrid/>
              <w:color w:val="auto"/>
              <w:kern w:val="44"/>
              <w:sz w:val="28"/>
              <w:szCs w:val="28"/>
              <w:highlight w:val="none"/>
              <w:lang w:eastAsia="zh-CN"/>
            </w:rPr>
            <w:t>9 附图</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_Toc110148807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86</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rPr>
            <w:fldChar w:fldCharType="end"/>
          </w:r>
        </w:p>
        <w:p w14:paraId="39B93D82">
          <w:pPr>
            <w:pStyle w:val="19"/>
            <w:rPr>
              <w:rFonts w:ascii="Times New Roman" w:hAnsi="Times New Roman" w:eastAsia="宋体" w:cs="Times New Roman"/>
              <w:snapToGrid w:val="0"/>
              <w:color w:val="auto"/>
              <w:kern w:val="2"/>
              <w:sz w:val="21"/>
              <w:szCs w:val="24"/>
              <w:highlight w:val="none"/>
              <w:lang w:val="en-US" w:eastAsia="zh-CN" w:bidi="ar-SA"/>
            </w:rPr>
          </w:pPr>
          <w:r>
            <w:rPr>
              <w:color w:val="auto"/>
              <w:highlight w:val="none"/>
            </w:rPr>
            <w:fldChar w:fldCharType="end"/>
          </w:r>
        </w:p>
      </w:sdtContent>
    </w:sdt>
    <w:p w14:paraId="698434BD">
      <w:pPr>
        <w:rPr>
          <w:color w:val="auto"/>
          <w:highlight w:val="none"/>
        </w:rPr>
        <w:sectPr>
          <w:pgSz w:w="11906" w:h="16839"/>
          <w:pgMar w:top="1431" w:right="1701" w:bottom="1457" w:left="1701" w:header="0" w:footer="0" w:gutter="0"/>
          <w:cols w:space="720" w:num="1"/>
        </w:sectPr>
      </w:pPr>
    </w:p>
    <w:p w14:paraId="12796B56">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0" w:name="bookmark2"/>
      <w:bookmarkEnd w:id="0"/>
      <w:bookmarkStart w:id="1" w:name="_Toc887668321"/>
      <w:bookmarkStart w:id="2" w:name="_Toc18377"/>
      <w:r>
        <w:rPr>
          <w:rFonts w:ascii="Times New Roman Regular" w:hAnsi="Times New Roman Regular" w:eastAsia="黑体" w:cs="Times New Roman Regular"/>
          <w:b/>
          <w:bCs/>
          <w:snapToGrid/>
          <w:color w:val="auto"/>
          <w:kern w:val="44"/>
          <w:sz w:val="32"/>
          <w:szCs w:val="44"/>
          <w:highlight w:val="none"/>
          <w:lang w:eastAsia="zh-CN"/>
        </w:rPr>
        <w:t>1 安全评价的目的、范围、依据与工作程序</w:t>
      </w:r>
      <w:bookmarkEnd w:id="1"/>
      <w:bookmarkEnd w:id="2"/>
    </w:p>
    <w:p w14:paraId="5717842E">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3" w:name="bookmark4"/>
      <w:bookmarkEnd w:id="3"/>
      <w:bookmarkStart w:id="4" w:name="_Toc472575338"/>
      <w:bookmarkStart w:id="5" w:name="_Toc24099"/>
      <w:r>
        <w:rPr>
          <w:rFonts w:ascii="Times New Roman Regular" w:hAnsi="Times New Roman Regular" w:eastAsia="黑体" w:cs="Times New Roman Regular"/>
          <w:snapToGrid/>
          <w:color w:val="auto"/>
          <w:kern w:val="2"/>
          <w:highlight w:val="none"/>
          <w:lang w:eastAsia="zh-CN"/>
        </w:rPr>
        <w:t>1.1 安全现状评价目的</w:t>
      </w:r>
      <w:bookmarkEnd w:id="4"/>
      <w:bookmarkEnd w:id="5"/>
    </w:p>
    <w:p w14:paraId="3C36AC8E">
      <w:pPr>
        <w:keepNext w:val="0"/>
        <w:keepLines w:val="0"/>
        <w:pageBreakBefore w:val="0"/>
        <w:widowControl/>
        <w:kinsoku w:val="0"/>
        <w:wordWrap/>
        <w:overflowPunct/>
        <w:topLinePunct w:val="0"/>
        <w:autoSpaceDE w:val="0"/>
        <w:autoSpaceDN w:val="0"/>
        <w:bidi w:val="0"/>
        <w:adjustRightInd w:val="0"/>
        <w:snapToGrid w:val="0"/>
        <w:spacing w:line="360" w:lineRule="auto"/>
        <w:ind w:firstLine="565"/>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安全评价目的是贯彻“安全第一，预防为主，综合治理”方针，提高</w:t>
      </w:r>
      <w:r>
        <w:rPr>
          <w:rFonts w:hint="default" w:ascii="Times New Roman Regular" w:hAnsi="Times New Roman Regular" w:eastAsia="宋体" w:cs="Times New Roman Regular"/>
          <w:color w:val="auto"/>
          <w:spacing w:val="-2"/>
          <w:sz w:val="28"/>
          <w:szCs w:val="28"/>
          <w:highlight w:val="none"/>
          <w:lang w:eastAsia="zh-CN"/>
        </w:rPr>
        <w:t>该尾矿库的安全程度和安全管理水平，减少和控制该尾矿库运行中的危险、</w:t>
      </w:r>
      <w:r>
        <w:rPr>
          <w:rFonts w:hint="default" w:ascii="Times New Roman Regular" w:hAnsi="Times New Roman Regular" w:eastAsia="宋体" w:cs="Times New Roman Regular"/>
          <w:color w:val="auto"/>
          <w:spacing w:val="2"/>
          <w:sz w:val="28"/>
          <w:szCs w:val="28"/>
          <w:highlight w:val="none"/>
          <w:lang w:eastAsia="zh-CN"/>
        </w:rPr>
        <w:t>有害因素，降低其风险，预防事故发生，保护企业的财产安全及</w:t>
      </w:r>
      <w:r>
        <w:rPr>
          <w:rFonts w:hint="default" w:ascii="Times New Roman Regular" w:hAnsi="Times New Roman Regular" w:eastAsia="宋体" w:cs="Times New Roman Regular"/>
          <w:color w:val="auto"/>
          <w:spacing w:val="1"/>
          <w:sz w:val="28"/>
          <w:szCs w:val="28"/>
          <w:highlight w:val="none"/>
          <w:lang w:eastAsia="zh-CN"/>
        </w:rPr>
        <w:t>人员的健</w:t>
      </w:r>
      <w:r>
        <w:rPr>
          <w:rFonts w:hint="default" w:ascii="Times New Roman Regular" w:hAnsi="Times New Roman Regular" w:eastAsia="宋体" w:cs="Times New Roman Regular"/>
          <w:color w:val="auto"/>
          <w:spacing w:val="-1"/>
          <w:sz w:val="28"/>
          <w:szCs w:val="28"/>
          <w:highlight w:val="none"/>
          <w:lang w:eastAsia="zh-CN"/>
        </w:rPr>
        <w:t>康和生命安全。本次安全现状评价的主要目的如下：</w:t>
      </w:r>
    </w:p>
    <w:p w14:paraId="1886A73E">
      <w:pPr>
        <w:keepNext w:val="0"/>
        <w:keepLines w:val="0"/>
        <w:pageBreakBefore w:val="0"/>
        <w:widowControl/>
        <w:kinsoku w:val="0"/>
        <w:wordWrap/>
        <w:overflowPunct/>
        <w:topLinePunct w:val="0"/>
        <w:autoSpaceDE w:val="0"/>
        <w:autoSpaceDN w:val="0"/>
        <w:bidi w:val="0"/>
        <w:adjustRightInd w:val="0"/>
        <w:snapToGrid w:val="0"/>
        <w:spacing w:line="360" w:lineRule="auto"/>
        <w:ind w:firstLine="565"/>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6"/>
          <w:sz w:val="28"/>
          <w:szCs w:val="28"/>
          <w:highlight w:val="none"/>
          <w:lang w:eastAsia="zh-CN"/>
        </w:rPr>
        <w:t>（</w:t>
      </w:r>
      <w:r>
        <w:rPr>
          <w:rFonts w:hint="default" w:ascii="Times New Roman Regular" w:hAnsi="Times New Roman Regular" w:eastAsia="Times New Roman" w:cs="Times New Roman Regular"/>
          <w:color w:val="auto"/>
          <w:spacing w:val="6"/>
          <w:sz w:val="28"/>
          <w:szCs w:val="28"/>
          <w:highlight w:val="none"/>
          <w:lang w:eastAsia="zh-CN"/>
        </w:rPr>
        <w:t>1</w:t>
      </w:r>
      <w:r>
        <w:rPr>
          <w:rFonts w:hint="default" w:ascii="Times New Roman Regular" w:hAnsi="Times New Roman Regular" w:eastAsia="宋体" w:cs="Times New Roman Regular"/>
          <w:color w:val="auto"/>
          <w:spacing w:val="6"/>
          <w:sz w:val="28"/>
          <w:szCs w:val="28"/>
          <w:highlight w:val="none"/>
          <w:lang w:eastAsia="zh-CN"/>
        </w:rPr>
        <w:t>）根据现场检查情况以及尾矿库现有技术资料，辨识、分析现状</w:t>
      </w:r>
      <w:r>
        <w:rPr>
          <w:rFonts w:hint="default" w:ascii="Times New Roman Regular" w:hAnsi="Times New Roman Regular" w:eastAsia="宋体" w:cs="Times New Roman Regular"/>
          <w:color w:val="auto"/>
          <w:spacing w:val="2"/>
          <w:sz w:val="28"/>
          <w:szCs w:val="28"/>
          <w:highlight w:val="none"/>
          <w:lang w:eastAsia="zh-CN"/>
        </w:rPr>
        <w:t>条件下尾矿库存在的主要危险、有害因素及其可能导致</w:t>
      </w:r>
      <w:r>
        <w:rPr>
          <w:rFonts w:hint="default" w:ascii="Times New Roman Regular" w:hAnsi="Times New Roman Regular" w:eastAsia="宋体" w:cs="Times New Roman Regular"/>
          <w:color w:val="auto"/>
          <w:spacing w:val="1"/>
          <w:sz w:val="28"/>
          <w:szCs w:val="28"/>
          <w:highlight w:val="none"/>
          <w:lang w:eastAsia="zh-CN"/>
        </w:rPr>
        <w:t>事故的诱发因</w:t>
      </w:r>
      <w:r>
        <w:rPr>
          <w:rFonts w:hint="default" w:ascii="Times New Roman Regular" w:hAnsi="Times New Roman Regular" w:eastAsia="宋体" w:cs="Times New Roman Regular"/>
          <w:color w:val="auto"/>
          <w:spacing w:val="-7"/>
          <w:sz w:val="28"/>
          <w:szCs w:val="28"/>
          <w:highlight w:val="none"/>
          <w:lang w:eastAsia="zh-CN"/>
        </w:rPr>
        <w:t>素；</w:t>
      </w:r>
    </w:p>
    <w:p w14:paraId="00CABF55">
      <w:pPr>
        <w:keepNext w:val="0"/>
        <w:keepLines w:val="0"/>
        <w:pageBreakBefore w:val="0"/>
        <w:widowControl/>
        <w:kinsoku w:val="0"/>
        <w:wordWrap/>
        <w:overflowPunct/>
        <w:topLinePunct w:val="0"/>
        <w:autoSpaceDE w:val="0"/>
        <w:autoSpaceDN w:val="0"/>
        <w:bidi w:val="0"/>
        <w:adjustRightInd w:val="0"/>
        <w:snapToGrid w:val="0"/>
        <w:spacing w:line="360" w:lineRule="auto"/>
        <w:ind w:firstLine="566"/>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6"/>
          <w:sz w:val="28"/>
          <w:szCs w:val="28"/>
          <w:highlight w:val="none"/>
          <w:lang w:eastAsia="zh-CN"/>
        </w:rPr>
        <w:t>（</w:t>
      </w:r>
      <w:r>
        <w:rPr>
          <w:rFonts w:hint="default" w:ascii="Times New Roman Regular" w:hAnsi="Times New Roman Regular" w:eastAsia="Times New Roman" w:cs="Times New Roman Regular"/>
          <w:color w:val="auto"/>
          <w:spacing w:val="6"/>
          <w:sz w:val="28"/>
          <w:szCs w:val="28"/>
          <w:highlight w:val="none"/>
          <w:lang w:eastAsia="zh-CN"/>
        </w:rPr>
        <w:t>2</w:t>
      </w:r>
      <w:r>
        <w:rPr>
          <w:rFonts w:hint="default" w:ascii="Times New Roman Regular" w:hAnsi="Times New Roman Regular" w:eastAsia="宋体" w:cs="Times New Roman Regular"/>
          <w:color w:val="auto"/>
          <w:spacing w:val="6"/>
          <w:sz w:val="28"/>
          <w:szCs w:val="28"/>
          <w:highlight w:val="none"/>
          <w:lang w:eastAsia="zh-CN"/>
        </w:rPr>
        <w:t>）排查尾矿库存在的安全隐患，针对存在的危险、有害因素及隐患</w:t>
      </w:r>
      <w:r>
        <w:rPr>
          <w:rFonts w:hint="default" w:ascii="Times New Roman Regular" w:hAnsi="Times New Roman Regular" w:eastAsia="宋体" w:cs="Times New Roman Regular"/>
          <w:color w:val="auto"/>
          <w:spacing w:val="-1"/>
          <w:sz w:val="28"/>
          <w:szCs w:val="28"/>
          <w:highlight w:val="none"/>
          <w:lang w:eastAsia="zh-CN"/>
        </w:rPr>
        <w:t>情况，提出合理安全对策措施；</w:t>
      </w:r>
    </w:p>
    <w:p w14:paraId="7D1AD021">
      <w:pPr>
        <w:keepNext w:val="0"/>
        <w:keepLines w:val="0"/>
        <w:pageBreakBefore w:val="0"/>
        <w:widowControl/>
        <w:kinsoku w:val="0"/>
        <w:wordWrap/>
        <w:overflowPunct/>
        <w:topLinePunct w:val="0"/>
        <w:autoSpaceDE w:val="0"/>
        <w:autoSpaceDN w:val="0"/>
        <w:bidi w:val="0"/>
        <w:adjustRightInd w:val="0"/>
        <w:snapToGrid w:val="0"/>
        <w:spacing w:line="360" w:lineRule="auto"/>
        <w:ind w:firstLine="567"/>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6"/>
          <w:sz w:val="28"/>
          <w:szCs w:val="28"/>
          <w:highlight w:val="none"/>
          <w:lang w:eastAsia="zh-CN"/>
        </w:rPr>
        <w:t>（</w:t>
      </w:r>
      <w:r>
        <w:rPr>
          <w:rFonts w:hint="default" w:ascii="Times New Roman Regular" w:hAnsi="Times New Roman Regular" w:eastAsia="Times New Roman" w:cs="Times New Roman Regular"/>
          <w:color w:val="auto"/>
          <w:spacing w:val="6"/>
          <w:sz w:val="28"/>
          <w:szCs w:val="28"/>
          <w:highlight w:val="none"/>
          <w:lang w:eastAsia="zh-CN"/>
        </w:rPr>
        <w:t>3</w:t>
      </w:r>
      <w:r>
        <w:rPr>
          <w:rFonts w:hint="default" w:ascii="Times New Roman Regular" w:hAnsi="Times New Roman Regular" w:eastAsia="宋体" w:cs="Times New Roman Regular"/>
          <w:color w:val="auto"/>
          <w:spacing w:val="6"/>
          <w:sz w:val="28"/>
          <w:szCs w:val="28"/>
          <w:highlight w:val="none"/>
          <w:lang w:eastAsia="zh-CN"/>
        </w:rPr>
        <w:t>）为尾矿库日常运行提供安全技术指导及参考，提高尾矿库的安</w:t>
      </w:r>
      <w:r>
        <w:rPr>
          <w:rFonts w:hint="default" w:ascii="Times New Roman Regular" w:hAnsi="Times New Roman Regular" w:eastAsia="宋体" w:cs="Times New Roman Regular"/>
          <w:color w:val="auto"/>
          <w:spacing w:val="-1"/>
          <w:sz w:val="28"/>
          <w:szCs w:val="28"/>
          <w:highlight w:val="none"/>
          <w:lang w:eastAsia="zh-CN"/>
        </w:rPr>
        <w:t>全度，实现评价对象的运行安全；</w:t>
      </w:r>
    </w:p>
    <w:p w14:paraId="08AF814C">
      <w:pPr>
        <w:keepNext w:val="0"/>
        <w:keepLines w:val="0"/>
        <w:pageBreakBefore w:val="0"/>
        <w:widowControl/>
        <w:kinsoku w:val="0"/>
        <w:wordWrap/>
        <w:overflowPunct/>
        <w:topLinePunct w:val="0"/>
        <w:autoSpaceDE w:val="0"/>
        <w:autoSpaceDN w:val="0"/>
        <w:bidi w:val="0"/>
        <w:adjustRightInd w:val="0"/>
        <w:snapToGrid w:val="0"/>
        <w:spacing w:line="360" w:lineRule="auto"/>
        <w:ind w:firstLine="565"/>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6"/>
          <w:sz w:val="28"/>
          <w:szCs w:val="28"/>
          <w:highlight w:val="none"/>
          <w:lang w:eastAsia="zh-CN"/>
        </w:rPr>
        <w:t>（</w:t>
      </w:r>
      <w:r>
        <w:rPr>
          <w:rFonts w:hint="default" w:ascii="Times New Roman Regular" w:hAnsi="Times New Roman Regular" w:eastAsia="Times New Roman" w:cs="Times New Roman Regular"/>
          <w:color w:val="auto"/>
          <w:spacing w:val="6"/>
          <w:sz w:val="28"/>
          <w:szCs w:val="28"/>
          <w:highlight w:val="none"/>
          <w:lang w:eastAsia="zh-CN"/>
        </w:rPr>
        <w:t>4</w:t>
      </w:r>
      <w:r>
        <w:rPr>
          <w:rFonts w:hint="default" w:ascii="Times New Roman Regular" w:hAnsi="Times New Roman Regular" w:eastAsia="宋体" w:cs="Times New Roman Regular"/>
          <w:color w:val="auto"/>
          <w:spacing w:val="6"/>
          <w:sz w:val="28"/>
          <w:szCs w:val="28"/>
          <w:highlight w:val="none"/>
          <w:lang w:eastAsia="zh-CN"/>
        </w:rPr>
        <w:t>）为政府应急管理部门进行尾矿库安全监督、监察及安全生产许</w:t>
      </w:r>
      <w:r>
        <w:rPr>
          <w:rFonts w:hint="default" w:ascii="Times New Roman Regular" w:hAnsi="Times New Roman Regular" w:eastAsia="宋体" w:cs="Times New Roman Regular"/>
          <w:color w:val="auto"/>
          <w:spacing w:val="-2"/>
          <w:sz w:val="28"/>
          <w:szCs w:val="28"/>
          <w:highlight w:val="none"/>
          <w:lang w:eastAsia="zh-CN"/>
        </w:rPr>
        <w:t>可证延续提供依据。</w:t>
      </w:r>
    </w:p>
    <w:p w14:paraId="4FFFF0A3">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6" w:name="bookmark6"/>
      <w:bookmarkEnd w:id="6"/>
      <w:bookmarkStart w:id="7" w:name="_Toc21465"/>
      <w:bookmarkStart w:id="8" w:name="_Toc1179179160"/>
      <w:r>
        <w:rPr>
          <w:rFonts w:ascii="Times New Roman Regular" w:hAnsi="Times New Roman Regular" w:eastAsia="黑体" w:cs="Times New Roman Regular"/>
          <w:snapToGrid/>
          <w:color w:val="auto"/>
          <w:kern w:val="2"/>
          <w:highlight w:val="none"/>
          <w:lang w:eastAsia="zh-CN"/>
        </w:rPr>
        <w:t>1.2 安全评价的范围</w:t>
      </w:r>
      <w:bookmarkEnd w:id="7"/>
      <w:bookmarkEnd w:id="8"/>
    </w:p>
    <w:p w14:paraId="28BF879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本次安全评价的范围包括：葫芦岛岳强矿业有限责任公司尾矿库</w:t>
      </w:r>
      <w:r>
        <w:rPr>
          <w:rFonts w:hint="default" w:ascii="Times New Roman Regular" w:hAnsi="Times New Roman Regular" w:eastAsia="宋体" w:cs="Times New Roman Regular"/>
          <w:color w:val="auto"/>
          <w:spacing w:val="1"/>
          <w:sz w:val="28"/>
          <w:szCs w:val="28"/>
          <w:highlight w:val="none"/>
          <w:lang w:eastAsia="zh-CN"/>
        </w:rPr>
        <w:t>基本</w:t>
      </w:r>
      <w:r>
        <w:rPr>
          <w:rFonts w:hint="default" w:ascii="Times New Roman Regular" w:hAnsi="Times New Roman Regular" w:eastAsia="宋体" w:cs="Times New Roman Regular"/>
          <w:color w:val="auto"/>
          <w:spacing w:val="2"/>
          <w:sz w:val="28"/>
          <w:szCs w:val="28"/>
          <w:highlight w:val="none"/>
          <w:lang w:eastAsia="zh-CN"/>
        </w:rPr>
        <w:t>安全设施、专用安全设施及安全管理，包括初期坝、堆积坝、排水设</w:t>
      </w:r>
      <w:r>
        <w:rPr>
          <w:rFonts w:hint="default" w:ascii="Times New Roman Regular" w:hAnsi="Times New Roman Regular" w:eastAsia="宋体" w:cs="Times New Roman Regular"/>
          <w:color w:val="auto"/>
          <w:spacing w:val="1"/>
          <w:sz w:val="28"/>
          <w:szCs w:val="28"/>
          <w:highlight w:val="none"/>
          <w:lang w:eastAsia="zh-CN"/>
        </w:rPr>
        <w:t>施、</w:t>
      </w:r>
      <w:r>
        <w:rPr>
          <w:rFonts w:hint="default" w:ascii="Times New Roman Regular" w:hAnsi="Times New Roman Regular" w:eastAsia="宋体" w:cs="Times New Roman Regular"/>
          <w:color w:val="auto"/>
          <w:spacing w:val="2"/>
          <w:sz w:val="28"/>
          <w:szCs w:val="28"/>
          <w:highlight w:val="none"/>
          <w:lang w:eastAsia="zh-CN"/>
        </w:rPr>
        <w:t>辅助设施、安全监测设施、应急救援器材及设</w:t>
      </w:r>
      <w:r>
        <w:rPr>
          <w:rFonts w:hint="default" w:ascii="Times New Roman Regular" w:hAnsi="Times New Roman Regular" w:eastAsia="宋体" w:cs="Times New Roman Regular"/>
          <w:color w:val="auto"/>
          <w:spacing w:val="1"/>
          <w:sz w:val="28"/>
          <w:szCs w:val="28"/>
          <w:highlight w:val="none"/>
          <w:lang w:eastAsia="zh-CN"/>
        </w:rPr>
        <w:t>备、周边</w:t>
      </w:r>
      <w:r>
        <w:rPr>
          <w:rFonts w:hint="default" w:ascii="Times New Roman Regular" w:hAnsi="Times New Roman Regular" w:eastAsia="宋体" w:cs="Times New Roman Regular"/>
          <w:color w:val="auto"/>
          <w:spacing w:val="-1"/>
          <w:sz w:val="28"/>
          <w:szCs w:val="28"/>
          <w:highlight w:val="none"/>
          <w:lang w:eastAsia="zh-CN"/>
        </w:rPr>
        <w:t>环境、安全管理等，回水系统不在本次评价范围之内。</w:t>
      </w:r>
    </w:p>
    <w:p w14:paraId="56C2692D">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9" w:name="bookmark8"/>
      <w:bookmarkEnd w:id="9"/>
      <w:bookmarkStart w:id="10" w:name="_Toc13273"/>
      <w:bookmarkStart w:id="11" w:name="_Toc1485047604"/>
      <w:r>
        <w:rPr>
          <w:rFonts w:ascii="Times New Roman Regular" w:hAnsi="Times New Roman Regular" w:eastAsia="黑体" w:cs="Times New Roman Regular"/>
          <w:snapToGrid/>
          <w:color w:val="auto"/>
          <w:kern w:val="2"/>
          <w:highlight w:val="none"/>
          <w:lang w:eastAsia="zh-CN"/>
        </w:rPr>
        <w:t>1.3 安全现状评价依据</w:t>
      </w:r>
      <w:bookmarkEnd w:id="10"/>
      <w:bookmarkEnd w:id="11"/>
    </w:p>
    <w:p w14:paraId="7B49C6B3">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2" w:name="_Toc28314"/>
      <w:bookmarkStart w:id="13" w:name="_Toc16828"/>
      <w:bookmarkStart w:id="14" w:name="_Toc19999"/>
      <w:r>
        <w:rPr>
          <w:rFonts w:ascii="Times New Roman" w:hAnsi="Times New Roman" w:eastAsia="Times New Roman" w:cs="Times New Roman"/>
          <w:bCs/>
          <w:color w:val="auto"/>
          <w:spacing w:val="-5"/>
          <w:sz w:val="28"/>
          <w:szCs w:val="28"/>
          <w:highlight w:val="none"/>
          <w:lang w:eastAsia="zh-CN"/>
        </w:rPr>
        <w:t xml:space="preserve">1.3.1 </w:t>
      </w:r>
      <w:r>
        <w:rPr>
          <w:rFonts w:ascii="宋体" w:hAnsi="宋体" w:eastAsia="宋体" w:cs="宋体"/>
          <w:bCs/>
          <w:color w:val="auto"/>
          <w:spacing w:val="-5"/>
          <w:sz w:val="28"/>
          <w:szCs w:val="28"/>
          <w:highlight w:val="none"/>
          <w:lang w:eastAsia="zh-CN"/>
        </w:rPr>
        <w:t>法律</w:t>
      </w:r>
      <w:bookmarkEnd w:id="12"/>
      <w:bookmarkEnd w:id="13"/>
      <w:bookmarkEnd w:id="14"/>
    </w:p>
    <w:p w14:paraId="5858BBAF">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"1.3.1.1"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1.3.1.1</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法律</w:t>
      </w:r>
    </w:p>
    <w:p w14:paraId="5F250FC0">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《中华人民共和国环境保护法》（中华人民共和国主席令第22号公布，1989年12月26日施行；根据中华人民共和国主席令第9号修正，2015年1月1日施行）；</w:t>
      </w:r>
    </w:p>
    <w:p w14:paraId="2BDA1729">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《中华人民共和国水土保持法》（中华人民共和国主席令第49号公布，1991年6月29日施行；根据中华人民共和国主席令第39号第二次修正，2011年3月1日施行）；</w:t>
      </w:r>
    </w:p>
    <w:p w14:paraId="68B754A3">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《中华人民共和国矿山安全法》（中华人民共和国主席令第65号公布，1993年5月1日施行；根据中华人民共和国主席令第18号修正，2009年8月27日施行）；</w:t>
      </w:r>
    </w:p>
    <w:p w14:paraId="5C36DBC3">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《中华人民共和国防洪法》（中华人民共和国主席令第88号</w:t>
      </w:r>
      <w:r>
        <w:rPr>
          <w:rFonts w:hint="eastAsia" w:ascii="Times New Roman Regular" w:hAnsi="Times New Roman Regular" w:eastAsia="宋体" w:cs="Times New Roman Regular"/>
          <w:snapToGrid/>
          <w:color w:val="auto"/>
          <w:kern w:val="2"/>
          <w:sz w:val="28"/>
          <w:szCs w:val="28"/>
          <w:highlight w:val="none"/>
          <w:lang w:eastAsia="zh-CN"/>
        </w:rPr>
        <w:t>公布</w:t>
      </w:r>
      <w:r>
        <w:rPr>
          <w:rFonts w:hint="default" w:ascii="Times New Roman Regular" w:hAnsi="Times New Roman Regular" w:eastAsia="宋体" w:cs="Times New Roman Regular"/>
          <w:snapToGrid/>
          <w:color w:val="auto"/>
          <w:kern w:val="2"/>
          <w:sz w:val="28"/>
          <w:szCs w:val="28"/>
          <w:highlight w:val="none"/>
          <w:lang w:eastAsia="zh-CN"/>
        </w:rPr>
        <w:t>，1998年1月1日施行；根据中华人民共和国主席令第48号第三次修正，2016年7月2日施行）；</w:t>
      </w:r>
    </w:p>
    <w:p w14:paraId="3F99ACEB">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《中华人民共和国消防法》（中华人民共和国主席令第4号公布，1998年9月1日施行；根据中华人民共和国主席令第81号第二次修正，2021年4月29日施行）；</w:t>
      </w:r>
    </w:p>
    <w:p w14:paraId="058B8E7D">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《中华人民共和国职业病防治法》（中华人民共和国主席令第60号公布，2002年5月1日施行；根据中华人民共和国主席令第24号第四次修正，2018年12月29日施行）；</w:t>
      </w:r>
    </w:p>
    <w:p w14:paraId="55E60017">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《中华人民共和国安全生产法》（中华人民共和国主席令第70号公布，2002年11月1日施行；根据中华人民共和国主席令第88号第三次修正，2021年9月1日施行）；</w:t>
      </w:r>
    </w:p>
    <w:p w14:paraId="739E5269">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《中华人民共和国突发事件应对法》（中华人民共和国主席令第69号公布，2007年11月1日施行；中华人民共和国主席令</w:t>
      </w:r>
      <w:r>
        <w:rPr>
          <w:rFonts w:hint="eastAsia" w:ascii="Times New Roman Regular" w:hAnsi="Times New Roman Regular" w:eastAsia="宋体" w:cs="Times New Roman Regular"/>
          <w:snapToGrid/>
          <w:color w:val="auto"/>
          <w:kern w:val="2"/>
          <w:sz w:val="28"/>
          <w:szCs w:val="28"/>
          <w:highlight w:val="none"/>
          <w:lang w:eastAsia="zh-CN"/>
        </w:rPr>
        <w:t>〔2024〕25号</w:t>
      </w:r>
      <w:r>
        <w:rPr>
          <w:rFonts w:hint="default" w:ascii="Times New Roman Regular" w:hAnsi="Times New Roman Regular" w:eastAsia="宋体" w:cs="Times New Roman Regular"/>
          <w:snapToGrid/>
          <w:color w:val="auto"/>
          <w:kern w:val="2"/>
          <w:sz w:val="28"/>
          <w:szCs w:val="28"/>
          <w:highlight w:val="none"/>
          <w:lang w:eastAsia="zh-CN"/>
        </w:rPr>
        <w:t>，2024年6月28日修订通过）。</w:t>
      </w:r>
    </w:p>
    <w:p w14:paraId="1BCC811B">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"1.3.1.2"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1.3.1.2</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行政法规</w:t>
      </w:r>
    </w:p>
    <w:p w14:paraId="0F819F23">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《中华人民共和国矿山安全法实施条例》（原劳动部令第4号，1996年10月30日施行）；</w:t>
      </w:r>
    </w:p>
    <w:p w14:paraId="7AC2A946">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《工伤保险条例》（中华人民共和国主席令第375号，中华人民共和国主席令第586号修正，2011年1月1日施行）；</w:t>
      </w:r>
    </w:p>
    <w:p w14:paraId="18E4DF0A">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《安全生产许可证条例》（国务院令第653号，2014年7月29日施行）；</w:t>
      </w:r>
    </w:p>
    <w:p w14:paraId="1F4D38CF">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《生产安全事故报告和调查处理条例》（国务院令第493号，国家安全生产监督管理总局令第77号修订，2015年5月1日施行）；</w:t>
      </w:r>
    </w:p>
    <w:p w14:paraId="70891D2F">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《生产安全事故应急条例》（中华人民共和国主席令第708号，2019年4月1日施行）。</w:t>
      </w:r>
    </w:p>
    <w:p w14:paraId="573198EC">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"1.3.1.3"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1.3.1.3</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部门规章</w:t>
      </w:r>
    </w:p>
    <w:p w14:paraId="24C47186">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《国务院关于进一步加强企业安全生产工作的通知》（国发</w:t>
      </w:r>
      <w:r>
        <w:rPr>
          <w:rFonts w:hint="eastAsia" w:ascii="Times New Roman Regular" w:hAnsi="Times New Roman Regular" w:eastAsia="宋体" w:cs="Times New Roman Regular"/>
          <w:snapToGrid/>
          <w:color w:val="auto"/>
          <w:kern w:val="2"/>
          <w:sz w:val="28"/>
          <w:szCs w:val="28"/>
          <w:highlight w:val="none"/>
          <w:lang w:eastAsia="zh-CN"/>
        </w:rPr>
        <w:t>〔2010〕23号</w:t>
      </w:r>
      <w:r>
        <w:rPr>
          <w:rFonts w:hint="default" w:ascii="Times New Roman Regular" w:hAnsi="Times New Roman Regular" w:eastAsia="宋体" w:cs="Times New Roman Regular"/>
          <w:snapToGrid/>
          <w:color w:val="auto"/>
          <w:kern w:val="2"/>
          <w:sz w:val="28"/>
          <w:szCs w:val="28"/>
          <w:highlight w:val="none"/>
          <w:lang w:eastAsia="zh-CN"/>
        </w:rPr>
        <w:t>，2010年7月19日施行）；</w:t>
      </w:r>
    </w:p>
    <w:p w14:paraId="1F43E8B7">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《关于进一步加强尾矿库监督管理工作的指导意见》（国家安全监管总局、国家发展改革委、工业和信息化部、国土资源部、环境保护部，安监总管</w:t>
      </w:r>
      <w:r>
        <w:rPr>
          <w:rFonts w:hint="eastAsia" w:ascii="Times New Roman Regular" w:hAnsi="Times New Roman Regular" w:eastAsia="宋体" w:cs="Times New Roman Regular"/>
          <w:snapToGrid/>
          <w:color w:val="auto"/>
          <w:kern w:val="2"/>
          <w:sz w:val="28"/>
          <w:szCs w:val="28"/>
          <w:highlight w:val="none"/>
          <w:lang w:eastAsia="zh-CN"/>
        </w:rPr>
        <w:t>〔2012〕32号</w:t>
      </w:r>
      <w:r>
        <w:rPr>
          <w:rFonts w:hint="default" w:ascii="Times New Roman Regular" w:hAnsi="Times New Roman Regular" w:eastAsia="宋体" w:cs="Times New Roman Regular"/>
          <w:snapToGrid/>
          <w:color w:val="auto"/>
          <w:kern w:val="2"/>
          <w:sz w:val="28"/>
          <w:szCs w:val="28"/>
          <w:highlight w:val="none"/>
          <w:lang w:eastAsia="zh-CN"/>
        </w:rPr>
        <w:t>，2012年3月12日施行）；</w:t>
      </w:r>
    </w:p>
    <w:p w14:paraId="0B436F74">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《尾矿库安全监督管理规定》（国家安全生产监督管理总局令第38号；国家安全生产监督管理总局令第78号修正，2015年7月1日施行）；</w:t>
      </w:r>
    </w:p>
    <w:p w14:paraId="351766BF">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《非煤矿矿山企业安全生产许可证实施办法》（</w:t>
      </w:r>
      <w:r>
        <w:rPr>
          <w:rFonts w:hint="default" w:ascii="Times New Roman Regular" w:hAnsi="Times New Roman Regular" w:eastAsia="宋体" w:cs="Times New Roman Regular"/>
          <w:snapToGrid/>
          <w:color w:val="auto"/>
          <w:kern w:val="2"/>
          <w:sz w:val="28"/>
          <w:szCs w:val="28"/>
          <w:highlight w:val="none"/>
          <w:lang w:eastAsia="zh-CN"/>
        </w:rPr>
        <w:fldChar w:fldCharType="begin"/>
      </w:r>
      <w:r>
        <w:rPr>
          <w:rFonts w:hint="default" w:ascii="Times New Roman Regular" w:hAnsi="Times New Roman Regular" w:eastAsia="宋体" w:cs="Times New Roman Regular"/>
          <w:snapToGrid/>
          <w:color w:val="auto"/>
          <w:kern w:val="2"/>
          <w:sz w:val="28"/>
          <w:szCs w:val="28"/>
          <w:highlight w:val="none"/>
          <w:lang w:eastAsia="zh-CN"/>
        </w:rPr>
        <w:instrText xml:space="preserve"> HYPERLINK "http://baike.baidu.com/view/867660.htm" </w:instrText>
      </w:r>
      <w:r>
        <w:rPr>
          <w:rFonts w:hint="default" w:ascii="Times New Roman Regular" w:hAnsi="Times New Roman Regular" w:eastAsia="宋体" w:cs="Times New Roman Regular"/>
          <w:snapToGrid/>
          <w:color w:val="auto"/>
          <w:kern w:val="2"/>
          <w:sz w:val="28"/>
          <w:szCs w:val="28"/>
          <w:highlight w:val="none"/>
          <w:lang w:eastAsia="zh-CN"/>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国家安全生产</w:t>
      </w:r>
      <w:r>
        <w:rPr>
          <w:rFonts w:hint="default" w:ascii="Times New Roman Regular" w:hAnsi="Times New Roman Regular" w:eastAsia="宋体" w:cs="Times New Roman Regular"/>
          <w:snapToGrid/>
          <w:color w:val="auto"/>
          <w:kern w:val="2"/>
          <w:sz w:val="28"/>
          <w:szCs w:val="28"/>
          <w:highlight w:val="none"/>
          <w:lang w:eastAsia="zh-CN"/>
        </w:rPr>
        <w:fldChar w:fldCharType="end"/>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HYPERLINK "http://baike.baidu.com/view/867660.htm"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snapToGrid/>
          <w:color w:val="auto"/>
          <w:kern w:val="2"/>
          <w:sz w:val="28"/>
          <w:szCs w:val="28"/>
          <w:highlight w:val="none"/>
          <w:lang w:eastAsia="zh-CN"/>
        </w:rPr>
        <w:t>监督管理总局</w:t>
      </w:r>
      <w:r>
        <w:rPr>
          <w:rFonts w:hint="default" w:ascii="Times New Roman Regular" w:hAnsi="Times New Roman Regular" w:eastAsia="宋体" w:cs="Times New Roman Regular"/>
          <w:snapToGrid/>
          <w:color w:val="auto"/>
          <w:kern w:val="2"/>
          <w:sz w:val="28"/>
          <w:szCs w:val="28"/>
          <w:highlight w:val="none"/>
          <w:lang w:eastAsia="zh-CN"/>
        </w:rPr>
        <w:fldChar w:fldCharType="end"/>
      </w:r>
      <w:r>
        <w:rPr>
          <w:rFonts w:hint="default" w:ascii="Times New Roman Regular" w:hAnsi="Times New Roman Regular" w:eastAsia="宋体" w:cs="Times New Roman Regular"/>
          <w:snapToGrid/>
          <w:color w:val="auto"/>
          <w:kern w:val="2"/>
          <w:sz w:val="28"/>
          <w:szCs w:val="28"/>
          <w:highlight w:val="none"/>
          <w:lang w:eastAsia="zh-CN"/>
        </w:rPr>
        <w:t>令第20号；根据国家安全监管总局令第78号修正，2015年7月1日施行；应急部公告</w:t>
      </w:r>
      <w:r>
        <w:rPr>
          <w:rFonts w:hint="eastAsia" w:ascii="Times New Roman Regular" w:hAnsi="Times New Roman Regular" w:eastAsia="宋体" w:cs="Times New Roman Regular"/>
          <w:snapToGrid/>
          <w:color w:val="auto"/>
          <w:kern w:val="2"/>
          <w:sz w:val="28"/>
          <w:szCs w:val="28"/>
          <w:highlight w:val="none"/>
          <w:lang w:eastAsia="zh-CN"/>
        </w:rPr>
        <w:t>〔2018〕12号</w:t>
      </w:r>
      <w:r>
        <w:rPr>
          <w:rFonts w:hint="default" w:ascii="Times New Roman Regular" w:hAnsi="Times New Roman Regular" w:eastAsia="宋体" w:cs="Times New Roman Regular"/>
          <w:snapToGrid/>
          <w:color w:val="auto"/>
          <w:kern w:val="2"/>
          <w:sz w:val="28"/>
          <w:szCs w:val="28"/>
          <w:highlight w:val="none"/>
          <w:lang w:eastAsia="zh-CN"/>
        </w:rPr>
        <w:t>进行修整）；</w:t>
      </w:r>
    </w:p>
    <w:p w14:paraId="5DCD6A4D">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《金属非金属矿山建设项目安全设施目录（试行）》（国家安 全生产监督管理总局</w:t>
      </w:r>
      <w:r>
        <w:rPr>
          <w:rFonts w:hint="eastAsia" w:ascii="Times New Roman Regular" w:hAnsi="Times New Roman Regular" w:eastAsia="宋体" w:cs="Times New Roman Regular"/>
          <w:snapToGrid/>
          <w:color w:val="auto"/>
          <w:kern w:val="2"/>
          <w:sz w:val="28"/>
          <w:szCs w:val="28"/>
          <w:highlight w:val="none"/>
          <w:lang w:eastAsia="zh-CN"/>
        </w:rPr>
        <w:t>令第</w:t>
      </w:r>
      <w:r>
        <w:rPr>
          <w:rFonts w:hint="default" w:ascii="Times New Roman Regular" w:hAnsi="Times New Roman Regular" w:eastAsia="宋体" w:cs="Times New Roman Regular"/>
          <w:snapToGrid/>
          <w:color w:val="auto"/>
          <w:kern w:val="2"/>
          <w:sz w:val="28"/>
          <w:szCs w:val="28"/>
          <w:highlight w:val="none"/>
          <w:lang w:eastAsia="zh-CN"/>
        </w:rPr>
        <w:t>75</w:t>
      </w:r>
      <w:r>
        <w:rPr>
          <w:rFonts w:hint="eastAsia" w:ascii="Times New Roman Regular" w:hAnsi="Times New Roman Regular" w:eastAsia="宋体" w:cs="Times New Roman Regular"/>
          <w:snapToGrid/>
          <w:color w:val="auto"/>
          <w:kern w:val="2"/>
          <w:sz w:val="28"/>
          <w:szCs w:val="28"/>
          <w:highlight w:val="none"/>
          <w:lang w:eastAsia="zh-CN"/>
        </w:rPr>
        <w:t>号</w:t>
      </w:r>
      <w:r>
        <w:rPr>
          <w:rFonts w:hint="default" w:ascii="Times New Roman Regular" w:hAnsi="Times New Roman Regular" w:eastAsia="宋体" w:cs="Times New Roman Regular"/>
          <w:snapToGrid/>
          <w:color w:val="auto"/>
          <w:kern w:val="2"/>
          <w:sz w:val="28"/>
          <w:szCs w:val="28"/>
          <w:highlight w:val="none"/>
          <w:lang w:eastAsia="zh-CN"/>
        </w:rPr>
        <w:t>，2015年7月1日施行）；</w:t>
      </w:r>
    </w:p>
    <w:p w14:paraId="2C73FFAA">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《生产安全事故应急预案管理办法》（2016年6月3日，国家安全生产监督管理总局令第88号公布；根据2019年7月11日应急管理部令第2号《应急管理部关于修改</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生产安全事故应急预案管理办法</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的决定》修正，2019年9月1日施行）；</w:t>
      </w:r>
    </w:p>
    <w:p w14:paraId="7923E19D">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《辽宁省安全生产监督管理局关于进一步加强非煤矿山企业特种作业人员管理的通知》（辽安监管</w:t>
      </w:r>
      <w:r>
        <w:rPr>
          <w:rFonts w:hint="eastAsia" w:ascii="Times New Roman Regular" w:hAnsi="Times New Roman Regular" w:eastAsia="宋体" w:cs="Times New Roman Regular"/>
          <w:snapToGrid/>
          <w:color w:val="auto"/>
          <w:kern w:val="2"/>
          <w:sz w:val="28"/>
          <w:szCs w:val="28"/>
          <w:highlight w:val="none"/>
          <w:lang w:eastAsia="zh-CN"/>
        </w:rPr>
        <w:t>〔2016〕29号</w:t>
      </w:r>
      <w:r>
        <w:rPr>
          <w:rFonts w:hint="default" w:ascii="Times New Roman Regular" w:hAnsi="Times New Roman Regular" w:eastAsia="宋体" w:cs="Times New Roman Regular"/>
          <w:snapToGrid/>
          <w:color w:val="auto"/>
          <w:kern w:val="2"/>
          <w:sz w:val="28"/>
          <w:szCs w:val="28"/>
          <w:highlight w:val="none"/>
          <w:lang w:eastAsia="zh-CN"/>
        </w:rPr>
        <w:t>，2016年8月16日施行）；</w:t>
      </w:r>
    </w:p>
    <w:p w14:paraId="70934176">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辽宁省安全生产条例》（2017年1月10日，辽宁省第十二届人民代表大会常务委员会第三十一次会议通过；2020年3月30日，辽宁省第十三届人民代表大会常务委员会第十七次会议第一次修正；2022年4月21日，辽宁省第十三届人民代表大会常务委员会第三十二次会议第二次修正）；</w:t>
      </w:r>
    </w:p>
    <w:p w14:paraId="5C434EC4">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《用人单位劳动防护用品管理规范（2018修改）》（安监总厅安健</w:t>
      </w:r>
      <w:r>
        <w:rPr>
          <w:rFonts w:hint="eastAsia" w:ascii="Times New Roman Regular" w:hAnsi="Times New Roman Regular" w:eastAsia="宋体" w:cs="Times New Roman Regular"/>
          <w:snapToGrid/>
          <w:color w:val="auto"/>
          <w:kern w:val="2"/>
          <w:sz w:val="28"/>
          <w:szCs w:val="28"/>
          <w:highlight w:val="none"/>
          <w:lang w:eastAsia="zh-CN"/>
        </w:rPr>
        <w:t>〔2018〕3号</w:t>
      </w:r>
      <w:r>
        <w:rPr>
          <w:rFonts w:hint="default" w:ascii="Times New Roman Regular" w:hAnsi="Times New Roman Regular" w:eastAsia="宋体" w:cs="Times New Roman Regular"/>
          <w:snapToGrid/>
          <w:color w:val="auto"/>
          <w:kern w:val="2"/>
          <w:sz w:val="28"/>
          <w:szCs w:val="28"/>
          <w:highlight w:val="none"/>
          <w:lang w:eastAsia="zh-CN"/>
        </w:rPr>
        <w:t>，2018年1月15日施行）；</w:t>
      </w:r>
    </w:p>
    <w:p w14:paraId="1D319BA2">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《辽宁省安全生产监督管理局关于进一步规范非煤矿矿山安全生产行政许可管理工作的通知》（辽安监非煤</w:t>
      </w:r>
      <w:r>
        <w:rPr>
          <w:rFonts w:hint="eastAsia" w:ascii="Times New Roman Regular" w:hAnsi="Times New Roman Regular" w:eastAsia="宋体" w:cs="Times New Roman Regular"/>
          <w:snapToGrid/>
          <w:color w:val="auto"/>
          <w:kern w:val="2"/>
          <w:sz w:val="28"/>
          <w:szCs w:val="28"/>
          <w:highlight w:val="none"/>
          <w:lang w:eastAsia="zh-CN"/>
        </w:rPr>
        <w:t>〔2018〕29号</w:t>
      </w:r>
      <w:r>
        <w:rPr>
          <w:rFonts w:hint="default" w:ascii="Times New Roman Regular" w:hAnsi="Times New Roman Regular" w:eastAsia="宋体" w:cs="Times New Roman Regular"/>
          <w:snapToGrid/>
          <w:color w:val="auto"/>
          <w:kern w:val="2"/>
          <w:sz w:val="28"/>
          <w:szCs w:val="28"/>
          <w:highlight w:val="none"/>
          <w:lang w:eastAsia="zh-CN"/>
        </w:rPr>
        <w:t>，2018年7月19日施行）；</w:t>
      </w:r>
    </w:p>
    <w:p w14:paraId="132C54F2">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《关于印发防范化解尾矿库安全风险工作方案的通知》（应急</w:t>
      </w:r>
      <w:r>
        <w:rPr>
          <w:rFonts w:hint="eastAsia" w:ascii="Times New Roman Regular" w:hAnsi="Times New Roman Regular" w:eastAsia="宋体" w:cs="Times New Roman Regular"/>
          <w:snapToGrid/>
          <w:color w:val="auto"/>
          <w:kern w:val="2"/>
          <w:sz w:val="28"/>
          <w:szCs w:val="28"/>
          <w:highlight w:val="none"/>
          <w:lang w:eastAsia="zh-CN"/>
        </w:rPr>
        <w:t>〔2020〕15号</w:t>
      </w:r>
      <w:r>
        <w:rPr>
          <w:rFonts w:hint="default" w:ascii="Times New Roman Regular" w:hAnsi="Times New Roman Regular" w:eastAsia="宋体" w:cs="Times New Roman Regular"/>
          <w:snapToGrid/>
          <w:color w:val="auto"/>
          <w:kern w:val="2"/>
          <w:sz w:val="28"/>
          <w:szCs w:val="28"/>
          <w:highlight w:val="none"/>
          <w:lang w:eastAsia="zh-CN"/>
        </w:rPr>
        <w:t>，2020年2月21日施行）；</w:t>
      </w:r>
    </w:p>
    <w:p w14:paraId="26C37925">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《国家矿山安全监察局关于印发</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关于加强非煤矿山安全生产工作的指导意见</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（矿安</w:t>
      </w:r>
      <w:r>
        <w:rPr>
          <w:rFonts w:hint="eastAsia" w:ascii="Times New Roman Regular" w:hAnsi="Times New Roman Regular" w:eastAsia="宋体" w:cs="Times New Roman Regular"/>
          <w:snapToGrid/>
          <w:color w:val="auto"/>
          <w:kern w:val="2"/>
          <w:sz w:val="28"/>
          <w:szCs w:val="28"/>
          <w:highlight w:val="none"/>
          <w:lang w:eastAsia="zh-CN"/>
        </w:rPr>
        <w:t>〔2022〕4号</w:t>
      </w:r>
      <w:r>
        <w:rPr>
          <w:rFonts w:hint="default" w:ascii="Times New Roman Regular" w:hAnsi="Times New Roman Regular" w:eastAsia="宋体" w:cs="Times New Roman Regular"/>
          <w:snapToGrid/>
          <w:color w:val="auto"/>
          <w:kern w:val="2"/>
          <w:sz w:val="28"/>
          <w:szCs w:val="28"/>
          <w:highlight w:val="none"/>
          <w:lang w:eastAsia="zh-CN"/>
        </w:rPr>
        <w:t>，2022年2月8日施行）；</w:t>
      </w:r>
    </w:p>
    <w:p w14:paraId="340B40E1">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《国家矿山安全监察局关于印发</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金属非金属矿山重大事故隐患判定标准</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（矿安</w:t>
      </w:r>
      <w:r>
        <w:rPr>
          <w:rFonts w:hint="eastAsia" w:ascii="Times New Roman Regular" w:hAnsi="Times New Roman Regular" w:eastAsia="宋体" w:cs="Times New Roman Regular"/>
          <w:snapToGrid/>
          <w:color w:val="auto"/>
          <w:kern w:val="2"/>
          <w:sz w:val="28"/>
          <w:szCs w:val="28"/>
          <w:highlight w:val="none"/>
          <w:lang w:eastAsia="zh-CN"/>
        </w:rPr>
        <w:t>〔2022〕88号</w:t>
      </w:r>
      <w:r>
        <w:rPr>
          <w:rFonts w:hint="default" w:ascii="Times New Roman Regular" w:hAnsi="Times New Roman Regular" w:eastAsia="宋体" w:cs="Times New Roman Regular"/>
          <w:snapToGrid/>
          <w:color w:val="auto"/>
          <w:kern w:val="2"/>
          <w:sz w:val="28"/>
          <w:szCs w:val="28"/>
          <w:highlight w:val="none"/>
          <w:lang w:eastAsia="zh-CN"/>
        </w:rPr>
        <w:t>，2022年9月1日施行）；</w:t>
      </w:r>
    </w:p>
    <w:p w14:paraId="2EC4D9AC">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《财政部、应急部关于印发</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企业安全生产费用提取和使用管理办法</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（财资</w:t>
      </w:r>
      <w:r>
        <w:rPr>
          <w:rFonts w:hint="eastAsia" w:ascii="Times New Roman Regular" w:hAnsi="Times New Roman Regular" w:eastAsia="宋体" w:cs="Times New Roman Regular"/>
          <w:snapToGrid/>
          <w:color w:val="auto"/>
          <w:kern w:val="2"/>
          <w:sz w:val="28"/>
          <w:szCs w:val="28"/>
          <w:highlight w:val="none"/>
          <w:lang w:eastAsia="zh-CN"/>
        </w:rPr>
        <w:t>〔2022〕136号</w:t>
      </w:r>
      <w:r>
        <w:rPr>
          <w:rFonts w:hint="default" w:ascii="Times New Roman Regular" w:hAnsi="Times New Roman Regular" w:eastAsia="宋体" w:cs="Times New Roman Regular"/>
          <w:snapToGrid/>
          <w:color w:val="auto"/>
          <w:kern w:val="2"/>
          <w:sz w:val="28"/>
          <w:szCs w:val="28"/>
          <w:highlight w:val="none"/>
          <w:lang w:eastAsia="zh-CN"/>
        </w:rPr>
        <w:t>，2022年12月13日施行）；</w:t>
      </w:r>
    </w:p>
    <w:p w14:paraId="50DF5E78">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《国务院安委会办公室关于学习宣传贯彻</w:t>
      </w:r>
      <w:r>
        <w:rPr>
          <w:rFonts w:hint="eastAsia" w:ascii="Times New Roman Regular" w:hAnsi="Times New Roman Regular" w:eastAsia="宋体" w:cs="Times New Roman Regular"/>
          <w:snapToGrid/>
          <w:color w:val="auto"/>
          <w:kern w:val="2"/>
          <w:sz w:val="28"/>
          <w:szCs w:val="28"/>
          <w:highlight w:val="none"/>
          <w:lang w:eastAsia="zh-CN"/>
        </w:rPr>
        <w:t>〈中共中央办公厅、国务院办公厅</w:t>
      </w:r>
      <w:r>
        <w:rPr>
          <w:rFonts w:hint="default" w:ascii="Times New Roman Regular" w:hAnsi="Times New Roman Regular" w:eastAsia="宋体" w:cs="Times New Roman Regular"/>
          <w:snapToGrid/>
          <w:color w:val="auto"/>
          <w:kern w:val="2"/>
          <w:sz w:val="28"/>
          <w:szCs w:val="28"/>
          <w:highlight w:val="none"/>
          <w:lang w:eastAsia="zh-CN"/>
        </w:rPr>
        <w:t>关于进一步加强矿山安全生产工作的意见</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（安委办</w:t>
      </w:r>
      <w:r>
        <w:rPr>
          <w:rFonts w:hint="eastAsia" w:ascii="Times New Roman Regular" w:hAnsi="Times New Roman Regular" w:eastAsia="宋体" w:cs="Times New Roman Regular"/>
          <w:snapToGrid/>
          <w:color w:val="auto"/>
          <w:kern w:val="2"/>
          <w:sz w:val="28"/>
          <w:szCs w:val="28"/>
          <w:highlight w:val="none"/>
          <w:lang w:eastAsia="zh-CN"/>
        </w:rPr>
        <w:t>〔2023〕7号</w:t>
      </w:r>
      <w:r>
        <w:rPr>
          <w:rFonts w:hint="default" w:ascii="Times New Roman Regular" w:hAnsi="Times New Roman Regular" w:eastAsia="宋体" w:cs="Times New Roman Regular"/>
          <w:snapToGrid/>
          <w:color w:val="auto"/>
          <w:kern w:val="2"/>
          <w:sz w:val="28"/>
          <w:szCs w:val="28"/>
          <w:highlight w:val="none"/>
          <w:lang w:eastAsia="zh-CN"/>
        </w:rPr>
        <w:t>）；</w:t>
      </w:r>
    </w:p>
    <w:p w14:paraId="24380A45">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《国家矿山安全监察局关于印发</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防范非煤矿山典型多发事故六十条措施</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（矿安</w:t>
      </w:r>
      <w:r>
        <w:rPr>
          <w:rFonts w:hint="eastAsia" w:ascii="Times New Roman Regular" w:hAnsi="Times New Roman Regular" w:eastAsia="宋体" w:cs="Times New Roman Regular"/>
          <w:snapToGrid/>
          <w:color w:val="auto"/>
          <w:kern w:val="2"/>
          <w:sz w:val="28"/>
          <w:szCs w:val="28"/>
          <w:highlight w:val="none"/>
          <w:lang w:eastAsia="zh-CN"/>
        </w:rPr>
        <w:t>〔2023〕124号</w:t>
      </w:r>
      <w:r>
        <w:rPr>
          <w:rFonts w:hint="default" w:ascii="Times New Roman Regular" w:hAnsi="Times New Roman Regular" w:eastAsia="宋体" w:cs="Times New Roman Regular"/>
          <w:snapToGrid/>
          <w:color w:val="auto"/>
          <w:kern w:val="2"/>
          <w:sz w:val="28"/>
          <w:szCs w:val="28"/>
          <w:highlight w:val="none"/>
          <w:lang w:eastAsia="zh-CN"/>
        </w:rPr>
        <w:t>，2023年9月12日施行）；</w:t>
      </w:r>
    </w:p>
    <w:p w14:paraId="14EEC964">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《国家矿山安全监察局关于印发</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非煤矿山建设项目安全设施重大变更范围</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（矿安</w:t>
      </w:r>
      <w:r>
        <w:rPr>
          <w:rFonts w:hint="eastAsia" w:ascii="Times New Roman Regular" w:hAnsi="Times New Roman Regular" w:eastAsia="宋体" w:cs="Times New Roman Regular"/>
          <w:snapToGrid/>
          <w:color w:val="auto"/>
          <w:kern w:val="2"/>
          <w:sz w:val="28"/>
          <w:szCs w:val="28"/>
          <w:highlight w:val="none"/>
          <w:lang w:eastAsia="zh-CN"/>
        </w:rPr>
        <w:t>〔2023〕147号</w:t>
      </w:r>
      <w:r>
        <w:rPr>
          <w:rFonts w:hint="default" w:ascii="Times New Roman Regular" w:hAnsi="Times New Roman Regular" w:eastAsia="宋体" w:cs="Times New Roman Regular"/>
          <w:snapToGrid/>
          <w:color w:val="auto"/>
          <w:kern w:val="2"/>
          <w:sz w:val="28"/>
          <w:szCs w:val="28"/>
          <w:highlight w:val="none"/>
          <w:lang w:eastAsia="zh-CN"/>
        </w:rPr>
        <w:t>）；</w:t>
      </w:r>
    </w:p>
    <w:p w14:paraId="27B0D061">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《国家矿山安全监察局关于印发</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金属非金属矿山重大事故隐患判定标准补充情形</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（矿安</w:t>
      </w:r>
      <w:r>
        <w:rPr>
          <w:rFonts w:hint="eastAsia" w:ascii="Times New Roman Regular" w:hAnsi="Times New Roman Regular" w:eastAsia="宋体" w:cs="Times New Roman Regular"/>
          <w:snapToGrid/>
          <w:color w:val="auto"/>
          <w:kern w:val="2"/>
          <w:sz w:val="28"/>
          <w:szCs w:val="28"/>
          <w:highlight w:val="none"/>
          <w:lang w:eastAsia="zh-CN"/>
        </w:rPr>
        <w:t>〔2024〕41号</w:t>
      </w:r>
      <w:r>
        <w:rPr>
          <w:rFonts w:hint="default" w:ascii="Times New Roman Regular" w:hAnsi="Times New Roman Regular" w:eastAsia="宋体" w:cs="Times New Roman Regular"/>
          <w:snapToGrid/>
          <w:color w:val="auto"/>
          <w:kern w:val="2"/>
          <w:sz w:val="28"/>
          <w:szCs w:val="28"/>
          <w:highlight w:val="none"/>
          <w:lang w:eastAsia="zh-CN"/>
        </w:rPr>
        <w:t>，2024年4月23日施行）；</w:t>
      </w:r>
    </w:p>
    <w:p w14:paraId="4536E4EA">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《国务院安全生产委员会印发</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关于防范遏制矿山领域重特大生产安全事故的硬措施</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（安委</w:t>
      </w:r>
      <w:r>
        <w:rPr>
          <w:rFonts w:hint="eastAsia" w:ascii="Times New Roman Regular" w:hAnsi="Times New Roman Regular" w:eastAsia="宋体" w:cs="Times New Roman Regular"/>
          <w:snapToGrid/>
          <w:color w:val="auto"/>
          <w:kern w:val="2"/>
          <w:sz w:val="28"/>
          <w:szCs w:val="28"/>
          <w:highlight w:val="none"/>
          <w:lang w:eastAsia="zh-CN"/>
        </w:rPr>
        <w:t>〔2024〕1号</w:t>
      </w:r>
      <w:r>
        <w:rPr>
          <w:rFonts w:hint="default" w:ascii="Times New Roman Regular" w:hAnsi="Times New Roman Regular" w:eastAsia="宋体" w:cs="Times New Roman Regular"/>
          <w:snapToGrid/>
          <w:color w:val="auto"/>
          <w:kern w:val="2"/>
          <w:sz w:val="28"/>
          <w:szCs w:val="28"/>
          <w:highlight w:val="none"/>
          <w:lang w:eastAsia="zh-CN"/>
        </w:rPr>
        <w:t>）；</w:t>
      </w:r>
    </w:p>
    <w:p w14:paraId="65F8D061">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《国家矿山安全监察局关于做好尾矿库隐蔽工程专项检查等汛期安全生产工作的通知》（矿安</w:t>
      </w:r>
      <w:r>
        <w:rPr>
          <w:rFonts w:hint="eastAsia" w:ascii="Times New Roman Regular" w:hAnsi="Times New Roman Regular" w:eastAsia="宋体" w:cs="Times New Roman Regular"/>
          <w:snapToGrid/>
          <w:color w:val="auto"/>
          <w:kern w:val="2"/>
          <w:sz w:val="28"/>
          <w:szCs w:val="28"/>
          <w:highlight w:val="none"/>
          <w:lang w:eastAsia="zh-CN"/>
        </w:rPr>
        <w:t>〔2024〕6号</w:t>
      </w:r>
      <w:r>
        <w:rPr>
          <w:rFonts w:hint="default" w:ascii="Times New Roman Regular" w:hAnsi="Times New Roman Regular" w:eastAsia="宋体" w:cs="Times New Roman Regular"/>
          <w:snapToGrid/>
          <w:color w:val="auto"/>
          <w:kern w:val="2"/>
          <w:sz w:val="28"/>
          <w:szCs w:val="28"/>
          <w:highlight w:val="none"/>
          <w:lang w:eastAsia="zh-CN"/>
        </w:rPr>
        <w:t>）；</w:t>
      </w:r>
    </w:p>
    <w:p w14:paraId="155EFE3F">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进一步加强非煤矿山安全生产行政许可工作</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（矿安</w:t>
      </w:r>
      <w:r>
        <w:rPr>
          <w:rFonts w:hint="eastAsia" w:ascii="Times New Roman Regular" w:hAnsi="Times New Roman Regular" w:eastAsia="宋体" w:cs="Times New Roman Regular"/>
          <w:snapToGrid/>
          <w:color w:val="auto"/>
          <w:kern w:val="2"/>
          <w:sz w:val="28"/>
          <w:szCs w:val="28"/>
          <w:highlight w:val="none"/>
          <w:lang w:eastAsia="zh-CN"/>
        </w:rPr>
        <w:t>〔2024〕70号</w:t>
      </w:r>
      <w:r>
        <w:rPr>
          <w:rFonts w:hint="default" w:ascii="Times New Roman Regular" w:hAnsi="Times New Roman Regular" w:eastAsia="宋体" w:cs="Times New Roman Regular"/>
          <w:snapToGrid/>
          <w:color w:val="auto"/>
          <w:kern w:val="2"/>
          <w:sz w:val="28"/>
          <w:szCs w:val="28"/>
          <w:highlight w:val="none"/>
          <w:lang w:eastAsia="zh-CN"/>
        </w:rPr>
        <w:t>）；</w:t>
      </w:r>
    </w:p>
    <w:p w14:paraId="784C64AA">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《国家矿山安全监察局关于印发</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“学铁规、明责任、硬落实、保安全”专项活动方案</w:t>
      </w:r>
      <w:r>
        <w:rPr>
          <w:rFonts w:hint="eastAsia" w:ascii="Times New Roman Regular" w:hAnsi="Times New Roman Regular" w:eastAsia="宋体" w:cs="Times New Roman Regular"/>
          <w:snapToGrid/>
          <w:color w:val="auto"/>
          <w:kern w:val="2"/>
          <w:sz w:val="28"/>
          <w:szCs w:val="28"/>
          <w:highlight w:val="none"/>
          <w:lang w:eastAsia="zh-CN"/>
        </w:rPr>
        <w:t>〉的通知》</w:t>
      </w:r>
      <w:r>
        <w:rPr>
          <w:rFonts w:hint="default" w:ascii="Times New Roman Regular" w:hAnsi="Times New Roman Regular" w:eastAsia="宋体" w:cs="Times New Roman Regular"/>
          <w:snapToGrid/>
          <w:color w:val="auto"/>
          <w:kern w:val="2"/>
          <w:sz w:val="28"/>
          <w:szCs w:val="28"/>
          <w:highlight w:val="none"/>
          <w:lang w:eastAsia="zh-CN"/>
        </w:rPr>
        <w:t>（矿安</w:t>
      </w:r>
      <w:r>
        <w:rPr>
          <w:rFonts w:hint="eastAsia" w:ascii="Times New Roman Regular" w:hAnsi="Times New Roman Regular" w:eastAsia="宋体" w:cs="Times New Roman Regular"/>
          <w:snapToGrid/>
          <w:color w:val="auto"/>
          <w:kern w:val="2"/>
          <w:sz w:val="28"/>
          <w:szCs w:val="28"/>
          <w:highlight w:val="none"/>
          <w:lang w:eastAsia="zh-CN"/>
        </w:rPr>
        <w:t>〔2024〕72号</w:t>
      </w:r>
      <w:r>
        <w:rPr>
          <w:rFonts w:hint="default" w:ascii="Times New Roman Regular" w:hAnsi="Times New Roman Regular" w:eastAsia="宋体" w:cs="Times New Roman Regular"/>
          <w:snapToGrid/>
          <w:color w:val="auto"/>
          <w:kern w:val="2"/>
          <w:sz w:val="28"/>
          <w:szCs w:val="28"/>
          <w:highlight w:val="none"/>
          <w:lang w:eastAsia="zh-CN"/>
        </w:rPr>
        <w:t>）；</w:t>
      </w:r>
    </w:p>
    <w:p w14:paraId="25BECD4A">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《国家矿山安全监察局关于加强汛期矿山安全防范工作的通知》（矿安</w:t>
      </w:r>
      <w:r>
        <w:rPr>
          <w:rFonts w:hint="eastAsia" w:ascii="Times New Roman Regular" w:hAnsi="Times New Roman Regular" w:eastAsia="宋体" w:cs="Times New Roman Regular"/>
          <w:snapToGrid/>
          <w:color w:val="auto"/>
          <w:kern w:val="2"/>
          <w:sz w:val="28"/>
          <w:szCs w:val="28"/>
          <w:highlight w:val="none"/>
          <w:lang w:eastAsia="zh-CN"/>
        </w:rPr>
        <w:t>〔2024〕75号</w:t>
      </w:r>
      <w:r>
        <w:rPr>
          <w:rFonts w:hint="default" w:ascii="Times New Roman Regular" w:hAnsi="Times New Roman Regular" w:eastAsia="宋体" w:cs="Times New Roman Regular"/>
          <w:snapToGrid/>
          <w:color w:val="auto"/>
          <w:kern w:val="2"/>
          <w:sz w:val="28"/>
          <w:szCs w:val="28"/>
          <w:highlight w:val="none"/>
          <w:lang w:eastAsia="zh-CN"/>
        </w:rPr>
        <w:t>）。</w:t>
      </w:r>
    </w:p>
    <w:p w14:paraId="23D6495B">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snapToGrid/>
          <w:color w:val="auto"/>
          <w:kern w:val="2"/>
          <w:szCs w:val="28"/>
          <w:highlight w:val="none"/>
          <w:lang w:eastAsia="zh-CN"/>
        </w:rPr>
      </w:pPr>
      <w:r>
        <w:rPr>
          <w:color w:val="auto"/>
          <w:highlight w:val="none"/>
        </w:rPr>
        <w:fldChar w:fldCharType="begin"/>
      </w:r>
      <w:r>
        <w:rPr>
          <w:color w:val="auto"/>
          <w:highlight w:val="none"/>
        </w:rPr>
        <w:instrText xml:space="preserve"> HYPERLINK "1.3.1.4"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1.3.1.4</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地方政府规章</w:t>
      </w:r>
    </w:p>
    <w:p w14:paraId="6EC8E7BF">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《辽宁省应急管理厅印发高危行业安全生产责任保险实施方案》（辽宁省应急管理厅）；</w:t>
      </w:r>
    </w:p>
    <w:p w14:paraId="2C6F735D">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《辽宁省安全生产监督管理局关于进一步规范非煤矿矿山安全生产行政许可管理工作的通知》（辽安监非煤</w:t>
      </w:r>
      <w:r>
        <w:rPr>
          <w:rFonts w:hint="eastAsia" w:ascii="Times New Roman Regular" w:hAnsi="Times New Roman Regular" w:eastAsia="宋体" w:cs="Times New Roman Regular"/>
          <w:snapToGrid/>
          <w:color w:val="auto"/>
          <w:kern w:val="2"/>
          <w:sz w:val="28"/>
          <w:szCs w:val="28"/>
          <w:highlight w:val="none"/>
          <w:lang w:eastAsia="zh-CN"/>
        </w:rPr>
        <w:t>〔2018〕29号</w:t>
      </w:r>
      <w:r>
        <w:rPr>
          <w:rFonts w:hint="default" w:ascii="Times New Roman Regular" w:hAnsi="Times New Roman Regular" w:eastAsia="宋体" w:cs="Times New Roman Regular"/>
          <w:snapToGrid/>
          <w:color w:val="auto"/>
          <w:kern w:val="2"/>
          <w:sz w:val="28"/>
          <w:szCs w:val="28"/>
          <w:highlight w:val="none"/>
          <w:lang w:eastAsia="zh-CN"/>
        </w:rPr>
        <w:t>）。</w:t>
      </w:r>
    </w:p>
    <w:p w14:paraId="4AA97CB1">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5" w:name="_Toc20064"/>
      <w:bookmarkStart w:id="16" w:name="_Toc5997"/>
      <w:bookmarkStart w:id="17" w:name="_Toc26002"/>
      <w:r>
        <w:rPr>
          <w:rFonts w:ascii="Times New Roman" w:hAnsi="Times New Roman" w:eastAsia="Times New Roman" w:cs="Times New Roman"/>
          <w:bCs/>
          <w:color w:val="auto"/>
          <w:sz w:val="28"/>
          <w:szCs w:val="28"/>
          <w:highlight w:val="none"/>
          <w:lang w:eastAsia="zh-CN"/>
        </w:rPr>
        <w:t xml:space="preserve">1.3.2 </w:t>
      </w:r>
      <w:r>
        <w:rPr>
          <w:rFonts w:ascii="宋体" w:hAnsi="宋体" w:eastAsia="宋体" w:cs="宋体"/>
          <w:bCs/>
          <w:color w:val="auto"/>
          <w:sz w:val="28"/>
          <w:szCs w:val="28"/>
          <w:highlight w:val="none"/>
          <w:lang w:eastAsia="zh-CN"/>
        </w:rPr>
        <w:t>标准规范</w:t>
      </w:r>
      <w:bookmarkEnd w:id="15"/>
      <w:bookmarkEnd w:id="16"/>
      <w:bookmarkEnd w:id="17"/>
    </w:p>
    <w:p w14:paraId="63217E32">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《尾矿设施设计规范》（GB50863-2013）；</w:t>
      </w:r>
    </w:p>
    <w:p w14:paraId="16F33396">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《尾矿设施施工及验收规范》（GB50864-2013）；</w:t>
      </w:r>
    </w:p>
    <w:p w14:paraId="0B0EB8CB">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《建筑设计防火规范（2018年版</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》（GB50016-2014）；</w:t>
      </w:r>
    </w:p>
    <w:p w14:paraId="4ED3F92B">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《建筑抗震设计标准[2024年版]》</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GB50011-2010</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w:t>
      </w:r>
    </w:p>
    <w:p w14:paraId="350AD404">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《构筑物抗震设计规范》（GB50191-2012）；</w:t>
      </w:r>
    </w:p>
    <w:p w14:paraId="7B747EC8">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《生产设备安全卫生设计总则》（GB5083-2023）；</w:t>
      </w:r>
    </w:p>
    <w:p w14:paraId="3F30BCFC">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《图形符号安全色和安全标志 第5部分：安全标志使用原则与要求》（GB/T2893.5-2020）；</w:t>
      </w:r>
    </w:p>
    <w:p w14:paraId="4BCEF2FA">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《防洪标准》（GB50201-2014）；</w:t>
      </w:r>
    </w:p>
    <w:p w14:paraId="5D4C3C15">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《工业企业噪声控制设计规范》（GB/T50087-2013）；</w:t>
      </w:r>
    </w:p>
    <w:p w14:paraId="50A9D49C">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《工业企业总平面设计规范》（GB50187-2012）；</w:t>
      </w:r>
    </w:p>
    <w:p w14:paraId="1E4E3C7D">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《岩土工程勘察规范（2009年版）》（GB50021-2001）；</w:t>
      </w:r>
    </w:p>
    <w:p w14:paraId="3A735CC1">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《生产过程安全卫生要求总则》（GB/T12801-2008）；</w:t>
      </w:r>
    </w:p>
    <w:p w14:paraId="76BA2DAE">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《生产经营单位生产安全事故应急预案编制导则》（GB/T29639-2020）；</w:t>
      </w:r>
    </w:p>
    <w:p w14:paraId="5F7756AF">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《个体防护装备配备规范 第4部分：非煤矿山》（GB39800.4-2020）；</w:t>
      </w:r>
    </w:p>
    <w:p w14:paraId="004555C3">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《生产过程危险和有害因素分类与代码》（GB/T13861-2022）；</w:t>
      </w:r>
    </w:p>
    <w:p w14:paraId="7EF7D9AD">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《厂矿道路设计规范》（GBJ22-1987）；</w:t>
      </w:r>
    </w:p>
    <w:p w14:paraId="0566B8C4">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《矿山电力设计标准》（GB50070-2020）；</w:t>
      </w:r>
    </w:p>
    <w:p w14:paraId="50CADCE4">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《安全评价通则》（AQ8001-2007）；</w:t>
      </w:r>
    </w:p>
    <w:p w14:paraId="1188FEAF">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《尾矿库安全监测技术规范》（AQ2030-2010）；</w:t>
      </w:r>
    </w:p>
    <w:p w14:paraId="4F9F299C">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w:t>
      </w:r>
      <w:bookmarkStart w:id="18" w:name="bookmark7"/>
      <w:r>
        <w:rPr>
          <w:rFonts w:hint="default" w:ascii="Times New Roman Regular" w:hAnsi="Times New Roman Regular" w:eastAsia="宋体" w:cs="Times New Roman Regular"/>
          <w:snapToGrid/>
          <w:color w:val="auto"/>
          <w:kern w:val="2"/>
          <w:sz w:val="28"/>
          <w:szCs w:val="28"/>
          <w:highlight w:val="none"/>
          <w:lang w:eastAsia="zh-CN"/>
        </w:rPr>
        <w:t>尾矿库安全规程</w:t>
      </w:r>
      <w:bookmarkEnd w:id="18"/>
      <w:r>
        <w:rPr>
          <w:rFonts w:hint="default" w:ascii="Times New Roman Regular" w:hAnsi="Times New Roman Regular" w:eastAsia="宋体" w:cs="Times New Roman Regular"/>
          <w:snapToGrid/>
          <w:color w:val="auto"/>
          <w:kern w:val="2"/>
          <w:sz w:val="28"/>
          <w:szCs w:val="28"/>
          <w:highlight w:val="none"/>
          <w:lang w:eastAsia="zh-CN"/>
        </w:rPr>
        <w:t>》（GB39496-2020）；</w:t>
      </w:r>
    </w:p>
    <w:p w14:paraId="280C1BB1">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《水工混凝土结构设计规范》（SL191-2025）；</w:t>
      </w:r>
    </w:p>
    <w:p w14:paraId="738F1CDB">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《碾压式土石坝设计规范》（SL</w:t>
      </w:r>
      <w:r>
        <w:rPr>
          <w:rFonts w:hint="default" w:ascii="Times New Roman Regular" w:hAnsi="Times New Roman Regular" w:eastAsia="宋体" w:cs="Times New Roman Regular"/>
          <w:snapToGrid/>
          <w:color w:val="auto"/>
          <w:kern w:val="2"/>
          <w:sz w:val="28"/>
          <w:szCs w:val="28"/>
          <w:highlight w:val="none"/>
          <w:lang w:val="en-US" w:eastAsia="zh-CN"/>
        </w:rPr>
        <w:t>2</w:t>
      </w:r>
      <w:r>
        <w:rPr>
          <w:rFonts w:hint="default" w:ascii="Times New Roman Regular" w:hAnsi="Times New Roman Regular" w:eastAsia="宋体" w:cs="Times New Roman Regular"/>
          <w:snapToGrid/>
          <w:color w:val="auto"/>
          <w:kern w:val="2"/>
          <w:sz w:val="28"/>
          <w:szCs w:val="28"/>
          <w:highlight w:val="none"/>
          <w:lang w:eastAsia="zh-CN"/>
        </w:rPr>
        <w:t>74-2020）；</w:t>
      </w:r>
    </w:p>
    <w:p w14:paraId="5452E94E">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《碾压式土石坝施工规范》（DL/T5129-2013）；</w:t>
      </w:r>
    </w:p>
    <w:p w14:paraId="0BCD36F9">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eastAsia="zh-CN"/>
        </w:rPr>
        <w:t>《水电工程水工建筑物抗震设计规范》（行业标准第一号修改单，NB35047-2015/XG1-2021）。</w:t>
      </w:r>
    </w:p>
    <w:p w14:paraId="5AC29591">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9" w:name="_Toc21530"/>
      <w:bookmarkStart w:id="20" w:name="_Toc26168"/>
      <w:bookmarkStart w:id="21" w:name="_Toc24146"/>
      <w:r>
        <w:rPr>
          <w:rFonts w:ascii="Times New Roman" w:hAnsi="Times New Roman" w:eastAsia="Times New Roman" w:cs="Times New Roman"/>
          <w:bCs/>
          <w:color w:val="auto"/>
          <w:sz w:val="28"/>
          <w:szCs w:val="28"/>
          <w:highlight w:val="none"/>
          <w:lang w:eastAsia="zh-CN"/>
        </w:rPr>
        <w:t xml:space="preserve">1.3.3 </w:t>
      </w:r>
      <w:r>
        <w:rPr>
          <w:rFonts w:ascii="宋体" w:hAnsi="宋体" w:eastAsia="宋体" w:cs="宋体"/>
          <w:bCs/>
          <w:color w:val="auto"/>
          <w:sz w:val="28"/>
          <w:szCs w:val="28"/>
          <w:highlight w:val="none"/>
          <w:lang w:eastAsia="zh-CN"/>
        </w:rPr>
        <w:t>建设项目技术资料</w:t>
      </w:r>
      <w:bookmarkEnd w:id="19"/>
      <w:bookmarkEnd w:id="20"/>
      <w:bookmarkEnd w:id="21"/>
    </w:p>
    <w:p w14:paraId="75F0D4D5">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w:t>
      </w:r>
      <w:r>
        <w:rPr>
          <w:rFonts w:hint="default" w:ascii="Times New Roman Regular" w:hAnsi="Times New Roman Regular" w:eastAsia="宋体" w:cs="Times New Roman Regular"/>
          <w:snapToGrid/>
          <w:color w:val="auto"/>
          <w:kern w:val="2"/>
          <w:sz w:val="28"/>
          <w:szCs w:val="28"/>
          <w:highlight w:val="none"/>
          <w:lang w:eastAsia="zh-CN"/>
        </w:rPr>
        <w:t>和辽宁诺诚安全科技有限公司双方签订的安全评价技术服务合同；</w:t>
      </w:r>
    </w:p>
    <w:p w14:paraId="3321E491">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《葫芦岛岳强矿业有限责任公司干堆尾矿库岩土工程勘察报告》（辽宁辽西工程勘察院，20</w:t>
      </w:r>
      <w:r>
        <w:rPr>
          <w:rFonts w:hint="default" w:ascii="Times New Roman Regular" w:hAnsi="Times New Roman Regular" w:eastAsia="宋体" w:cs="Times New Roman Regular"/>
          <w:snapToGrid/>
          <w:color w:val="auto"/>
          <w:kern w:val="2"/>
          <w:sz w:val="28"/>
          <w:szCs w:val="28"/>
          <w:highlight w:val="none"/>
          <w:lang w:eastAsia="zh-CN"/>
        </w:rPr>
        <w:t>11</w:t>
      </w:r>
      <w:r>
        <w:rPr>
          <w:rFonts w:hint="default" w:ascii="Times New Roman Regular" w:hAnsi="Times New Roman Regular" w:eastAsia="宋体" w:cs="Times New Roman Regular"/>
          <w:snapToGrid/>
          <w:color w:val="auto"/>
          <w:kern w:val="2"/>
          <w:sz w:val="28"/>
          <w:szCs w:val="28"/>
          <w:highlight w:val="none"/>
          <w:lang w:val="zh-CN" w:eastAsia="zh-CN"/>
        </w:rPr>
        <w:t>年1</w:t>
      </w:r>
      <w:r>
        <w:rPr>
          <w:rFonts w:hint="default" w:ascii="Times New Roman Regular" w:hAnsi="Times New Roman Regular" w:eastAsia="宋体" w:cs="Times New Roman Regular"/>
          <w:snapToGrid/>
          <w:color w:val="auto"/>
          <w:kern w:val="2"/>
          <w:sz w:val="28"/>
          <w:szCs w:val="28"/>
          <w:highlight w:val="none"/>
          <w:lang w:eastAsia="zh-CN"/>
        </w:rPr>
        <w:t>2</w:t>
      </w:r>
      <w:r>
        <w:rPr>
          <w:rFonts w:hint="default" w:ascii="Times New Roman Regular" w:hAnsi="Times New Roman Regular" w:eastAsia="宋体" w:cs="Times New Roman Regular"/>
          <w:snapToGrid/>
          <w:color w:val="auto"/>
          <w:kern w:val="2"/>
          <w:sz w:val="28"/>
          <w:szCs w:val="28"/>
          <w:highlight w:val="none"/>
          <w:lang w:val="zh-CN" w:eastAsia="zh-CN"/>
        </w:rPr>
        <w:t>月）；</w:t>
      </w:r>
    </w:p>
    <w:p w14:paraId="364A6BD0">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《葫芦岛岳强矿业有限责任公司干堆尾矿库初步设计》（河北宏达绿洲工程设计有限公司，2012年10月）；</w:t>
      </w:r>
    </w:p>
    <w:p w14:paraId="6016DBEF">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《葫芦岛岳强矿业有限责任公司干堆尾矿库安全专篇》（河北宏达绿洲工程设计有限公司，2012年10月）；</w:t>
      </w:r>
    </w:p>
    <w:p w14:paraId="680043B4">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葫芦岛岳强矿业有限责任公司干堆尾矿库在线安全监测系统工程方案设计（辽宁牧鼎矿业科技有限公司，</w:t>
      </w:r>
      <w:r>
        <w:rPr>
          <w:rFonts w:hint="default" w:ascii="Times New Roman Regular" w:hAnsi="Times New Roman Regular" w:eastAsia="宋体" w:cs="Times New Roman Regular"/>
          <w:snapToGrid/>
          <w:color w:val="auto"/>
          <w:kern w:val="2"/>
          <w:sz w:val="28"/>
          <w:szCs w:val="28"/>
          <w:highlight w:val="none"/>
          <w:lang w:eastAsia="zh-CN"/>
        </w:rPr>
        <w:t>2021年10月</w:t>
      </w:r>
      <w:r>
        <w:rPr>
          <w:rFonts w:hint="default" w:ascii="Times New Roman Regular" w:hAnsi="Times New Roman Regular" w:eastAsia="宋体" w:cs="Times New Roman Regular"/>
          <w:snapToGrid/>
          <w:color w:val="auto"/>
          <w:kern w:val="2"/>
          <w:sz w:val="28"/>
          <w:szCs w:val="28"/>
          <w:highlight w:val="none"/>
          <w:lang w:val="zh-CN" w:eastAsia="zh-CN"/>
        </w:rPr>
        <w:t>）；</w:t>
      </w:r>
    </w:p>
    <w:p w14:paraId="6D322F19">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葫芦岛岳强矿业有限责任公司尾矿库</w:t>
      </w:r>
      <w:r>
        <w:rPr>
          <w:rFonts w:hint="default" w:ascii="Times New Roman Regular" w:hAnsi="Times New Roman Regular" w:eastAsia="宋体" w:cs="Times New Roman Regular"/>
          <w:snapToGrid/>
          <w:color w:val="auto"/>
          <w:kern w:val="2"/>
          <w:sz w:val="28"/>
          <w:szCs w:val="28"/>
          <w:highlight w:val="none"/>
          <w:lang w:eastAsia="zh-CN"/>
        </w:rPr>
        <w:t>排水构筑物</w:t>
      </w:r>
      <w:r>
        <w:rPr>
          <w:rFonts w:hint="default" w:ascii="Times New Roman Regular" w:hAnsi="Times New Roman Regular" w:eastAsia="宋体" w:cs="Times New Roman Regular"/>
          <w:snapToGrid/>
          <w:color w:val="auto"/>
          <w:kern w:val="2"/>
          <w:sz w:val="28"/>
          <w:szCs w:val="28"/>
          <w:highlight w:val="none"/>
          <w:lang w:val="zh-CN" w:eastAsia="zh-CN"/>
        </w:rPr>
        <w:t>检测报告，辽宁汇智诚检测科技有限公司，</w:t>
      </w:r>
      <w:r>
        <w:rPr>
          <w:rFonts w:hint="default" w:ascii="Times New Roman Regular" w:hAnsi="Times New Roman Regular" w:eastAsia="宋体" w:cs="Times New Roman Regular"/>
          <w:snapToGrid/>
          <w:color w:val="auto"/>
          <w:kern w:val="2"/>
          <w:sz w:val="28"/>
          <w:szCs w:val="28"/>
          <w:highlight w:val="none"/>
          <w:lang w:eastAsia="zh-CN"/>
        </w:rPr>
        <w:t>2024年6月4日；</w:t>
      </w:r>
    </w:p>
    <w:p w14:paraId="3945C2B3">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《葫芦岛岳强矿业有限责任公司尾矿库2025年度汛前调洪演算报告》，中国冶金矿业鞍山冶金设计研究院有限责任公司，</w:t>
      </w:r>
      <w:r>
        <w:rPr>
          <w:rFonts w:hint="default" w:ascii="Times New Roman Regular" w:hAnsi="Times New Roman Regular" w:eastAsia="宋体" w:cs="Times New Roman Regular"/>
          <w:snapToGrid/>
          <w:color w:val="auto"/>
          <w:kern w:val="2"/>
          <w:sz w:val="28"/>
          <w:szCs w:val="28"/>
          <w:highlight w:val="none"/>
          <w:lang w:eastAsia="zh-CN"/>
        </w:rPr>
        <w:t>2025年5月；</w:t>
      </w:r>
    </w:p>
    <w:p w14:paraId="497C73E4">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eastAsia" w:ascii="Times New Roman Regular" w:hAnsi="Times New Roman Regular" w:eastAsia="宋体" w:cs="Times New Roman Regular"/>
          <w:snapToGrid/>
          <w:color w:val="auto"/>
          <w:kern w:val="2"/>
          <w:sz w:val="28"/>
          <w:szCs w:val="28"/>
          <w:highlight w:val="none"/>
          <w:lang w:val="zh-CN" w:eastAsia="zh-CN"/>
        </w:rPr>
        <w:t>《葫芦岛岳强矿业有限责任公司干堆尾矿库安全性复核报告》，山西中安设计研究院有限公司，</w:t>
      </w:r>
      <w:r>
        <w:rPr>
          <w:rFonts w:hint="default" w:ascii="Times New Roman Regular" w:hAnsi="Times New Roman Regular" w:eastAsia="宋体" w:cs="Times New Roman Regular"/>
          <w:snapToGrid/>
          <w:color w:val="auto"/>
          <w:kern w:val="2"/>
          <w:sz w:val="28"/>
          <w:szCs w:val="28"/>
          <w:highlight w:val="none"/>
          <w:lang w:val="zh-CN" w:eastAsia="zh-CN"/>
        </w:rPr>
        <w:t>2024年</w:t>
      </w:r>
      <w:r>
        <w:rPr>
          <w:rFonts w:hint="eastAsia" w:ascii="Times New Roman Regular" w:hAnsi="Times New Roman Regular" w:eastAsia="宋体" w:cs="Times New Roman Regular"/>
          <w:snapToGrid/>
          <w:color w:val="auto"/>
          <w:kern w:val="2"/>
          <w:sz w:val="28"/>
          <w:szCs w:val="28"/>
          <w:highlight w:val="none"/>
          <w:lang w:val="en-US" w:eastAsia="zh-CN"/>
        </w:rPr>
        <w:t>4</w:t>
      </w:r>
      <w:r>
        <w:rPr>
          <w:rFonts w:hint="default" w:ascii="Times New Roman Regular" w:hAnsi="Times New Roman Regular" w:eastAsia="宋体" w:cs="Times New Roman Regular"/>
          <w:snapToGrid/>
          <w:color w:val="auto"/>
          <w:kern w:val="2"/>
          <w:sz w:val="28"/>
          <w:szCs w:val="28"/>
          <w:highlight w:val="none"/>
          <w:lang w:val="zh-CN" w:eastAsia="zh-CN"/>
        </w:rPr>
        <w:t>月；</w:t>
      </w:r>
    </w:p>
    <w:p w14:paraId="54D4DDA3">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eastAsia" w:ascii="Times New Roman Regular" w:hAnsi="Times New Roman Regular" w:eastAsia="宋体" w:cs="Times New Roman Regular"/>
          <w:snapToGrid/>
          <w:color w:val="auto"/>
          <w:kern w:val="2"/>
          <w:sz w:val="28"/>
          <w:szCs w:val="28"/>
          <w:highlight w:val="none"/>
          <w:lang w:val="zh-CN" w:eastAsia="zh-CN"/>
        </w:rPr>
        <w:t>《</w:t>
      </w: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葫芦岛岳强矿业有限责任公司尾矿库隐蔽致灾因素普查报告</w:t>
      </w:r>
      <w:r>
        <w:rPr>
          <w:rFonts w:hint="eastAsia" w:ascii="Times New Roman Regular" w:hAnsi="Times New Roman Regular" w:eastAsia="宋体" w:cs="Times New Roman Regular"/>
          <w:snapToGrid/>
          <w:color w:val="auto"/>
          <w:kern w:val="2"/>
          <w:sz w:val="28"/>
          <w:szCs w:val="28"/>
          <w:highlight w:val="none"/>
          <w:lang w:val="zh-CN" w:eastAsia="zh-CN"/>
        </w:rPr>
        <w:t>》，中裕工程集团有限公司，</w:t>
      </w:r>
      <w:r>
        <w:rPr>
          <w:rFonts w:hint="default" w:ascii="Times New Roman Regular" w:hAnsi="Times New Roman Regular" w:eastAsia="宋体" w:cs="Times New Roman Regular"/>
          <w:snapToGrid/>
          <w:color w:val="auto"/>
          <w:kern w:val="2"/>
          <w:sz w:val="28"/>
          <w:szCs w:val="28"/>
          <w:highlight w:val="none"/>
          <w:lang w:val="zh-CN" w:eastAsia="zh-CN"/>
        </w:rPr>
        <w:t>202</w:t>
      </w:r>
      <w:r>
        <w:rPr>
          <w:rFonts w:hint="eastAsia" w:ascii="Times New Roman Regular" w:hAnsi="Times New Roman Regular" w:eastAsia="宋体" w:cs="Times New Roman Regular"/>
          <w:snapToGrid/>
          <w:color w:val="auto"/>
          <w:kern w:val="2"/>
          <w:sz w:val="28"/>
          <w:szCs w:val="28"/>
          <w:highlight w:val="none"/>
          <w:lang w:val="en-US" w:eastAsia="zh-CN"/>
        </w:rPr>
        <w:t>6</w:t>
      </w:r>
      <w:r>
        <w:rPr>
          <w:rFonts w:hint="default" w:ascii="Times New Roman Regular" w:hAnsi="Times New Roman Regular" w:eastAsia="宋体" w:cs="Times New Roman Regular"/>
          <w:snapToGrid/>
          <w:color w:val="auto"/>
          <w:kern w:val="2"/>
          <w:sz w:val="28"/>
          <w:szCs w:val="28"/>
          <w:highlight w:val="none"/>
          <w:lang w:val="zh-CN" w:eastAsia="zh-CN"/>
        </w:rPr>
        <w:t>年</w:t>
      </w:r>
      <w:r>
        <w:rPr>
          <w:rFonts w:hint="eastAsia" w:ascii="Times New Roman Regular" w:hAnsi="Times New Roman Regular" w:eastAsia="宋体" w:cs="Times New Roman Regular"/>
          <w:snapToGrid/>
          <w:color w:val="auto"/>
          <w:kern w:val="2"/>
          <w:sz w:val="28"/>
          <w:szCs w:val="28"/>
          <w:highlight w:val="none"/>
          <w:lang w:val="en-US" w:eastAsia="zh-CN"/>
        </w:rPr>
        <w:t>3</w:t>
      </w:r>
      <w:r>
        <w:rPr>
          <w:rFonts w:hint="default" w:ascii="Times New Roman Regular" w:hAnsi="Times New Roman Regular" w:eastAsia="宋体" w:cs="Times New Roman Regular"/>
          <w:snapToGrid/>
          <w:color w:val="auto"/>
          <w:kern w:val="2"/>
          <w:sz w:val="28"/>
          <w:szCs w:val="28"/>
          <w:highlight w:val="none"/>
          <w:lang w:val="zh-CN" w:eastAsia="zh-CN"/>
        </w:rPr>
        <w:t>月</w:t>
      </w:r>
      <w:r>
        <w:rPr>
          <w:rFonts w:hint="eastAsia" w:ascii="Times New Roman Regular" w:hAnsi="Times New Roman Regular" w:eastAsia="宋体" w:cs="Times New Roman Regular"/>
          <w:snapToGrid/>
          <w:color w:val="auto"/>
          <w:kern w:val="2"/>
          <w:sz w:val="28"/>
          <w:szCs w:val="28"/>
          <w:highlight w:val="none"/>
          <w:lang w:val="zh-CN" w:eastAsia="zh-CN"/>
        </w:rPr>
        <w:t>；</w:t>
      </w:r>
    </w:p>
    <w:p w14:paraId="444B272B">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snapToGrid/>
          <w:color w:val="auto"/>
          <w:kern w:val="2"/>
          <w:sz w:val="28"/>
          <w:szCs w:val="28"/>
          <w:highlight w:val="none"/>
          <w:lang w:eastAsia="zh-CN"/>
        </w:rPr>
      </w:pP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w:t>
      </w:r>
      <w:r>
        <w:rPr>
          <w:rFonts w:hint="default" w:ascii="Times New Roman Regular" w:hAnsi="Times New Roman Regular" w:eastAsia="宋体" w:cs="Times New Roman Regular"/>
          <w:snapToGrid/>
          <w:color w:val="auto"/>
          <w:kern w:val="2"/>
          <w:sz w:val="28"/>
          <w:szCs w:val="28"/>
          <w:highlight w:val="none"/>
          <w:lang w:eastAsia="zh-CN"/>
        </w:rPr>
        <w:t>提供的其他有关书面资料、文件和数据。</w:t>
      </w:r>
    </w:p>
    <w:p w14:paraId="122A63CE">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22" w:name="_Toc19481"/>
      <w:bookmarkStart w:id="23" w:name="_Toc8108"/>
      <w:bookmarkStart w:id="24" w:name="_Toc24547"/>
      <w:r>
        <w:rPr>
          <w:rFonts w:ascii="Times New Roman" w:hAnsi="Times New Roman" w:eastAsia="Times New Roman" w:cs="Times New Roman"/>
          <w:bCs/>
          <w:color w:val="auto"/>
          <w:sz w:val="28"/>
          <w:szCs w:val="28"/>
          <w:highlight w:val="none"/>
          <w:lang w:eastAsia="zh-CN"/>
        </w:rPr>
        <w:t xml:space="preserve">1.3.4 </w:t>
      </w:r>
      <w:r>
        <w:rPr>
          <w:rFonts w:ascii="宋体" w:hAnsi="宋体" w:eastAsia="宋体" w:cs="宋体"/>
          <w:bCs/>
          <w:color w:val="auto"/>
          <w:sz w:val="28"/>
          <w:szCs w:val="28"/>
          <w:highlight w:val="none"/>
          <w:lang w:eastAsia="zh-CN"/>
        </w:rPr>
        <w:t>其他评价依据</w:t>
      </w:r>
      <w:bookmarkEnd w:id="22"/>
      <w:bookmarkEnd w:id="23"/>
      <w:bookmarkEnd w:id="24"/>
    </w:p>
    <w:p w14:paraId="7F439EBD">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eastAsia"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营业执照</w:t>
      </w:r>
      <w:r>
        <w:rPr>
          <w:rFonts w:hint="eastAsia" w:ascii="Times New Roman Regular" w:hAnsi="Times New Roman Regular" w:eastAsia="宋体" w:cs="Times New Roman Regular"/>
          <w:snapToGrid/>
          <w:color w:val="auto"/>
          <w:kern w:val="2"/>
          <w:sz w:val="28"/>
          <w:szCs w:val="28"/>
          <w:highlight w:val="none"/>
          <w:lang w:val="zh-CN" w:eastAsia="zh-CN"/>
        </w:rPr>
        <w:t>：</w:t>
      </w:r>
      <w:r>
        <w:rPr>
          <w:rFonts w:hint="default" w:ascii="Times New Roman Regular" w:hAnsi="Times New Roman Regular" w:eastAsia="宋体" w:cs="Times New Roman Regular"/>
          <w:snapToGrid/>
          <w:color w:val="auto"/>
          <w:kern w:val="2"/>
          <w:sz w:val="28"/>
          <w:szCs w:val="28"/>
          <w:highlight w:val="none"/>
          <w:lang w:val="zh-CN" w:eastAsia="zh-CN"/>
        </w:rPr>
        <w:t>统一社会信用代码：</w:t>
      </w:r>
      <w:r>
        <w:rPr>
          <w:rFonts w:hint="eastAsia" w:ascii="Times New Roman Regular" w:hAnsi="Times New Roman Regular" w:eastAsia="宋体" w:cs="Times New Roman Regular"/>
          <w:snapToGrid/>
          <w:color w:val="auto"/>
          <w:kern w:val="2"/>
          <w:sz w:val="28"/>
          <w:szCs w:val="28"/>
          <w:highlight w:val="none"/>
          <w:lang w:val="zh-CN" w:eastAsia="zh-CN"/>
        </w:rPr>
        <w:t>9121140279769458X1；</w:t>
      </w:r>
      <w:r>
        <w:rPr>
          <w:rFonts w:hint="default" w:ascii="Times New Roman Regular" w:hAnsi="Times New Roman Regular" w:eastAsia="宋体" w:cs="Times New Roman Regular"/>
          <w:snapToGrid/>
          <w:color w:val="auto"/>
          <w:kern w:val="2"/>
          <w:sz w:val="28"/>
          <w:szCs w:val="28"/>
          <w:highlight w:val="none"/>
          <w:lang w:val="zh-CN" w:eastAsia="zh-CN"/>
        </w:rPr>
        <w:t>营业期限：</w:t>
      </w:r>
      <w:r>
        <w:rPr>
          <w:rFonts w:hint="eastAsia" w:ascii="Times New Roman Regular" w:hAnsi="Times New Roman Regular" w:eastAsia="宋体" w:cs="Times New Roman Regular"/>
          <w:snapToGrid/>
          <w:color w:val="auto"/>
          <w:kern w:val="2"/>
          <w:sz w:val="28"/>
          <w:szCs w:val="28"/>
          <w:highlight w:val="none"/>
          <w:lang w:val="zh-CN" w:eastAsia="zh-CN"/>
        </w:rPr>
        <w:t>2007-04-02至2037-03-28</w:t>
      </w:r>
      <w:r>
        <w:rPr>
          <w:rFonts w:hint="default" w:ascii="Times New Roman Regular" w:hAnsi="Times New Roman Regular" w:eastAsia="宋体" w:cs="Times New Roman Regular"/>
          <w:snapToGrid/>
          <w:color w:val="auto"/>
          <w:kern w:val="2"/>
          <w:sz w:val="28"/>
          <w:szCs w:val="28"/>
          <w:highlight w:val="none"/>
          <w:lang w:val="zh-CN" w:eastAsia="zh-CN"/>
        </w:rPr>
        <w:t>；</w:t>
      </w:r>
    </w:p>
    <w:p w14:paraId="602DAEBF">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eastAsia"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安全生产许可证编号：（辽）FM安许证字</w:t>
      </w:r>
      <w:r>
        <w:rPr>
          <w:rFonts w:hint="eastAsia" w:ascii="Times New Roman Regular" w:hAnsi="Times New Roman Regular" w:eastAsia="宋体" w:cs="Times New Roman Regular"/>
          <w:snapToGrid/>
          <w:color w:val="auto"/>
          <w:kern w:val="2"/>
          <w:sz w:val="28"/>
          <w:szCs w:val="28"/>
          <w:highlight w:val="none"/>
          <w:lang w:val="zh-CN" w:eastAsia="zh-CN"/>
        </w:rPr>
        <w:t>〔2023〕</w:t>
      </w:r>
      <w:r>
        <w:rPr>
          <w:rFonts w:hint="default" w:ascii="Times New Roman Regular" w:hAnsi="Times New Roman Regular" w:eastAsia="宋体" w:cs="Times New Roman Regular"/>
          <w:snapToGrid/>
          <w:color w:val="auto"/>
          <w:kern w:val="2"/>
          <w:sz w:val="28"/>
          <w:szCs w:val="28"/>
          <w:highlight w:val="none"/>
          <w:lang w:val="zh-CN" w:eastAsia="zh-CN"/>
        </w:rPr>
        <w:t>P00</w:t>
      </w:r>
      <w:r>
        <w:rPr>
          <w:rFonts w:hint="eastAsia" w:ascii="Times New Roman Regular" w:hAnsi="Times New Roman Regular" w:eastAsia="宋体" w:cs="Times New Roman Regular"/>
          <w:snapToGrid/>
          <w:color w:val="auto"/>
          <w:kern w:val="2"/>
          <w:sz w:val="28"/>
          <w:szCs w:val="28"/>
          <w:highlight w:val="none"/>
          <w:lang w:val="zh-CN" w:eastAsia="zh-CN"/>
        </w:rPr>
        <w:t>1</w:t>
      </w:r>
      <w:r>
        <w:rPr>
          <w:rFonts w:hint="default" w:ascii="Times New Roman Regular" w:hAnsi="Times New Roman Regular" w:eastAsia="宋体" w:cs="Times New Roman Regular"/>
          <w:snapToGrid/>
          <w:color w:val="auto"/>
          <w:kern w:val="2"/>
          <w:sz w:val="28"/>
          <w:szCs w:val="28"/>
          <w:highlight w:val="none"/>
          <w:lang w:val="zh-CN" w:eastAsia="zh-CN"/>
        </w:rPr>
        <w:t>。有效期：</w:t>
      </w:r>
      <w:r>
        <w:rPr>
          <w:rFonts w:hint="eastAsia" w:ascii="Times New Roman Regular" w:hAnsi="Times New Roman Regular" w:eastAsia="宋体" w:cs="Times New Roman Regular"/>
          <w:snapToGrid/>
          <w:color w:val="auto"/>
          <w:kern w:val="2"/>
          <w:sz w:val="28"/>
          <w:szCs w:val="28"/>
          <w:highlight w:val="none"/>
          <w:lang w:val="zh-CN" w:eastAsia="zh-CN"/>
        </w:rPr>
        <w:t>2023年3月11日</w:t>
      </w:r>
      <w:r>
        <w:rPr>
          <w:rFonts w:hint="default" w:ascii="Times New Roman Regular" w:hAnsi="Times New Roman Regular" w:eastAsia="宋体" w:cs="Times New Roman Regular"/>
          <w:snapToGrid/>
          <w:color w:val="auto"/>
          <w:kern w:val="2"/>
          <w:sz w:val="28"/>
          <w:szCs w:val="28"/>
          <w:highlight w:val="none"/>
          <w:lang w:val="zh-CN" w:eastAsia="zh-CN"/>
        </w:rPr>
        <w:t>至</w:t>
      </w:r>
      <w:r>
        <w:rPr>
          <w:rFonts w:hint="eastAsia" w:ascii="Times New Roman Regular" w:hAnsi="Times New Roman Regular" w:eastAsia="宋体" w:cs="Times New Roman Regular"/>
          <w:snapToGrid/>
          <w:color w:val="auto"/>
          <w:kern w:val="2"/>
          <w:sz w:val="28"/>
          <w:szCs w:val="28"/>
          <w:highlight w:val="none"/>
          <w:lang w:val="zh-CN" w:eastAsia="zh-CN"/>
        </w:rPr>
        <w:t>2026年3月10日</w:t>
      </w:r>
      <w:r>
        <w:rPr>
          <w:rFonts w:hint="default" w:ascii="Times New Roman Regular" w:hAnsi="Times New Roman Regular" w:eastAsia="宋体" w:cs="Times New Roman Regular"/>
          <w:snapToGrid/>
          <w:color w:val="auto"/>
          <w:kern w:val="2"/>
          <w:sz w:val="28"/>
          <w:szCs w:val="28"/>
          <w:highlight w:val="none"/>
          <w:lang w:val="zh-CN" w:eastAsia="zh-CN"/>
        </w:rPr>
        <w:t>；</w:t>
      </w:r>
    </w:p>
    <w:p w14:paraId="5395B96A">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eastAsia" w:ascii="Times New Roman Regular" w:hAnsi="Times New Roman Regular" w:eastAsia="宋体" w:cs="Times New Roman Regular"/>
          <w:snapToGrid/>
          <w:color w:val="auto"/>
          <w:kern w:val="2"/>
          <w:sz w:val="28"/>
          <w:szCs w:val="28"/>
          <w:highlight w:val="none"/>
          <w:lang w:val="zh-CN" w:eastAsia="zh-CN"/>
        </w:rPr>
      </w:pPr>
      <w:r>
        <w:rPr>
          <w:rFonts w:hint="eastAsia" w:ascii="Times New Roman Regular" w:hAnsi="Times New Roman Regular" w:eastAsia="宋体" w:cs="Times New Roman Regular"/>
          <w:snapToGrid/>
          <w:color w:val="auto"/>
          <w:kern w:val="2"/>
          <w:sz w:val="28"/>
          <w:szCs w:val="28"/>
          <w:highlight w:val="none"/>
          <w:lang w:val="zh-CN" w:eastAsia="zh-CN"/>
        </w:rPr>
        <w:t>关于尾矿库安全科人员任命的通知</w:t>
      </w:r>
      <w:r>
        <w:rPr>
          <w:rFonts w:hint="default" w:ascii="Times New Roman Regular" w:hAnsi="Times New Roman Regular" w:eastAsia="宋体" w:cs="Times New Roman Regular"/>
          <w:snapToGrid/>
          <w:color w:val="auto"/>
          <w:kern w:val="2"/>
          <w:sz w:val="28"/>
          <w:szCs w:val="28"/>
          <w:highlight w:val="none"/>
          <w:lang w:val="zh-CN" w:eastAsia="zh-CN"/>
        </w:rPr>
        <w:t>；</w:t>
      </w:r>
    </w:p>
    <w:p w14:paraId="31F70428">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eastAsia"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企业主要负责人、安全管理人员、专业技术人员、特种作业人员操作资格证件、注安人员证件；</w:t>
      </w:r>
    </w:p>
    <w:p w14:paraId="6C67348A">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eastAsia"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安全生产责任制、规章制度及岗位操作规程文件及目录；</w:t>
      </w:r>
    </w:p>
    <w:p w14:paraId="4E57934F">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202</w:t>
      </w:r>
      <w:r>
        <w:rPr>
          <w:rFonts w:hint="eastAsia" w:ascii="Times New Roman Regular" w:hAnsi="Times New Roman Regular" w:eastAsia="宋体" w:cs="Times New Roman Regular"/>
          <w:snapToGrid/>
          <w:color w:val="auto"/>
          <w:kern w:val="2"/>
          <w:sz w:val="28"/>
          <w:szCs w:val="28"/>
          <w:highlight w:val="none"/>
          <w:lang w:val="zh-CN" w:eastAsia="zh-CN"/>
        </w:rPr>
        <w:t>5</w:t>
      </w:r>
      <w:r>
        <w:rPr>
          <w:rFonts w:hint="default" w:ascii="Times New Roman Regular" w:hAnsi="Times New Roman Regular" w:eastAsia="宋体" w:cs="Times New Roman Regular"/>
          <w:snapToGrid/>
          <w:color w:val="auto"/>
          <w:kern w:val="2"/>
          <w:sz w:val="28"/>
          <w:szCs w:val="28"/>
          <w:highlight w:val="none"/>
          <w:lang w:val="zh-CN" w:eastAsia="zh-CN"/>
        </w:rPr>
        <w:t>年提取安全生产费用计划和使用明细；</w:t>
      </w:r>
    </w:p>
    <w:p w14:paraId="10BB1D3C">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安全生产责任险保单；</w:t>
      </w:r>
    </w:p>
    <w:p w14:paraId="755D50F9">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事故应急预案备案登记表；</w:t>
      </w:r>
    </w:p>
    <w:p w14:paraId="17F859EB">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eastAsia" w:ascii="Times New Roman Regular" w:hAnsi="Times New Roman Regular" w:eastAsia="宋体" w:cs="Times New Roman Regular"/>
          <w:snapToGrid/>
          <w:color w:val="auto"/>
          <w:kern w:val="2"/>
          <w:sz w:val="28"/>
          <w:szCs w:val="28"/>
          <w:highlight w:val="none"/>
          <w:lang w:val="zh-CN" w:eastAsia="zh-CN"/>
        </w:rPr>
        <w:t>矿山</w:t>
      </w:r>
      <w:r>
        <w:rPr>
          <w:rFonts w:hint="default" w:ascii="Times New Roman Regular" w:hAnsi="Times New Roman Regular" w:eastAsia="宋体" w:cs="Times New Roman Regular"/>
          <w:snapToGrid/>
          <w:color w:val="auto"/>
          <w:kern w:val="2"/>
          <w:sz w:val="28"/>
          <w:szCs w:val="28"/>
          <w:highlight w:val="none"/>
          <w:lang w:val="zh-CN" w:eastAsia="zh-CN"/>
        </w:rPr>
        <w:t>救护协议；</w:t>
      </w:r>
    </w:p>
    <w:p w14:paraId="2D9E50C8">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snapToGrid/>
          <w:color w:val="auto"/>
          <w:kern w:val="2"/>
          <w:sz w:val="28"/>
          <w:szCs w:val="28"/>
          <w:highlight w:val="none"/>
          <w:lang w:val="zh-CN" w:eastAsia="zh-CN"/>
        </w:rPr>
      </w:pPr>
      <w:r>
        <w:rPr>
          <w:rFonts w:hint="default" w:ascii="Times New Roman Regular" w:hAnsi="Times New Roman Regular" w:eastAsia="宋体" w:cs="Times New Roman Regular"/>
          <w:snapToGrid/>
          <w:color w:val="auto"/>
          <w:kern w:val="2"/>
          <w:sz w:val="28"/>
          <w:szCs w:val="28"/>
          <w:highlight w:val="none"/>
          <w:lang w:val="zh-CN" w:eastAsia="zh-CN"/>
        </w:rPr>
        <w:t>尾矿库现状图纸。</w:t>
      </w:r>
      <w:bookmarkStart w:id="25" w:name="bookmark10"/>
      <w:bookmarkEnd w:id="25"/>
      <w:bookmarkStart w:id="26" w:name="_Toc24114"/>
    </w:p>
    <w:p w14:paraId="2D8DDC47">
      <w:pPr>
        <w:rPr>
          <w:rFonts w:ascii="Times New Roman" w:hAnsi="Times New Roman" w:eastAsia="宋体" w:cs="Times New Roman"/>
          <w:color w:val="auto"/>
          <w:sz w:val="28"/>
          <w:szCs w:val="28"/>
          <w:highlight w:val="none"/>
          <w:lang w:eastAsia="zh-CN"/>
        </w:rPr>
      </w:pPr>
      <w:r>
        <w:rPr>
          <w:rFonts w:ascii="Times New Roman" w:hAnsi="Times New Roman" w:eastAsia="宋体" w:cs="Times New Roman"/>
          <w:color w:val="auto"/>
          <w:sz w:val="28"/>
          <w:szCs w:val="28"/>
          <w:highlight w:val="none"/>
          <w:lang w:eastAsia="zh-CN"/>
        </w:rPr>
        <w:br w:type="page"/>
      </w:r>
    </w:p>
    <w:p w14:paraId="36485E8B">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7" w:name="_Toc1140134994"/>
      <w:r>
        <w:rPr>
          <w:rFonts w:ascii="Times New Roman Regular" w:hAnsi="Times New Roman Regular" w:eastAsia="黑体" w:cs="Times New Roman Regular"/>
          <w:snapToGrid/>
          <w:color w:val="auto"/>
          <w:kern w:val="2"/>
          <w:highlight w:val="none"/>
          <w:lang w:eastAsia="zh-CN"/>
        </w:rPr>
        <w:t>1.4 安全评价的工作程序</w:t>
      </w:r>
      <w:bookmarkEnd w:id="26"/>
      <w:bookmarkEnd w:id="27"/>
    </w:p>
    <w:p w14:paraId="115FD0AB">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宋体" w:hAnsi="宋体" w:eastAsia="宋体" w:cs="宋体"/>
          <w:color w:val="auto"/>
          <w:spacing w:val="-4"/>
          <w:sz w:val="28"/>
          <w:szCs w:val="28"/>
          <w:highlight w:val="none"/>
          <w:lang w:eastAsia="zh-CN"/>
        </w:rPr>
      </w:pPr>
      <w:r>
        <w:rPr>
          <w:rFonts w:ascii="宋体" w:hAnsi="宋体" w:eastAsia="宋体" w:cs="宋体"/>
          <w:color w:val="auto"/>
          <w:spacing w:val="2"/>
          <w:sz w:val="28"/>
          <w:szCs w:val="28"/>
          <w:highlight w:val="none"/>
          <w:lang w:eastAsia="zh-CN"/>
        </w:rPr>
        <w:t>本次安全评价的程序主要包括：前期准备；危险、有害因素辨识</w:t>
      </w:r>
      <w:r>
        <w:rPr>
          <w:rFonts w:ascii="宋体" w:hAnsi="宋体" w:eastAsia="宋体" w:cs="宋体"/>
          <w:color w:val="auto"/>
          <w:spacing w:val="1"/>
          <w:sz w:val="28"/>
          <w:szCs w:val="28"/>
          <w:highlight w:val="none"/>
          <w:lang w:eastAsia="zh-CN"/>
        </w:rPr>
        <w:t>与分</w:t>
      </w:r>
      <w:r>
        <w:rPr>
          <w:rFonts w:ascii="宋体" w:hAnsi="宋体" w:eastAsia="宋体" w:cs="宋体"/>
          <w:color w:val="auto"/>
          <w:spacing w:val="2"/>
          <w:sz w:val="28"/>
          <w:szCs w:val="28"/>
          <w:highlight w:val="none"/>
          <w:lang w:eastAsia="zh-CN"/>
        </w:rPr>
        <w:t>析；划分评价单元；选择评价方法；进行定性、定量评价；提出</w:t>
      </w:r>
      <w:r>
        <w:rPr>
          <w:rFonts w:ascii="宋体" w:hAnsi="宋体" w:eastAsia="宋体" w:cs="宋体"/>
          <w:color w:val="auto"/>
          <w:spacing w:val="1"/>
          <w:sz w:val="28"/>
          <w:szCs w:val="28"/>
          <w:highlight w:val="none"/>
          <w:lang w:eastAsia="zh-CN"/>
        </w:rPr>
        <w:t>相应安全</w:t>
      </w:r>
      <w:r>
        <w:rPr>
          <w:rFonts w:ascii="宋体" w:hAnsi="宋体" w:eastAsia="宋体" w:cs="宋体"/>
          <w:color w:val="auto"/>
          <w:spacing w:val="2"/>
          <w:sz w:val="28"/>
          <w:szCs w:val="28"/>
          <w:highlight w:val="none"/>
          <w:lang w:eastAsia="zh-CN"/>
        </w:rPr>
        <w:t>对策措施及建议；确定评价结论；编制安全现状评价报告。具体</w:t>
      </w:r>
      <w:r>
        <w:rPr>
          <w:rFonts w:ascii="宋体" w:hAnsi="宋体" w:eastAsia="宋体" w:cs="宋体"/>
          <w:color w:val="auto"/>
          <w:spacing w:val="1"/>
          <w:sz w:val="28"/>
          <w:szCs w:val="28"/>
          <w:highlight w:val="none"/>
          <w:lang w:eastAsia="zh-CN"/>
        </w:rPr>
        <w:t>的安全现</w:t>
      </w:r>
      <w:r>
        <w:rPr>
          <w:rFonts w:ascii="宋体" w:hAnsi="宋体" w:eastAsia="宋体" w:cs="宋体"/>
          <w:color w:val="auto"/>
          <w:spacing w:val="-4"/>
          <w:sz w:val="28"/>
          <w:szCs w:val="28"/>
          <w:highlight w:val="none"/>
          <w:lang w:eastAsia="zh-CN"/>
        </w:rPr>
        <w:t>状评价工作程序如图</w:t>
      </w:r>
      <w:r>
        <w:rPr>
          <w:rFonts w:ascii="Times New Roman" w:hAnsi="Times New Roman" w:eastAsia="Times New Roman" w:cs="Times New Roman"/>
          <w:color w:val="auto"/>
          <w:spacing w:val="-4"/>
          <w:sz w:val="28"/>
          <w:szCs w:val="28"/>
          <w:highlight w:val="none"/>
          <w:lang w:eastAsia="zh-CN"/>
        </w:rPr>
        <w:t>1.4-1</w:t>
      </w:r>
      <w:r>
        <w:rPr>
          <w:rFonts w:ascii="宋体" w:hAnsi="宋体" w:eastAsia="宋体" w:cs="宋体"/>
          <w:color w:val="auto"/>
          <w:spacing w:val="-4"/>
          <w:sz w:val="28"/>
          <w:szCs w:val="28"/>
          <w:highlight w:val="none"/>
          <w:lang w:eastAsia="zh-CN"/>
        </w:rPr>
        <w:t>所示：</w:t>
      </w:r>
    </w:p>
    <w:p w14:paraId="23D4DF41">
      <w:pPr>
        <w:bidi w:val="0"/>
        <w:rPr>
          <w:rFonts w:hint="eastAsia"/>
          <w:color w:val="auto"/>
          <w:highlight w:val="none"/>
          <w:lang w:eastAsia="zh-CN"/>
        </w:rPr>
      </w:pPr>
      <w:r>
        <w:rPr>
          <w:color w:val="auto"/>
          <w:highlight w:val="none"/>
        </w:rPr>
        <mc:AlternateContent>
          <mc:Choice Requires="wpg">
            <w:drawing>
              <wp:anchor distT="0" distB="0" distL="114300" distR="114300" simplePos="0" relativeHeight="251660288" behindDoc="0" locked="0" layoutInCell="1" allowOverlap="1">
                <wp:simplePos x="0" y="0"/>
                <wp:positionH relativeFrom="column">
                  <wp:posOffset>1252220</wp:posOffset>
                </wp:positionH>
                <wp:positionV relativeFrom="paragraph">
                  <wp:posOffset>0</wp:posOffset>
                </wp:positionV>
                <wp:extent cx="2769870" cy="4744085"/>
                <wp:effectExtent l="0" t="0" r="0" b="0"/>
                <wp:wrapTopAndBottom/>
                <wp:docPr id="8" name="组合 27"/>
                <wp:cNvGraphicFramePr/>
                <a:graphic xmlns:a="http://schemas.openxmlformats.org/drawingml/2006/main">
                  <a:graphicData uri="http://schemas.microsoft.com/office/word/2010/wordprocessingGroup">
                    <wpg:wgp>
                      <wpg:cNvGrpSpPr/>
                      <wpg:grpSpPr>
                        <a:xfrm>
                          <a:off x="0" y="0"/>
                          <a:ext cx="2769870" cy="4744085"/>
                          <a:chOff x="4962" y="156158"/>
                          <a:chExt cx="3260" cy="6302"/>
                        </a:xfrm>
                        <a:effectLst/>
                      </wpg:grpSpPr>
                      <wps:wsp>
                        <wps:cNvPr id="3" name="矩形 2"/>
                        <wps:cNvSpPr/>
                        <wps:spPr>
                          <a:xfrm>
                            <a:off x="4962" y="156158"/>
                            <a:ext cx="3241" cy="4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4A6520">
                              <w:pPr>
                                <w:jc w:val="center"/>
                                <w:rPr>
                                  <w:rFonts w:ascii="宋体" w:hAnsi="宋体"/>
                                </w:rPr>
                              </w:pPr>
                              <w:r>
                                <w:rPr>
                                  <w:rFonts w:hint="eastAsia" w:ascii="宋体" w:hAnsi="宋体"/>
                                </w:rPr>
                                <w:t>前期准备</w:t>
                              </w:r>
                            </w:p>
                          </w:txbxContent>
                        </wps:txbx>
                        <wps:bodyPr wrap="square" anchor="t" anchorCtr="0" upright="1"/>
                      </wps:wsp>
                      <wps:wsp>
                        <wps:cNvPr id="5" name="矩形 3"/>
                        <wps:cNvSpPr/>
                        <wps:spPr>
                          <a:xfrm>
                            <a:off x="4972" y="156971"/>
                            <a:ext cx="3241"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2448AC7">
                              <w:pPr>
                                <w:jc w:val="center"/>
                                <w:rPr>
                                  <w:rFonts w:ascii="宋体" w:hAnsi="宋体"/>
                                  <w:lang w:eastAsia="zh-CN"/>
                                </w:rPr>
                              </w:pPr>
                              <w:r>
                                <w:rPr>
                                  <w:rFonts w:hint="eastAsia" w:ascii="宋体" w:hAnsi="宋体"/>
                                  <w:lang w:eastAsia="zh-CN"/>
                                </w:rPr>
                                <w:t>辨识与分析危险、有害因素</w:t>
                              </w:r>
                            </w:p>
                          </w:txbxContent>
                        </wps:txbx>
                        <wps:bodyPr wrap="square" anchor="t" anchorCtr="0" upright="1"/>
                      </wps:wsp>
                      <wps:wsp>
                        <wps:cNvPr id="7" name="矩形 4"/>
                        <wps:cNvSpPr/>
                        <wps:spPr>
                          <a:xfrm>
                            <a:off x="4972" y="157833"/>
                            <a:ext cx="3241" cy="45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8762CE3">
                              <w:pPr>
                                <w:jc w:val="center"/>
                                <w:rPr>
                                  <w:rFonts w:ascii="宋体" w:hAnsi="宋体"/>
                                </w:rPr>
                              </w:pPr>
                              <w:r>
                                <w:rPr>
                                  <w:rFonts w:hint="eastAsia" w:ascii="宋体" w:hAnsi="宋体"/>
                                </w:rPr>
                                <w:t>划分评价单元</w:t>
                              </w:r>
                            </w:p>
                          </w:txbxContent>
                        </wps:txbx>
                        <wps:bodyPr wrap="square" anchor="t" anchorCtr="0" upright="1"/>
                      </wps:wsp>
                      <wps:wsp>
                        <wps:cNvPr id="9" name="矩形 5"/>
                        <wps:cNvSpPr/>
                        <wps:spPr>
                          <a:xfrm>
                            <a:off x="4982" y="158658"/>
                            <a:ext cx="3241" cy="4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221F004">
                              <w:pPr>
                                <w:jc w:val="center"/>
                                <w:rPr>
                                  <w:rFonts w:ascii="宋体" w:hAnsi="宋体"/>
                                </w:rPr>
                              </w:pPr>
                              <w:r>
                                <w:rPr>
                                  <w:rFonts w:hint="eastAsia" w:ascii="宋体" w:hAnsi="宋体"/>
                                </w:rPr>
                                <w:t>选择评价方法</w:t>
                              </w:r>
                            </w:p>
                          </w:txbxContent>
                        </wps:txbx>
                        <wps:bodyPr wrap="square" anchor="t" anchorCtr="0" upright="1"/>
                      </wps:wsp>
                      <wps:wsp>
                        <wps:cNvPr id="10" name="矩形 6"/>
                        <wps:cNvSpPr/>
                        <wps:spPr>
                          <a:xfrm>
                            <a:off x="4982" y="159487"/>
                            <a:ext cx="3241" cy="42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EB110A">
                              <w:pPr>
                                <w:jc w:val="center"/>
                              </w:pPr>
                              <w:r>
                                <w:rPr>
                                  <w:rFonts w:hint="eastAsia"/>
                                </w:rPr>
                                <w:t>定性、定量评价</w:t>
                              </w:r>
                            </w:p>
                          </w:txbxContent>
                        </wps:txbx>
                        <wps:bodyPr wrap="square" anchor="t" anchorCtr="0" upright="1"/>
                      </wps:wsp>
                      <wps:wsp>
                        <wps:cNvPr id="11" name="矩形 7"/>
                        <wps:cNvSpPr/>
                        <wps:spPr>
                          <a:xfrm>
                            <a:off x="4977" y="160301"/>
                            <a:ext cx="3241" cy="47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3F612A0">
                              <w:pPr>
                                <w:jc w:val="center"/>
                                <w:rPr>
                                  <w:rFonts w:ascii="宋体" w:hAnsi="宋体"/>
                                  <w:lang w:eastAsia="zh-CN"/>
                                </w:rPr>
                              </w:pPr>
                              <w:r>
                                <w:rPr>
                                  <w:rFonts w:hint="eastAsia" w:ascii="宋体" w:hAnsi="宋体"/>
                                  <w:lang w:eastAsia="zh-CN"/>
                                </w:rPr>
                                <w:t>提出安全对策措施及建议</w:t>
                              </w:r>
                            </w:p>
                            <w:p w14:paraId="22357259">
                              <w:pPr>
                                <w:rPr>
                                  <w:lang w:eastAsia="zh-CN"/>
                                </w:rPr>
                              </w:pPr>
                            </w:p>
                          </w:txbxContent>
                        </wps:txbx>
                        <wps:bodyPr wrap="square" anchor="t" anchorCtr="0" upright="1"/>
                      </wps:wsp>
                      <wps:wsp>
                        <wps:cNvPr id="13" name="矩形 8"/>
                        <wps:cNvSpPr/>
                        <wps:spPr>
                          <a:xfrm>
                            <a:off x="4982" y="161161"/>
                            <a:ext cx="3241" cy="441"/>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1343112">
                              <w:pPr>
                                <w:jc w:val="center"/>
                                <w:rPr>
                                  <w:rFonts w:ascii="宋体" w:hAnsi="宋体"/>
                                </w:rPr>
                              </w:pPr>
                              <w:r>
                                <w:rPr>
                                  <w:rFonts w:hint="eastAsia" w:ascii="宋体" w:hAnsi="宋体"/>
                                </w:rPr>
                                <w:t>做出评价结论</w:t>
                              </w:r>
                            </w:p>
                            <w:p w14:paraId="3A4B40A7"/>
                          </w:txbxContent>
                        </wps:txbx>
                        <wps:bodyPr wrap="square" anchor="t" anchorCtr="0" upright="1"/>
                      </wps:wsp>
                      <wps:wsp>
                        <wps:cNvPr id="15" name="矩形 10"/>
                        <wps:cNvSpPr/>
                        <wps:spPr>
                          <a:xfrm>
                            <a:off x="4992" y="161998"/>
                            <a:ext cx="3196" cy="463"/>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994D71E">
                              <w:pPr>
                                <w:jc w:val="center"/>
                              </w:pPr>
                              <w:r>
                                <w:rPr>
                                  <w:rFonts w:hint="eastAsia"/>
                                </w:rPr>
                                <w:t>编制安全现状评价报告</w:t>
                              </w:r>
                            </w:p>
                          </w:txbxContent>
                        </wps:txbx>
                        <wps:bodyPr wrap="square" anchor="t" anchorCtr="0" upright="1"/>
                      </wps:wsp>
                      <wps:wsp>
                        <wps:cNvPr id="19" name="直接连接符 12"/>
                        <wps:cNvCnPr/>
                        <wps:spPr>
                          <a:xfrm flipH="1">
                            <a:off x="6602" y="156608"/>
                            <a:ext cx="9" cy="370"/>
                          </a:xfrm>
                          <a:prstGeom prst="line">
                            <a:avLst/>
                          </a:prstGeom>
                          <a:ln w="9525" cap="flat" cmpd="sng">
                            <a:solidFill>
                              <a:srgbClr val="000000"/>
                            </a:solidFill>
                            <a:prstDash val="solid"/>
                            <a:headEnd type="none" w="med" len="med"/>
                            <a:tailEnd type="triangle" w="med" len="med"/>
                          </a:ln>
                          <a:effectLst/>
                        </wps:spPr>
                        <wps:bodyPr/>
                      </wps:wsp>
                      <wps:wsp>
                        <wps:cNvPr id="16" name="直接连接符 19"/>
                        <wps:cNvCnPr/>
                        <wps:spPr>
                          <a:xfrm flipH="1">
                            <a:off x="6602" y="157450"/>
                            <a:ext cx="9" cy="370"/>
                          </a:xfrm>
                          <a:prstGeom prst="line">
                            <a:avLst/>
                          </a:prstGeom>
                          <a:ln w="9525" cap="flat" cmpd="sng">
                            <a:solidFill>
                              <a:srgbClr val="000000"/>
                            </a:solidFill>
                            <a:prstDash val="solid"/>
                            <a:headEnd type="none" w="med" len="med"/>
                            <a:tailEnd type="triangle" w="med" len="med"/>
                          </a:ln>
                          <a:effectLst/>
                        </wps:spPr>
                        <wps:bodyPr/>
                      </wps:wsp>
                      <wps:wsp>
                        <wps:cNvPr id="21" name="直接连接符 20"/>
                        <wps:cNvCnPr/>
                        <wps:spPr>
                          <a:xfrm flipH="1">
                            <a:off x="6602" y="158290"/>
                            <a:ext cx="9" cy="370"/>
                          </a:xfrm>
                          <a:prstGeom prst="line">
                            <a:avLst/>
                          </a:prstGeom>
                          <a:ln w="9525" cap="flat" cmpd="sng">
                            <a:solidFill>
                              <a:srgbClr val="000000"/>
                            </a:solidFill>
                            <a:prstDash val="solid"/>
                            <a:headEnd type="none" w="med" len="med"/>
                            <a:tailEnd type="triangle" w="med" len="med"/>
                          </a:ln>
                          <a:effectLst/>
                        </wps:spPr>
                        <wps:bodyPr/>
                      </wps:wsp>
                      <wps:wsp>
                        <wps:cNvPr id="17" name="直接连接符 21"/>
                        <wps:cNvCnPr/>
                        <wps:spPr>
                          <a:xfrm flipH="1">
                            <a:off x="6632" y="159130"/>
                            <a:ext cx="9" cy="370"/>
                          </a:xfrm>
                          <a:prstGeom prst="line">
                            <a:avLst/>
                          </a:prstGeom>
                          <a:ln w="9525" cap="flat" cmpd="sng">
                            <a:solidFill>
                              <a:srgbClr val="000000"/>
                            </a:solidFill>
                            <a:prstDash val="solid"/>
                            <a:headEnd type="none" w="med" len="med"/>
                            <a:tailEnd type="triangle" w="med" len="med"/>
                          </a:ln>
                          <a:effectLst/>
                        </wps:spPr>
                        <wps:bodyPr/>
                      </wps:wsp>
                      <wps:wsp>
                        <wps:cNvPr id="23" name="直接连接符 22"/>
                        <wps:cNvCnPr/>
                        <wps:spPr>
                          <a:xfrm flipH="1">
                            <a:off x="6632" y="159930"/>
                            <a:ext cx="9" cy="370"/>
                          </a:xfrm>
                          <a:prstGeom prst="line">
                            <a:avLst/>
                          </a:prstGeom>
                          <a:ln w="9525" cap="flat" cmpd="sng">
                            <a:solidFill>
                              <a:srgbClr val="000000"/>
                            </a:solidFill>
                            <a:prstDash val="solid"/>
                            <a:headEnd type="none" w="med" len="med"/>
                            <a:tailEnd type="triangle" w="med" len="med"/>
                          </a:ln>
                          <a:effectLst/>
                        </wps:spPr>
                        <wps:bodyPr/>
                      </wps:wsp>
                      <wps:wsp>
                        <wps:cNvPr id="25" name="直接连接符 23"/>
                        <wps:cNvCnPr/>
                        <wps:spPr>
                          <a:xfrm flipH="1">
                            <a:off x="6632" y="160780"/>
                            <a:ext cx="9" cy="370"/>
                          </a:xfrm>
                          <a:prstGeom prst="line">
                            <a:avLst/>
                          </a:prstGeom>
                          <a:ln w="9525" cap="flat" cmpd="sng">
                            <a:solidFill>
                              <a:srgbClr val="000000"/>
                            </a:solidFill>
                            <a:prstDash val="solid"/>
                            <a:headEnd type="none" w="med" len="med"/>
                            <a:tailEnd type="triangle" w="med" len="med"/>
                          </a:ln>
                          <a:effectLst/>
                        </wps:spPr>
                        <wps:bodyPr/>
                      </wps:wsp>
                      <wps:wsp>
                        <wps:cNvPr id="27" name="直接连接符 25"/>
                        <wps:cNvCnPr/>
                        <wps:spPr>
                          <a:xfrm flipH="1">
                            <a:off x="6642" y="161630"/>
                            <a:ext cx="9" cy="370"/>
                          </a:xfrm>
                          <a:prstGeom prst="line">
                            <a:avLst/>
                          </a:prstGeom>
                          <a:ln w="9525" cap="flat" cmpd="sng">
                            <a:solidFill>
                              <a:srgbClr val="000000"/>
                            </a:solidFill>
                            <a:prstDash val="solid"/>
                            <a:headEnd type="none" w="med" len="med"/>
                            <a:tailEnd type="triangle" w="med" len="med"/>
                          </a:ln>
                          <a:effectLst/>
                        </wps:spPr>
                        <wps:bodyPr/>
                      </wps:wsp>
                    </wpg:wgp>
                  </a:graphicData>
                </a:graphic>
              </wp:anchor>
            </w:drawing>
          </mc:Choice>
          <mc:Fallback>
            <w:pict>
              <v:group id="组合 27" o:spid="_x0000_s1026" o:spt="203" style="position:absolute;left:0pt;margin-left:98.6pt;margin-top:0pt;height:373.55pt;width:218.1pt;mso-wrap-distance-bottom:0pt;mso-wrap-distance-top:0pt;z-index:251660288;mso-width-relative:page;mso-height-relative:page;" coordorigin="4962,156158" coordsize="3260,6302" o:gfxdata="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">
                <o:lock v:ext="edit" aspectratio="f"/>
                <v:rect id="矩形 2" o:spid="_x0000_s1026" o:spt="1" style="position:absolute;left:4962;top:156158;height:435;width:3241;"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74A6520">
                        <w:pPr>
                          <w:jc w:val="center"/>
                          <w:rPr>
                            <w:rFonts w:ascii="宋体" w:hAnsi="宋体"/>
                          </w:rPr>
                        </w:pPr>
                        <w:r>
                          <w:rPr>
                            <w:rFonts w:hint="eastAsia" w:ascii="宋体" w:hAnsi="宋体"/>
                          </w:rPr>
                          <w:t>前期准备</w:t>
                        </w:r>
                      </w:p>
                    </w:txbxContent>
                  </v:textbox>
                </v:rect>
                <v:rect id="矩形 3" o:spid="_x0000_s1026" o:spt="1" style="position:absolute;left:4972;top:156971;height:495;width:3241;" fillcolor="#FFFFFF" filled="t" stroked="t" coordsize="21600,21600" o:gfxdata="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W5pK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2448AC7">
                        <w:pPr>
                          <w:jc w:val="center"/>
                          <w:rPr>
                            <w:rFonts w:ascii="宋体" w:hAnsi="宋体"/>
                            <w:lang w:eastAsia="zh-CN"/>
                          </w:rPr>
                        </w:pPr>
                        <w:r>
                          <w:rPr>
                            <w:rFonts w:hint="eastAsia" w:ascii="宋体" w:hAnsi="宋体"/>
                            <w:lang w:eastAsia="zh-CN"/>
                          </w:rPr>
                          <w:t>辨识与分析危险、有害因素</w:t>
                        </w:r>
                      </w:p>
                    </w:txbxContent>
                  </v:textbox>
                </v:rect>
                <v:rect id="矩形 4" o:spid="_x0000_s1026" o:spt="1" style="position:absolute;left:4972;top:157833;height:459;width:3241;" fillcolor="#FFFFFF" filled="t" stroked="t" coordsize="21600,21600" o:gfxdata="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xaGm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8762CE3">
                        <w:pPr>
                          <w:jc w:val="center"/>
                          <w:rPr>
                            <w:rFonts w:ascii="宋体" w:hAnsi="宋体"/>
                          </w:rPr>
                        </w:pPr>
                        <w:r>
                          <w:rPr>
                            <w:rFonts w:hint="eastAsia" w:ascii="宋体" w:hAnsi="宋体"/>
                          </w:rPr>
                          <w:t>划分评价单元</w:t>
                        </w:r>
                      </w:p>
                    </w:txbxContent>
                  </v:textbox>
                </v:rect>
                <v:rect id="矩形 5" o:spid="_x0000_s1026" o:spt="1" style="position:absolute;left:4982;top:158658;height:450;width:3241;"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221F004">
                        <w:pPr>
                          <w:jc w:val="center"/>
                          <w:rPr>
                            <w:rFonts w:ascii="宋体" w:hAnsi="宋体"/>
                          </w:rPr>
                        </w:pPr>
                        <w:r>
                          <w:rPr>
                            <w:rFonts w:hint="eastAsia" w:ascii="宋体" w:hAnsi="宋体"/>
                          </w:rPr>
                          <w:t>选择评价方法</w:t>
                        </w:r>
                      </w:p>
                    </w:txbxContent>
                  </v:textbox>
                </v:rect>
                <v:rect id="矩形 6" o:spid="_x0000_s1026" o:spt="1" style="position:absolute;left:4982;top:159487;height:429;width:3241;" fillcolor="#FFFFFF" filled="t" stroked="t" coordsize="21600,21600" o:gfxdata="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cHpG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7EB110A">
                        <w:pPr>
                          <w:jc w:val="center"/>
                        </w:pPr>
                        <w:r>
                          <w:rPr>
                            <w:rFonts w:hint="eastAsia"/>
                          </w:rPr>
                          <w:t>定性、定量评价</w:t>
                        </w:r>
                      </w:p>
                    </w:txbxContent>
                  </v:textbox>
                </v:rect>
                <v:rect id="矩形 7" o:spid="_x0000_s1026" o:spt="1" style="position:absolute;left:4977;top:160301;height:477;width:3241;"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3F612A0">
                        <w:pPr>
                          <w:jc w:val="center"/>
                          <w:rPr>
                            <w:rFonts w:ascii="宋体" w:hAnsi="宋体"/>
                            <w:lang w:eastAsia="zh-CN"/>
                          </w:rPr>
                        </w:pPr>
                        <w:r>
                          <w:rPr>
                            <w:rFonts w:hint="eastAsia" w:ascii="宋体" w:hAnsi="宋体"/>
                            <w:lang w:eastAsia="zh-CN"/>
                          </w:rPr>
                          <w:t>提出安全对策措施及建议</w:t>
                        </w:r>
                      </w:p>
                      <w:p w14:paraId="22357259">
                        <w:pPr>
                          <w:rPr>
                            <w:lang w:eastAsia="zh-CN"/>
                          </w:rPr>
                        </w:pPr>
                      </w:p>
                    </w:txbxContent>
                  </v:textbox>
                </v:rect>
                <v:rect id="矩形 8" o:spid="_x0000_s1026" o:spt="1" style="position:absolute;left:4982;top:161161;height:441;width:3241;" fillcolor="#FFFFFF" filled="t" stroked="t" coordsize="21600,21600" o:gfxdata="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ToDm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1343112">
                        <w:pPr>
                          <w:jc w:val="center"/>
                          <w:rPr>
                            <w:rFonts w:ascii="宋体" w:hAnsi="宋体"/>
                          </w:rPr>
                        </w:pPr>
                        <w:r>
                          <w:rPr>
                            <w:rFonts w:hint="eastAsia" w:ascii="宋体" w:hAnsi="宋体"/>
                          </w:rPr>
                          <w:t>做出评价结论</w:t>
                        </w:r>
                      </w:p>
                      <w:p w14:paraId="3A4B40A7"/>
                    </w:txbxContent>
                  </v:textbox>
                </v:rect>
                <v:rect id="矩形 10" o:spid="_x0000_s1026" o:spt="1" style="position:absolute;left:4992;top:161998;height:463;width:3196;" fillcolor="#FFFFFF" filled="t" stroked="t" coordsize="21600,21600" o:gfxdata="UEsDBAoAAAAAAIdO4kAAAAAAAAAAAAAAAAAEAAAAZHJzL1BLAwQUAAAACACHTuJAleu9CboAAADb&#10;AAAADwAAAGRycy9kb3ducmV2LnhtbEVPPW/CMBDdK/EfrENiKzZURR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670J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994D71E">
                        <w:pPr>
                          <w:jc w:val="center"/>
                        </w:pPr>
                        <w:r>
                          <w:rPr>
                            <w:rFonts w:hint="eastAsia"/>
                          </w:rPr>
                          <w:t>编制安全现状评价报告</w:t>
                        </w:r>
                      </w:p>
                    </w:txbxContent>
                  </v:textbox>
                </v:rect>
                <v:line id="直接连接符 12" o:spid="_x0000_s1026" o:spt="20" style="position:absolute;left:6602;top:156608;flip:x;height:370;width:9;" filled="f" stroked="t" coordsize="21600,21600" o:gfxdata="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JIc+q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19" o:spid="_x0000_s1026" o:spt="20" style="position:absolute;left:6602;top:157450;flip:x;height:370;width:9;" filled="f" stroked="t" coordsize="21600,21600" o:gfxdata="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X55i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20" o:spid="_x0000_s1026" o:spt="20" style="position:absolute;left:6602;top:158290;flip:x;height:370;width:9;" filled="f" stroked="t" coordsize="21600,21600" o:gfxdata="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K1U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21" o:spid="_x0000_s1026" o:spt="20" style="position:absolute;left:6632;top:159130;flip:x;height:370;width:9;" filled="f" stroked="t" coordsize="21600,21600" o:gfxdata="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bQgO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22" o:spid="_x0000_s1026" o:spt="20" style="position:absolute;left:6632;top:159930;flip:x;height:370;width:9;" filled="f" stroked="t" coordsize="21600,21600" o:gfxdata="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3Mjr2/&#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23" o:spid="_x0000_s1026" o:spt="20" style="position:absolute;left:6632;top:160780;flip:x;height:370;width:9;" filled="f" stroked="t" coordsize="21600,21600" o:gfxdata="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WmzU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25" o:spid="_x0000_s1026" o:spt="20" style="position:absolute;left:6642;top:161630;flip:x;height:370;width:9;" filled="f" stroked="t" coordsize="21600,21600" o:gfxdata="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3iL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w10:wrap type="topAndBottom"/>
              </v:group>
            </w:pict>
          </mc:Fallback>
        </mc:AlternateContent>
      </w:r>
    </w:p>
    <w:p w14:paraId="38857DC1">
      <w:pPr>
        <w:spacing w:line="400" w:lineRule="exact"/>
        <w:jc w:val="center"/>
        <w:rPr>
          <w:rFonts w:hint="eastAsia" w:ascii="黑体" w:hAnsi="黑体" w:eastAsia="黑体" w:cs="黑体"/>
          <w:bCs/>
          <w:color w:val="auto"/>
          <w:sz w:val="24"/>
          <w:highlight w:val="none"/>
          <w:lang w:val="zh-CN" w:eastAsia="zh-CN"/>
        </w:rPr>
      </w:pPr>
      <w:r>
        <w:rPr>
          <w:rFonts w:ascii="黑体" w:hAnsi="黑体" w:eastAsia="黑体" w:cs="黑体"/>
          <w:bCs/>
          <w:color w:val="auto"/>
          <w:sz w:val="24"/>
          <w:highlight w:val="none"/>
          <w:lang w:val="zh-CN" w:eastAsia="zh-CN"/>
        </w:rPr>
        <w:t xml:space="preserve">图1.4-1 </w:t>
      </w:r>
      <w:r>
        <w:rPr>
          <w:rFonts w:hint="eastAsia" w:ascii="黑体" w:hAnsi="黑体" w:eastAsia="黑体" w:cs="黑体"/>
          <w:bCs/>
          <w:color w:val="auto"/>
          <w:sz w:val="24"/>
          <w:highlight w:val="none"/>
          <w:lang w:eastAsia="zh-CN"/>
        </w:rPr>
        <w:t xml:space="preserve"> </w:t>
      </w:r>
      <w:r>
        <w:rPr>
          <w:rFonts w:ascii="黑体" w:hAnsi="黑体" w:eastAsia="黑体" w:cs="黑体"/>
          <w:bCs/>
          <w:color w:val="auto"/>
          <w:sz w:val="24"/>
          <w:highlight w:val="none"/>
          <w:lang w:val="zh-CN" w:eastAsia="zh-CN"/>
        </w:rPr>
        <w:t>安全现状评价工作程序</w:t>
      </w:r>
    </w:p>
    <w:p w14:paraId="74363757">
      <w:pPr>
        <w:rPr>
          <w:rFonts w:ascii="Times New Roman" w:hAnsi="Times New Roman" w:eastAsia="Times New Roman" w:cs="Times New Roman"/>
          <w:b/>
          <w:bCs/>
          <w:color w:val="auto"/>
          <w:spacing w:val="3"/>
          <w:sz w:val="31"/>
          <w:szCs w:val="31"/>
          <w:highlight w:val="none"/>
          <w:lang w:eastAsia="zh-CN"/>
        </w:rPr>
      </w:pPr>
      <w:bookmarkStart w:id="28" w:name="bookmark12"/>
      <w:bookmarkEnd w:id="28"/>
      <w:bookmarkStart w:id="29" w:name="_Toc3283"/>
      <w:r>
        <w:rPr>
          <w:rFonts w:ascii="Times New Roman" w:hAnsi="Times New Roman" w:eastAsia="Times New Roman" w:cs="Times New Roman"/>
          <w:b/>
          <w:bCs/>
          <w:color w:val="auto"/>
          <w:spacing w:val="3"/>
          <w:sz w:val="31"/>
          <w:szCs w:val="31"/>
          <w:highlight w:val="none"/>
          <w:lang w:eastAsia="zh-CN"/>
        </w:rPr>
        <w:br w:type="page"/>
      </w:r>
    </w:p>
    <w:p w14:paraId="5EF609D4">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30" w:name="_Toc252261977"/>
      <w:r>
        <w:rPr>
          <w:rFonts w:ascii="Times New Roman Regular" w:hAnsi="Times New Roman Regular" w:eastAsia="黑体" w:cs="Times New Roman Regular"/>
          <w:b/>
          <w:bCs/>
          <w:snapToGrid/>
          <w:color w:val="auto"/>
          <w:kern w:val="44"/>
          <w:sz w:val="32"/>
          <w:szCs w:val="44"/>
          <w:highlight w:val="none"/>
          <w:lang w:eastAsia="zh-CN"/>
        </w:rPr>
        <w:t>2 项目概况</w:t>
      </w:r>
      <w:bookmarkEnd w:id="29"/>
      <w:bookmarkEnd w:id="30"/>
    </w:p>
    <w:p w14:paraId="1FE3E25C">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31" w:name="bookmark14"/>
      <w:bookmarkEnd w:id="31"/>
      <w:bookmarkStart w:id="32" w:name="_Toc11393"/>
      <w:bookmarkStart w:id="33" w:name="_Toc634328261"/>
      <w:r>
        <w:rPr>
          <w:rFonts w:ascii="Times New Roman Regular" w:hAnsi="Times New Roman Regular" w:eastAsia="黑体" w:cs="Times New Roman Regular"/>
          <w:snapToGrid/>
          <w:color w:val="auto"/>
          <w:kern w:val="2"/>
          <w:highlight w:val="none"/>
          <w:lang w:eastAsia="zh-CN"/>
        </w:rPr>
        <w:t>2.1 企业概况</w:t>
      </w:r>
      <w:bookmarkEnd w:id="32"/>
      <w:bookmarkEnd w:id="33"/>
    </w:p>
    <w:p w14:paraId="046F9CD2">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34" w:name="_Toc14099"/>
      <w:bookmarkStart w:id="35" w:name="_Toc26252"/>
      <w:bookmarkStart w:id="36" w:name="_Toc19506"/>
      <w:r>
        <w:rPr>
          <w:rFonts w:ascii="Times New Roman" w:hAnsi="Times New Roman" w:eastAsia="Times New Roman" w:cs="Times New Roman"/>
          <w:bCs/>
          <w:color w:val="auto"/>
          <w:spacing w:val="-3"/>
          <w:sz w:val="28"/>
          <w:szCs w:val="28"/>
          <w:highlight w:val="none"/>
          <w:lang w:eastAsia="zh-CN"/>
        </w:rPr>
        <w:t xml:space="preserve">2.1.1 </w:t>
      </w:r>
      <w:r>
        <w:rPr>
          <w:rFonts w:ascii="宋体" w:hAnsi="宋体" w:eastAsia="宋体" w:cs="宋体"/>
          <w:bCs/>
          <w:color w:val="auto"/>
          <w:spacing w:val="-3"/>
          <w:sz w:val="28"/>
          <w:szCs w:val="28"/>
          <w:highlight w:val="none"/>
          <w:lang w:eastAsia="zh-CN"/>
        </w:rPr>
        <w:t>企业简介</w:t>
      </w:r>
      <w:bookmarkEnd w:id="34"/>
      <w:bookmarkEnd w:id="35"/>
      <w:bookmarkEnd w:id="36"/>
    </w:p>
    <w:p w14:paraId="6E38F0E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sz w:val="28"/>
          <w:szCs w:val="28"/>
          <w:highlight w:val="none"/>
          <w:lang w:eastAsia="zh-CN"/>
        </w:rPr>
      </w:pPr>
    </w:p>
    <w:p w14:paraId="342BA52D">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37" w:name="_Toc11423"/>
      <w:bookmarkStart w:id="38" w:name="_Toc13318"/>
      <w:bookmarkStart w:id="39" w:name="_Toc9232"/>
      <w:r>
        <w:rPr>
          <w:rFonts w:ascii="Times New Roman" w:hAnsi="Times New Roman" w:eastAsia="Times New Roman" w:cs="Times New Roman"/>
          <w:bCs/>
          <w:color w:val="auto"/>
          <w:spacing w:val="-3"/>
          <w:sz w:val="28"/>
          <w:szCs w:val="28"/>
          <w:highlight w:val="none"/>
          <w:lang w:eastAsia="zh-CN"/>
        </w:rPr>
        <w:t xml:space="preserve">2.1.2 </w:t>
      </w:r>
      <w:r>
        <w:rPr>
          <w:rFonts w:ascii="宋体" w:hAnsi="宋体" w:eastAsia="宋体" w:cs="宋体"/>
          <w:bCs/>
          <w:color w:val="auto"/>
          <w:spacing w:val="-3"/>
          <w:sz w:val="28"/>
          <w:szCs w:val="28"/>
          <w:highlight w:val="none"/>
          <w:lang w:eastAsia="zh-CN"/>
        </w:rPr>
        <w:t>地理位置及交通</w:t>
      </w:r>
      <w:bookmarkEnd w:id="37"/>
      <w:bookmarkEnd w:id="38"/>
      <w:bookmarkEnd w:id="39"/>
    </w:p>
    <w:p w14:paraId="2DF87CDC">
      <w:pPr>
        <w:spacing w:line="360" w:lineRule="auto"/>
        <w:jc w:val="center"/>
        <w:rPr>
          <w:rFonts w:hint="eastAsia" w:ascii="黑体" w:hAnsi="黑体" w:eastAsia="黑体" w:cs="黑体"/>
          <w:bCs/>
          <w:color w:val="auto"/>
          <w:sz w:val="24"/>
          <w:highlight w:val="none"/>
          <w:lang w:val="zh-CN" w:eastAsia="zh-CN"/>
        </w:rPr>
      </w:pPr>
      <w:r>
        <w:rPr>
          <w:rFonts w:hint="eastAsia" w:ascii="黑体" w:hAnsi="黑体" w:eastAsia="黑体" w:cs="黑体"/>
          <w:bCs/>
          <w:color w:val="auto"/>
          <w:sz w:val="24"/>
          <w:highlight w:val="none"/>
          <w:lang w:val="zh-CN" w:eastAsia="zh-CN"/>
        </w:rPr>
        <w:t xml:space="preserve">图2.1-1 </w:t>
      </w:r>
      <w:r>
        <w:rPr>
          <w:rFonts w:hint="eastAsia" w:ascii="黑体" w:hAnsi="黑体" w:eastAsia="黑体" w:cs="黑体"/>
          <w:bCs/>
          <w:color w:val="auto"/>
          <w:sz w:val="24"/>
          <w:highlight w:val="none"/>
          <w:lang w:eastAsia="zh-CN"/>
        </w:rPr>
        <w:t xml:space="preserve"> </w:t>
      </w:r>
      <w:r>
        <w:rPr>
          <w:rFonts w:hint="eastAsia" w:ascii="黑体" w:hAnsi="黑体" w:eastAsia="黑体" w:cs="黑体"/>
          <w:bCs/>
          <w:color w:val="auto"/>
          <w:sz w:val="24"/>
          <w:highlight w:val="none"/>
          <w:lang w:val="zh-CN" w:eastAsia="zh-CN"/>
        </w:rPr>
        <w:t>交通位置图</w:t>
      </w:r>
    </w:p>
    <w:p w14:paraId="5826CBC0">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40" w:name="bookmark16"/>
      <w:bookmarkEnd w:id="40"/>
      <w:bookmarkStart w:id="41" w:name="_Toc22988"/>
      <w:bookmarkStart w:id="42" w:name="_Toc1046258919"/>
      <w:r>
        <w:rPr>
          <w:rFonts w:ascii="Times New Roman Regular" w:hAnsi="Times New Roman Regular" w:eastAsia="黑体" w:cs="Times New Roman Regular"/>
          <w:snapToGrid/>
          <w:color w:val="auto"/>
          <w:kern w:val="2"/>
          <w:highlight w:val="none"/>
          <w:lang w:eastAsia="zh-CN"/>
        </w:rPr>
        <w:t>2.2 自然环境概况</w:t>
      </w:r>
      <w:bookmarkEnd w:id="41"/>
      <w:bookmarkEnd w:id="42"/>
    </w:p>
    <w:p w14:paraId="6363736B">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43" w:name="_Toc31670"/>
      <w:bookmarkStart w:id="44" w:name="_Toc28419"/>
      <w:bookmarkStart w:id="45" w:name="_Toc23"/>
      <w:r>
        <w:rPr>
          <w:rFonts w:ascii="Times New Roman" w:hAnsi="Times New Roman" w:eastAsia="Times New Roman" w:cs="Times New Roman"/>
          <w:bCs/>
          <w:color w:val="auto"/>
          <w:spacing w:val="-3"/>
          <w:sz w:val="28"/>
          <w:szCs w:val="28"/>
          <w:highlight w:val="none"/>
          <w:lang w:eastAsia="zh-CN"/>
        </w:rPr>
        <w:t xml:space="preserve">2.2.1 </w:t>
      </w:r>
      <w:r>
        <w:rPr>
          <w:rFonts w:ascii="宋体" w:hAnsi="宋体" w:eastAsia="宋体" w:cs="宋体"/>
          <w:bCs/>
          <w:color w:val="auto"/>
          <w:spacing w:val="-3"/>
          <w:sz w:val="28"/>
          <w:szCs w:val="28"/>
          <w:highlight w:val="none"/>
          <w:lang w:eastAsia="zh-CN"/>
        </w:rPr>
        <w:t>地形地貌</w:t>
      </w:r>
      <w:bookmarkEnd w:id="43"/>
      <w:bookmarkEnd w:id="44"/>
      <w:bookmarkEnd w:id="45"/>
    </w:p>
    <w:p w14:paraId="794FB49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sz w:val="28"/>
          <w:highlight w:val="none"/>
          <w:lang w:eastAsia="zh-CN"/>
        </w:rPr>
      </w:pPr>
      <w:r>
        <w:rPr>
          <w:rFonts w:hint="default" w:ascii="Times New Roman Regular" w:hAnsi="Times New Roman Regular" w:eastAsia="宋体" w:cs="Times New Roman Regular"/>
          <w:color w:val="auto"/>
          <w:sz w:val="28"/>
          <w:highlight w:val="none"/>
          <w:lang w:eastAsia="zh-CN"/>
        </w:rPr>
        <w:t>库区属低山丘陵地带，区内地形起伏较小，地势北高南低，西高东低，地貌上呈平缓坡状，局部沟谷发育，蜿蜒曲回。区内水系不甚发育。该区第四系覆盖面积较小，植被不发育。</w:t>
      </w:r>
    </w:p>
    <w:p w14:paraId="01CF4A0A">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46" w:name="_Toc6811"/>
      <w:bookmarkStart w:id="47" w:name="_Toc30768"/>
      <w:bookmarkStart w:id="48" w:name="_Toc16289"/>
      <w:r>
        <w:rPr>
          <w:rFonts w:ascii="Times New Roman" w:hAnsi="Times New Roman" w:eastAsia="Times New Roman" w:cs="Times New Roman"/>
          <w:bCs/>
          <w:color w:val="auto"/>
          <w:spacing w:val="-3"/>
          <w:sz w:val="28"/>
          <w:szCs w:val="28"/>
          <w:highlight w:val="none"/>
          <w:lang w:eastAsia="zh-CN"/>
        </w:rPr>
        <w:t xml:space="preserve">2.2.2 </w:t>
      </w:r>
      <w:r>
        <w:rPr>
          <w:rFonts w:ascii="宋体" w:hAnsi="宋体" w:eastAsia="宋体" w:cs="宋体"/>
          <w:bCs/>
          <w:color w:val="auto"/>
          <w:spacing w:val="-3"/>
          <w:sz w:val="28"/>
          <w:szCs w:val="28"/>
          <w:highlight w:val="none"/>
          <w:lang w:eastAsia="zh-CN"/>
        </w:rPr>
        <w:t>气象条件</w:t>
      </w:r>
      <w:bookmarkEnd w:id="46"/>
      <w:bookmarkEnd w:id="47"/>
      <w:bookmarkEnd w:id="48"/>
    </w:p>
    <w:p w14:paraId="085824F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bCs/>
          <w:color w:val="auto"/>
          <w:sz w:val="28"/>
          <w:szCs w:val="28"/>
          <w:highlight w:val="none"/>
          <w:lang w:eastAsia="zh-CN"/>
        </w:rPr>
      </w:pPr>
      <w:bookmarkStart w:id="49" w:name="_Toc1538"/>
      <w:bookmarkStart w:id="50" w:name="_Toc29031"/>
      <w:bookmarkStart w:id="51" w:name="_Toc12714"/>
      <w:r>
        <w:rPr>
          <w:rFonts w:ascii="Times New Roman Regular" w:hAnsi="Times New Roman Regular" w:eastAsia="宋体" w:cs="Times New Roman Regular"/>
          <w:bCs/>
          <w:color w:val="auto"/>
          <w:sz w:val="28"/>
          <w:szCs w:val="28"/>
          <w:highlight w:val="none"/>
          <w:lang w:eastAsia="zh-CN"/>
        </w:rPr>
        <w:t>库区地处暖温带，属于大陆性半湿润季风气候。气候特点四季分明，各具特色。春季干旱少雨多风，蒸发量大；夏季气温高、炎热，雨量集中；秋季日照充足，雨量较少，昼夜温差大；冬季少雪而且气温较低。年平均气温9.6℃，1月平均气温-9℃，8月份平均气温24.4℃。境内风大而又多，一年四季皆出现大风天气，4～8月多南、西风，3、9、10月风向不定，11月～次年2月为西北风，年平均风速3～4m/s</w:t>
      </w:r>
      <w:r>
        <w:rPr>
          <w:rFonts w:hint="eastAsia" w:ascii="Times New Roman Regular" w:hAnsi="Times New Roman Regular" w:eastAsia="宋体" w:cs="Times New Roman Regular"/>
          <w:bCs/>
          <w:color w:val="auto"/>
          <w:sz w:val="28"/>
          <w:szCs w:val="28"/>
          <w:highlight w:val="none"/>
          <w:lang w:eastAsia="zh-CN"/>
        </w:rPr>
        <w:t>，</w:t>
      </w:r>
      <w:r>
        <w:rPr>
          <w:rFonts w:ascii="Times New Roman Regular" w:hAnsi="Times New Roman Regular" w:eastAsia="宋体" w:cs="Times New Roman Regular"/>
          <w:bCs/>
          <w:color w:val="auto"/>
          <w:sz w:val="28"/>
          <w:szCs w:val="28"/>
          <w:highlight w:val="none"/>
          <w:lang w:eastAsia="zh-CN"/>
        </w:rPr>
        <w:t>4～5月风速最大为6m/s</w:t>
      </w:r>
      <w:r>
        <w:rPr>
          <w:rFonts w:hint="eastAsia" w:ascii="Times New Roman Regular" w:hAnsi="Times New Roman Regular" w:eastAsia="宋体" w:cs="Times New Roman Regular"/>
          <w:bCs/>
          <w:color w:val="auto"/>
          <w:sz w:val="28"/>
          <w:szCs w:val="28"/>
          <w:highlight w:val="none"/>
          <w:lang w:eastAsia="zh-CN"/>
        </w:rPr>
        <w:t>，</w:t>
      </w:r>
      <w:r>
        <w:rPr>
          <w:rFonts w:ascii="Times New Roman Regular" w:hAnsi="Times New Roman Regular" w:eastAsia="宋体" w:cs="Times New Roman Regular"/>
          <w:bCs/>
          <w:color w:val="auto"/>
          <w:sz w:val="28"/>
          <w:szCs w:val="28"/>
          <w:highlight w:val="none"/>
          <w:lang w:eastAsia="zh-CN"/>
        </w:rPr>
        <w:t>风速、风向均有明显的季风特征</w:t>
      </w:r>
      <w:r>
        <w:rPr>
          <w:rFonts w:hint="eastAsia" w:ascii="Times New Roman Regular" w:hAnsi="Times New Roman Regular" w:eastAsia="宋体" w:cs="Times New Roman Regular"/>
          <w:bCs/>
          <w:color w:val="auto"/>
          <w:sz w:val="28"/>
          <w:szCs w:val="28"/>
          <w:highlight w:val="none"/>
          <w:lang w:eastAsia="zh-CN"/>
        </w:rPr>
        <w:t>；</w:t>
      </w:r>
      <w:r>
        <w:rPr>
          <w:rFonts w:ascii="Times New Roman Regular" w:hAnsi="Times New Roman Regular" w:eastAsia="宋体" w:cs="Times New Roman Regular"/>
          <w:bCs/>
          <w:color w:val="auto"/>
          <w:sz w:val="28"/>
          <w:szCs w:val="28"/>
          <w:highlight w:val="none"/>
          <w:lang w:eastAsia="zh-CN"/>
        </w:rPr>
        <w:t>常年主导风向为SSW，频率为16.6%，次主导风向为NNE。年平均降水量637.3mm。</w:t>
      </w:r>
    </w:p>
    <w:p w14:paraId="3890096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color w:val="auto"/>
          <w:sz w:val="28"/>
          <w:highlight w:val="none"/>
          <w:lang w:eastAsia="zh-CN"/>
        </w:rPr>
      </w:pPr>
      <w:r>
        <w:rPr>
          <w:rFonts w:ascii="Times New Roman Regular" w:hAnsi="Times New Roman Regular" w:eastAsia="宋体" w:cs="Times New Roman Regular"/>
          <w:bCs/>
          <w:color w:val="auto"/>
          <w:sz w:val="28"/>
          <w:szCs w:val="28"/>
          <w:highlight w:val="none"/>
          <w:lang w:eastAsia="zh-CN"/>
        </w:rPr>
        <w:t>全年无霜期170天，最大积雪深度17cm，冻土深度1.12m，解冻在4月初。</w:t>
      </w:r>
    </w:p>
    <w:p w14:paraId="08C693AD">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r>
        <w:rPr>
          <w:rFonts w:ascii="Times New Roman" w:hAnsi="Times New Roman" w:eastAsia="Times New Roman" w:cs="Times New Roman"/>
          <w:bCs/>
          <w:color w:val="auto"/>
          <w:spacing w:val="-3"/>
          <w:sz w:val="28"/>
          <w:szCs w:val="28"/>
          <w:highlight w:val="none"/>
          <w:lang w:eastAsia="zh-CN"/>
        </w:rPr>
        <w:t xml:space="preserve">2.2.3 </w:t>
      </w:r>
      <w:r>
        <w:rPr>
          <w:rFonts w:ascii="宋体" w:hAnsi="宋体" w:eastAsia="宋体" w:cs="宋体"/>
          <w:bCs/>
          <w:color w:val="auto"/>
          <w:spacing w:val="-3"/>
          <w:sz w:val="28"/>
          <w:szCs w:val="28"/>
          <w:highlight w:val="none"/>
          <w:lang w:eastAsia="zh-CN"/>
        </w:rPr>
        <w:t>地震效应</w:t>
      </w:r>
      <w:bookmarkEnd w:id="49"/>
      <w:bookmarkEnd w:id="50"/>
      <w:bookmarkEnd w:id="51"/>
    </w:p>
    <w:p w14:paraId="451C0C6B">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snapToGrid/>
          <w:color w:val="auto"/>
          <w:kern w:val="2"/>
          <w:szCs w:val="28"/>
          <w:highlight w:val="none"/>
          <w:lang w:eastAsia="zh-CN"/>
        </w:rPr>
      </w:pPr>
      <w:r>
        <w:rPr>
          <w:color w:val="auto"/>
          <w:highlight w:val="none"/>
        </w:rPr>
        <w:fldChar w:fldCharType="begin"/>
      </w:r>
      <w:r>
        <w:rPr>
          <w:color w:val="auto"/>
          <w:highlight w:val="none"/>
        </w:rPr>
        <w:instrText xml:space="preserve"> HYPERLINK "2.2.3.1"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2.2.3.1</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场地抗震设防烈度、地震动加速度及特征周期</w:t>
      </w:r>
    </w:p>
    <w:p w14:paraId="6015440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根据《建筑抗震设计规范</w:t>
      </w:r>
      <w:r>
        <w:rPr>
          <w:rFonts w:hint="default" w:ascii="Times New Roman Regular" w:hAnsi="Times New Roman Regular" w:eastAsia="Times New Roman" w:cs="Times New Roman Regular"/>
          <w:color w:val="auto"/>
          <w:sz w:val="28"/>
          <w:szCs w:val="28"/>
          <w:highlight w:val="none"/>
          <w:lang w:eastAsia="zh-CN"/>
        </w:rPr>
        <w:t>[2024</w:t>
      </w:r>
      <w:r>
        <w:rPr>
          <w:rFonts w:hint="default" w:ascii="Times New Roman Regular" w:hAnsi="Times New Roman Regular" w:eastAsia="宋体" w:cs="Times New Roman Regular"/>
          <w:color w:val="auto"/>
          <w:sz w:val="28"/>
          <w:szCs w:val="28"/>
          <w:highlight w:val="none"/>
          <w:lang w:eastAsia="zh-CN"/>
        </w:rPr>
        <w:t>年版</w:t>
      </w:r>
      <w:r>
        <w:rPr>
          <w:rFonts w:hint="default" w:ascii="Times New Roman Regular" w:hAnsi="Times New Roman Regular" w:eastAsia="Times New Roman"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Times New Roman" w:cs="Times New Roman Regular"/>
          <w:color w:val="auto"/>
          <w:spacing w:val="-1"/>
          <w:sz w:val="28"/>
          <w:szCs w:val="28"/>
          <w:highlight w:val="none"/>
          <w:lang w:eastAsia="zh-CN"/>
        </w:rPr>
        <w:t>GB 50011-2010</w:t>
      </w:r>
      <w:r>
        <w:rPr>
          <w:rFonts w:hint="default" w:ascii="Times New Roman Regular" w:hAnsi="Times New Roman Regular" w:eastAsia="宋体" w:cs="Times New Roman Regular"/>
          <w:color w:val="auto"/>
          <w:spacing w:val="-1"/>
          <w:sz w:val="28"/>
          <w:szCs w:val="28"/>
          <w:highlight w:val="none"/>
          <w:lang w:eastAsia="zh-CN"/>
        </w:rPr>
        <w:t>）规定，</w:t>
      </w:r>
      <w:r>
        <w:rPr>
          <w:rFonts w:hint="default" w:ascii="Times New Roman Regular" w:hAnsi="Times New Roman Regular" w:eastAsia="宋体" w:cs="Times New Roman Regular"/>
          <w:color w:val="auto"/>
          <w:spacing w:val="5"/>
          <w:sz w:val="28"/>
          <w:szCs w:val="28"/>
          <w:highlight w:val="none"/>
          <w:lang w:eastAsia="zh-CN"/>
        </w:rPr>
        <w:t>本地区抗震设防烈度为</w:t>
      </w:r>
      <w:r>
        <w:rPr>
          <w:rFonts w:hint="default" w:ascii="Times New Roman Regular" w:hAnsi="Times New Roman Regular" w:eastAsia="Times New Roman" w:cs="Times New Roman Regular"/>
          <w:color w:val="auto"/>
          <w:spacing w:val="5"/>
          <w:sz w:val="28"/>
          <w:szCs w:val="28"/>
          <w:highlight w:val="none"/>
          <w:lang w:eastAsia="zh-CN"/>
        </w:rPr>
        <w:t>Ⅵ</w:t>
      </w:r>
      <w:r>
        <w:rPr>
          <w:rFonts w:hint="default" w:ascii="Times New Roman Regular" w:hAnsi="Times New Roman Regular" w:eastAsia="宋体" w:cs="Times New Roman Regular"/>
          <w:color w:val="auto"/>
          <w:spacing w:val="5"/>
          <w:sz w:val="28"/>
          <w:szCs w:val="28"/>
          <w:highlight w:val="none"/>
          <w:lang w:eastAsia="zh-CN"/>
        </w:rPr>
        <w:t>度，设计基本地震加速度值为</w:t>
      </w:r>
      <w:r>
        <w:rPr>
          <w:rFonts w:hint="default" w:ascii="Times New Roman Regular" w:hAnsi="Times New Roman Regular" w:eastAsia="Times New Roman" w:cs="Times New Roman Regular"/>
          <w:color w:val="auto"/>
          <w:spacing w:val="5"/>
          <w:sz w:val="28"/>
          <w:szCs w:val="28"/>
          <w:highlight w:val="none"/>
          <w:lang w:eastAsia="zh-CN"/>
        </w:rPr>
        <w:t>0.05g</w:t>
      </w:r>
      <w:r>
        <w:rPr>
          <w:rFonts w:hint="default" w:ascii="Times New Roman Regular" w:hAnsi="Times New Roman Regular" w:eastAsia="宋体" w:cs="Times New Roman Regular"/>
          <w:color w:val="auto"/>
          <w:spacing w:val="-1"/>
          <w:sz w:val="28"/>
          <w:szCs w:val="28"/>
          <w:highlight w:val="none"/>
          <w:lang w:eastAsia="zh-CN"/>
        </w:rPr>
        <w:t>。</w:t>
      </w:r>
    </w:p>
    <w:p w14:paraId="2ADFB49C">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"2.2.3.2"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2.2.3.2</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液化评价</w:t>
      </w:r>
    </w:p>
    <w:p w14:paraId="6320860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该场地抗震设防烈度为Ⅵ度，根据《建筑抗震设计</w:t>
      </w:r>
      <w:r>
        <w:rPr>
          <w:rFonts w:hint="eastAsia" w:ascii="Times New Roman Regular" w:hAnsi="Times New Roman Regular" w:eastAsia="宋体" w:cs="Times New Roman Regular"/>
          <w:color w:val="auto"/>
          <w:sz w:val="28"/>
          <w:szCs w:val="28"/>
          <w:highlight w:val="none"/>
          <w:lang w:eastAsia="zh-CN"/>
        </w:rPr>
        <w:t>标准</w:t>
      </w:r>
      <w:r>
        <w:rPr>
          <w:rFonts w:hint="default" w:ascii="Times New Roman Regular" w:hAnsi="Times New Roman Regular" w:eastAsia="宋体" w:cs="Times New Roman Regular"/>
          <w:color w:val="auto"/>
          <w:sz w:val="28"/>
          <w:szCs w:val="28"/>
          <w:highlight w:val="none"/>
          <w:lang w:eastAsia="zh-CN"/>
        </w:rPr>
        <w:t>[2024年版]》（GB50011-2010）第4.3.1条和《构筑物抗震设计规范》（GB50191-2012）第4.3.1条规定，抗震设防烈度Ⅵ度可不对该尾矿坝进行地震液化判别。</w:t>
      </w:r>
    </w:p>
    <w:p w14:paraId="71C1E38C">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52" w:name="bookmark18"/>
      <w:bookmarkEnd w:id="52"/>
      <w:bookmarkStart w:id="53" w:name="_Toc877549997"/>
      <w:bookmarkStart w:id="54" w:name="_Toc14299"/>
      <w:r>
        <w:rPr>
          <w:rFonts w:ascii="Times New Roman Regular" w:hAnsi="Times New Roman Regular" w:eastAsia="黑体" w:cs="Times New Roman Regular"/>
          <w:snapToGrid/>
          <w:color w:val="auto"/>
          <w:kern w:val="2"/>
          <w:highlight w:val="none"/>
          <w:lang w:eastAsia="zh-CN"/>
        </w:rPr>
        <w:t>2.3 地质概况</w:t>
      </w:r>
      <w:bookmarkEnd w:id="53"/>
      <w:bookmarkEnd w:id="54"/>
    </w:p>
    <w:p w14:paraId="3643767C">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55" w:name="_Toc1433"/>
      <w:bookmarkStart w:id="56" w:name="_Toc12837"/>
      <w:bookmarkStart w:id="57" w:name="_Toc2307"/>
      <w:r>
        <w:rPr>
          <w:rFonts w:ascii="Times New Roman" w:hAnsi="Times New Roman" w:eastAsia="Times New Roman" w:cs="Times New Roman"/>
          <w:bCs/>
          <w:color w:val="auto"/>
          <w:spacing w:val="-3"/>
          <w:sz w:val="28"/>
          <w:szCs w:val="28"/>
          <w:highlight w:val="none"/>
          <w:lang w:eastAsia="zh-CN"/>
        </w:rPr>
        <w:t>2.3.</w:t>
      </w:r>
      <w:r>
        <w:rPr>
          <w:rFonts w:hint="eastAsia" w:ascii="Times New Roman" w:hAnsi="Times New Roman" w:eastAsia="宋体" w:cs="Times New Roman"/>
          <w:bCs/>
          <w:color w:val="auto"/>
          <w:spacing w:val="-3"/>
          <w:sz w:val="28"/>
          <w:szCs w:val="28"/>
          <w:highlight w:val="none"/>
          <w:lang w:eastAsia="zh-CN"/>
        </w:rPr>
        <w:t>1</w:t>
      </w:r>
      <w:r>
        <w:rPr>
          <w:rFonts w:ascii="Times New Roman" w:hAnsi="Times New Roman" w:eastAsia="Times New Roman" w:cs="Times New Roman"/>
          <w:bCs/>
          <w:color w:val="auto"/>
          <w:spacing w:val="-3"/>
          <w:sz w:val="28"/>
          <w:szCs w:val="28"/>
          <w:highlight w:val="none"/>
          <w:lang w:eastAsia="zh-CN"/>
        </w:rPr>
        <w:t xml:space="preserve"> </w:t>
      </w:r>
      <w:r>
        <w:rPr>
          <w:rFonts w:ascii="宋体" w:hAnsi="宋体" w:eastAsia="宋体" w:cs="宋体"/>
          <w:bCs/>
          <w:color w:val="auto"/>
          <w:spacing w:val="-3"/>
          <w:sz w:val="28"/>
          <w:szCs w:val="28"/>
          <w:highlight w:val="none"/>
          <w:lang w:eastAsia="zh-CN"/>
        </w:rPr>
        <w:t>地层结构及岩性特征</w:t>
      </w:r>
      <w:bookmarkEnd w:id="55"/>
      <w:bookmarkEnd w:id="56"/>
      <w:bookmarkEnd w:id="57"/>
    </w:p>
    <w:p w14:paraId="55253A0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z w:val="28"/>
          <w:szCs w:val="28"/>
          <w:highlight w:val="none"/>
          <w:lang w:val="zh-CN" w:eastAsia="zh-CN"/>
        </w:rPr>
      </w:pPr>
      <w:r>
        <w:rPr>
          <w:rFonts w:hint="eastAsia" w:ascii="Times New Roman Regular" w:hAnsi="Times New Roman Regular" w:eastAsia="宋体" w:cs="Times New Roman Regular"/>
          <w:color w:val="auto"/>
          <w:sz w:val="28"/>
          <w:szCs w:val="28"/>
          <w:highlight w:val="none"/>
          <w:lang w:val="zh-CN" w:eastAsia="zh-CN"/>
        </w:rPr>
        <w:t>尾矿库的地层由天然地层、尾矿堆积物及人工堆积层构成，天然地层、人工堆积层较为简单，尾矿堆积物构成及分布较复杂。</w:t>
      </w:r>
    </w:p>
    <w:p w14:paraId="102F12BB">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pacing w:val="6"/>
          <w:szCs w:val="28"/>
          <w:highlight w:val="none"/>
          <w:lang w:val="zh-CN" w:eastAsia="zh-CN"/>
        </w:rPr>
      </w:pPr>
      <w:r>
        <w:rPr>
          <w:color w:val="auto"/>
          <w:highlight w:val="none"/>
        </w:rPr>
        <w:fldChar w:fldCharType="begin"/>
      </w:r>
      <w:r>
        <w:rPr>
          <w:color w:val="auto"/>
          <w:highlight w:val="none"/>
        </w:rPr>
        <w:instrText xml:space="preserve"> HYPERLINK "2.3.3.1"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2.3.</w:t>
      </w:r>
      <w:r>
        <w:rPr>
          <w:rFonts w:hint="eastAsia" w:ascii="Times New Roman Regular" w:hAnsi="Times New Roman Regular" w:eastAsia="宋体" w:cs="Times New Roman Regular"/>
          <w:snapToGrid/>
          <w:color w:val="auto"/>
          <w:kern w:val="2"/>
          <w:szCs w:val="28"/>
          <w:highlight w:val="none"/>
          <w:lang w:eastAsia="zh-CN"/>
        </w:rPr>
        <w:t>1</w:t>
      </w:r>
      <w:r>
        <w:rPr>
          <w:rFonts w:ascii="Times New Roman Regular" w:hAnsi="Times New Roman Regular" w:eastAsia="宋体" w:cs="Times New Roman Regular"/>
          <w:snapToGrid/>
          <w:color w:val="auto"/>
          <w:kern w:val="2"/>
          <w:szCs w:val="28"/>
          <w:highlight w:val="none"/>
          <w:lang w:eastAsia="zh-CN"/>
        </w:rPr>
        <w:t>.1</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w:t>
      </w:r>
      <w:r>
        <w:rPr>
          <w:rFonts w:hint="eastAsia" w:ascii="Times New Roman Regular" w:hAnsi="Times New Roman Regular" w:eastAsia="宋体" w:cs="Times New Roman Regular"/>
          <w:snapToGrid/>
          <w:color w:val="auto"/>
          <w:kern w:val="2"/>
          <w:szCs w:val="28"/>
          <w:highlight w:val="none"/>
          <w:lang w:eastAsia="zh-CN"/>
        </w:rPr>
        <w:t>区域地质</w:t>
      </w:r>
    </w:p>
    <w:p w14:paraId="78EE45A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eastAsia="宋体" w:cs="Times New Roman Regular"/>
          <w:color w:val="auto"/>
          <w:sz w:val="28"/>
          <w:szCs w:val="28"/>
          <w:highlight w:val="none"/>
          <w:lang w:eastAsia="zh-CN"/>
        </w:rPr>
        <w:t>库区大地构造位于华北地台北缘燕山台褶带、燕辽沉降带，辽西凹陷山海关至北镇隆起之接触带近隆起一侧，即八家子—杨家杖子构造岩浆活动带。区域上构造活动强烈，主要为断裂构造，近东西向断裂与北东向断裂交切形成“梯子状”构造格架，区域内褶皱构造不发育，区域内地层由于受断裂构造的破坏和岩浆岩的侵蚀，使褶皱呈单斜形式产出，区域内的褶皱构造有笔架山向斜、哑鹿沟向斜等。</w:t>
      </w:r>
    </w:p>
    <w:p w14:paraId="67F320EF">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pacing w:val="6"/>
          <w:szCs w:val="28"/>
          <w:highlight w:val="none"/>
          <w:lang w:val="zh-CN" w:eastAsia="zh-CN"/>
        </w:rPr>
      </w:pPr>
      <w:r>
        <w:rPr>
          <w:color w:val="auto"/>
          <w:highlight w:val="none"/>
        </w:rPr>
        <w:fldChar w:fldCharType="begin"/>
      </w:r>
      <w:r>
        <w:rPr>
          <w:color w:val="auto"/>
          <w:highlight w:val="none"/>
        </w:rPr>
        <w:instrText xml:space="preserve"> HYPERLINK "2.3.3.1"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2.3.</w:t>
      </w:r>
      <w:r>
        <w:rPr>
          <w:rFonts w:hint="eastAsia" w:ascii="Times New Roman Regular" w:hAnsi="Times New Roman Regular" w:eastAsia="宋体" w:cs="Times New Roman Regular"/>
          <w:snapToGrid/>
          <w:color w:val="auto"/>
          <w:kern w:val="2"/>
          <w:szCs w:val="28"/>
          <w:highlight w:val="none"/>
          <w:lang w:eastAsia="zh-CN"/>
        </w:rPr>
        <w:t>1</w:t>
      </w:r>
      <w:r>
        <w:rPr>
          <w:rFonts w:ascii="Times New Roman Regular" w:hAnsi="Times New Roman Regular" w:eastAsia="宋体" w:cs="Times New Roman Regular"/>
          <w:snapToGrid/>
          <w:color w:val="auto"/>
          <w:kern w:val="2"/>
          <w:szCs w:val="28"/>
          <w:highlight w:val="none"/>
          <w:lang w:eastAsia="zh-CN"/>
        </w:rPr>
        <w:t>.</w:t>
      </w:r>
      <w:r>
        <w:rPr>
          <w:rFonts w:hint="eastAsia" w:ascii="Times New Roman Regular" w:hAnsi="Times New Roman Regular" w:eastAsia="宋体" w:cs="Times New Roman Regular"/>
          <w:snapToGrid/>
          <w:color w:val="auto"/>
          <w:kern w:val="2"/>
          <w:szCs w:val="28"/>
          <w:highlight w:val="none"/>
          <w:lang w:eastAsia="zh-CN"/>
        </w:rPr>
        <w:t>2</w:t>
      </w:r>
      <w:r>
        <w:rPr>
          <w:rFonts w:hint="eastAsia"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w:t>
      </w:r>
      <w:r>
        <w:rPr>
          <w:rFonts w:hint="eastAsia" w:ascii="Times New Roman Regular" w:hAnsi="Times New Roman Regular" w:eastAsia="宋体" w:cs="Times New Roman Regular"/>
          <w:snapToGrid/>
          <w:color w:val="auto"/>
          <w:kern w:val="2"/>
          <w:szCs w:val="28"/>
          <w:highlight w:val="none"/>
          <w:lang w:eastAsia="zh-CN"/>
        </w:rPr>
        <w:t>地层岩性</w:t>
      </w:r>
    </w:p>
    <w:p w14:paraId="7543680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eastAsia="宋体" w:cs="Times New Roman Regular"/>
          <w:color w:val="auto"/>
          <w:sz w:val="28"/>
          <w:szCs w:val="28"/>
          <w:highlight w:val="none"/>
          <w:lang w:eastAsia="zh-CN"/>
        </w:rPr>
        <w:t>库区内岩浆岩十分发育，沉积岩底层仅为奥陶系，石灰系二叠系花岗岩，区域构造以断裂为主，主要为岩浆岩。</w:t>
      </w:r>
    </w:p>
    <w:p w14:paraId="35FAFAB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eastAsia="宋体" w:cs="Times New Roman Regular"/>
          <w:color w:val="auto"/>
          <w:sz w:val="28"/>
          <w:szCs w:val="28"/>
          <w:highlight w:val="none"/>
          <w:lang w:eastAsia="zh-CN"/>
        </w:rPr>
        <w:t>库区地层分布特征如下：</w:t>
      </w:r>
    </w:p>
    <w:p w14:paraId="7871D3A3">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eastAsia="宋体" w:cs="Times New Roman Regular"/>
          <w:color w:val="auto"/>
          <w:sz w:val="28"/>
          <w:szCs w:val="28"/>
          <w:highlight w:val="none"/>
          <w:lang w:eastAsia="zh-CN"/>
        </w:rPr>
        <w:t>（1）碎石：黄褐色，稍湿，中密状态，母岩多为砂岩，一般粒径&gt;20mm的占60%，由中粗砂、粘性土充填。</w:t>
      </w:r>
    </w:p>
    <w:p w14:paraId="41D11025">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eastAsia="宋体" w:cs="Times New Roman Regular"/>
          <w:color w:val="auto"/>
          <w:sz w:val="28"/>
          <w:szCs w:val="28"/>
          <w:highlight w:val="none"/>
          <w:lang w:eastAsia="zh-CN"/>
        </w:rPr>
        <w:t>（2）强风化花岗岩：红褐色，矿物成分分为长石、石英等，粒状结构，块状构造。</w:t>
      </w:r>
    </w:p>
    <w:p w14:paraId="0C65461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z w:val="28"/>
          <w:szCs w:val="28"/>
          <w:highlight w:val="none"/>
          <w:lang w:eastAsia="zh-CN"/>
        </w:rPr>
      </w:pPr>
      <w:r>
        <w:rPr>
          <w:rFonts w:hint="eastAsia" w:ascii="Times New Roman Regular" w:hAnsi="Times New Roman Regular" w:eastAsia="宋体" w:cs="Times New Roman Regular"/>
          <w:color w:val="auto"/>
          <w:sz w:val="28"/>
          <w:szCs w:val="28"/>
          <w:highlight w:val="none"/>
          <w:lang w:eastAsia="zh-CN"/>
        </w:rPr>
        <w:t>（3）中风化花岗岩：肉红色，矿物成分为长石、石英等，粒状结构，块状构造。</w:t>
      </w:r>
    </w:p>
    <w:p w14:paraId="243DBFD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z w:val="28"/>
          <w:szCs w:val="28"/>
          <w:highlight w:val="none"/>
          <w:lang w:val="zh-CN" w:eastAsia="zh-CN"/>
        </w:rPr>
      </w:pPr>
      <w:r>
        <w:rPr>
          <w:rFonts w:hint="eastAsia" w:ascii="Times New Roman Regular" w:hAnsi="Times New Roman Regular" w:eastAsia="宋体" w:cs="Times New Roman Regular"/>
          <w:color w:val="auto"/>
          <w:sz w:val="28"/>
          <w:szCs w:val="28"/>
          <w:highlight w:val="none"/>
          <w:lang w:eastAsia="zh-CN"/>
        </w:rPr>
        <w:t>通过调查及勘察揭露，在勘察深度内未见地下水，库区地形具有一定的坡度，有利于大气降水、地表水的排泄，第四系厚度较薄且分布不广。碎石层充填物为粘性土及中粗砂等，为中透水层；强、中风化花岗岩为微透水层。经过本次调查勘察，库区内未见滑坡、崩塌等不良地质作用。</w:t>
      </w:r>
    </w:p>
    <w:p w14:paraId="6FF631E9">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snapToGrid/>
          <w:color w:val="auto"/>
          <w:kern w:val="2"/>
          <w:szCs w:val="28"/>
          <w:highlight w:val="none"/>
          <w:lang w:eastAsia="zh-CN"/>
        </w:rPr>
      </w:pPr>
      <w:r>
        <w:rPr>
          <w:color w:val="auto"/>
          <w:highlight w:val="none"/>
        </w:rPr>
        <w:fldChar w:fldCharType="begin"/>
      </w:r>
      <w:r>
        <w:rPr>
          <w:color w:val="auto"/>
          <w:highlight w:val="none"/>
        </w:rPr>
        <w:instrText xml:space="preserve"> HYPERLINK "2.3.3.1"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2.3.</w:t>
      </w:r>
      <w:r>
        <w:rPr>
          <w:rFonts w:hint="eastAsia" w:ascii="Times New Roman Regular" w:hAnsi="Times New Roman Regular" w:eastAsia="宋体" w:cs="Times New Roman Regular"/>
          <w:snapToGrid/>
          <w:color w:val="auto"/>
          <w:kern w:val="2"/>
          <w:szCs w:val="28"/>
          <w:highlight w:val="none"/>
          <w:lang w:eastAsia="zh-CN"/>
        </w:rPr>
        <w:t>1</w:t>
      </w:r>
      <w:r>
        <w:rPr>
          <w:rFonts w:ascii="Times New Roman Regular" w:hAnsi="Times New Roman Regular" w:eastAsia="宋体" w:cs="Times New Roman Regular"/>
          <w:snapToGrid/>
          <w:color w:val="auto"/>
          <w:kern w:val="2"/>
          <w:szCs w:val="28"/>
          <w:highlight w:val="none"/>
          <w:lang w:eastAsia="zh-CN"/>
        </w:rPr>
        <w:t>.</w:t>
      </w:r>
      <w:r>
        <w:rPr>
          <w:rFonts w:hint="eastAsia" w:ascii="Times New Roman Regular" w:hAnsi="Times New Roman Regular" w:eastAsia="宋体" w:cs="Times New Roman Regular"/>
          <w:snapToGrid/>
          <w:color w:val="auto"/>
          <w:kern w:val="2"/>
          <w:szCs w:val="28"/>
          <w:highlight w:val="none"/>
          <w:lang w:eastAsia="zh-CN"/>
        </w:rPr>
        <w:t>3</w:t>
      </w:r>
      <w:r>
        <w:rPr>
          <w:rFonts w:hint="eastAsia"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w:t>
      </w:r>
      <w:r>
        <w:rPr>
          <w:rFonts w:hint="eastAsia" w:ascii="Times New Roman Regular" w:hAnsi="Times New Roman Regular" w:eastAsia="宋体" w:cs="Times New Roman Regular"/>
          <w:snapToGrid/>
          <w:color w:val="auto"/>
          <w:kern w:val="2"/>
          <w:szCs w:val="28"/>
          <w:highlight w:val="none"/>
          <w:lang w:eastAsia="zh-CN"/>
        </w:rPr>
        <w:t>地质构造</w:t>
      </w:r>
    </w:p>
    <w:p w14:paraId="52E5B36D">
      <w:pPr>
        <w:pStyle w:val="19"/>
        <w:spacing w:after="0" w:line="360" w:lineRule="auto"/>
        <w:ind w:left="0" w:leftChars="0" w:firstLine="560"/>
        <w:rPr>
          <w:rFonts w:ascii="Times New Roman Regular" w:hAnsi="Times New Roman Regular" w:cs="Times New Roman Regular"/>
          <w:snapToGrid/>
          <w:color w:val="auto"/>
          <w:szCs w:val="28"/>
          <w:highlight w:val="none"/>
        </w:rPr>
      </w:pPr>
      <w:r>
        <w:rPr>
          <w:rFonts w:hint="eastAsia" w:ascii="宋体" w:hAnsi="宋体" w:cs="宋体"/>
          <w:bCs/>
          <w:color w:val="auto"/>
          <w:sz w:val="28"/>
          <w:szCs w:val="28"/>
          <w:highlight w:val="none"/>
        </w:rPr>
        <w:t>库区内岩浆岩十分发育，区域构造以断裂为主。</w:t>
      </w:r>
    </w:p>
    <w:p w14:paraId="51213922">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58" w:name="_Toc21216"/>
      <w:bookmarkStart w:id="59" w:name="_Toc19235"/>
      <w:bookmarkStart w:id="60" w:name="_Toc30158"/>
      <w:r>
        <w:rPr>
          <w:rFonts w:ascii="Times New Roman" w:hAnsi="Times New Roman" w:eastAsia="Times New Roman" w:cs="Times New Roman"/>
          <w:bCs/>
          <w:color w:val="auto"/>
          <w:spacing w:val="-3"/>
          <w:sz w:val="28"/>
          <w:szCs w:val="28"/>
          <w:highlight w:val="none"/>
          <w:lang w:eastAsia="zh-CN"/>
        </w:rPr>
        <w:t>2.3.</w:t>
      </w:r>
      <w:r>
        <w:rPr>
          <w:rFonts w:hint="eastAsia" w:ascii="Times New Roman" w:hAnsi="Times New Roman" w:eastAsia="Times New Roman" w:cs="Times New Roman"/>
          <w:bCs/>
          <w:color w:val="auto"/>
          <w:spacing w:val="-3"/>
          <w:sz w:val="28"/>
          <w:szCs w:val="28"/>
          <w:highlight w:val="none"/>
          <w:lang w:eastAsia="zh-CN"/>
        </w:rPr>
        <w:t>2</w:t>
      </w:r>
      <w:r>
        <w:rPr>
          <w:rFonts w:ascii="Times New Roman" w:hAnsi="Times New Roman" w:eastAsia="Times New Roman" w:cs="Times New Roman"/>
          <w:bCs/>
          <w:color w:val="auto"/>
          <w:spacing w:val="-3"/>
          <w:sz w:val="28"/>
          <w:szCs w:val="28"/>
          <w:highlight w:val="none"/>
          <w:lang w:eastAsia="zh-CN"/>
        </w:rPr>
        <w:t xml:space="preserve"> </w:t>
      </w:r>
      <w:r>
        <w:rPr>
          <w:rFonts w:ascii="宋体" w:hAnsi="宋体" w:eastAsia="宋体" w:cs="宋体"/>
          <w:bCs/>
          <w:color w:val="auto"/>
          <w:spacing w:val="-3"/>
          <w:sz w:val="28"/>
          <w:szCs w:val="28"/>
          <w:highlight w:val="none"/>
          <w:lang w:eastAsia="zh-CN"/>
        </w:rPr>
        <w:t>水文地质条件</w:t>
      </w:r>
      <w:bookmarkEnd w:id="58"/>
      <w:bookmarkEnd w:id="59"/>
      <w:bookmarkEnd w:id="60"/>
    </w:p>
    <w:p w14:paraId="0299B3B5">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"2.3.3.1"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2.3.</w:t>
      </w:r>
      <w:r>
        <w:rPr>
          <w:rFonts w:hint="eastAsia" w:ascii="Times New Roman Regular" w:hAnsi="Times New Roman Regular" w:eastAsia="宋体" w:cs="Times New Roman Regular"/>
          <w:snapToGrid/>
          <w:color w:val="auto"/>
          <w:kern w:val="2"/>
          <w:szCs w:val="28"/>
          <w:highlight w:val="none"/>
          <w:lang w:eastAsia="zh-CN"/>
        </w:rPr>
        <w:t>2</w:t>
      </w:r>
      <w:r>
        <w:rPr>
          <w:rFonts w:ascii="Times New Roman Regular" w:hAnsi="Times New Roman Regular" w:eastAsia="宋体" w:cs="Times New Roman Regular"/>
          <w:snapToGrid/>
          <w:color w:val="auto"/>
          <w:kern w:val="2"/>
          <w:szCs w:val="28"/>
          <w:highlight w:val="none"/>
          <w:lang w:eastAsia="zh-CN"/>
        </w:rPr>
        <w:t>.1</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w:t>
      </w:r>
      <w:r>
        <w:rPr>
          <w:rFonts w:hint="eastAsia" w:ascii="Times New Roman Regular" w:hAnsi="Times New Roman Regular" w:eastAsia="宋体" w:cs="Times New Roman Regular"/>
          <w:snapToGrid/>
          <w:color w:val="auto"/>
          <w:kern w:val="2"/>
          <w:szCs w:val="28"/>
          <w:highlight w:val="none"/>
          <w:lang w:eastAsia="zh-CN"/>
        </w:rPr>
        <w:t>勘探期间地下水赋存情况、渗透性</w:t>
      </w:r>
    </w:p>
    <w:p w14:paraId="5D8FDEE0">
      <w:pPr>
        <w:widowControl w:val="0"/>
        <w:kinsoku/>
        <w:autoSpaceDE/>
        <w:autoSpaceDN/>
        <w:spacing w:line="360" w:lineRule="auto"/>
        <w:ind w:firstLine="560" w:firstLineChars="200"/>
        <w:jc w:val="both"/>
        <w:textAlignment w:val="auto"/>
        <w:rPr>
          <w:rFonts w:hint="default" w:ascii="Times New Roman Regular" w:hAnsi="Times New Roman Regular" w:cs="Times New Roman Regular"/>
          <w:color w:val="auto"/>
          <w:sz w:val="28"/>
          <w:szCs w:val="28"/>
          <w:highlight w:val="none"/>
          <w:lang w:val="zh-CN" w:eastAsia="zh-CN"/>
        </w:rPr>
      </w:pPr>
      <w:r>
        <w:rPr>
          <w:rFonts w:hint="default" w:ascii="Times New Roman Regular" w:hAnsi="Times New Roman Regular" w:eastAsia="宋体" w:cs="Times New Roman Regular"/>
          <w:color w:val="auto"/>
          <w:sz w:val="28"/>
          <w:szCs w:val="28"/>
          <w:highlight w:val="none"/>
          <w:lang w:eastAsia="zh-CN"/>
        </w:rPr>
        <w:t>根据《工勘报告》，在勘察深度未见地下水，库区地形陡峻，有利于大气降水、地表水体的排泄，第四系厚度较薄且分布不广。库区碎石①层为中等透水，强风化花岗岩②层、中风化花岗岩③层为微透水层。综合判断该库区第①层碎石、第②层强风化花岗岩、第③层中风化花岗岩为相对隔水层。</w:t>
      </w:r>
    </w:p>
    <w:p w14:paraId="73661316">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"2.3.3.2"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2.3.</w:t>
      </w:r>
      <w:r>
        <w:rPr>
          <w:rFonts w:hint="eastAsia" w:ascii="Times New Roman Regular" w:hAnsi="Times New Roman Regular" w:eastAsia="宋体" w:cs="Times New Roman Regular"/>
          <w:snapToGrid/>
          <w:color w:val="auto"/>
          <w:kern w:val="2"/>
          <w:szCs w:val="28"/>
          <w:highlight w:val="none"/>
          <w:lang w:eastAsia="zh-CN"/>
        </w:rPr>
        <w:t>2</w:t>
      </w:r>
      <w:r>
        <w:rPr>
          <w:rFonts w:ascii="Times New Roman Regular" w:hAnsi="Times New Roman Regular" w:eastAsia="宋体" w:cs="Times New Roman Regular"/>
          <w:snapToGrid/>
          <w:color w:val="auto"/>
          <w:kern w:val="2"/>
          <w:szCs w:val="28"/>
          <w:highlight w:val="none"/>
          <w:lang w:eastAsia="zh-CN"/>
        </w:rPr>
        <w:t>.2</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w:t>
      </w:r>
      <w:r>
        <w:rPr>
          <w:rFonts w:hint="eastAsia" w:ascii="Times New Roman Regular" w:hAnsi="Times New Roman Regular" w:eastAsia="宋体" w:cs="Times New Roman Regular"/>
          <w:snapToGrid/>
          <w:color w:val="auto"/>
          <w:kern w:val="2"/>
          <w:szCs w:val="28"/>
          <w:highlight w:val="none"/>
          <w:lang w:val="zh-CN" w:eastAsia="zh-CN"/>
        </w:rPr>
        <w:t>地下水补给、径流和排泄条件</w:t>
      </w:r>
    </w:p>
    <w:p w14:paraId="2DF7306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本项目地处兴城河水系，项目西北方向5km为女儿河，以南7km为兴城河。项目与女儿河之间有山体相隔，与兴城河之间为一条狭长的平坦地带。女儿河和兴城河是区域内仅有的较大河流。河流全长均在35km以上，由分支汇聚大小不等的地表水，河流水量变化较大，据1957年9月测定为51.96～58.3m</w:t>
      </w:r>
      <w:r>
        <w:rPr>
          <w:rFonts w:hint="default" w:ascii="Times New Roman Regular" w:hAnsi="Times New Roman Regular" w:eastAsia="宋体" w:cs="Times New Roman Regular"/>
          <w:color w:val="auto"/>
          <w:sz w:val="28"/>
          <w:szCs w:val="28"/>
          <w:highlight w:val="none"/>
          <w:vertAlign w:val="superscript"/>
          <w:lang w:eastAsia="zh-CN"/>
        </w:rPr>
        <w:t>3</w:t>
      </w:r>
      <w:r>
        <w:rPr>
          <w:rFonts w:hint="default" w:ascii="Times New Roman Regular" w:hAnsi="Times New Roman Regular" w:eastAsia="宋体" w:cs="Times New Roman Regular"/>
          <w:color w:val="auto"/>
          <w:sz w:val="28"/>
          <w:szCs w:val="28"/>
          <w:highlight w:val="none"/>
          <w:lang w:eastAsia="zh-CN"/>
        </w:rPr>
        <w:t>/h。河水深度一般为0.2m～0.3m，最深达1.5m，河水随季节变化。</w:t>
      </w:r>
    </w:p>
    <w:p w14:paraId="7F097BC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本区位于丘陵区，处</w:t>
      </w:r>
      <w:r>
        <w:rPr>
          <w:rFonts w:hint="eastAsia" w:ascii="Times New Roman Regular" w:hAnsi="Times New Roman Regular" w:eastAsia="宋体" w:cs="Times New Roman Regular"/>
          <w:color w:val="auto"/>
          <w:sz w:val="28"/>
          <w:szCs w:val="28"/>
          <w:highlight w:val="none"/>
          <w:lang w:val="en-US" w:eastAsia="zh-CN"/>
        </w:rPr>
        <w:t>于</w:t>
      </w:r>
      <w:r>
        <w:rPr>
          <w:rFonts w:hint="default" w:ascii="Times New Roman Regular" w:hAnsi="Times New Roman Regular" w:eastAsia="宋体" w:cs="Times New Roman Regular"/>
          <w:color w:val="auto"/>
          <w:sz w:val="28"/>
          <w:szCs w:val="28"/>
          <w:highlight w:val="none"/>
          <w:lang w:eastAsia="zh-CN"/>
        </w:rPr>
        <w:t>地下水补给区地段，降水是地下水的唯一补给源，降水沿山坡迅速汇集谷底，大部分以地表径流方式排泄出区外，且年降水量少，季节分布不均，沟谷发育，径流条件好，使地下水接受补给受到影响。受气候条件控制，降水总量少，且年内分配不均，地下水动态随季节变化明显，动态变化较大。</w:t>
      </w:r>
    </w:p>
    <w:p w14:paraId="29DE1AE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据葫芦岛市气象局统计，</w:t>
      </w:r>
      <w:r>
        <w:rPr>
          <w:rFonts w:hint="eastAsia" w:ascii="Times New Roman Regular" w:hAnsi="Times New Roman Regular" w:eastAsia="宋体" w:cs="Times New Roman Regular"/>
          <w:color w:val="auto"/>
          <w:sz w:val="28"/>
          <w:szCs w:val="28"/>
          <w:highlight w:val="none"/>
          <w:lang w:eastAsia="zh-CN"/>
        </w:rPr>
        <w:t>截至</w:t>
      </w:r>
      <w:r>
        <w:rPr>
          <w:rFonts w:hint="default" w:ascii="Times New Roman Regular" w:hAnsi="Times New Roman Regular" w:eastAsia="宋体" w:cs="Times New Roman Regular"/>
          <w:color w:val="auto"/>
          <w:sz w:val="28"/>
          <w:szCs w:val="28"/>
          <w:highlight w:val="none"/>
          <w:lang w:eastAsia="zh-CN"/>
        </w:rPr>
        <w:t>2004年日降水量</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春季</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3月</w:t>
      </w:r>
      <w:r>
        <w:rPr>
          <w:rFonts w:hint="default" w:ascii="Times New Roman Regular" w:hAnsi="Times New Roman Regular" w:eastAsia="宋体" w:cs="Times New Roman Regular"/>
          <w:bCs/>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5月</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，平均降水量为83.5毫米；夏季</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6月</w:t>
      </w:r>
      <w:r>
        <w:rPr>
          <w:rFonts w:hint="default" w:ascii="Times New Roman Regular" w:hAnsi="Times New Roman Regular" w:eastAsia="宋体" w:cs="Times New Roman Regular"/>
          <w:bCs/>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8月</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平均降水量为196.3</w:t>
      </w:r>
      <w:r>
        <w:rPr>
          <w:rFonts w:hint="default" w:ascii="Times New Roman Regular" w:hAnsi="Times New Roman Regular" w:eastAsia="宋体" w:cs="Times New Roman Regular"/>
          <w:bCs/>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359.9毫米，为大暴雨；秋季</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9月</w:t>
      </w:r>
      <w:r>
        <w:rPr>
          <w:rFonts w:hint="default" w:ascii="Times New Roman Regular" w:hAnsi="Times New Roman Regular" w:eastAsia="宋体" w:cs="Times New Roman Regular"/>
          <w:bCs/>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11月</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降水量为47.6</w:t>
      </w:r>
      <w:r>
        <w:rPr>
          <w:rFonts w:hint="eastAsia"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eastAsia="zh-CN"/>
        </w:rPr>
        <w:t>111.3毫米；12月各地降水量为0.8～4.8毫米。</w:t>
      </w:r>
    </w:p>
    <w:p w14:paraId="48BB8801">
      <w:pPr>
        <w:keepNext w:val="0"/>
        <w:keepLines w:val="0"/>
        <w:pageBreakBefore w:val="0"/>
        <w:wordWrap/>
        <w:overflowPunct/>
        <w:topLinePunct w:val="0"/>
        <w:bidi w:val="0"/>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综上所述，确定本区水文地质条件简单。</w:t>
      </w:r>
    </w:p>
    <w:p w14:paraId="5D5D7803">
      <w:pPr>
        <w:pStyle w:val="4"/>
        <w:widowControl w:val="0"/>
        <w:kinsoku/>
        <w:autoSpaceDE/>
        <w:autoSpaceDN/>
        <w:adjustRightInd/>
        <w:snapToGrid/>
        <w:spacing w:before="60" w:after="60" w:line="360" w:lineRule="auto"/>
        <w:jc w:val="both"/>
        <w:textAlignment w:val="auto"/>
        <w:rPr>
          <w:rFonts w:hint="eastAsia" w:ascii="宋体" w:hAnsi="宋体" w:eastAsia="宋体" w:cs="宋体"/>
          <w:bCs/>
          <w:color w:val="auto"/>
          <w:spacing w:val="-3"/>
          <w:sz w:val="28"/>
          <w:szCs w:val="28"/>
          <w:highlight w:val="none"/>
          <w:lang w:eastAsia="zh-CN"/>
        </w:rPr>
      </w:pPr>
      <w:r>
        <w:rPr>
          <w:rFonts w:ascii="Times New Roman" w:hAnsi="Times New Roman" w:eastAsia="Times New Roman" w:cs="Times New Roman"/>
          <w:bCs/>
          <w:color w:val="auto"/>
          <w:spacing w:val="-3"/>
          <w:sz w:val="28"/>
          <w:szCs w:val="28"/>
          <w:highlight w:val="none"/>
          <w:lang w:eastAsia="zh-CN"/>
        </w:rPr>
        <w:t>2.3.</w:t>
      </w:r>
      <w:r>
        <w:rPr>
          <w:rFonts w:hint="eastAsia" w:ascii="Times New Roman" w:hAnsi="Times New Roman" w:eastAsia="Times New Roman" w:cs="Times New Roman"/>
          <w:bCs/>
          <w:color w:val="auto"/>
          <w:spacing w:val="-3"/>
          <w:sz w:val="28"/>
          <w:szCs w:val="28"/>
          <w:highlight w:val="none"/>
          <w:lang w:eastAsia="zh-CN"/>
        </w:rPr>
        <w:t>3</w:t>
      </w:r>
      <w:r>
        <w:rPr>
          <w:rFonts w:ascii="Times New Roman" w:hAnsi="Times New Roman" w:eastAsia="Times New Roman" w:cs="Times New Roman"/>
          <w:bCs/>
          <w:color w:val="auto"/>
          <w:spacing w:val="-3"/>
          <w:sz w:val="28"/>
          <w:szCs w:val="28"/>
          <w:highlight w:val="none"/>
          <w:lang w:eastAsia="zh-CN"/>
        </w:rPr>
        <w:t xml:space="preserve"> </w:t>
      </w:r>
      <w:r>
        <w:rPr>
          <w:rFonts w:hint="eastAsia" w:ascii="宋体" w:hAnsi="宋体" w:eastAsia="宋体" w:cs="宋体"/>
          <w:bCs/>
          <w:color w:val="auto"/>
          <w:spacing w:val="-3"/>
          <w:sz w:val="28"/>
          <w:szCs w:val="28"/>
          <w:highlight w:val="none"/>
          <w:lang w:eastAsia="zh-CN"/>
        </w:rPr>
        <w:t>工程</w:t>
      </w:r>
      <w:r>
        <w:rPr>
          <w:rFonts w:ascii="宋体" w:hAnsi="宋体" w:eastAsia="宋体" w:cs="宋体"/>
          <w:bCs/>
          <w:color w:val="auto"/>
          <w:spacing w:val="-3"/>
          <w:sz w:val="28"/>
          <w:szCs w:val="28"/>
          <w:highlight w:val="none"/>
          <w:lang w:eastAsia="zh-CN"/>
        </w:rPr>
        <w:t>地质条件</w:t>
      </w:r>
    </w:p>
    <w:p w14:paraId="65D1E94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本项目大地构造位于华北地台北缘燕山台褶带、燕辽沉陷带，辽西凹陷山海关至北镇隆起之接触带近隆起一侧，即八家子—杨家杖子构造岩浆活动带。区域上构造活动强烈，主要为断裂构造，近东西向断裂与北东向断裂交切形成“梯子状”构造格架。区域内褶皱构造不发育，区内地层由于受断裂构造的破坏和岩浆岩的侵蚀，使褶皱呈单斜形式产出，区域内的褶皱构造有笔架山向斜、哑鹿沟向斜等。</w:t>
      </w:r>
    </w:p>
    <w:p w14:paraId="40EF08A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区内出露的地层简单，主要有花岗岩及第四系。</w:t>
      </w:r>
    </w:p>
    <w:p w14:paraId="2D2AFF6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库区内岩浆岩十分发育，沉积岩底层仅为奥陶系，石灰系和二叠系花岗岩，区域构造以断裂为主，主要为岩浆岩。</w:t>
      </w:r>
    </w:p>
    <w:p w14:paraId="6594D00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库区地层分布特征如下：</w:t>
      </w:r>
    </w:p>
    <w:p w14:paraId="18FCC26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①碎石：黄褐色，稍湿，中密状态，母岩多为砂岩，一般粒径&gt;20mm的占60%，由中粗砂、粘性土充填。层厚0.50～1.40m，层底标高177.20～204.50m，层底埋深0.50～1.40m。</w:t>
      </w:r>
    </w:p>
    <w:p w14:paraId="33BAD5E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②强风化花岗岩：红褐色，矿物成分为长石、石英等，粒状结构，块状构造，层厚1.60～2.30m层底标高175.30～202.20m，层底埋深2.10～3.30m。</w:t>
      </w:r>
    </w:p>
    <w:p w14:paraId="21AD4C7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③中风化花岗岩：肉红色，矿物成分为长石、石英等，粒状结构，块状构造，揭露厚度5.60～6.50m，控制深度为7.90～9.40m。</w:t>
      </w:r>
    </w:p>
    <w:p w14:paraId="105A947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根据场地岩土的物理力学性质指标，结合地区经验，《工勘报告》确定的承载力特征值见表2.3-1。</w:t>
      </w:r>
    </w:p>
    <w:p w14:paraId="7DFE9E60">
      <w:pPr>
        <w:spacing w:line="400" w:lineRule="exact"/>
        <w:jc w:val="center"/>
        <w:rPr>
          <w:rFonts w:hint="eastAsia" w:ascii="黑体" w:hAnsi="黑体" w:eastAsia="黑体" w:cs="黑体"/>
          <w:bCs/>
          <w:color w:val="auto"/>
          <w:sz w:val="24"/>
          <w:highlight w:val="none"/>
          <w:lang w:eastAsia="zh-CN"/>
        </w:rPr>
      </w:pPr>
      <w:r>
        <w:rPr>
          <w:rFonts w:hint="eastAsia" w:ascii="黑体" w:hAnsi="黑体" w:eastAsia="黑体" w:cs="黑体"/>
          <w:bCs/>
          <w:color w:val="auto"/>
          <w:sz w:val="24"/>
          <w:highlight w:val="none"/>
          <w:lang w:eastAsia="zh-CN"/>
        </w:rPr>
        <w:t>表2.3-1  场地岩土层承载力特征值表</w:t>
      </w:r>
    </w:p>
    <w:tbl>
      <w:tblPr>
        <w:tblStyle w:val="21"/>
        <w:tblW w:w="47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6"/>
        <w:gridCol w:w="1814"/>
        <w:gridCol w:w="2131"/>
        <w:gridCol w:w="2131"/>
      </w:tblGrid>
      <w:tr w14:paraId="1D8CC498">
        <w:trPr>
          <w:trHeight w:val="599" w:hRule="atLeast"/>
          <w:jc w:val="center"/>
        </w:trPr>
        <w:tc>
          <w:tcPr>
            <w:tcW w:w="1268" w:type="pct"/>
            <w:vAlign w:val="center"/>
          </w:tcPr>
          <w:p w14:paraId="2C0EC076">
            <w:pPr>
              <w:widowControl w:val="0"/>
              <w:kinsoku/>
              <w:autoSpaceDE/>
              <w:autoSpaceDN/>
              <w:adjustRightInd/>
              <w:snapToGrid/>
              <w:spacing w:line="280" w:lineRule="exact"/>
              <w:jc w:val="center"/>
              <w:textAlignment w:val="auto"/>
              <w:rPr>
                <w:rFonts w:ascii="Times New Roman Regular" w:hAnsi="Times New Roman Regular" w:eastAsia="宋体" w:cs="Times New Roman Regular"/>
                <w:bCs/>
                <w:color w:val="auto"/>
                <w:highlight w:val="none"/>
              </w:rPr>
            </w:pPr>
            <w:r>
              <w:rPr>
                <w:rFonts w:ascii="Times New Roman Regular" w:hAnsi="Times New Roman Regular" w:eastAsia="宋体" w:cs="Times New Roman Regular"/>
                <w:bCs/>
                <w:color w:val="auto"/>
                <w:highlight w:val="none"/>
              </w:rPr>
              <w:t>土层名称</w:t>
            </w:r>
          </w:p>
        </w:tc>
        <w:tc>
          <w:tcPr>
            <w:tcW w:w="1113" w:type="pct"/>
            <w:vAlign w:val="center"/>
          </w:tcPr>
          <w:p w14:paraId="4CFA44CF">
            <w:pPr>
              <w:widowControl w:val="0"/>
              <w:kinsoku/>
              <w:autoSpaceDE/>
              <w:autoSpaceDN/>
              <w:adjustRightInd/>
              <w:snapToGrid/>
              <w:spacing w:line="280" w:lineRule="exact"/>
              <w:jc w:val="center"/>
              <w:textAlignment w:val="auto"/>
              <w:rPr>
                <w:rFonts w:ascii="Times New Roman Regular" w:hAnsi="Times New Roman Regular" w:eastAsia="宋体" w:cs="Times New Roman Regular"/>
                <w:bCs/>
                <w:color w:val="auto"/>
                <w:highlight w:val="none"/>
              </w:rPr>
            </w:pPr>
            <w:r>
              <w:rPr>
                <w:rFonts w:ascii="Times New Roman Regular" w:hAnsi="Times New Roman Regular" w:eastAsia="宋体" w:cs="Times New Roman Regular"/>
                <w:bCs/>
                <w:color w:val="auto"/>
                <w:highlight w:val="none"/>
              </w:rPr>
              <w:t>碎石</w:t>
            </w:r>
            <w:r>
              <w:rPr>
                <w:rFonts w:ascii="Times New Roman Regular" w:hAnsi="Times New Roman Regular" w:eastAsia="宋体" w:cs="Times New Roman Regular"/>
                <w:bCs/>
                <w:color w:val="auto"/>
                <w:highlight w:val="none"/>
              </w:rPr>
              <w:fldChar w:fldCharType="begin"/>
            </w:r>
            <w:r>
              <w:rPr>
                <w:rFonts w:ascii="Times New Roman Regular" w:hAnsi="Times New Roman Regular" w:eastAsia="宋体" w:cs="Times New Roman Regular"/>
                <w:bCs/>
                <w:color w:val="auto"/>
                <w:highlight w:val="none"/>
              </w:rPr>
              <w:instrText xml:space="preserve"> = 1 \* GB3 </w:instrText>
            </w:r>
            <w:r>
              <w:rPr>
                <w:rFonts w:ascii="Times New Roman Regular" w:hAnsi="Times New Roman Regular" w:eastAsia="宋体" w:cs="Times New Roman Regular"/>
                <w:bCs/>
                <w:color w:val="auto"/>
                <w:highlight w:val="none"/>
              </w:rPr>
              <w:fldChar w:fldCharType="separate"/>
            </w:r>
            <w:r>
              <w:rPr>
                <w:rFonts w:ascii="Times New Roman Regular" w:hAnsi="Times New Roman Regular" w:eastAsia="宋体" w:cs="Times New Roman Regular"/>
                <w:bCs/>
                <w:color w:val="auto"/>
                <w:highlight w:val="none"/>
              </w:rPr>
              <w:t>①</w:t>
            </w:r>
            <w:r>
              <w:rPr>
                <w:rFonts w:ascii="Times New Roman Regular" w:hAnsi="Times New Roman Regular" w:eastAsia="宋体" w:cs="Times New Roman Regular"/>
                <w:bCs/>
                <w:color w:val="auto"/>
                <w:highlight w:val="none"/>
              </w:rPr>
              <w:fldChar w:fldCharType="end"/>
            </w:r>
          </w:p>
        </w:tc>
        <w:tc>
          <w:tcPr>
            <w:tcW w:w="1308" w:type="pct"/>
            <w:vAlign w:val="center"/>
          </w:tcPr>
          <w:p w14:paraId="382EA027">
            <w:pPr>
              <w:widowControl w:val="0"/>
              <w:kinsoku/>
              <w:autoSpaceDE/>
              <w:autoSpaceDN/>
              <w:adjustRightInd/>
              <w:snapToGrid/>
              <w:spacing w:line="280" w:lineRule="exact"/>
              <w:jc w:val="center"/>
              <w:textAlignment w:val="auto"/>
              <w:rPr>
                <w:rFonts w:ascii="Times New Roman Regular" w:hAnsi="Times New Roman Regular" w:eastAsia="宋体" w:cs="Times New Roman Regular"/>
                <w:bCs/>
                <w:color w:val="auto"/>
                <w:highlight w:val="none"/>
              </w:rPr>
            </w:pPr>
            <w:r>
              <w:rPr>
                <w:rFonts w:ascii="Times New Roman Regular" w:hAnsi="Times New Roman Regular" w:eastAsia="宋体" w:cs="Times New Roman Regular"/>
                <w:bCs/>
                <w:color w:val="auto"/>
                <w:highlight w:val="none"/>
              </w:rPr>
              <w:t>强风化花岗岩</w:t>
            </w:r>
            <w:r>
              <w:rPr>
                <w:rFonts w:ascii="Times New Roman Regular" w:hAnsi="Times New Roman Regular" w:eastAsia="宋体" w:cs="Times New Roman Regular"/>
                <w:bCs/>
                <w:color w:val="auto"/>
                <w:highlight w:val="none"/>
              </w:rPr>
              <w:fldChar w:fldCharType="begin"/>
            </w:r>
            <w:r>
              <w:rPr>
                <w:rFonts w:ascii="Times New Roman Regular" w:hAnsi="Times New Roman Regular" w:eastAsia="宋体" w:cs="Times New Roman Regular"/>
                <w:bCs/>
                <w:color w:val="auto"/>
                <w:highlight w:val="none"/>
              </w:rPr>
              <w:instrText xml:space="preserve"> = 2 \* GB3 </w:instrText>
            </w:r>
            <w:r>
              <w:rPr>
                <w:rFonts w:ascii="Times New Roman Regular" w:hAnsi="Times New Roman Regular" w:eastAsia="宋体" w:cs="Times New Roman Regular"/>
                <w:bCs/>
                <w:color w:val="auto"/>
                <w:highlight w:val="none"/>
              </w:rPr>
              <w:fldChar w:fldCharType="separate"/>
            </w:r>
            <w:r>
              <w:rPr>
                <w:rFonts w:ascii="Times New Roman Regular" w:hAnsi="Times New Roman Regular" w:eastAsia="宋体" w:cs="Times New Roman Regular"/>
                <w:bCs/>
                <w:color w:val="auto"/>
                <w:highlight w:val="none"/>
              </w:rPr>
              <w:t>②</w:t>
            </w:r>
            <w:r>
              <w:rPr>
                <w:rFonts w:ascii="Times New Roman Regular" w:hAnsi="Times New Roman Regular" w:eastAsia="宋体" w:cs="Times New Roman Regular"/>
                <w:bCs/>
                <w:color w:val="auto"/>
                <w:highlight w:val="none"/>
              </w:rPr>
              <w:fldChar w:fldCharType="end"/>
            </w:r>
          </w:p>
        </w:tc>
        <w:tc>
          <w:tcPr>
            <w:tcW w:w="1308" w:type="pct"/>
            <w:vAlign w:val="center"/>
          </w:tcPr>
          <w:p w14:paraId="6FC2C1AC">
            <w:pPr>
              <w:widowControl w:val="0"/>
              <w:kinsoku/>
              <w:autoSpaceDE/>
              <w:autoSpaceDN/>
              <w:adjustRightInd/>
              <w:snapToGrid/>
              <w:spacing w:line="280" w:lineRule="exact"/>
              <w:jc w:val="center"/>
              <w:textAlignment w:val="auto"/>
              <w:rPr>
                <w:rFonts w:ascii="Times New Roman Regular" w:hAnsi="Times New Roman Regular" w:eastAsia="宋体" w:cs="Times New Roman Regular"/>
                <w:bCs/>
                <w:color w:val="auto"/>
                <w:highlight w:val="none"/>
              </w:rPr>
            </w:pPr>
            <w:r>
              <w:rPr>
                <w:rFonts w:ascii="Times New Roman Regular" w:hAnsi="Times New Roman Regular" w:eastAsia="宋体" w:cs="Times New Roman Regular"/>
                <w:bCs/>
                <w:color w:val="auto"/>
                <w:highlight w:val="none"/>
              </w:rPr>
              <w:t>中风化花岗岩</w:t>
            </w:r>
            <w:r>
              <w:rPr>
                <w:rFonts w:ascii="Times New Roman Regular" w:hAnsi="Times New Roman Regular" w:eastAsia="宋体" w:cs="Times New Roman Regular"/>
                <w:bCs/>
                <w:color w:val="auto"/>
                <w:highlight w:val="none"/>
              </w:rPr>
              <w:fldChar w:fldCharType="begin"/>
            </w:r>
            <w:r>
              <w:rPr>
                <w:rFonts w:ascii="Times New Roman Regular" w:hAnsi="Times New Roman Regular" w:eastAsia="宋体" w:cs="Times New Roman Regular"/>
                <w:bCs/>
                <w:color w:val="auto"/>
                <w:highlight w:val="none"/>
              </w:rPr>
              <w:instrText xml:space="preserve"> = 3 \* GB3 </w:instrText>
            </w:r>
            <w:r>
              <w:rPr>
                <w:rFonts w:ascii="Times New Roman Regular" w:hAnsi="Times New Roman Regular" w:eastAsia="宋体" w:cs="Times New Roman Regular"/>
                <w:bCs/>
                <w:color w:val="auto"/>
                <w:highlight w:val="none"/>
              </w:rPr>
              <w:fldChar w:fldCharType="separate"/>
            </w:r>
            <w:r>
              <w:rPr>
                <w:rFonts w:ascii="Times New Roman Regular" w:hAnsi="Times New Roman Regular" w:eastAsia="宋体" w:cs="Times New Roman Regular"/>
                <w:bCs/>
                <w:color w:val="auto"/>
                <w:highlight w:val="none"/>
              </w:rPr>
              <w:t>③</w:t>
            </w:r>
            <w:r>
              <w:rPr>
                <w:rFonts w:ascii="Times New Roman Regular" w:hAnsi="Times New Roman Regular" w:eastAsia="宋体" w:cs="Times New Roman Regular"/>
                <w:bCs/>
                <w:color w:val="auto"/>
                <w:highlight w:val="none"/>
              </w:rPr>
              <w:fldChar w:fldCharType="end"/>
            </w:r>
          </w:p>
        </w:tc>
      </w:tr>
      <w:tr w14:paraId="43D988C5">
        <w:trPr>
          <w:trHeight w:val="590" w:hRule="atLeast"/>
          <w:jc w:val="center"/>
        </w:trPr>
        <w:tc>
          <w:tcPr>
            <w:tcW w:w="1268" w:type="pct"/>
            <w:vAlign w:val="center"/>
          </w:tcPr>
          <w:p w14:paraId="3C5EBE48">
            <w:pPr>
              <w:widowControl w:val="0"/>
              <w:kinsoku/>
              <w:autoSpaceDE/>
              <w:autoSpaceDN/>
              <w:adjustRightInd/>
              <w:snapToGrid/>
              <w:spacing w:line="280" w:lineRule="exact"/>
              <w:jc w:val="center"/>
              <w:textAlignment w:val="auto"/>
              <w:rPr>
                <w:rFonts w:ascii="Times New Roman Regular" w:hAnsi="Times New Roman Regular" w:eastAsia="宋体" w:cs="Times New Roman Regular"/>
                <w:bCs/>
                <w:color w:val="auto"/>
                <w:highlight w:val="none"/>
              </w:rPr>
            </w:pPr>
            <w:r>
              <w:rPr>
                <w:rFonts w:ascii="Times New Roman Regular" w:hAnsi="Times New Roman Regular" w:eastAsia="宋体" w:cs="Times New Roman Regular"/>
                <w:bCs/>
                <w:color w:val="auto"/>
                <w:highlight w:val="none"/>
              </w:rPr>
              <w:t>承载力特征值</w:t>
            </w:r>
            <w:r>
              <w:rPr>
                <w:rFonts w:hint="eastAsia" w:ascii="Times New Roman Regular" w:hAnsi="Times New Roman Regular" w:eastAsia="宋体" w:cs="Times New Roman Regular"/>
                <w:bCs/>
                <w:color w:val="auto"/>
                <w:highlight w:val="none"/>
                <w:lang w:eastAsia="zh-CN"/>
              </w:rPr>
              <w:t>（</w:t>
            </w:r>
            <w:r>
              <w:rPr>
                <w:rFonts w:ascii="Times New Roman Regular" w:hAnsi="Times New Roman Regular" w:eastAsia="宋体" w:cs="Times New Roman Regular"/>
                <w:bCs/>
                <w:color w:val="auto"/>
                <w:highlight w:val="none"/>
              </w:rPr>
              <w:t>kPa</w:t>
            </w:r>
            <w:r>
              <w:rPr>
                <w:rFonts w:hint="eastAsia" w:ascii="Times New Roman Regular" w:hAnsi="Times New Roman Regular" w:eastAsia="宋体" w:cs="Times New Roman Regular"/>
                <w:bCs/>
                <w:color w:val="auto"/>
                <w:highlight w:val="none"/>
                <w:lang w:eastAsia="zh-CN"/>
              </w:rPr>
              <w:t>）</w:t>
            </w:r>
          </w:p>
        </w:tc>
        <w:tc>
          <w:tcPr>
            <w:tcW w:w="1113" w:type="pct"/>
            <w:vAlign w:val="center"/>
          </w:tcPr>
          <w:p w14:paraId="19B69970">
            <w:pPr>
              <w:widowControl w:val="0"/>
              <w:kinsoku/>
              <w:autoSpaceDE/>
              <w:autoSpaceDN/>
              <w:adjustRightInd/>
              <w:snapToGrid/>
              <w:spacing w:line="280" w:lineRule="exact"/>
              <w:jc w:val="center"/>
              <w:textAlignment w:val="auto"/>
              <w:rPr>
                <w:rFonts w:ascii="Times New Roman Regular" w:hAnsi="Times New Roman Regular" w:eastAsia="宋体" w:cs="Times New Roman Regular"/>
                <w:bCs/>
                <w:color w:val="auto"/>
                <w:highlight w:val="none"/>
              </w:rPr>
            </w:pPr>
            <w:r>
              <w:rPr>
                <w:rFonts w:ascii="Times New Roman Regular" w:hAnsi="Times New Roman Regular" w:eastAsia="宋体" w:cs="Times New Roman Regular"/>
                <w:bCs/>
                <w:color w:val="auto"/>
                <w:highlight w:val="none"/>
              </w:rPr>
              <w:t>360</w:t>
            </w:r>
          </w:p>
        </w:tc>
        <w:tc>
          <w:tcPr>
            <w:tcW w:w="1308" w:type="pct"/>
            <w:vAlign w:val="center"/>
          </w:tcPr>
          <w:p w14:paraId="0D2929E5">
            <w:pPr>
              <w:widowControl w:val="0"/>
              <w:kinsoku/>
              <w:autoSpaceDE/>
              <w:autoSpaceDN/>
              <w:adjustRightInd/>
              <w:snapToGrid/>
              <w:spacing w:line="280" w:lineRule="exact"/>
              <w:jc w:val="center"/>
              <w:textAlignment w:val="auto"/>
              <w:rPr>
                <w:rFonts w:ascii="Times New Roman Regular" w:hAnsi="Times New Roman Regular" w:eastAsia="宋体" w:cs="Times New Roman Regular"/>
                <w:bCs/>
                <w:color w:val="auto"/>
                <w:highlight w:val="none"/>
              </w:rPr>
            </w:pPr>
            <w:r>
              <w:rPr>
                <w:rFonts w:ascii="Times New Roman Regular" w:hAnsi="Times New Roman Regular" w:eastAsia="宋体" w:cs="Times New Roman Regular"/>
                <w:bCs/>
                <w:color w:val="auto"/>
                <w:highlight w:val="none"/>
              </w:rPr>
              <w:t>550</w:t>
            </w:r>
          </w:p>
        </w:tc>
        <w:tc>
          <w:tcPr>
            <w:tcW w:w="1308" w:type="pct"/>
            <w:vAlign w:val="center"/>
          </w:tcPr>
          <w:p w14:paraId="7F38DF40">
            <w:pPr>
              <w:widowControl w:val="0"/>
              <w:kinsoku/>
              <w:autoSpaceDE/>
              <w:autoSpaceDN/>
              <w:adjustRightInd/>
              <w:snapToGrid/>
              <w:spacing w:line="280" w:lineRule="exact"/>
              <w:jc w:val="center"/>
              <w:textAlignment w:val="auto"/>
              <w:rPr>
                <w:rFonts w:ascii="Times New Roman Regular" w:hAnsi="Times New Roman Regular" w:eastAsia="宋体" w:cs="Times New Roman Regular"/>
                <w:bCs/>
                <w:color w:val="auto"/>
                <w:highlight w:val="none"/>
              </w:rPr>
            </w:pPr>
            <w:r>
              <w:rPr>
                <w:rFonts w:ascii="Times New Roman Regular" w:hAnsi="Times New Roman Regular" w:eastAsia="宋体" w:cs="Times New Roman Regular"/>
                <w:bCs/>
                <w:color w:val="auto"/>
                <w:highlight w:val="none"/>
              </w:rPr>
              <w:t>2000</w:t>
            </w:r>
          </w:p>
        </w:tc>
      </w:tr>
    </w:tbl>
    <w:p w14:paraId="0B60C469">
      <w:pPr>
        <w:bidi w:val="0"/>
        <w:rPr>
          <w:color w:val="auto"/>
          <w:highlight w:val="none"/>
        </w:rPr>
      </w:pPr>
    </w:p>
    <w:p w14:paraId="1A5BB7A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通过调查及勘察揭露，在勘察深度内未见地下水，库区地形陡峻，有利于大气降水、地表水的排泄，第四系厚度较薄且分布不广。碎石层充填物为粘性土及中粗砂等，为中透水层；强、中风化花岗岩为微透水层。经过本次调查勘察，库区内未见滑坡、崩塌等不良地质作用。</w:t>
      </w:r>
    </w:p>
    <w:p w14:paraId="4BA059E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根据</w:t>
      </w:r>
      <w:r>
        <w:rPr>
          <w:rFonts w:hint="default" w:ascii="Times New Roman Regular" w:hAnsi="Times New Roman Regular" w:eastAsia="宋体" w:cs="Times New Roman Regular"/>
          <w:snapToGrid/>
          <w:color w:val="auto"/>
          <w:kern w:val="2"/>
          <w:sz w:val="28"/>
          <w:szCs w:val="28"/>
          <w:highlight w:val="none"/>
          <w:lang w:eastAsia="zh-CN"/>
        </w:rPr>
        <w:t>《建筑抗震设计标准[2024年版]》</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snapToGrid/>
          <w:color w:val="auto"/>
          <w:kern w:val="2"/>
          <w:sz w:val="28"/>
          <w:szCs w:val="28"/>
          <w:highlight w:val="none"/>
          <w:lang w:eastAsia="zh-CN"/>
        </w:rPr>
        <w:t>GB50011-2010</w:t>
      </w:r>
      <w:r>
        <w:rPr>
          <w:rFonts w:hint="eastAsia" w:ascii="Times New Roman Regular" w:hAnsi="Times New Roman Regular" w:eastAsia="宋体" w:cs="Times New Roman Regular"/>
          <w:snapToGrid/>
          <w:color w:val="auto"/>
          <w:kern w:val="2"/>
          <w:sz w:val="28"/>
          <w:szCs w:val="28"/>
          <w:highlight w:val="none"/>
          <w:lang w:eastAsia="zh-CN"/>
        </w:rPr>
        <w:t>）</w:t>
      </w:r>
      <w:r>
        <w:rPr>
          <w:rFonts w:hint="default" w:ascii="Times New Roman Regular" w:hAnsi="Times New Roman Regular" w:eastAsia="宋体" w:cs="Times New Roman Regular"/>
          <w:bCs/>
          <w:color w:val="auto"/>
          <w:sz w:val="28"/>
          <w:szCs w:val="28"/>
          <w:highlight w:val="none"/>
          <w:lang w:eastAsia="zh-CN"/>
        </w:rPr>
        <w:t>附录A：我国主要城镇抗震设防烈度、设计基本地震加速度值地震分组的规定，葫芦岛岳强矿业有限责任公司干堆尾矿库区属于抗震设防烈度为Ⅵ度，设计基本地震加速度值为0.05g。</w:t>
      </w:r>
    </w:p>
    <w:p w14:paraId="61A5D88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bCs/>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综上所述，确定本区工程地质条件简单。</w:t>
      </w:r>
    </w:p>
    <w:p w14:paraId="32704BD8">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61" w:name="bookmark20"/>
      <w:bookmarkEnd w:id="61"/>
      <w:bookmarkStart w:id="62" w:name="_Toc65111983"/>
      <w:bookmarkStart w:id="63" w:name="_Toc307"/>
      <w:r>
        <w:rPr>
          <w:rFonts w:ascii="Times New Roman Regular" w:hAnsi="Times New Roman Regular" w:eastAsia="黑体" w:cs="Times New Roman Regular"/>
          <w:snapToGrid/>
          <w:color w:val="auto"/>
          <w:kern w:val="2"/>
          <w:highlight w:val="none"/>
          <w:lang w:eastAsia="zh-CN"/>
        </w:rPr>
        <w:t>2.4 尾矿库设计概况</w:t>
      </w:r>
      <w:bookmarkEnd w:id="62"/>
      <w:bookmarkEnd w:id="63"/>
    </w:p>
    <w:p w14:paraId="191A7C0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bCs/>
          <w:color w:val="auto"/>
          <w:sz w:val="28"/>
          <w:szCs w:val="28"/>
          <w:highlight w:val="none"/>
          <w:lang w:eastAsia="zh-CN"/>
        </w:rPr>
        <w:t>《葫芦岛岳强矿业有限责任公司干堆尾矿库安全专篇</w:t>
      </w:r>
      <w:r>
        <w:rPr>
          <w:rFonts w:hint="default" w:ascii="Times New Roman Regular" w:hAnsi="Times New Roman Regular" w:eastAsia="宋体" w:cs="Times New Roman Regular"/>
          <w:color w:val="auto"/>
          <w:sz w:val="28"/>
          <w:szCs w:val="28"/>
          <w:highlight w:val="none"/>
          <w:lang w:eastAsia="zh-CN"/>
        </w:rPr>
        <w:t>》由</w:t>
      </w:r>
      <w:r>
        <w:rPr>
          <w:rFonts w:hint="default" w:ascii="Times New Roman Regular" w:hAnsi="Times New Roman Regular" w:eastAsia="宋体" w:cs="Times New Roman Regular"/>
          <w:bCs/>
          <w:color w:val="auto"/>
          <w:sz w:val="28"/>
          <w:szCs w:val="28"/>
          <w:highlight w:val="none"/>
          <w:lang w:eastAsia="zh-CN"/>
        </w:rPr>
        <w:t>河北宏达绿洲工程设计有限公司</w:t>
      </w:r>
      <w:r>
        <w:rPr>
          <w:rFonts w:hint="default" w:ascii="Times New Roman Regular" w:hAnsi="Times New Roman Regular" w:eastAsia="宋体" w:cs="Times New Roman Regular"/>
          <w:color w:val="auto"/>
          <w:sz w:val="28"/>
          <w:szCs w:val="28"/>
          <w:highlight w:val="none"/>
          <w:lang w:eastAsia="zh-CN"/>
        </w:rPr>
        <w:t>2012年10月编制。其主要内容如下：</w:t>
      </w:r>
    </w:p>
    <w:p w14:paraId="2814FB3A">
      <w:pPr>
        <w:pStyle w:val="4"/>
        <w:widowControl w:val="0"/>
        <w:kinsoku/>
        <w:autoSpaceDE/>
        <w:autoSpaceDN/>
        <w:adjustRightInd/>
        <w:snapToGrid/>
        <w:spacing w:before="60" w:after="60" w:line="360" w:lineRule="auto"/>
        <w:jc w:val="both"/>
        <w:textAlignment w:val="auto"/>
        <w:rPr>
          <w:rFonts w:hint="eastAsia" w:ascii="宋体" w:hAnsi="宋体" w:eastAsia="宋体" w:cs="宋体"/>
          <w:bCs/>
          <w:color w:val="auto"/>
          <w:spacing w:val="-3"/>
          <w:sz w:val="28"/>
          <w:szCs w:val="28"/>
          <w:highlight w:val="none"/>
          <w:lang w:eastAsia="zh-CN"/>
        </w:rPr>
      </w:pPr>
      <w:r>
        <w:rPr>
          <w:rFonts w:ascii="Times New Roman" w:hAnsi="Times New Roman" w:eastAsia="Times New Roman" w:cs="Times New Roman"/>
          <w:bCs/>
          <w:color w:val="auto"/>
          <w:spacing w:val="-3"/>
          <w:sz w:val="28"/>
          <w:szCs w:val="28"/>
          <w:highlight w:val="none"/>
          <w:lang w:eastAsia="zh-CN"/>
        </w:rPr>
        <w:t xml:space="preserve">2.4.1 </w:t>
      </w:r>
      <w:r>
        <w:rPr>
          <w:rFonts w:ascii="宋体" w:hAnsi="宋体" w:eastAsia="宋体" w:cs="宋体"/>
          <w:bCs/>
          <w:color w:val="auto"/>
          <w:spacing w:val="-3"/>
          <w:sz w:val="28"/>
          <w:szCs w:val="28"/>
          <w:highlight w:val="none"/>
          <w:lang w:eastAsia="zh-CN"/>
        </w:rPr>
        <w:t>尾矿坝</w:t>
      </w:r>
      <w:r>
        <w:rPr>
          <w:rFonts w:hint="eastAsia" w:ascii="宋体" w:hAnsi="宋体" w:eastAsia="宋体" w:cs="宋体"/>
          <w:bCs/>
          <w:color w:val="auto"/>
          <w:spacing w:val="-3"/>
          <w:sz w:val="28"/>
          <w:szCs w:val="28"/>
          <w:highlight w:val="none"/>
          <w:lang w:eastAsia="zh-CN"/>
        </w:rPr>
        <w:t>设计</w:t>
      </w:r>
    </w:p>
    <w:p w14:paraId="5ACC04E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bCs/>
          <w:color w:val="auto"/>
          <w:sz w:val="28"/>
          <w:szCs w:val="28"/>
          <w:highlight w:val="none"/>
          <w:lang w:eastAsia="zh-CN"/>
        </w:rPr>
      </w:pPr>
    </w:p>
    <w:p w14:paraId="5FE57F70">
      <w:pPr>
        <w:pStyle w:val="4"/>
        <w:widowControl w:val="0"/>
        <w:kinsoku/>
        <w:autoSpaceDE/>
        <w:autoSpaceDN/>
        <w:adjustRightInd/>
        <w:snapToGrid/>
        <w:spacing w:before="60" w:after="60" w:line="360" w:lineRule="auto"/>
        <w:jc w:val="both"/>
        <w:textAlignment w:val="auto"/>
        <w:rPr>
          <w:rFonts w:hint="eastAsia" w:ascii="宋体" w:hAnsi="宋体" w:eastAsia="宋体" w:cs="宋体"/>
          <w:bCs/>
          <w:color w:val="auto"/>
          <w:spacing w:val="-3"/>
          <w:sz w:val="28"/>
          <w:szCs w:val="28"/>
          <w:highlight w:val="none"/>
          <w:lang w:eastAsia="zh-CN"/>
        </w:rPr>
      </w:pPr>
      <w:r>
        <w:rPr>
          <w:rFonts w:ascii="Times New Roman" w:hAnsi="Times New Roman" w:eastAsia="Times New Roman" w:cs="Times New Roman"/>
          <w:bCs/>
          <w:color w:val="auto"/>
          <w:spacing w:val="-3"/>
          <w:sz w:val="28"/>
          <w:szCs w:val="28"/>
          <w:highlight w:val="none"/>
          <w:lang w:eastAsia="zh-CN"/>
        </w:rPr>
        <w:t>2.4.</w:t>
      </w:r>
      <w:r>
        <w:rPr>
          <w:rFonts w:hint="eastAsia" w:ascii="Times New Roman" w:hAnsi="Times New Roman" w:eastAsia="Times New Roman" w:cs="Times New Roman"/>
          <w:bCs/>
          <w:color w:val="auto"/>
          <w:spacing w:val="-3"/>
          <w:sz w:val="28"/>
          <w:szCs w:val="28"/>
          <w:highlight w:val="none"/>
          <w:lang w:eastAsia="zh-CN"/>
        </w:rPr>
        <w:t>2</w:t>
      </w:r>
      <w:r>
        <w:rPr>
          <w:rFonts w:ascii="Times New Roman" w:hAnsi="Times New Roman" w:eastAsia="Times New Roman" w:cs="Times New Roman"/>
          <w:bCs/>
          <w:color w:val="auto"/>
          <w:spacing w:val="-3"/>
          <w:sz w:val="28"/>
          <w:szCs w:val="28"/>
          <w:highlight w:val="none"/>
          <w:lang w:eastAsia="zh-CN"/>
        </w:rPr>
        <w:t xml:space="preserve"> </w:t>
      </w:r>
      <w:r>
        <w:rPr>
          <w:rFonts w:hint="eastAsia" w:ascii="宋体" w:hAnsi="宋体" w:eastAsia="宋体" w:cs="宋体"/>
          <w:bCs/>
          <w:color w:val="auto"/>
          <w:spacing w:val="-3"/>
          <w:sz w:val="28"/>
          <w:szCs w:val="28"/>
          <w:highlight w:val="none"/>
          <w:lang w:eastAsia="zh-CN"/>
        </w:rPr>
        <w:t>尾矿库库区排洪系统设计</w:t>
      </w:r>
    </w:p>
    <w:p w14:paraId="4B830099">
      <w:pPr>
        <w:pStyle w:val="17"/>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firstLine="560" w:firstLineChars="200"/>
        <w:jc w:val="both"/>
        <w:textAlignment w:val="auto"/>
        <w:rPr>
          <w:rFonts w:ascii="Times New Roman Regular" w:hAnsi="Times New Roman Regular" w:eastAsia="宋体" w:cs="Times New Roman Regular"/>
          <w:color w:val="auto"/>
          <w:sz w:val="28"/>
          <w:szCs w:val="28"/>
          <w:highlight w:val="none"/>
          <w:lang w:eastAsia="zh-CN"/>
        </w:rPr>
      </w:pPr>
    </w:p>
    <w:p w14:paraId="7BBAD38E">
      <w:pPr>
        <w:pStyle w:val="4"/>
        <w:widowControl w:val="0"/>
        <w:kinsoku/>
        <w:autoSpaceDE/>
        <w:autoSpaceDN/>
        <w:adjustRightInd/>
        <w:snapToGrid/>
        <w:spacing w:before="60" w:after="60" w:line="360" w:lineRule="auto"/>
        <w:jc w:val="both"/>
        <w:textAlignment w:val="auto"/>
        <w:rPr>
          <w:rFonts w:hint="eastAsia" w:ascii="宋体" w:hAnsi="宋体" w:eastAsia="宋体" w:cs="宋体"/>
          <w:bCs/>
          <w:color w:val="auto"/>
          <w:spacing w:val="-3"/>
          <w:sz w:val="28"/>
          <w:szCs w:val="28"/>
          <w:highlight w:val="none"/>
          <w:lang w:eastAsia="zh-CN"/>
        </w:rPr>
      </w:pPr>
      <w:r>
        <w:rPr>
          <w:rFonts w:ascii="Times New Roman" w:hAnsi="Times New Roman" w:eastAsia="Times New Roman" w:cs="Times New Roman"/>
          <w:bCs/>
          <w:color w:val="auto"/>
          <w:spacing w:val="-3"/>
          <w:sz w:val="28"/>
          <w:szCs w:val="28"/>
          <w:highlight w:val="none"/>
          <w:lang w:eastAsia="zh-CN"/>
        </w:rPr>
        <w:t>2.4.</w:t>
      </w:r>
      <w:r>
        <w:rPr>
          <w:rFonts w:hint="eastAsia" w:ascii="Times New Roman" w:hAnsi="Times New Roman" w:eastAsia="Times New Roman" w:cs="Times New Roman"/>
          <w:bCs/>
          <w:color w:val="auto"/>
          <w:spacing w:val="-3"/>
          <w:sz w:val="28"/>
          <w:szCs w:val="28"/>
          <w:highlight w:val="none"/>
          <w:lang w:eastAsia="zh-CN"/>
        </w:rPr>
        <w:t>3</w:t>
      </w:r>
      <w:r>
        <w:rPr>
          <w:rFonts w:ascii="Times New Roman" w:hAnsi="Times New Roman" w:eastAsia="Times New Roman" w:cs="Times New Roman"/>
          <w:bCs/>
          <w:color w:val="auto"/>
          <w:spacing w:val="-3"/>
          <w:sz w:val="28"/>
          <w:szCs w:val="28"/>
          <w:highlight w:val="none"/>
          <w:lang w:eastAsia="zh-CN"/>
        </w:rPr>
        <w:t xml:space="preserve"> </w:t>
      </w:r>
      <w:r>
        <w:rPr>
          <w:rFonts w:hint="eastAsia" w:ascii="宋体" w:hAnsi="宋体" w:eastAsia="宋体" w:cs="宋体"/>
          <w:bCs/>
          <w:color w:val="auto"/>
          <w:spacing w:val="-3"/>
          <w:sz w:val="28"/>
          <w:szCs w:val="28"/>
          <w:highlight w:val="none"/>
          <w:lang w:eastAsia="zh-CN"/>
        </w:rPr>
        <w:t>安全监测设施</w:t>
      </w:r>
    </w:p>
    <w:p w14:paraId="7C18C30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ascii="Times New Roman Regular" w:hAnsi="Times New Roman Regular" w:eastAsia="宋体" w:cs="Times New Roman Regular"/>
          <w:color w:val="auto"/>
          <w:sz w:val="28"/>
          <w:szCs w:val="28"/>
          <w:highlight w:val="none"/>
          <w:lang w:eastAsia="zh-CN"/>
        </w:rPr>
      </w:pPr>
    </w:p>
    <w:p w14:paraId="6691A080">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64" w:name="bookmark22"/>
      <w:bookmarkEnd w:id="64"/>
      <w:bookmarkStart w:id="65" w:name="_Toc1267921958"/>
      <w:bookmarkStart w:id="66" w:name="_Toc24294"/>
      <w:r>
        <w:rPr>
          <w:rFonts w:ascii="Times New Roman Regular" w:hAnsi="Times New Roman Regular" w:eastAsia="黑体" w:cs="Times New Roman Regular"/>
          <w:snapToGrid/>
          <w:color w:val="auto"/>
          <w:kern w:val="2"/>
          <w:highlight w:val="none"/>
          <w:lang w:eastAsia="zh-CN"/>
        </w:rPr>
        <w:t>2.5 尾矿库现状</w:t>
      </w:r>
      <w:bookmarkEnd w:id="65"/>
      <w:bookmarkEnd w:id="66"/>
    </w:p>
    <w:p w14:paraId="7BC73D64">
      <w:pPr>
        <w:pStyle w:val="4"/>
        <w:widowControl w:val="0"/>
        <w:kinsoku/>
        <w:autoSpaceDE/>
        <w:autoSpaceDN/>
        <w:adjustRightInd/>
        <w:snapToGrid/>
        <w:spacing w:before="60" w:after="60" w:line="360" w:lineRule="auto"/>
        <w:jc w:val="both"/>
        <w:textAlignment w:val="auto"/>
        <w:rPr>
          <w:rFonts w:hint="eastAsia" w:ascii="黑体" w:hAnsi="黑体" w:eastAsia="黑体" w:cs="黑体"/>
          <w:color w:val="auto"/>
          <w:sz w:val="28"/>
          <w:szCs w:val="28"/>
          <w:highlight w:val="none"/>
          <w:lang w:eastAsia="zh-CN"/>
        </w:rPr>
      </w:pPr>
      <w:bookmarkStart w:id="67" w:name="_Toc8094"/>
      <w:bookmarkStart w:id="68" w:name="_Toc31332"/>
      <w:bookmarkStart w:id="69" w:name="_Toc9726"/>
      <w:r>
        <w:rPr>
          <w:rFonts w:ascii="Times New Roman" w:hAnsi="Times New Roman" w:eastAsia="Times New Roman" w:cs="Times New Roman"/>
          <w:bCs/>
          <w:color w:val="auto"/>
          <w:spacing w:val="-3"/>
          <w:sz w:val="28"/>
          <w:szCs w:val="28"/>
          <w:highlight w:val="none"/>
          <w:lang w:eastAsia="zh-CN"/>
        </w:rPr>
        <w:t xml:space="preserve">2.5.1 </w:t>
      </w:r>
      <w:r>
        <w:rPr>
          <w:rFonts w:ascii="黑体" w:hAnsi="黑体" w:eastAsia="黑体" w:cs="黑体"/>
          <w:bCs/>
          <w:color w:val="auto"/>
          <w:spacing w:val="-3"/>
          <w:sz w:val="28"/>
          <w:szCs w:val="28"/>
          <w:highlight w:val="none"/>
          <w:lang w:eastAsia="zh-CN"/>
        </w:rPr>
        <w:t>库址与周边环境</w:t>
      </w:r>
      <w:bookmarkEnd w:id="67"/>
      <w:bookmarkEnd w:id="68"/>
      <w:bookmarkEnd w:id="69"/>
    </w:p>
    <w:p w14:paraId="7F9A47A7">
      <w:pPr>
        <w:widowControl w:val="0"/>
        <w:kinsoku/>
        <w:autoSpaceDE/>
        <w:autoSpaceDN/>
        <w:spacing w:line="360" w:lineRule="auto"/>
        <w:ind w:firstLine="560" w:firstLineChars="200"/>
        <w:textAlignment w:val="auto"/>
        <w:rPr>
          <w:rFonts w:hint="default" w:ascii="Times New Roman Regular" w:hAnsi="Times New Roman Regular" w:eastAsia="宋体" w:cs="Times New Roman Regular"/>
          <w:color w:val="auto"/>
          <w:sz w:val="28"/>
          <w:szCs w:val="28"/>
          <w:highlight w:val="none"/>
          <w:lang w:eastAsia="zh-CN"/>
        </w:rPr>
      </w:pPr>
    </w:p>
    <w:p w14:paraId="56541269">
      <w:pPr>
        <w:spacing w:line="240" w:lineRule="auto"/>
        <w:ind w:firstLine="600" w:firstLineChars="200"/>
        <w:jc w:val="left"/>
        <w:rPr>
          <w:rFonts w:ascii="宋体" w:hAnsi="宋体" w:eastAsia="宋体" w:cs="宋体"/>
          <w:color w:val="auto"/>
          <w:sz w:val="30"/>
          <w:szCs w:val="30"/>
          <w:highlight w:val="none"/>
        </w:rPr>
      </w:pPr>
    </w:p>
    <w:p w14:paraId="3409F276">
      <w:pPr>
        <w:spacing w:line="360" w:lineRule="auto"/>
        <w:jc w:val="center"/>
        <w:rPr>
          <w:rFonts w:hint="eastAsia" w:ascii="黑体" w:hAnsi="黑体" w:eastAsia="黑体" w:cs="黑体"/>
          <w:bCs/>
          <w:color w:val="auto"/>
          <w:sz w:val="24"/>
          <w:highlight w:val="none"/>
          <w:lang w:val="zh-CN" w:eastAsia="zh-CN"/>
        </w:rPr>
      </w:pPr>
      <w:r>
        <w:rPr>
          <w:rFonts w:hint="eastAsia" w:ascii="黑体" w:hAnsi="黑体" w:eastAsia="黑体" w:cs="黑体"/>
          <w:bCs/>
          <w:color w:val="auto"/>
          <w:sz w:val="24"/>
          <w:highlight w:val="none"/>
          <w:lang w:val="zh-CN" w:eastAsia="zh-CN"/>
        </w:rPr>
        <w:t xml:space="preserve">图2.5-1 </w:t>
      </w:r>
      <w:r>
        <w:rPr>
          <w:rFonts w:hint="eastAsia" w:ascii="黑体" w:hAnsi="黑体" w:eastAsia="黑体" w:cs="黑体"/>
          <w:bCs/>
          <w:color w:val="auto"/>
          <w:sz w:val="24"/>
          <w:highlight w:val="none"/>
          <w:lang w:eastAsia="zh-CN"/>
        </w:rPr>
        <w:t xml:space="preserve"> </w:t>
      </w:r>
      <w:r>
        <w:rPr>
          <w:rFonts w:hint="eastAsia" w:ascii="黑体" w:hAnsi="黑体" w:eastAsia="黑体" w:cs="黑体"/>
          <w:bCs/>
          <w:color w:val="auto"/>
          <w:sz w:val="24"/>
          <w:highlight w:val="none"/>
          <w:lang w:val="zh-CN" w:eastAsia="zh-CN"/>
        </w:rPr>
        <w:t>尾矿库卫星图</w:t>
      </w:r>
    </w:p>
    <w:p w14:paraId="3DD467D7">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70" w:name="_Toc17499"/>
      <w:bookmarkStart w:id="71" w:name="_Toc13639"/>
      <w:bookmarkStart w:id="72" w:name="_Toc23153"/>
      <w:r>
        <w:rPr>
          <w:rFonts w:ascii="Times New Roman" w:hAnsi="Times New Roman" w:eastAsia="Times New Roman" w:cs="Times New Roman"/>
          <w:bCs/>
          <w:color w:val="auto"/>
          <w:spacing w:val="-3"/>
          <w:sz w:val="28"/>
          <w:szCs w:val="28"/>
          <w:highlight w:val="none"/>
          <w:lang w:eastAsia="zh-CN"/>
        </w:rPr>
        <w:t xml:space="preserve">2.5.2 </w:t>
      </w:r>
      <w:r>
        <w:rPr>
          <w:rFonts w:ascii="宋体" w:hAnsi="宋体" w:eastAsia="宋体" w:cs="宋体"/>
          <w:bCs/>
          <w:color w:val="auto"/>
          <w:spacing w:val="-3"/>
          <w:sz w:val="28"/>
          <w:szCs w:val="28"/>
          <w:highlight w:val="none"/>
          <w:lang w:eastAsia="zh-CN"/>
        </w:rPr>
        <w:t>库容、等别及建设标准</w:t>
      </w:r>
      <w:bookmarkEnd w:id="70"/>
      <w:bookmarkEnd w:id="71"/>
      <w:bookmarkEnd w:id="72"/>
    </w:p>
    <w:p w14:paraId="7B400D74">
      <w:pPr>
        <w:bidi w:val="0"/>
      </w:pPr>
      <w:bookmarkStart w:id="73" w:name="_Toc21708"/>
      <w:bookmarkStart w:id="74" w:name="_Toc8306"/>
      <w:bookmarkStart w:id="75" w:name="_Toc27621"/>
    </w:p>
    <w:p w14:paraId="604D69F3">
      <w:pPr>
        <w:pStyle w:val="4"/>
        <w:widowControl w:val="0"/>
        <w:kinsoku/>
        <w:autoSpaceDE/>
        <w:autoSpaceDN/>
        <w:adjustRightInd/>
        <w:snapToGrid/>
        <w:spacing w:before="60" w:after="60" w:line="360" w:lineRule="auto"/>
        <w:jc w:val="both"/>
        <w:textAlignment w:val="auto"/>
        <w:rPr>
          <w:rFonts w:hint="eastAsia" w:ascii="宋体" w:hAnsi="宋体" w:eastAsia="宋体" w:cs="宋体"/>
          <w:bCs/>
          <w:color w:val="auto"/>
          <w:spacing w:val="-3"/>
          <w:sz w:val="28"/>
          <w:szCs w:val="28"/>
          <w:highlight w:val="none"/>
          <w:lang w:eastAsia="zh-CN"/>
        </w:rPr>
      </w:pPr>
      <w:r>
        <w:rPr>
          <w:rFonts w:ascii="Times New Roman" w:hAnsi="Times New Roman" w:eastAsia="Times New Roman" w:cs="Times New Roman"/>
          <w:bCs/>
          <w:color w:val="auto"/>
          <w:spacing w:val="-3"/>
          <w:sz w:val="28"/>
          <w:szCs w:val="28"/>
          <w:highlight w:val="none"/>
        </w:rPr>
        <w:t xml:space="preserve">2.5.3 </w:t>
      </w:r>
      <w:r>
        <w:rPr>
          <w:rFonts w:ascii="宋体" w:hAnsi="宋体" w:eastAsia="宋体" w:cs="宋体"/>
          <w:bCs/>
          <w:color w:val="auto"/>
          <w:spacing w:val="-3"/>
          <w:sz w:val="28"/>
          <w:szCs w:val="28"/>
          <w:highlight w:val="none"/>
        </w:rPr>
        <w:t>尾矿</w:t>
      </w:r>
      <w:bookmarkEnd w:id="73"/>
      <w:bookmarkEnd w:id="74"/>
      <w:bookmarkEnd w:id="75"/>
      <w:r>
        <w:rPr>
          <w:rFonts w:hint="eastAsia" w:ascii="宋体" w:hAnsi="宋体" w:eastAsia="宋体" w:cs="宋体"/>
          <w:bCs/>
          <w:color w:val="auto"/>
          <w:spacing w:val="-3"/>
          <w:sz w:val="28"/>
          <w:szCs w:val="28"/>
          <w:highlight w:val="none"/>
          <w:lang w:val="en-US" w:eastAsia="zh-CN"/>
        </w:rPr>
        <w:t>坝</w:t>
      </w:r>
    </w:p>
    <w:p w14:paraId="1EADAD7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ascii="Times New Roman" w:hAnsi="Times New Roman" w:eastAsia="宋体" w:cs="Times New Roman"/>
          <w:color w:val="auto"/>
          <w:sz w:val="28"/>
          <w:szCs w:val="28"/>
          <w:highlight w:val="none"/>
          <w:lang w:eastAsia="zh-CN"/>
        </w:rPr>
      </w:pPr>
    </w:p>
    <w:p w14:paraId="4F61377B">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snapToGrid/>
          <w:color w:val="auto"/>
          <w:kern w:val="2"/>
          <w:szCs w:val="28"/>
          <w:highlight w:val="none"/>
          <w:lang w:eastAsia="zh-CN"/>
        </w:rPr>
      </w:pPr>
      <w:r>
        <w:rPr>
          <w:rFonts w:hint="eastAsia" w:ascii="Times New Roman Regular" w:hAnsi="Times New Roman Regular" w:eastAsia="宋体" w:cs="Times New Roman Regular"/>
          <w:snapToGrid/>
          <w:color w:val="auto"/>
          <w:kern w:val="2"/>
          <w:szCs w:val="28"/>
          <w:highlight w:val="none"/>
          <w:lang w:eastAsia="zh-CN"/>
        </w:rPr>
        <w:t>2.5.3.</w:t>
      </w:r>
      <w:r>
        <w:rPr>
          <w:rFonts w:hint="eastAsia" w:ascii="Times New Roman Regular" w:hAnsi="Times New Roman Regular" w:eastAsia="宋体" w:cs="Times New Roman Regular"/>
          <w:snapToGrid/>
          <w:color w:val="auto"/>
          <w:kern w:val="2"/>
          <w:szCs w:val="28"/>
          <w:highlight w:val="none"/>
          <w:lang w:val="en-US" w:eastAsia="zh-CN"/>
        </w:rPr>
        <w:t>1初期</w:t>
      </w:r>
      <w:r>
        <w:rPr>
          <w:rFonts w:hint="eastAsia" w:ascii="Times New Roman Regular" w:hAnsi="Times New Roman Regular" w:eastAsia="宋体" w:cs="Times New Roman Regular"/>
          <w:snapToGrid/>
          <w:color w:val="auto"/>
          <w:kern w:val="2"/>
          <w:szCs w:val="28"/>
          <w:highlight w:val="none"/>
          <w:lang w:eastAsia="zh-CN"/>
        </w:rPr>
        <w:t>坝现状</w:t>
      </w:r>
    </w:p>
    <w:p w14:paraId="5F9A58A7">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Times New Roman" w:hAnsi="Times New Roman" w:eastAsia="宋体" w:cs="Times New Roman"/>
          <w:color w:val="auto"/>
          <w:sz w:val="28"/>
          <w:szCs w:val="28"/>
          <w:highlight w:val="none"/>
          <w:lang w:val="en-US" w:eastAsia="zh-CN"/>
        </w:rPr>
      </w:pPr>
    </w:p>
    <w:p w14:paraId="57798AE0">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snapToGrid/>
          <w:color w:val="auto"/>
          <w:kern w:val="2"/>
          <w:szCs w:val="28"/>
          <w:highlight w:val="none"/>
          <w:lang w:eastAsia="zh-CN"/>
        </w:rPr>
      </w:pPr>
      <w:r>
        <w:rPr>
          <w:rFonts w:ascii="Times New Roman Regular" w:hAnsi="Times New Roman Regular" w:eastAsia="宋体" w:cs="Times New Roman Regular"/>
          <w:snapToGrid/>
          <w:color w:val="auto"/>
          <w:kern w:val="2"/>
          <w:szCs w:val="28"/>
          <w:highlight w:val="none"/>
          <w:lang w:eastAsia="zh-CN"/>
        </w:rPr>
        <w:t>2.5.3.</w:t>
      </w:r>
      <w:r>
        <w:rPr>
          <w:rFonts w:hint="eastAsia" w:ascii="Times New Roman Regular" w:hAnsi="Times New Roman Regular" w:eastAsia="宋体" w:cs="Times New Roman Regular"/>
          <w:snapToGrid/>
          <w:color w:val="auto"/>
          <w:kern w:val="2"/>
          <w:szCs w:val="28"/>
          <w:highlight w:val="none"/>
          <w:lang w:val="en-US" w:eastAsia="zh-CN"/>
        </w:rPr>
        <w:t>2堆积</w:t>
      </w:r>
      <w:r>
        <w:rPr>
          <w:rFonts w:hint="eastAsia" w:ascii="Times New Roman Regular" w:hAnsi="Times New Roman Regular" w:eastAsia="宋体" w:cs="Times New Roman Regular"/>
          <w:snapToGrid/>
          <w:color w:val="auto"/>
          <w:kern w:val="2"/>
          <w:szCs w:val="28"/>
          <w:highlight w:val="none"/>
          <w:lang w:eastAsia="zh-CN"/>
        </w:rPr>
        <w:t>坝现状</w:t>
      </w:r>
    </w:p>
    <w:p w14:paraId="3F47D8E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ascii="Times New Roman" w:hAnsi="Times New Roman" w:eastAsia="宋体" w:cs="Times New Roman"/>
          <w:color w:val="auto"/>
          <w:sz w:val="28"/>
          <w:szCs w:val="28"/>
          <w:highlight w:val="none"/>
          <w:lang w:eastAsia="zh-CN"/>
        </w:rPr>
      </w:pPr>
    </w:p>
    <w:p w14:paraId="42582441">
      <w:pPr>
        <w:rPr>
          <w:rFonts w:ascii="Times New Roman" w:hAnsi="Times New Roman" w:eastAsia="宋体" w:cs="Times New Roman"/>
          <w:color w:val="auto"/>
          <w:sz w:val="28"/>
          <w:szCs w:val="28"/>
          <w:highlight w:val="none"/>
          <w:lang w:eastAsia="zh-CN"/>
        </w:rPr>
      </w:pPr>
    </w:p>
    <w:p w14:paraId="4A739666">
      <w:pPr>
        <w:spacing w:line="360" w:lineRule="auto"/>
        <w:jc w:val="center"/>
        <w:rPr>
          <w:rFonts w:hint="eastAsia" w:ascii="黑体" w:hAnsi="黑体" w:eastAsia="黑体" w:cs="黑体"/>
          <w:bCs/>
          <w:color w:val="auto"/>
          <w:sz w:val="24"/>
          <w:highlight w:val="none"/>
          <w:lang w:val="zh-CN" w:eastAsia="zh-CN"/>
        </w:rPr>
      </w:pPr>
      <w:r>
        <w:rPr>
          <w:rFonts w:hint="eastAsia" w:ascii="黑体" w:hAnsi="黑体" w:eastAsia="黑体" w:cs="黑体"/>
          <w:bCs/>
          <w:color w:val="auto"/>
          <w:sz w:val="24"/>
          <w:highlight w:val="none"/>
          <w:lang w:val="zh-CN" w:eastAsia="zh-CN"/>
        </w:rPr>
        <w:t>图</w:t>
      </w:r>
      <w:r>
        <w:rPr>
          <w:rFonts w:hint="eastAsia" w:ascii="黑体" w:hAnsi="黑体" w:eastAsia="黑体" w:cs="黑体"/>
          <w:bCs/>
          <w:color w:val="auto"/>
          <w:sz w:val="24"/>
          <w:highlight w:val="none"/>
          <w:lang w:eastAsia="zh-CN"/>
        </w:rPr>
        <w:t>2.5</w:t>
      </w:r>
      <w:r>
        <w:rPr>
          <w:rFonts w:hint="eastAsia" w:ascii="黑体" w:hAnsi="黑体" w:eastAsia="黑体" w:cs="黑体"/>
          <w:bCs/>
          <w:color w:val="auto"/>
          <w:sz w:val="24"/>
          <w:highlight w:val="none"/>
          <w:lang w:val="zh-CN" w:eastAsia="zh-CN"/>
        </w:rPr>
        <w:t>-</w:t>
      </w:r>
      <w:r>
        <w:rPr>
          <w:rFonts w:hint="eastAsia" w:ascii="黑体" w:hAnsi="黑体" w:eastAsia="黑体" w:cs="黑体"/>
          <w:bCs/>
          <w:color w:val="auto"/>
          <w:sz w:val="24"/>
          <w:highlight w:val="none"/>
          <w:lang w:val="en-US" w:eastAsia="zh-CN"/>
        </w:rPr>
        <w:t>2</w:t>
      </w:r>
      <w:r>
        <w:rPr>
          <w:rFonts w:hint="eastAsia" w:ascii="黑体" w:hAnsi="黑体" w:eastAsia="黑体" w:cs="黑体"/>
          <w:bCs/>
          <w:color w:val="auto"/>
          <w:sz w:val="24"/>
          <w:highlight w:val="none"/>
          <w:lang w:eastAsia="zh-CN"/>
        </w:rPr>
        <w:t xml:space="preserve">  </w:t>
      </w:r>
      <w:r>
        <w:rPr>
          <w:rFonts w:hint="eastAsia" w:ascii="黑体" w:hAnsi="黑体" w:eastAsia="黑体" w:cs="黑体"/>
          <w:bCs/>
          <w:color w:val="auto"/>
          <w:sz w:val="24"/>
          <w:highlight w:val="none"/>
          <w:lang w:val="zh-CN" w:eastAsia="zh-CN"/>
        </w:rPr>
        <w:t>尾矿坝外坡</w:t>
      </w:r>
    </w:p>
    <w:p w14:paraId="547C93AD">
      <w:pPr>
        <w:rPr>
          <w:rFonts w:ascii="Times New Roman" w:hAnsi="Times New Roman" w:eastAsia="宋体" w:cs="Times New Roman"/>
          <w:color w:val="auto"/>
          <w:sz w:val="28"/>
          <w:szCs w:val="28"/>
          <w:highlight w:val="none"/>
          <w:lang w:eastAsia="zh-CN"/>
        </w:rPr>
      </w:pPr>
    </w:p>
    <w:p w14:paraId="4A3A2BE3">
      <w:pPr>
        <w:spacing w:line="360" w:lineRule="auto"/>
        <w:jc w:val="center"/>
        <w:rPr>
          <w:rFonts w:hint="eastAsia" w:ascii="黑体" w:hAnsi="黑体" w:eastAsia="黑体" w:cs="黑体"/>
          <w:bCs/>
          <w:color w:val="auto"/>
          <w:sz w:val="24"/>
          <w:highlight w:val="none"/>
          <w:lang w:val="zh-CN" w:eastAsia="zh-CN"/>
        </w:rPr>
      </w:pPr>
      <w:r>
        <w:rPr>
          <w:rFonts w:hint="eastAsia" w:ascii="黑体" w:hAnsi="黑体" w:eastAsia="黑体" w:cs="黑体"/>
          <w:bCs/>
          <w:color w:val="auto"/>
          <w:sz w:val="24"/>
          <w:highlight w:val="none"/>
          <w:lang w:val="zh-CN" w:eastAsia="zh-CN"/>
        </w:rPr>
        <w:t>图</w:t>
      </w:r>
      <w:r>
        <w:rPr>
          <w:rFonts w:hint="eastAsia" w:ascii="黑体" w:hAnsi="黑体" w:eastAsia="黑体" w:cs="黑体"/>
          <w:bCs/>
          <w:color w:val="auto"/>
          <w:sz w:val="24"/>
          <w:highlight w:val="none"/>
          <w:lang w:eastAsia="zh-CN"/>
        </w:rPr>
        <w:t>2.5</w:t>
      </w:r>
      <w:r>
        <w:rPr>
          <w:rFonts w:hint="eastAsia" w:ascii="黑体" w:hAnsi="黑体" w:eastAsia="黑体" w:cs="黑体"/>
          <w:bCs/>
          <w:color w:val="auto"/>
          <w:sz w:val="24"/>
          <w:highlight w:val="none"/>
          <w:lang w:val="zh-CN" w:eastAsia="zh-CN"/>
        </w:rPr>
        <w:t>-</w:t>
      </w:r>
      <w:r>
        <w:rPr>
          <w:rFonts w:hint="eastAsia" w:ascii="黑体" w:hAnsi="黑体" w:eastAsia="黑体" w:cs="黑体"/>
          <w:bCs/>
          <w:color w:val="auto"/>
          <w:sz w:val="24"/>
          <w:highlight w:val="none"/>
          <w:lang w:val="en-US" w:eastAsia="zh-CN"/>
        </w:rPr>
        <w:t>3</w:t>
      </w:r>
      <w:r>
        <w:rPr>
          <w:rFonts w:hint="eastAsia" w:ascii="黑体" w:hAnsi="黑体" w:eastAsia="黑体" w:cs="黑体"/>
          <w:bCs/>
          <w:color w:val="auto"/>
          <w:sz w:val="24"/>
          <w:highlight w:val="none"/>
          <w:lang w:eastAsia="zh-CN"/>
        </w:rPr>
        <w:t xml:space="preserve">  </w:t>
      </w:r>
      <w:r>
        <w:rPr>
          <w:rFonts w:hint="eastAsia" w:ascii="黑体" w:hAnsi="黑体" w:eastAsia="黑体" w:cs="黑体"/>
          <w:bCs/>
          <w:color w:val="auto"/>
          <w:sz w:val="24"/>
          <w:highlight w:val="none"/>
          <w:lang w:val="zh-CN" w:eastAsia="zh-CN"/>
        </w:rPr>
        <w:t>尾矿库坝顶</w:t>
      </w:r>
    </w:p>
    <w:p w14:paraId="0C7CBF93">
      <w:pPr>
        <w:pStyle w:val="19"/>
        <w:ind w:left="0" w:leftChars="0" w:firstLine="0" w:firstLineChars="0"/>
        <w:jc w:val="center"/>
        <w:rPr>
          <w:color w:val="auto"/>
          <w:highlight w:val="none"/>
        </w:rPr>
      </w:pPr>
    </w:p>
    <w:p w14:paraId="5969E363">
      <w:pPr>
        <w:spacing w:line="360" w:lineRule="auto"/>
        <w:jc w:val="center"/>
        <w:rPr>
          <w:rFonts w:hint="eastAsia" w:ascii="黑体" w:hAnsi="黑体" w:eastAsia="黑体" w:cs="黑体"/>
          <w:bCs/>
          <w:color w:val="auto"/>
          <w:sz w:val="24"/>
          <w:highlight w:val="none"/>
          <w:lang w:val="zh-CN" w:eastAsia="zh-CN"/>
        </w:rPr>
      </w:pPr>
      <w:r>
        <w:rPr>
          <w:rFonts w:hint="eastAsia" w:ascii="黑体" w:hAnsi="黑体" w:eastAsia="黑体" w:cs="黑体"/>
          <w:bCs/>
          <w:color w:val="auto"/>
          <w:sz w:val="24"/>
          <w:highlight w:val="none"/>
          <w:lang w:val="zh-CN" w:eastAsia="zh-CN"/>
        </w:rPr>
        <w:t>图2</w:t>
      </w:r>
      <w:r>
        <w:rPr>
          <w:rFonts w:hint="eastAsia" w:ascii="黑体" w:hAnsi="黑体" w:eastAsia="黑体" w:cs="黑体"/>
          <w:bCs/>
          <w:color w:val="auto"/>
          <w:sz w:val="24"/>
          <w:highlight w:val="none"/>
          <w:lang w:eastAsia="zh-CN"/>
        </w:rPr>
        <w:t>.5</w:t>
      </w:r>
      <w:r>
        <w:rPr>
          <w:rFonts w:hint="eastAsia" w:ascii="黑体" w:hAnsi="黑体" w:eastAsia="黑体" w:cs="黑体"/>
          <w:bCs/>
          <w:color w:val="auto"/>
          <w:sz w:val="24"/>
          <w:highlight w:val="none"/>
          <w:lang w:val="zh-CN" w:eastAsia="zh-CN"/>
        </w:rPr>
        <w:t>-</w:t>
      </w:r>
      <w:r>
        <w:rPr>
          <w:rFonts w:hint="eastAsia" w:ascii="黑体" w:hAnsi="黑体" w:eastAsia="黑体" w:cs="黑体"/>
          <w:bCs/>
          <w:color w:val="auto"/>
          <w:sz w:val="24"/>
          <w:highlight w:val="none"/>
          <w:lang w:val="en-US" w:eastAsia="zh-CN"/>
        </w:rPr>
        <w:t>4</w:t>
      </w:r>
      <w:r>
        <w:rPr>
          <w:rFonts w:hint="eastAsia" w:ascii="黑体" w:hAnsi="黑体" w:eastAsia="黑体" w:cs="黑体"/>
          <w:bCs/>
          <w:color w:val="auto"/>
          <w:sz w:val="24"/>
          <w:highlight w:val="none"/>
          <w:lang w:eastAsia="zh-CN"/>
        </w:rPr>
        <w:t xml:space="preserve">  堆积坝坝顶排水沟</w:t>
      </w:r>
    </w:p>
    <w:p w14:paraId="34B28DB7">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76" w:name="_Toc21541"/>
      <w:bookmarkStart w:id="77" w:name="_Toc25265"/>
      <w:bookmarkStart w:id="78" w:name="_Toc29648"/>
      <w:r>
        <w:rPr>
          <w:rFonts w:ascii="Times New Roman" w:hAnsi="Times New Roman" w:eastAsia="Times New Roman" w:cs="Times New Roman"/>
          <w:bCs/>
          <w:color w:val="auto"/>
          <w:spacing w:val="-3"/>
          <w:sz w:val="28"/>
          <w:szCs w:val="28"/>
          <w:highlight w:val="none"/>
          <w:lang w:eastAsia="zh-CN"/>
        </w:rPr>
        <w:t xml:space="preserve">2.5.4 </w:t>
      </w:r>
      <w:r>
        <w:rPr>
          <w:rFonts w:ascii="宋体" w:hAnsi="宋体" w:eastAsia="宋体" w:cs="宋体"/>
          <w:bCs/>
          <w:color w:val="auto"/>
          <w:spacing w:val="-3"/>
          <w:sz w:val="28"/>
          <w:szCs w:val="28"/>
          <w:highlight w:val="none"/>
          <w:lang w:eastAsia="zh-CN"/>
        </w:rPr>
        <w:t>排洪系统</w:t>
      </w:r>
      <w:bookmarkEnd w:id="76"/>
      <w:bookmarkEnd w:id="77"/>
      <w:bookmarkEnd w:id="78"/>
    </w:p>
    <w:p w14:paraId="295A638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Times New Roman Regular" w:hAnsi="Times New Roman Regular" w:eastAsia="宋体" w:cs="Times New Roman Regular"/>
          <w:color w:val="auto"/>
          <w:sz w:val="28"/>
          <w:szCs w:val="28"/>
          <w:highlight w:val="none"/>
          <w:lang w:eastAsia="zh-CN"/>
        </w:rPr>
      </w:pPr>
    </w:p>
    <w:p w14:paraId="55EA1B2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color w:val="auto"/>
          <w:sz w:val="28"/>
          <w:szCs w:val="28"/>
          <w:highlight w:val="none"/>
          <w:lang w:eastAsia="zh-CN"/>
        </w:rPr>
      </w:pPr>
      <w:r>
        <w:rPr>
          <w:rFonts w:ascii="Times New Roman Regular" w:hAnsi="Times New Roman Regular" w:eastAsia="宋体" w:cs="Times New Roman Regular"/>
          <w:color w:val="auto"/>
          <w:sz w:val="28"/>
          <w:szCs w:val="28"/>
          <w:highlight w:val="none"/>
          <w:lang w:eastAsia="zh-CN"/>
        </w:rPr>
        <w:t>排水井如图2.5-</w:t>
      </w:r>
      <w:r>
        <w:rPr>
          <w:rFonts w:hint="eastAsia" w:ascii="Times New Roman Regular" w:hAnsi="Times New Roman Regular" w:eastAsia="宋体" w:cs="Times New Roman Regular"/>
          <w:color w:val="auto"/>
          <w:sz w:val="28"/>
          <w:szCs w:val="28"/>
          <w:highlight w:val="none"/>
          <w:lang w:val="en-US" w:eastAsia="zh-CN"/>
        </w:rPr>
        <w:t>5</w:t>
      </w:r>
      <w:r>
        <w:rPr>
          <w:rFonts w:ascii="Times New Roman Regular" w:hAnsi="Times New Roman Regular" w:eastAsia="宋体" w:cs="Times New Roman Regular"/>
          <w:color w:val="auto"/>
          <w:sz w:val="28"/>
          <w:szCs w:val="28"/>
          <w:highlight w:val="none"/>
          <w:lang w:eastAsia="zh-CN"/>
        </w:rPr>
        <w:t>、图2.5-</w:t>
      </w:r>
      <w:r>
        <w:rPr>
          <w:rFonts w:hint="eastAsia" w:ascii="Times New Roman Regular" w:hAnsi="Times New Roman Regular" w:eastAsia="宋体" w:cs="Times New Roman Regular"/>
          <w:color w:val="auto"/>
          <w:sz w:val="28"/>
          <w:szCs w:val="28"/>
          <w:highlight w:val="none"/>
          <w:lang w:val="en-US" w:eastAsia="zh-CN"/>
        </w:rPr>
        <w:t>6</w:t>
      </w:r>
      <w:r>
        <w:rPr>
          <w:rFonts w:ascii="Times New Roman Regular" w:hAnsi="Times New Roman Regular" w:eastAsia="宋体" w:cs="Times New Roman Regular"/>
          <w:color w:val="auto"/>
          <w:sz w:val="28"/>
          <w:szCs w:val="28"/>
          <w:highlight w:val="none"/>
          <w:lang w:eastAsia="zh-CN"/>
        </w:rPr>
        <w:t>所示。</w:t>
      </w:r>
    </w:p>
    <w:p w14:paraId="11213A88">
      <w:pPr>
        <w:spacing w:line="360" w:lineRule="auto"/>
        <w:jc w:val="center"/>
        <w:rPr>
          <w:rFonts w:hint="eastAsia" w:ascii="黑体" w:hAnsi="黑体" w:eastAsia="黑体" w:cs="黑体"/>
          <w:bCs/>
          <w:color w:val="auto"/>
          <w:sz w:val="24"/>
          <w:highlight w:val="none"/>
          <w:lang w:eastAsia="zh-CN"/>
        </w:rPr>
      </w:pPr>
      <w:r>
        <w:rPr>
          <w:rFonts w:hint="eastAsia" w:ascii="黑体" w:hAnsi="黑体" w:eastAsia="黑体" w:cs="黑体"/>
          <w:bCs/>
          <w:color w:val="auto"/>
          <w:sz w:val="24"/>
          <w:highlight w:val="none"/>
          <w:lang w:eastAsia="zh-CN"/>
        </w:rPr>
        <w:t>图2.5-</w:t>
      </w:r>
      <w:r>
        <w:rPr>
          <w:rFonts w:hint="eastAsia" w:ascii="黑体" w:hAnsi="黑体" w:eastAsia="黑体" w:cs="黑体"/>
          <w:bCs/>
          <w:color w:val="auto"/>
          <w:sz w:val="24"/>
          <w:highlight w:val="none"/>
          <w:lang w:val="en-US" w:eastAsia="zh-CN"/>
        </w:rPr>
        <w:t>5</w:t>
      </w:r>
      <w:r>
        <w:rPr>
          <w:rFonts w:hint="eastAsia" w:ascii="黑体" w:hAnsi="黑体" w:eastAsia="黑体" w:cs="黑体"/>
          <w:bCs/>
          <w:color w:val="auto"/>
          <w:sz w:val="24"/>
          <w:highlight w:val="none"/>
          <w:lang w:eastAsia="zh-CN"/>
        </w:rPr>
        <w:t xml:space="preserve">  排水井1</w:t>
      </w:r>
    </w:p>
    <w:p w14:paraId="231E7ABA">
      <w:pPr>
        <w:rPr>
          <w:rFonts w:hint="eastAsia" w:ascii="宋体" w:hAnsi="宋体" w:eastAsia="宋体" w:cs="宋体"/>
          <w:color w:val="auto"/>
          <w:sz w:val="28"/>
          <w:szCs w:val="28"/>
          <w:highlight w:val="none"/>
          <w:lang w:eastAsia="zh-CN"/>
        </w:rPr>
      </w:pPr>
    </w:p>
    <w:p w14:paraId="635706B0">
      <w:pPr>
        <w:spacing w:line="360" w:lineRule="auto"/>
        <w:jc w:val="center"/>
        <w:rPr>
          <w:rFonts w:hint="eastAsia" w:ascii="黑体" w:hAnsi="黑体" w:eastAsia="黑体" w:cs="黑体"/>
          <w:bCs/>
          <w:color w:val="auto"/>
          <w:sz w:val="24"/>
          <w:highlight w:val="none"/>
          <w:lang w:val="zh-CN" w:eastAsia="zh-CN"/>
        </w:rPr>
      </w:pPr>
      <w:r>
        <w:rPr>
          <w:rFonts w:hint="eastAsia" w:ascii="黑体" w:hAnsi="黑体" w:eastAsia="黑体" w:cs="黑体"/>
          <w:bCs/>
          <w:color w:val="auto"/>
          <w:sz w:val="24"/>
          <w:highlight w:val="none"/>
          <w:lang w:eastAsia="zh-CN"/>
        </w:rPr>
        <w:t>图2.5-</w:t>
      </w:r>
      <w:r>
        <w:rPr>
          <w:rFonts w:hint="eastAsia" w:ascii="黑体" w:hAnsi="黑体" w:eastAsia="黑体" w:cs="黑体"/>
          <w:bCs/>
          <w:color w:val="auto"/>
          <w:sz w:val="24"/>
          <w:highlight w:val="none"/>
          <w:lang w:val="en-US" w:eastAsia="zh-CN"/>
        </w:rPr>
        <w:t>6</w:t>
      </w:r>
      <w:r>
        <w:rPr>
          <w:rFonts w:hint="eastAsia" w:ascii="黑体" w:hAnsi="黑体" w:eastAsia="黑体" w:cs="黑体"/>
          <w:bCs/>
          <w:color w:val="auto"/>
          <w:sz w:val="24"/>
          <w:highlight w:val="none"/>
          <w:lang w:eastAsia="zh-CN"/>
        </w:rPr>
        <w:t xml:space="preserve">  排水井2</w:t>
      </w:r>
    </w:p>
    <w:p w14:paraId="1CA874F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sz w:val="28"/>
          <w:szCs w:val="28"/>
          <w:highlight w:val="none"/>
          <w:lang w:eastAsia="zh-CN"/>
        </w:rPr>
      </w:pPr>
    </w:p>
    <w:p w14:paraId="059BF835">
      <w:pPr>
        <w:pStyle w:val="19"/>
        <w:ind w:left="0" w:leftChars="0" w:firstLine="0" w:firstLineChars="0"/>
        <w:jc w:val="center"/>
        <w:rPr>
          <w:rFonts w:hint="eastAsia" w:ascii="宋体" w:hAnsi="宋体" w:cs="宋体"/>
          <w:color w:val="auto"/>
          <w:kern w:val="0"/>
          <w:sz w:val="28"/>
          <w:szCs w:val="28"/>
          <w:highlight w:val="none"/>
        </w:rPr>
      </w:pPr>
    </w:p>
    <w:p w14:paraId="4B8DBFE0">
      <w:pPr>
        <w:spacing w:line="360" w:lineRule="auto"/>
        <w:jc w:val="center"/>
        <w:rPr>
          <w:rFonts w:hint="eastAsia" w:ascii="黑体" w:hAnsi="黑体" w:eastAsia="黑体" w:cs="黑体"/>
          <w:bCs/>
          <w:color w:val="auto"/>
          <w:sz w:val="24"/>
          <w:highlight w:val="none"/>
          <w:lang w:val="zh-CN" w:eastAsia="zh-CN"/>
        </w:rPr>
      </w:pPr>
      <w:r>
        <w:rPr>
          <w:rFonts w:hint="eastAsia" w:ascii="黑体" w:hAnsi="黑体" w:eastAsia="黑体" w:cs="黑体"/>
          <w:bCs/>
          <w:color w:val="auto"/>
          <w:sz w:val="24"/>
          <w:highlight w:val="none"/>
          <w:lang w:val="zh-CN" w:eastAsia="zh-CN"/>
        </w:rPr>
        <w:t>图</w:t>
      </w:r>
      <w:r>
        <w:rPr>
          <w:rFonts w:hint="eastAsia" w:ascii="黑体" w:hAnsi="黑体" w:eastAsia="黑体" w:cs="黑体"/>
          <w:bCs/>
          <w:color w:val="auto"/>
          <w:sz w:val="24"/>
          <w:highlight w:val="none"/>
          <w:lang w:eastAsia="zh-CN"/>
        </w:rPr>
        <w:t>2.5</w:t>
      </w:r>
      <w:r>
        <w:rPr>
          <w:rFonts w:hint="eastAsia" w:ascii="黑体" w:hAnsi="黑体" w:eastAsia="黑体" w:cs="黑体"/>
          <w:bCs/>
          <w:color w:val="auto"/>
          <w:sz w:val="24"/>
          <w:highlight w:val="none"/>
          <w:lang w:val="zh-CN" w:eastAsia="zh-CN"/>
        </w:rPr>
        <w:t>-</w:t>
      </w:r>
      <w:r>
        <w:rPr>
          <w:rFonts w:hint="eastAsia" w:ascii="黑体" w:hAnsi="黑体" w:eastAsia="黑体" w:cs="黑体"/>
          <w:bCs/>
          <w:color w:val="auto"/>
          <w:sz w:val="24"/>
          <w:highlight w:val="none"/>
          <w:lang w:val="en-US" w:eastAsia="zh-CN"/>
        </w:rPr>
        <w:t>7</w:t>
      </w:r>
      <w:r>
        <w:rPr>
          <w:rFonts w:hint="eastAsia" w:ascii="黑体" w:hAnsi="黑体" w:eastAsia="黑体" w:cs="黑体"/>
          <w:bCs/>
          <w:color w:val="auto"/>
          <w:sz w:val="24"/>
          <w:highlight w:val="none"/>
          <w:lang w:eastAsia="zh-CN"/>
        </w:rPr>
        <w:t xml:space="preserve">  东侧</w:t>
      </w:r>
      <w:r>
        <w:rPr>
          <w:rFonts w:hint="eastAsia" w:ascii="黑体" w:hAnsi="黑体" w:eastAsia="黑体" w:cs="黑体"/>
          <w:bCs/>
          <w:color w:val="auto"/>
          <w:sz w:val="24"/>
          <w:highlight w:val="none"/>
          <w:lang w:val="zh-CN" w:eastAsia="zh-CN"/>
        </w:rPr>
        <w:t>溢洪道（截洪沟）</w:t>
      </w:r>
    </w:p>
    <w:p w14:paraId="5A862A1B">
      <w:pPr>
        <w:rPr>
          <w:color w:val="auto"/>
          <w:highlight w:val="none"/>
        </w:rPr>
      </w:pPr>
    </w:p>
    <w:p w14:paraId="680A2BC4">
      <w:pPr>
        <w:spacing w:line="360" w:lineRule="auto"/>
        <w:jc w:val="center"/>
        <w:rPr>
          <w:rFonts w:hint="eastAsia" w:ascii="黑体" w:hAnsi="黑体" w:eastAsia="黑体" w:cs="黑体"/>
          <w:bCs/>
          <w:color w:val="auto"/>
          <w:sz w:val="24"/>
          <w:highlight w:val="none"/>
          <w:lang w:eastAsia="zh-CN"/>
        </w:rPr>
      </w:pPr>
      <w:r>
        <w:rPr>
          <w:rFonts w:hint="eastAsia" w:ascii="黑体" w:hAnsi="黑体" w:eastAsia="黑体" w:cs="黑体"/>
          <w:bCs/>
          <w:color w:val="auto"/>
          <w:sz w:val="24"/>
          <w:highlight w:val="none"/>
          <w:lang w:val="zh-CN" w:eastAsia="zh-CN"/>
        </w:rPr>
        <w:t>图2</w:t>
      </w:r>
      <w:r>
        <w:rPr>
          <w:rFonts w:hint="eastAsia" w:ascii="黑体" w:hAnsi="黑体" w:eastAsia="黑体" w:cs="黑体"/>
          <w:bCs/>
          <w:color w:val="auto"/>
          <w:sz w:val="24"/>
          <w:highlight w:val="none"/>
          <w:lang w:eastAsia="zh-CN"/>
        </w:rPr>
        <w:t>.5</w:t>
      </w:r>
      <w:r>
        <w:rPr>
          <w:rFonts w:hint="eastAsia" w:ascii="黑体" w:hAnsi="黑体" w:eastAsia="黑体" w:cs="黑体"/>
          <w:bCs/>
          <w:color w:val="auto"/>
          <w:sz w:val="24"/>
          <w:highlight w:val="none"/>
          <w:lang w:val="zh-CN" w:eastAsia="zh-CN"/>
        </w:rPr>
        <w:t>-</w:t>
      </w:r>
      <w:r>
        <w:rPr>
          <w:rFonts w:hint="eastAsia" w:ascii="黑体" w:hAnsi="黑体" w:eastAsia="黑体" w:cs="黑体"/>
          <w:bCs/>
          <w:color w:val="auto"/>
          <w:sz w:val="24"/>
          <w:highlight w:val="none"/>
          <w:lang w:val="en-US" w:eastAsia="zh-CN"/>
        </w:rPr>
        <w:t>8</w:t>
      </w:r>
      <w:r>
        <w:rPr>
          <w:rFonts w:hint="eastAsia" w:ascii="黑体" w:hAnsi="黑体" w:eastAsia="黑体" w:cs="黑体"/>
          <w:bCs/>
          <w:color w:val="auto"/>
          <w:sz w:val="24"/>
          <w:highlight w:val="none"/>
          <w:lang w:eastAsia="zh-CN"/>
        </w:rPr>
        <w:t xml:space="preserve">  西侧坝肩排水沟（</w:t>
      </w:r>
      <w:r>
        <w:rPr>
          <w:rFonts w:hint="eastAsia" w:ascii="黑体" w:hAnsi="黑体" w:eastAsia="黑体" w:cs="黑体"/>
          <w:bCs/>
          <w:color w:val="auto"/>
          <w:sz w:val="24"/>
          <w:highlight w:val="none"/>
          <w:lang w:val="zh-CN" w:eastAsia="zh-CN"/>
        </w:rPr>
        <w:t>截洪沟</w:t>
      </w:r>
      <w:r>
        <w:rPr>
          <w:rFonts w:hint="eastAsia" w:ascii="黑体" w:hAnsi="黑体" w:eastAsia="黑体" w:cs="黑体"/>
          <w:bCs/>
          <w:color w:val="auto"/>
          <w:sz w:val="24"/>
          <w:highlight w:val="none"/>
          <w:lang w:eastAsia="zh-CN"/>
        </w:rPr>
        <w:t>）</w:t>
      </w:r>
    </w:p>
    <w:p w14:paraId="67C0CFC4">
      <w:pPr>
        <w:keepNext w:val="0"/>
        <w:keepLines w:val="0"/>
        <w:pageBreakBefore w:val="0"/>
        <w:wordWrap/>
        <w:overflowPunct/>
        <w:topLinePunct w:val="0"/>
        <w:bidi w:val="0"/>
        <w:adjustRightInd w:val="0"/>
        <w:snapToGrid w:val="0"/>
        <w:spacing w:line="360" w:lineRule="auto"/>
        <w:ind w:firstLine="540" w:firstLineChars="200"/>
        <w:jc w:val="both"/>
        <w:rPr>
          <w:rFonts w:hint="default" w:ascii="Times New Roman Regular" w:hAnsi="Times New Roman Regular" w:eastAsia="宋体" w:cs="Times New Roman Regular"/>
          <w:color w:val="auto"/>
          <w:spacing w:val="-5"/>
          <w:sz w:val="28"/>
          <w:szCs w:val="28"/>
          <w:highlight w:val="none"/>
          <w:lang w:eastAsia="zh-CN"/>
        </w:rPr>
      </w:pPr>
    </w:p>
    <w:p w14:paraId="6AEF8272">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79" w:name="_Toc29004"/>
      <w:bookmarkStart w:id="80" w:name="_Toc14367"/>
      <w:bookmarkStart w:id="81" w:name="_Toc11499"/>
      <w:r>
        <w:rPr>
          <w:rFonts w:ascii="Times New Roman" w:hAnsi="Times New Roman" w:eastAsia="Times New Roman" w:cs="Times New Roman"/>
          <w:bCs/>
          <w:color w:val="auto"/>
          <w:spacing w:val="-3"/>
          <w:sz w:val="28"/>
          <w:szCs w:val="28"/>
          <w:highlight w:val="none"/>
          <w:lang w:eastAsia="zh-CN"/>
        </w:rPr>
        <w:t xml:space="preserve">2.5.5 </w:t>
      </w:r>
      <w:r>
        <w:rPr>
          <w:rFonts w:ascii="宋体" w:hAnsi="宋体" w:eastAsia="宋体" w:cs="宋体"/>
          <w:bCs/>
          <w:color w:val="auto"/>
          <w:spacing w:val="-3"/>
          <w:sz w:val="28"/>
          <w:szCs w:val="28"/>
          <w:highlight w:val="none"/>
          <w:lang w:eastAsia="zh-CN"/>
        </w:rPr>
        <w:t>安全监测</w:t>
      </w:r>
      <w:bookmarkEnd w:id="79"/>
      <w:bookmarkEnd w:id="80"/>
      <w:bookmarkEnd w:id="81"/>
    </w:p>
    <w:p w14:paraId="016C2D01">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"2.5.5.1"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2.5.5.1</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w:t>
      </w:r>
      <w:r>
        <w:rPr>
          <w:rFonts w:hint="eastAsia" w:ascii="Times New Roman Regular" w:hAnsi="Times New Roman Regular" w:eastAsia="宋体" w:cs="Times New Roman Regular"/>
          <w:snapToGrid/>
          <w:color w:val="auto"/>
          <w:kern w:val="2"/>
          <w:szCs w:val="28"/>
          <w:highlight w:val="none"/>
          <w:lang w:eastAsia="zh-CN"/>
        </w:rPr>
        <w:t>在线</w:t>
      </w:r>
      <w:r>
        <w:rPr>
          <w:rFonts w:ascii="Times New Roman Regular" w:hAnsi="Times New Roman Regular" w:eastAsia="宋体" w:cs="Times New Roman Regular"/>
          <w:snapToGrid/>
          <w:color w:val="auto"/>
          <w:kern w:val="2"/>
          <w:szCs w:val="28"/>
          <w:highlight w:val="none"/>
          <w:lang w:eastAsia="zh-CN"/>
        </w:rPr>
        <w:t>监测</w:t>
      </w:r>
      <w:r>
        <w:rPr>
          <w:rFonts w:hint="eastAsia" w:ascii="Times New Roman Regular" w:hAnsi="Times New Roman Regular" w:eastAsia="宋体" w:cs="Times New Roman Regular"/>
          <w:snapToGrid/>
          <w:color w:val="auto"/>
          <w:kern w:val="2"/>
          <w:szCs w:val="28"/>
          <w:highlight w:val="none"/>
          <w:lang w:eastAsia="zh-CN"/>
        </w:rPr>
        <w:t>系统</w:t>
      </w:r>
    </w:p>
    <w:p w14:paraId="7F4AC099">
      <w:pPr>
        <w:pStyle w:val="19"/>
        <w:ind w:left="0" w:leftChars="0" w:firstLine="0" w:firstLineChars="0"/>
        <w:rPr>
          <w:rFonts w:ascii="Times New Roman Regular" w:hAnsi="Times New Roman Regular" w:cs="Times New Roman Regular"/>
          <w:color w:val="auto"/>
          <w:kern w:val="0"/>
          <w:sz w:val="28"/>
          <w:szCs w:val="28"/>
          <w:highlight w:val="none"/>
        </w:rPr>
      </w:pPr>
    </w:p>
    <w:p w14:paraId="71CBB92C">
      <w:pPr>
        <w:spacing w:line="360" w:lineRule="auto"/>
        <w:jc w:val="center"/>
        <w:rPr>
          <w:rFonts w:hint="eastAsia" w:ascii="黑体" w:hAnsi="黑体" w:eastAsia="黑体" w:cs="黑体"/>
          <w:bCs/>
          <w:color w:val="auto"/>
          <w:sz w:val="24"/>
          <w:highlight w:val="none"/>
          <w:lang w:eastAsia="zh-CN"/>
        </w:rPr>
      </w:pPr>
      <w:r>
        <w:rPr>
          <w:rFonts w:hint="eastAsia" w:ascii="黑体" w:hAnsi="黑体" w:eastAsia="黑体" w:cs="黑体"/>
          <w:bCs/>
          <w:color w:val="auto"/>
          <w:sz w:val="24"/>
          <w:highlight w:val="none"/>
          <w:lang w:eastAsia="zh-CN"/>
        </w:rPr>
        <w:t>图2.5-</w:t>
      </w:r>
      <w:r>
        <w:rPr>
          <w:rFonts w:hint="eastAsia" w:ascii="黑体" w:hAnsi="黑体" w:eastAsia="黑体" w:cs="黑体"/>
          <w:bCs/>
          <w:color w:val="auto"/>
          <w:sz w:val="24"/>
          <w:highlight w:val="none"/>
          <w:lang w:val="en-US" w:eastAsia="zh-CN"/>
        </w:rPr>
        <w:t>9</w:t>
      </w:r>
      <w:r>
        <w:rPr>
          <w:rFonts w:hint="eastAsia" w:ascii="黑体" w:hAnsi="黑体" w:eastAsia="黑体" w:cs="黑体"/>
          <w:bCs/>
          <w:color w:val="auto"/>
          <w:sz w:val="24"/>
          <w:highlight w:val="none"/>
          <w:lang w:eastAsia="zh-CN"/>
        </w:rPr>
        <w:t xml:space="preserve">  在线监测系统</w:t>
      </w:r>
    </w:p>
    <w:p w14:paraId="1DD62405">
      <w:pPr>
        <w:pStyle w:val="19"/>
        <w:ind w:left="0" w:leftChars="0" w:firstLine="0" w:firstLineChars="0"/>
        <w:rPr>
          <w:rFonts w:ascii="Times New Roman Regular" w:hAnsi="Times New Roman Regular" w:cs="Times New Roman Regular"/>
          <w:color w:val="auto"/>
          <w:kern w:val="0"/>
          <w:sz w:val="28"/>
          <w:szCs w:val="28"/>
          <w:highlight w:val="none"/>
        </w:rPr>
      </w:pPr>
    </w:p>
    <w:p w14:paraId="3B30911C">
      <w:pPr>
        <w:spacing w:line="360" w:lineRule="auto"/>
        <w:jc w:val="center"/>
        <w:rPr>
          <w:rFonts w:hint="eastAsia" w:ascii="黑体" w:hAnsi="黑体" w:eastAsia="黑体" w:cs="黑体"/>
          <w:bCs/>
          <w:color w:val="auto"/>
          <w:sz w:val="24"/>
          <w:highlight w:val="none"/>
          <w:lang w:eastAsia="zh-CN"/>
        </w:rPr>
      </w:pPr>
      <w:r>
        <w:rPr>
          <w:rFonts w:hint="eastAsia" w:ascii="黑体" w:hAnsi="黑体" w:eastAsia="黑体" w:cs="黑体"/>
          <w:bCs/>
          <w:color w:val="auto"/>
          <w:sz w:val="24"/>
          <w:highlight w:val="none"/>
          <w:lang w:eastAsia="zh-CN"/>
        </w:rPr>
        <w:t>图2.5-1</w:t>
      </w:r>
      <w:r>
        <w:rPr>
          <w:rFonts w:hint="eastAsia" w:ascii="黑体" w:hAnsi="黑体" w:eastAsia="黑体" w:cs="黑体"/>
          <w:bCs/>
          <w:color w:val="auto"/>
          <w:sz w:val="24"/>
          <w:highlight w:val="none"/>
          <w:lang w:val="en-US" w:eastAsia="zh-CN"/>
        </w:rPr>
        <w:t>0</w:t>
      </w:r>
      <w:r>
        <w:rPr>
          <w:rFonts w:hint="eastAsia" w:ascii="黑体" w:hAnsi="黑体" w:eastAsia="黑体" w:cs="黑体"/>
          <w:bCs/>
          <w:color w:val="auto"/>
          <w:sz w:val="24"/>
          <w:highlight w:val="none"/>
          <w:lang w:eastAsia="zh-CN"/>
        </w:rPr>
        <w:t xml:space="preserve">  视频监测系统</w:t>
      </w:r>
    </w:p>
    <w:p w14:paraId="78CE556F">
      <w:pPr>
        <w:widowControl w:val="0"/>
        <w:kinsoku/>
        <w:autoSpaceDE/>
        <w:autoSpaceDN/>
        <w:spacing w:line="360" w:lineRule="auto"/>
        <w:ind w:firstLine="560" w:firstLineChars="200"/>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（1）坝体表面位移在线监测系统</w:t>
      </w:r>
    </w:p>
    <w:p w14:paraId="1EB082A1">
      <w:pPr>
        <w:widowControl w:val="0"/>
        <w:kinsoku/>
        <w:autoSpaceDE/>
        <w:autoSpaceDN/>
        <w:spacing w:line="360" w:lineRule="auto"/>
        <w:ind w:firstLine="560" w:firstLineChars="200"/>
        <w:textAlignment w:val="auto"/>
        <w:rPr>
          <w:rFonts w:hint="default" w:ascii="Times New Roman Regular" w:hAnsi="Times New Roman Regular" w:eastAsia="宋体" w:cs="Times New Roman Regular"/>
          <w:color w:val="auto"/>
          <w:sz w:val="28"/>
          <w:szCs w:val="28"/>
          <w:highlight w:val="none"/>
          <w:lang w:eastAsia="zh-CN"/>
        </w:rPr>
      </w:pPr>
    </w:p>
    <w:p w14:paraId="74902557">
      <w:pPr>
        <w:rPr>
          <w:color w:val="auto"/>
          <w:highlight w:val="none"/>
          <w:lang w:eastAsia="zh-CN"/>
        </w:rPr>
      </w:pPr>
    </w:p>
    <w:p w14:paraId="58F5660D">
      <w:pPr>
        <w:spacing w:line="360" w:lineRule="auto"/>
        <w:jc w:val="center"/>
        <w:rPr>
          <w:rFonts w:hint="eastAsia" w:ascii="黑体" w:hAnsi="黑体" w:eastAsia="黑体" w:cs="黑体"/>
          <w:bCs/>
          <w:color w:val="auto"/>
          <w:sz w:val="24"/>
          <w:highlight w:val="none"/>
          <w:lang w:eastAsia="zh-CN"/>
        </w:rPr>
      </w:pPr>
      <w:r>
        <w:rPr>
          <w:rFonts w:hint="eastAsia" w:ascii="黑体" w:hAnsi="黑体" w:eastAsia="黑体" w:cs="黑体"/>
          <w:bCs/>
          <w:color w:val="auto"/>
          <w:sz w:val="24"/>
          <w:highlight w:val="none"/>
          <w:lang w:eastAsia="zh-CN"/>
        </w:rPr>
        <w:t>图2.5-1</w:t>
      </w:r>
      <w:r>
        <w:rPr>
          <w:rFonts w:hint="eastAsia" w:ascii="黑体" w:hAnsi="黑体" w:eastAsia="黑体" w:cs="黑体"/>
          <w:bCs/>
          <w:color w:val="auto"/>
          <w:sz w:val="24"/>
          <w:highlight w:val="none"/>
          <w:lang w:val="en-US" w:eastAsia="zh-CN"/>
        </w:rPr>
        <w:t>1</w:t>
      </w:r>
      <w:r>
        <w:rPr>
          <w:rFonts w:hint="eastAsia" w:ascii="黑体" w:hAnsi="黑体" w:eastAsia="黑体" w:cs="黑体"/>
          <w:bCs/>
          <w:color w:val="auto"/>
          <w:sz w:val="24"/>
          <w:highlight w:val="none"/>
          <w:lang w:eastAsia="zh-CN"/>
        </w:rPr>
        <w:t xml:space="preserve">  位移观测设施工作点</w:t>
      </w:r>
    </w:p>
    <w:p w14:paraId="5958ECD8">
      <w:pPr>
        <w:pStyle w:val="19"/>
        <w:spacing w:line="240" w:lineRule="auto"/>
        <w:ind w:left="0" w:leftChars="0" w:firstLine="0" w:firstLineChars="0"/>
        <w:rPr>
          <w:rFonts w:hint="eastAsia" w:ascii="宋体" w:hAnsi="宋体" w:cs="宋体"/>
          <w:color w:val="auto"/>
          <w:highlight w:val="none"/>
        </w:rPr>
      </w:pPr>
    </w:p>
    <w:p w14:paraId="4382F86E">
      <w:pPr>
        <w:spacing w:line="360" w:lineRule="auto"/>
        <w:jc w:val="center"/>
        <w:rPr>
          <w:rFonts w:hint="eastAsia" w:ascii="黑体" w:hAnsi="黑体" w:eastAsia="黑体" w:cs="黑体"/>
          <w:bCs/>
          <w:color w:val="auto"/>
          <w:sz w:val="24"/>
          <w:highlight w:val="none"/>
          <w:lang w:eastAsia="zh-CN"/>
        </w:rPr>
      </w:pPr>
      <w:r>
        <w:rPr>
          <w:rFonts w:hint="eastAsia" w:ascii="黑体" w:hAnsi="黑体" w:eastAsia="黑体" w:cs="黑体"/>
          <w:bCs/>
          <w:color w:val="auto"/>
          <w:sz w:val="24"/>
          <w:highlight w:val="none"/>
          <w:lang w:eastAsia="zh-CN"/>
        </w:rPr>
        <w:t>图2-1</w:t>
      </w:r>
      <w:r>
        <w:rPr>
          <w:rFonts w:hint="eastAsia" w:ascii="黑体" w:hAnsi="黑体" w:eastAsia="黑体" w:cs="黑体"/>
          <w:bCs/>
          <w:color w:val="auto"/>
          <w:sz w:val="24"/>
          <w:highlight w:val="none"/>
          <w:lang w:val="en-US" w:eastAsia="zh-CN"/>
        </w:rPr>
        <w:t>2</w:t>
      </w:r>
      <w:r>
        <w:rPr>
          <w:rFonts w:hint="eastAsia" w:ascii="黑体" w:hAnsi="黑体" w:eastAsia="黑体" w:cs="黑体"/>
          <w:bCs/>
          <w:color w:val="auto"/>
          <w:sz w:val="24"/>
          <w:highlight w:val="none"/>
          <w:lang w:eastAsia="zh-CN"/>
        </w:rPr>
        <w:t xml:space="preserve">  位移观测设施基点</w:t>
      </w:r>
    </w:p>
    <w:p w14:paraId="091671E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（2）库区视频监测</w:t>
      </w:r>
    </w:p>
    <w:p w14:paraId="3D1BF44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color w:val="auto"/>
          <w:sz w:val="28"/>
          <w:szCs w:val="28"/>
          <w:highlight w:val="none"/>
          <w:lang w:eastAsia="zh-CN"/>
        </w:rPr>
      </w:pPr>
    </w:p>
    <w:p w14:paraId="7477D17C">
      <w:pPr>
        <w:pStyle w:val="19"/>
        <w:keepNext w:val="0"/>
        <w:keepLines w:val="0"/>
        <w:pageBreakBefore w:val="0"/>
        <w:widowControl w:val="0"/>
        <w:kinsoku w:val="0"/>
        <w:wordWrap/>
        <w:overflowPunct/>
        <w:topLinePunct w:val="0"/>
        <w:autoSpaceDE w:val="0"/>
        <w:autoSpaceDN w:val="0"/>
        <w:bidi w:val="0"/>
        <w:adjustRightInd w:val="0"/>
        <w:snapToGrid w:val="0"/>
        <w:ind w:left="0" w:leftChars="0" w:firstLine="0" w:firstLineChars="0"/>
        <w:textAlignment w:val="baseline"/>
        <w:rPr>
          <w:rFonts w:hint="eastAsia" w:ascii="宋体" w:hAnsi="宋体" w:cs="宋体"/>
          <w:color w:val="auto"/>
          <w:sz w:val="28"/>
          <w:szCs w:val="28"/>
          <w:highlight w:val="none"/>
        </w:rPr>
      </w:pPr>
    </w:p>
    <w:p w14:paraId="33AC85FF">
      <w:pPr>
        <w:spacing w:line="360" w:lineRule="auto"/>
        <w:jc w:val="center"/>
        <w:rPr>
          <w:rFonts w:hint="eastAsia" w:ascii="黑体" w:hAnsi="黑体" w:eastAsia="黑体" w:cs="黑体"/>
          <w:bCs/>
          <w:color w:val="auto"/>
          <w:sz w:val="24"/>
          <w:highlight w:val="none"/>
          <w:lang w:eastAsia="zh-CN"/>
        </w:rPr>
      </w:pPr>
      <w:r>
        <w:rPr>
          <w:rFonts w:hint="eastAsia" w:ascii="黑体" w:hAnsi="黑体" w:eastAsia="黑体" w:cs="黑体"/>
          <w:bCs/>
          <w:color w:val="auto"/>
          <w:sz w:val="24"/>
          <w:highlight w:val="none"/>
          <w:lang w:eastAsia="zh-CN"/>
        </w:rPr>
        <w:t>图2-1</w:t>
      </w:r>
      <w:r>
        <w:rPr>
          <w:rFonts w:hint="eastAsia" w:ascii="黑体" w:hAnsi="黑体" w:eastAsia="黑体" w:cs="黑体"/>
          <w:bCs/>
          <w:color w:val="auto"/>
          <w:sz w:val="24"/>
          <w:highlight w:val="none"/>
          <w:lang w:val="en-US" w:eastAsia="zh-CN"/>
        </w:rPr>
        <w:t>3</w:t>
      </w:r>
      <w:r>
        <w:rPr>
          <w:rFonts w:hint="eastAsia" w:ascii="黑体" w:hAnsi="黑体" w:eastAsia="黑体" w:cs="黑体"/>
          <w:bCs/>
          <w:color w:val="auto"/>
          <w:sz w:val="24"/>
          <w:highlight w:val="none"/>
          <w:lang w:eastAsia="zh-CN"/>
        </w:rPr>
        <w:t xml:space="preserve">  视频监测设施</w:t>
      </w:r>
    </w:p>
    <w:p w14:paraId="3BF39F8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（3）库区降雨量监测</w:t>
      </w:r>
    </w:p>
    <w:p w14:paraId="0C3BDAE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Regular" w:hAnsi="Times New Roman Regular" w:eastAsia="宋体" w:cs="Times New Roman Regular"/>
          <w:color w:val="auto"/>
          <w:sz w:val="28"/>
          <w:szCs w:val="28"/>
          <w:highlight w:val="none"/>
          <w:lang w:eastAsia="zh-CN"/>
        </w:rPr>
      </w:pPr>
    </w:p>
    <w:p w14:paraId="6F48C599">
      <w:pPr>
        <w:widowControl w:val="0"/>
        <w:kinsoku/>
        <w:autoSpaceDE/>
        <w:autoSpaceDN/>
        <w:spacing w:line="240" w:lineRule="auto"/>
        <w:jc w:val="center"/>
        <w:textAlignment w:val="auto"/>
        <w:rPr>
          <w:rFonts w:hint="eastAsia" w:ascii="宋体" w:hAnsi="宋体" w:eastAsia="宋体" w:cs="宋体"/>
          <w:color w:val="auto"/>
          <w:sz w:val="28"/>
          <w:szCs w:val="28"/>
          <w:highlight w:val="none"/>
          <w:lang w:eastAsia="zh-CN"/>
        </w:rPr>
      </w:pPr>
    </w:p>
    <w:p w14:paraId="55D172F2">
      <w:pPr>
        <w:spacing w:line="360" w:lineRule="auto"/>
        <w:jc w:val="center"/>
        <w:rPr>
          <w:rFonts w:hint="eastAsia" w:ascii="宋体" w:hAnsi="宋体" w:eastAsia="宋体" w:cs="宋体"/>
          <w:color w:val="auto"/>
          <w:sz w:val="28"/>
          <w:szCs w:val="28"/>
          <w:highlight w:val="none"/>
          <w:lang w:eastAsia="zh-CN"/>
        </w:rPr>
      </w:pPr>
      <w:r>
        <w:rPr>
          <w:rFonts w:hint="eastAsia" w:ascii="黑体" w:hAnsi="黑体" w:eastAsia="黑体" w:cs="黑体"/>
          <w:bCs/>
          <w:color w:val="auto"/>
          <w:sz w:val="24"/>
          <w:highlight w:val="none"/>
          <w:lang w:eastAsia="zh-CN"/>
        </w:rPr>
        <w:t>图2-1</w:t>
      </w:r>
      <w:r>
        <w:rPr>
          <w:rFonts w:hint="eastAsia" w:ascii="黑体" w:hAnsi="黑体" w:eastAsia="黑体" w:cs="黑体"/>
          <w:bCs/>
          <w:color w:val="auto"/>
          <w:sz w:val="24"/>
          <w:highlight w:val="none"/>
          <w:lang w:val="en-US" w:eastAsia="zh-CN"/>
        </w:rPr>
        <w:t>4</w:t>
      </w:r>
      <w:r>
        <w:rPr>
          <w:rFonts w:hint="eastAsia" w:ascii="黑体" w:hAnsi="黑体" w:eastAsia="黑体" w:cs="黑体"/>
          <w:bCs/>
          <w:color w:val="auto"/>
          <w:sz w:val="24"/>
          <w:highlight w:val="none"/>
          <w:lang w:eastAsia="zh-CN"/>
        </w:rPr>
        <w:t xml:space="preserve">  库区降雨量监测设施</w:t>
      </w:r>
    </w:p>
    <w:p w14:paraId="5F338B33">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"2.5.5.1"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2.5.5.</w:t>
      </w:r>
      <w:r>
        <w:rPr>
          <w:rFonts w:hint="eastAsia" w:ascii="Times New Roman Regular" w:hAnsi="Times New Roman Regular" w:eastAsia="宋体" w:cs="Times New Roman Regular"/>
          <w:snapToGrid/>
          <w:color w:val="auto"/>
          <w:kern w:val="2"/>
          <w:szCs w:val="28"/>
          <w:highlight w:val="none"/>
          <w:lang w:eastAsia="zh-CN"/>
        </w:rPr>
        <w:t>2</w:t>
      </w:r>
      <w:r>
        <w:rPr>
          <w:rFonts w:hint="eastAsia"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w:t>
      </w:r>
      <w:r>
        <w:rPr>
          <w:rFonts w:hint="eastAsia" w:ascii="Times New Roman Regular" w:hAnsi="Times New Roman Regular" w:eastAsia="宋体" w:cs="Times New Roman Regular"/>
          <w:snapToGrid/>
          <w:color w:val="auto"/>
          <w:kern w:val="2"/>
          <w:szCs w:val="28"/>
          <w:highlight w:val="none"/>
          <w:lang w:eastAsia="zh-CN"/>
        </w:rPr>
        <w:t>人工安全监测</w:t>
      </w:r>
    </w:p>
    <w:p w14:paraId="577002D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kern w:val="2"/>
          <w:sz w:val="28"/>
          <w:szCs w:val="24"/>
          <w:highlight w:val="none"/>
          <w:lang w:eastAsia="zh-CN"/>
        </w:rPr>
      </w:pPr>
      <w:r>
        <w:rPr>
          <w:rFonts w:hint="default" w:ascii="Times New Roman Regular" w:hAnsi="Times New Roman Regular" w:eastAsia="宋体" w:cs="Times New Roman Regular"/>
          <w:color w:val="auto"/>
          <w:kern w:val="2"/>
          <w:sz w:val="28"/>
          <w:szCs w:val="24"/>
          <w:highlight w:val="none"/>
          <w:lang w:eastAsia="zh-CN"/>
        </w:rPr>
        <w:t>（1）坝体位移观测设施</w:t>
      </w:r>
    </w:p>
    <w:p w14:paraId="7F29A76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kern w:val="2"/>
          <w:sz w:val="28"/>
          <w:szCs w:val="24"/>
          <w:highlight w:val="none"/>
          <w:lang w:eastAsia="zh-CN"/>
        </w:rPr>
      </w:pPr>
    </w:p>
    <w:p w14:paraId="7C0713B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default" w:ascii="Times New Roman Regular" w:hAnsi="Times New Roman Regular" w:eastAsia="宋体" w:cs="Times New Roman Regular"/>
          <w:color w:val="auto"/>
          <w:kern w:val="2"/>
          <w:sz w:val="28"/>
          <w:szCs w:val="24"/>
          <w:highlight w:val="none"/>
          <w:lang w:eastAsia="zh-CN"/>
        </w:rPr>
      </w:pPr>
      <w:r>
        <w:rPr>
          <w:rFonts w:hint="default" w:ascii="Times New Roman Regular" w:hAnsi="Times New Roman Regular" w:eastAsia="宋体" w:cs="Times New Roman Regular"/>
          <w:color w:val="auto"/>
          <w:kern w:val="2"/>
          <w:sz w:val="28"/>
          <w:szCs w:val="24"/>
          <w:highlight w:val="none"/>
          <w:lang w:eastAsia="zh-CN"/>
        </w:rPr>
        <w:t>（2）库内水位观测</w:t>
      </w:r>
    </w:p>
    <w:p w14:paraId="23B754DA">
      <w:pPr>
        <w:pStyle w:val="4"/>
        <w:widowControl w:val="0"/>
        <w:kinsoku/>
        <w:autoSpaceDE/>
        <w:autoSpaceDN/>
        <w:adjustRightInd/>
        <w:snapToGrid/>
        <w:spacing w:before="60" w:after="60" w:line="360" w:lineRule="auto"/>
        <w:jc w:val="both"/>
        <w:textAlignment w:val="auto"/>
        <w:rPr>
          <w:rFonts w:ascii="Times New Roman" w:hAnsi="Times New Roman" w:eastAsia="宋体" w:cs="Times New Roman"/>
          <w:color w:val="auto"/>
          <w:sz w:val="28"/>
          <w:szCs w:val="28"/>
          <w:highlight w:val="none"/>
          <w:lang w:eastAsia="zh-CN"/>
        </w:rPr>
      </w:pPr>
      <w:bookmarkStart w:id="82" w:name="_Toc27031"/>
      <w:bookmarkStart w:id="83" w:name="_Toc6274"/>
      <w:bookmarkStart w:id="84" w:name="_Toc27027"/>
      <w:r>
        <w:rPr>
          <w:rFonts w:ascii="Times New Roman" w:hAnsi="Times New Roman" w:eastAsia="Times New Roman" w:cs="Times New Roman"/>
          <w:bCs/>
          <w:color w:val="auto"/>
          <w:spacing w:val="-3"/>
          <w:sz w:val="28"/>
          <w:szCs w:val="28"/>
          <w:highlight w:val="none"/>
          <w:lang w:eastAsia="zh-CN"/>
        </w:rPr>
        <w:t xml:space="preserve">2.5.6 </w:t>
      </w:r>
      <w:r>
        <w:rPr>
          <w:rFonts w:ascii="Times New Roman" w:hAnsi="Times New Roman" w:eastAsia="宋体" w:cs="Times New Roman"/>
          <w:bCs/>
          <w:color w:val="auto"/>
          <w:spacing w:val="-3"/>
          <w:sz w:val="28"/>
          <w:szCs w:val="28"/>
          <w:highlight w:val="none"/>
          <w:lang w:eastAsia="zh-CN"/>
        </w:rPr>
        <w:t>辅助设施</w:t>
      </w:r>
      <w:bookmarkEnd w:id="82"/>
      <w:bookmarkEnd w:id="83"/>
      <w:bookmarkEnd w:id="84"/>
    </w:p>
    <w:p w14:paraId="4B3EFBFF">
      <w:pPr>
        <w:spacing w:line="360" w:lineRule="auto"/>
        <w:ind w:firstLine="560" w:firstLineChars="200"/>
        <w:rPr>
          <w:rFonts w:ascii="Times New Roman" w:hAnsi="Times New Roman" w:cs="Times New Roman"/>
          <w:color w:val="auto"/>
          <w:sz w:val="28"/>
          <w:highlight w:val="none"/>
          <w:lang w:eastAsia="zh-CN"/>
        </w:rPr>
      </w:pPr>
      <w:r>
        <w:rPr>
          <w:rFonts w:ascii="Times New Roman" w:hAnsi="Times New Roman" w:cs="Times New Roman"/>
          <w:color w:val="auto"/>
          <w:sz w:val="28"/>
          <w:highlight w:val="none"/>
          <w:lang w:eastAsia="zh-CN"/>
        </w:rPr>
        <w:t>（1）</w:t>
      </w:r>
      <w:r>
        <w:rPr>
          <w:rFonts w:hint="eastAsia" w:ascii="Times New Roman" w:hAnsi="Times New Roman" w:cs="Times New Roman"/>
          <w:color w:val="auto"/>
          <w:sz w:val="28"/>
          <w:highlight w:val="none"/>
          <w:lang w:eastAsia="zh-CN"/>
        </w:rPr>
        <w:t>上坝</w:t>
      </w:r>
      <w:r>
        <w:rPr>
          <w:rFonts w:ascii="Times New Roman" w:hAnsi="Times New Roman" w:cs="Times New Roman"/>
          <w:color w:val="auto"/>
          <w:sz w:val="28"/>
          <w:highlight w:val="none"/>
          <w:lang w:eastAsia="zh-CN"/>
        </w:rPr>
        <w:t>道路</w:t>
      </w:r>
    </w:p>
    <w:p w14:paraId="4A56467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ascii="Times New Roman" w:hAnsi="Times New Roman" w:cs="Times New Roman"/>
          <w:color w:val="auto"/>
          <w:sz w:val="28"/>
          <w:highlight w:val="none"/>
          <w:lang w:eastAsia="zh-CN"/>
        </w:rPr>
      </w:pPr>
    </w:p>
    <w:p w14:paraId="6AD950F6">
      <w:pPr>
        <w:spacing w:line="240" w:lineRule="auto"/>
        <w:rPr>
          <w:rFonts w:ascii="Times New Roman" w:hAnsi="Times New Roman" w:cs="Times New Roman"/>
          <w:color w:val="auto"/>
          <w:sz w:val="28"/>
          <w:highlight w:val="none"/>
          <w:lang w:eastAsia="zh-CN"/>
        </w:rPr>
      </w:pPr>
    </w:p>
    <w:p w14:paraId="2E03ED7F">
      <w:pPr>
        <w:spacing w:line="360" w:lineRule="auto"/>
        <w:jc w:val="center"/>
        <w:rPr>
          <w:rFonts w:ascii="Times New Roman" w:hAnsi="Times New Roman" w:cs="Times New Roman"/>
          <w:color w:val="auto"/>
          <w:sz w:val="28"/>
          <w:highlight w:val="none"/>
          <w:lang w:eastAsia="zh-CN"/>
        </w:rPr>
      </w:pPr>
      <w:r>
        <w:rPr>
          <w:rFonts w:hint="eastAsia" w:ascii="黑体" w:hAnsi="黑体" w:eastAsia="黑体" w:cs="黑体"/>
          <w:bCs/>
          <w:color w:val="auto"/>
          <w:sz w:val="24"/>
          <w:highlight w:val="none"/>
          <w:lang w:eastAsia="zh-CN"/>
        </w:rPr>
        <w:t>图2.5-1</w:t>
      </w:r>
      <w:r>
        <w:rPr>
          <w:rFonts w:hint="eastAsia" w:ascii="黑体" w:hAnsi="黑体" w:eastAsia="黑体" w:cs="黑体"/>
          <w:bCs/>
          <w:color w:val="auto"/>
          <w:sz w:val="24"/>
          <w:highlight w:val="none"/>
          <w:lang w:val="en-US" w:eastAsia="zh-CN"/>
        </w:rPr>
        <w:t>5</w:t>
      </w:r>
      <w:r>
        <w:rPr>
          <w:rFonts w:hint="eastAsia" w:ascii="黑体" w:hAnsi="黑体" w:eastAsia="黑体" w:cs="黑体"/>
          <w:bCs/>
          <w:color w:val="auto"/>
          <w:sz w:val="24"/>
          <w:highlight w:val="none"/>
          <w:lang w:eastAsia="zh-CN"/>
        </w:rPr>
        <w:t xml:space="preserve">  上坝道路</w:t>
      </w:r>
    </w:p>
    <w:p w14:paraId="67BAEBFD">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ascii="Times New Roman Regular" w:hAnsi="Times New Roman Regular" w:cs="Times New Roman Regular"/>
          <w:color w:val="auto"/>
          <w:sz w:val="28"/>
          <w:highlight w:val="none"/>
          <w:lang w:eastAsia="zh-CN"/>
        </w:rPr>
      </w:pPr>
      <w:r>
        <w:rPr>
          <w:rFonts w:ascii="Times New Roman Regular" w:hAnsi="Times New Roman Regular" w:cs="Times New Roman Regular"/>
          <w:color w:val="auto"/>
          <w:sz w:val="28"/>
          <w:highlight w:val="none"/>
          <w:lang w:eastAsia="zh-CN"/>
        </w:rPr>
        <w:t>（2）通讯设施</w:t>
      </w:r>
    </w:p>
    <w:p w14:paraId="08FC345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ascii="Times New Roman Regular" w:hAnsi="Times New Roman Regular" w:cs="Times New Roman Regular"/>
          <w:color w:val="auto"/>
          <w:sz w:val="28"/>
          <w:highlight w:val="none"/>
          <w:lang w:eastAsia="zh-CN"/>
        </w:rPr>
      </w:pPr>
    </w:p>
    <w:p w14:paraId="4E717308">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ascii="Times New Roman Regular" w:hAnsi="Times New Roman Regular" w:cs="Times New Roman Regular"/>
          <w:color w:val="auto"/>
          <w:sz w:val="28"/>
          <w:highlight w:val="none"/>
          <w:lang w:eastAsia="zh-CN"/>
        </w:rPr>
      </w:pPr>
      <w:r>
        <w:rPr>
          <w:rFonts w:ascii="Times New Roman Regular" w:hAnsi="Times New Roman Regular" w:cs="Times New Roman Regular"/>
          <w:color w:val="auto"/>
          <w:sz w:val="28"/>
          <w:highlight w:val="none"/>
          <w:lang w:eastAsia="zh-CN"/>
        </w:rPr>
        <w:t>（3）照明设施</w:t>
      </w:r>
    </w:p>
    <w:p w14:paraId="298D890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ascii="Times New Roman Regular" w:hAnsi="Times New Roman Regular" w:eastAsia="宋体" w:cs="Times New Roman Regular"/>
          <w:color w:val="auto"/>
          <w:sz w:val="28"/>
          <w:szCs w:val="28"/>
          <w:highlight w:val="none"/>
          <w:lang w:eastAsia="zh-CN"/>
        </w:rPr>
      </w:pPr>
    </w:p>
    <w:p w14:paraId="35CDA13D">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85" w:name="_Toc23848"/>
      <w:bookmarkStart w:id="86" w:name="_Toc30146"/>
      <w:bookmarkStart w:id="87" w:name="_Toc15459"/>
      <w:r>
        <w:rPr>
          <w:rFonts w:ascii="Times New Roman" w:hAnsi="Times New Roman" w:eastAsia="Times New Roman" w:cs="Times New Roman"/>
          <w:bCs/>
          <w:color w:val="auto"/>
          <w:spacing w:val="-3"/>
          <w:sz w:val="28"/>
          <w:szCs w:val="28"/>
          <w:highlight w:val="none"/>
          <w:lang w:eastAsia="zh-CN"/>
        </w:rPr>
        <w:t xml:space="preserve">2.5.7 </w:t>
      </w:r>
      <w:r>
        <w:rPr>
          <w:rFonts w:ascii="宋体" w:hAnsi="宋体" w:eastAsia="宋体" w:cs="宋体"/>
          <w:bCs/>
          <w:color w:val="auto"/>
          <w:spacing w:val="-3"/>
          <w:sz w:val="28"/>
          <w:szCs w:val="28"/>
          <w:highlight w:val="none"/>
          <w:lang w:eastAsia="zh-CN"/>
        </w:rPr>
        <w:t>安全标志</w:t>
      </w:r>
      <w:bookmarkEnd w:id="85"/>
      <w:bookmarkEnd w:id="86"/>
      <w:bookmarkEnd w:id="87"/>
    </w:p>
    <w:p w14:paraId="2CAF6BA4">
      <w:pPr>
        <w:keepNext w:val="0"/>
        <w:keepLines w:val="0"/>
        <w:pageBreakBefore w:val="0"/>
        <w:widowControl/>
        <w:kinsoku w:val="0"/>
        <w:wordWrap/>
        <w:overflowPunct/>
        <w:topLinePunct w:val="0"/>
        <w:autoSpaceDE w:val="0"/>
        <w:autoSpaceDN w:val="0"/>
        <w:bidi w:val="0"/>
        <w:adjustRightInd w:val="0"/>
        <w:snapToGrid w:val="0"/>
        <w:spacing w:line="360" w:lineRule="auto"/>
        <w:ind w:firstLine="572" w:firstLineChars="200"/>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该尾矿库在上坝道路和库区设有</w:t>
      </w:r>
      <w:r>
        <w:rPr>
          <w:rFonts w:hint="eastAsia" w:ascii="Times New Roman Regular" w:hAnsi="Times New Roman Regular" w:eastAsia="宋体" w:cs="Times New Roman Regular"/>
          <w:color w:val="auto"/>
          <w:spacing w:val="3"/>
          <w:sz w:val="28"/>
          <w:szCs w:val="28"/>
          <w:highlight w:val="none"/>
          <w:lang w:eastAsia="zh-CN"/>
        </w:rPr>
        <w:t>警示标志</w:t>
      </w:r>
      <w:r>
        <w:rPr>
          <w:rFonts w:hint="default" w:ascii="Times New Roman Regular" w:hAnsi="Times New Roman Regular" w:eastAsia="宋体" w:cs="Times New Roman Regular"/>
          <w:color w:val="auto"/>
          <w:spacing w:val="3"/>
          <w:sz w:val="28"/>
          <w:szCs w:val="28"/>
          <w:highlight w:val="none"/>
          <w:lang w:eastAsia="zh-CN"/>
        </w:rPr>
        <w:t>、风险告知牌、信息告</w:t>
      </w:r>
      <w:r>
        <w:rPr>
          <w:rFonts w:hint="default" w:ascii="Times New Roman Regular" w:hAnsi="Times New Roman Regular" w:eastAsia="宋体" w:cs="Times New Roman Regular"/>
          <w:color w:val="auto"/>
          <w:spacing w:val="-1"/>
          <w:sz w:val="28"/>
          <w:szCs w:val="28"/>
          <w:highlight w:val="none"/>
          <w:lang w:eastAsia="zh-CN"/>
        </w:rPr>
        <w:t>知牌等设施，如图</w:t>
      </w:r>
      <w:r>
        <w:rPr>
          <w:rFonts w:hint="default" w:ascii="Times New Roman Regular" w:hAnsi="Times New Roman Regular" w:eastAsia="Times New Roman" w:cs="Times New Roman Regular"/>
          <w:color w:val="auto"/>
          <w:spacing w:val="-1"/>
          <w:sz w:val="28"/>
          <w:szCs w:val="28"/>
          <w:highlight w:val="none"/>
          <w:lang w:eastAsia="zh-CN"/>
        </w:rPr>
        <w:t>2.5-1</w:t>
      </w:r>
      <w:r>
        <w:rPr>
          <w:rFonts w:hint="eastAsia" w:ascii="Times New Roman Regular" w:hAnsi="Times New Roman Regular" w:eastAsia="宋体" w:cs="Times New Roman Regular"/>
          <w:color w:val="auto"/>
          <w:spacing w:val="-1"/>
          <w:sz w:val="28"/>
          <w:szCs w:val="28"/>
          <w:highlight w:val="none"/>
          <w:lang w:val="en-US" w:eastAsia="zh-CN"/>
        </w:rPr>
        <w:t>6～</w:t>
      </w:r>
      <w:r>
        <w:rPr>
          <w:rFonts w:hint="default" w:ascii="Times New Roman Regular" w:hAnsi="Times New Roman Regular" w:eastAsia="宋体" w:cs="Times New Roman Regular"/>
          <w:color w:val="auto"/>
          <w:spacing w:val="-1"/>
          <w:sz w:val="28"/>
          <w:szCs w:val="28"/>
          <w:highlight w:val="none"/>
          <w:lang w:eastAsia="zh-CN"/>
        </w:rPr>
        <w:t>图</w:t>
      </w:r>
      <w:r>
        <w:rPr>
          <w:rFonts w:hint="default" w:ascii="Times New Roman Regular" w:hAnsi="Times New Roman Regular" w:eastAsia="Times New Roman" w:cs="Times New Roman Regular"/>
          <w:color w:val="auto"/>
          <w:spacing w:val="-2"/>
          <w:sz w:val="28"/>
          <w:szCs w:val="28"/>
          <w:highlight w:val="none"/>
          <w:lang w:eastAsia="zh-CN"/>
        </w:rPr>
        <w:t>2.5-</w:t>
      </w:r>
      <w:r>
        <w:rPr>
          <w:rFonts w:hint="eastAsia" w:ascii="Times New Roman Regular" w:hAnsi="Times New Roman Regular" w:eastAsia="Times New Roman" w:cs="Times New Roman Regular"/>
          <w:color w:val="auto"/>
          <w:spacing w:val="-2"/>
          <w:sz w:val="28"/>
          <w:szCs w:val="28"/>
          <w:highlight w:val="none"/>
          <w:lang w:val="en-US" w:eastAsia="zh-CN"/>
        </w:rPr>
        <w:t>19</w:t>
      </w:r>
      <w:r>
        <w:rPr>
          <w:rFonts w:hint="default" w:ascii="Times New Roman Regular" w:hAnsi="Times New Roman Regular" w:eastAsia="宋体" w:cs="Times New Roman Regular"/>
          <w:color w:val="auto"/>
          <w:sz w:val="28"/>
          <w:szCs w:val="28"/>
          <w:highlight w:val="none"/>
          <w:lang w:eastAsia="zh-CN"/>
        </w:rPr>
        <w:t>所示。</w:t>
      </w:r>
    </w:p>
    <w:p w14:paraId="60C13B2F">
      <w:pPr>
        <w:spacing w:line="240" w:lineRule="auto"/>
        <w:jc w:val="center"/>
        <w:rPr>
          <w:rFonts w:hint="eastAsia" w:ascii="宋体" w:hAnsi="宋体" w:eastAsia="宋体" w:cs="宋体"/>
          <w:color w:val="auto"/>
          <w:sz w:val="28"/>
          <w:szCs w:val="28"/>
          <w:highlight w:val="none"/>
          <w:lang w:eastAsia="zh-CN"/>
        </w:rPr>
      </w:pPr>
    </w:p>
    <w:p w14:paraId="70085449">
      <w:pPr>
        <w:spacing w:line="360" w:lineRule="auto"/>
        <w:jc w:val="center"/>
        <w:rPr>
          <w:rFonts w:hint="eastAsia" w:ascii="黑体" w:hAnsi="黑体" w:eastAsia="黑体" w:cs="黑体"/>
          <w:bCs/>
          <w:color w:val="auto"/>
          <w:sz w:val="24"/>
          <w:highlight w:val="none"/>
          <w:lang w:val="zh-CN" w:eastAsia="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lang w:eastAsia="zh-CN"/>
        </w:rPr>
        <w:t>1</w:t>
      </w:r>
      <w:r>
        <w:rPr>
          <w:rFonts w:hint="eastAsia" w:ascii="黑体" w:hAnsi="黑体" w:eastAsia="黑体" w:cs="黑体"/>
          <w:bCs/>
          <w:color w:val="auto"/>
          <w:sz w:val="24"/>
          <w:highlight w:val="none"/>
          <w:lang w:val="en-US" w:eastAsia="zh-CN"/>
        </w:rPr>
        <w:t>6</w:t>
      </w:r>
      <w:r>
        <w:rPr>
          <w:rFonts w:hint="eastAsia" w:ascii="黑体" w:hAnsi="黑体" w:eastAsia="黑体" w:cs="黑体"/>
          <w:bCs/>
          <w:color w:val="auto"/>
          <w:sz w:val="24"/>
          <w:highlight w:val="none"/>
          <w:lang w:eastAsia="zh-CN"/>
        </w:rPr>
        <w:t xml:space="preserve"> </w:t>
      </w:r>
      <w:r>
        <w:rPr>
          <w:rFonts w:hint="eastAsia" w:ascii="黑体" w:hAnsi="黑体" w:eastAsia="黑体" w:cs="黑体"/>
          <w:bCs/>
          <w:color w:val="auto"/>
          <w:sz w:val="24"/>
          <w:highlight w:val="none"/>
          <w:lang w:val="zh-CN" w:eastAsia="zh-CN"/>
        </w:rPr>
        <w:t xml:space="preserve"> 重大隐患判定标准</w:t>
      </w:r>
    </w:p>
    <w:p w14:paraId="0A966909">
      <w:pPr>
        <w:spacing w:line="240" w:lineRule="auto"/>
        <w:jc w:val="center"/>
        <w:rPr>
          <w:rFonts w:hint="eastAsia" w:ascii="宋体" w:hAnsi="宋体" w:eastAsia="宋体" w:cs="宋体"/>
          <w:color w:val="auto"/>
          <w:sz w:val="28"/>
          <w:szCs w:val="28"/>
          <w:highlight w:val="none"/>
          <w:lang w:eastAsia="zh-CN"/>
        </w:rPr>
      </w:pPr>
    </w:p>
    <w:p w14:paraId="47484321">
      <w:pPr>
        <w:spacing w:line="360" w:lineRule="auto"/>
        <w:jc w:val="center"/>
        <w:rPr>
          <w:rFonts w:hint="eastAsia" w:ascii="黑体" w:hAnsi="黑体" w:eastAsia="黑体" w:cs="黑体"/>
          <w:bCs/>
          <w:color w:val="auto"/>
          <w:sz w:val="24"/>
          <w:highlight w:val="none"/>
          <w:lang w:val="zh-CN" w:eastAsia="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lang w:val="zh-CN" w:eastAsia="zh-CN"/>
        </w:rPr>
        <w:t>1</w:t>
      </w:r>
      <w:r>
        <w:rPr>
          <w:rFonts w:hint="eastAsia" w:ascii="黑体" w:hAnsi="黑体" w:eastAsia="黑体" w:cs="黑体"/>
          <w:bCs/>
          <w:color w:val="auto"/>
          <w:sz w:val="24"/>
          <w:highlight w:val="none"/>
          <w:lang w:val="en-US" w:eastAsia="zh-CN"/>
        </w:rPr>
        <w:t>7</w:t>
      </w:r>
      <w:r>
        <w:rPr>
          <w:rFonts w:hint="eastAsia" w:ascii="黑体" w:hAnsi="黑体" w:eastAsia="黑体" w:cs="黑体"/>
          <w:bCs/>
          <w:color w:val="auto"/>
          <w:sz w:val="24"/>
          <w:highlight w:val="none"/>
          <w:lang w:val="zh-CN" w:eastAsia="zh-CN"/>
        </w:rPr>
        <w:t xml:space="preserve">  危险告知牌</w:t>
      </w:r>
    </w:p>
    <w:p w14:paraId="628E9579">
      <w:pPr>
        <w:spacing w:line="240" w:lineRule="auto"/>
        <w:jc w:val="center"/>
        <w:rPr>
          <w:rFonts w:hint="eastAsia" w:ascii="宋体" w:hAnsi="宋体" w:eastAsia="宋体" w:cs="宋体"/>
          <w:color w:val="auto"/>
          <w:sz w:val="28"/>
          <w:szCs w:val="28"/>
          <w:highlight w:val="none"/>
          <w:lang w:eastAsia="zh-CN"/>
        </w:rPr>
      </w:pPr>
    </w:p>
    <w:p w14:paraId="13091B60">
      <w:pPr>
        <w:spacing w:line="360" w:lineRule="auto"/>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lang w:val="zh-CN" w:eastAsia="zh-CN"/>
        </w:rPr>
        <w:t>1</w:t>
      </w:r>
      <w:r>
        <w:rPr>
          <w:rFonts w:hint="eastAsia" w:ascii="黑体" w:hAnsi="黑体" w:eastAsia="黑体" w:cs="黑体"/>
          <w:bCs/>
          <w:color w:val="auto"/>
          <w:sz w:val="24"/>
          <w:highlight w:val="none"/>
          <w:lang w:val="en-US" w:eastAsia="zh-CN"/>
        </w:rPr>
        <w:t>8</w:t>
      </w:r>
      <w:r>
        <w:rPr>
          <w:rFonts w:hint="eastAsia" w:ascii="黑体" w:hAnsi="黑体" w:eastAsia="黑体" w:cs="黑体"/>
          <w:bCs/>
          <w:color w:val="auto"/>
          <w:sz w:val="24"/>
          <w:highlight w:val="none"/>
          <w:lang w:val="zh-CN" w:eastAsia="zh-CN"/>
        </w:rPr>
        <w:t xml:space="preserve">  危险告知牌</w:t>
      </w:r>
    </w:p>
    <w:p w14:paraId="4B38E91F">
      <w:pPr>
        <w:spacing w:line="240" w:lineRule="auto"/>
        <w:jc w:val="center"/>
        <w:rPr>
          <w:rFonts w:hint="eastAsia" w:ascii="宋体" w:hAnsi="宋体" w:eastAsia="宋体" w:cs="宋体"/>
          <w:color w:val="auto"/>
          <w:sz w:val="28"/>
          <w:szCs w:val="28"/>
          <w:highlight w:val="none"/>
          <w:lang w:eastAsia="zh-CN"/>
        </w:rPr>
      </w:pPr>
    </w:p>
    <w:p w14:paraId="615437BB">
      <w:pPr>
        <w:spacing w:line="360" w:lineRule="auto"/>
        <w:jc w:val="center"/>
        <w:rPr>
          <w:rFonts w:hint="eastAsia" w:ascii="黑体" w:hAnsi="黑体" w:eastAsia="黑体" w:cs="黑体"/>
          <w:bCs/>
          <w:color w:val="auto"/>
          <w:sz w:val="24"/>
          <w:highlight w:val="none"/>
          <w:lang w:val="zh-CN" w:eastAsia="zh-CN"/>
        </w:rPr>
      </w:pPr>
      <w:r>
        <w:rPr>
          <w:rFonts w:hint="eastAsia" w:ascii="黑体" w:hAnsi="黑体" w:eastAsia="黑体" w:cs="黑体"/>
          <w:bCs/>
          <w:color w:val="auto"/>
          <w:sz w:val="24"/>
          <w:highlight w:val="none"/>
          <w:lang w:val="zh-CN" w:eastAsia="zh-CN"/>
        </w:rPr>
        <w:t>图2.5-</w:t>
      </w:r>
      <w:r>
        <w:rPr>
          <w:rFonts w:hint="eastAsia" w:ascii="黑体" w:hAnsi="黑体" w:eastAsia="黑体" w:cs="黑体"/>
          <w:bCs/>
          <w:color w:val="auto"/>
          <w:sz w:val="24"/>
          <w:highlight w:val="none"/>
          <w:lang w:val="en-US" w:eastAsia="zh-CN"/>
        </w:rPr>
        <w:t>19</w:t>
      </w:r>
      <w:r>
        <w:rPr>
          <w:rFonts w:hint="eastAsia" w:ascii="黑体" w:hAnsi="黑体" w:eastAsia="黑体" w:cs="黑体"/>
          <w:bCs/>
          <w:color w:val="auto"/>
          <w:sz w:val="24"/>
          <w:highlight w:val="none"/>
          <w:lang w:val="zh-CN" w:eastAsia="zh-CN"/>
        </w:rPr>
        <w:t xml:space="preserve">  交通警示牌</w:t>
      </w:r>
    </w:p>
    <w:p w14:paraId="2D0276A5">
      <w:pPr>
        <w:keepNext w:val="0"/>
        <w:keepLines w:val="0"/>
        <w:pageBreakBefore w:val="0"/>
        <w:widowControl/>
        <w:kinsoku w:val="0"/>
        <w:wordWrap/>
        <w:overflowPunct/>
        <w:topLinePunct w:val="0"/>
        <w:autoSpaceDE w:val="0"/>
        <w:autoSpaceDN w:val="0"/>
        <w:bidi w:val="0"/>
        <w:adjustRightInd w:val="0"/>
        <w:snapToGrid w:val="0"/>
        <w:spacing w:line="360" w:lineRule="auto"/>
        <w:ind w:firstLine="580" w:firstLineChars="200"/>
        <w:jc w:val="both"/>
        <w:textAlignment w:val="baseline"/>
        <w:rPr>
          <w:rFonts w:hint="eastAsia" w:ascii="宋体" w:hAnsi="宋体" w:eastAsia="宋体" w:cs="宋体"/>
          <w:color w:val="auto"/>
          <w:spacing w:val="5"/>
          <w:sz w:val="28"/>
          <w:szCs w:val="28"/>
          <w:highlight w:val="none"/>
          <w:lang w:eastAsia="zh-CN"/>
        </w:rPr>
      </w:pPr>
      <w:r>
        <w:rPr>
          <w:rFonts w:hint="eastAsia" w:ascii="宋体" w:hAnsi="宋体" w:eastAsia="宋体" w:cs="宋体"/>
          <w:color w:val="auto"/>
          <w:spacing w:val="5"/>
          <w:sz w:val="28"/>
          <w:szCs w:val="28"/>
          <w:highlight w:val="none"/>
          <w:lang w:eastAsia="zh-CN"/>
        </w:rPr>
        <w:t>现状</w:t>
      </w:r>
      <w:r>
        <w:rPr>
          <w:rFonts w:ascii="宋体" w:hAnsi="宋体" w:eastAsia="宋体" w:cs="宋体"/>
          <w:color w:val="auto"/>
          <w:spacing w:val="5"/>
          <w:sz w:val="28"/>
          <w:szCs w:val="28"/>
          <w:highlight w:val="none"/>
          <w:lang w:eastAsia="zh-CN"/>
        </w:rPr>
        <w:t>安全标志按照</w:t>
      </w:r>
      <w:r>
        <w:rPr>
          <w:rFonts w:hint="eastAsia" w:ascii="宋体" w:hAnsi="宋体" w:eastAsia="宋体" w:cs="宋体"/>
          <w:color w:val="auto"/>
          <w:spacing w:val="5"/>
          <w:sz w:val="28"/>
          <w:szCs w:val="28"/>
          <w:highlight w:val="none"/>
          <w:lang w:eastAsia="zh-CN"/>
        </w:rPr>
        <w:t>《葫芦岛岳强矿业有限责任公司干堆尾矿库安全专篇》</w:t>
      </w:r>
      <w:r>
        <w:rPr>
          <w:rFonts w:ascii="宋体" w:hAnsi="宋体" w:eastAsia="宋体" w:cs="宋体"/>
          <w:color w:val="auto"/>
          <w:spacing w:val="5"/>
          <w:sz w:val="28"/>
          <w:szCs w:val="28"/>
          <w:highlight w:val="none"/>
          <w:lang w:eastAsia="zh-CN"/>
        </w:rPr>
        <w:t>要求布置</w:t>
      </w:r>
      <w:r>
        <w:rPr>
          <w:rFonts w:hint="eastAsia" w:ascii="宋体" w:hAnsi="宋体" w:eastAsia="宋体" w:cs="宋体"/>
          <w:color w:val="auto"/>
          <w:spacing w:val="5"/>
          <w:sz w:val="28"/>
          <w:szCs w:val="28"/>
          <w:highlight w:val="none"/>
          <w:lang w:eastAsia="zh-CN"/>
        </w:rPr>
        <w:t>，满足安全使用要求</w:t>
      </w:r>
      <w:r>
        <w:rPr>
          <w:rFonts w:ascii="宋体" w:hAnsi="宋体" w:eastAsia="宋体" w:cs="宋体"/>
          <w:color w:val="auto"/>
          <w:spacing w:val="5"/>
          <w:sz w:val="28"/>
          <w:szCs w:val="28"/>
          <w:highlight w:val="none"/>
          <w:lang w:eastAsia="zh-CN"/>
        </w:rPr>
        <w:t>。</w:t>
      </w:r>
    </w:p>
    <w:p w14:paraId="528E554F">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88" w:name="_Toc18957"/>
      <w:bookmarkStart w:id="89" w:name="_Toc16763"/>
      <w:bookmarkStart w:id="90" w:name="_Toc10127"/>
      <w:r>
        <w:rPr>
          <w:rFonts w:ascii="Times New Roman" w:hAnsi="Times New Roman" w:eastAsia="Times New Roman" w:cs="Times New Roman"/>
          <w:bCs/>
          <w:color w:val="auto"/>
          <w:spacing w:val="-3"/>
          <w:sz w:val="28"/>
          <w:szCs w:val="28"/>
          <w:highlight w:val="none"/>
          <w:lang w:eastAsia="zh-CN"/>
        </w:rPr>
        <w:t xml:space="preserve">2.5.8 </w:t>
      </w:r>
      <w:r>
        <w:rPr>
          <w:rFonts w:ascii="宋体" w:hAnsi="宋体" w:eastAsia="宋体" w:cs="宋体"/>
          <w:bCs/>
          <w:color w:val="auto"/>
          <w:spacing w:val="-3"/>
          <w:sz w:val="28"/>
          <w:szCs w:val="28"/>
          <w:highlight w:val="none"/>
          <w:lang w:eastAsia="zh-CN"/>
        </w:rPr>
        <w:t>个人安全防护</w:t>
      </w:r>
      <w:bookmarkEnd w:id="88"/>
      <w:bookmarkEnd w:id="89"/>
      <w:bookmarkEnd w:id="90"/>
    </w:p>
    <w:p w14:paraId="396B8879">
      <w:pPr>
        <w:keepNext w:val="0"/>
        <w:keepLines w:val="0"/>
        <w:pageBreakBefore w:val="0"/>
        <w:widowControl/>
        <w:kinsoku w:val="0"/>
        <w:wordWrap/>
        <w:overflowPunct/>
        <w:topLinePunct w:val="0"/>
        <w:autoSpaceDE w:val="0"/>
        <w:autoSpaceDN w:val="0"/>
        <w:bidi w:val="0"/>
        <w:adjustRightInd w:val="0"/>
        <w:snapToGrid w:val="0"/>
        <w:spacing w:line="360" w:lineRule="auto"/>
        <w:ind w:firstLine="580" w:firstLineChars="200"/>
        <w:jc w:val="both"/>
        <w:textAlignment w:val="baseline"/>
        <w:rPr>
          <w:rFonts w:hint="eastAsia" w:ascii="宋体" w:hAnsi="宋体" w:eastAsia="宋体" w:cs="宋体"/>
          <w:color w:val="auto"/>
          <w:sz w:val="28"/>
          <w:szCs w:val="28"/>
          <w:highlight w:val="none"/>
          <w:lang w:eastAsia="zh-CN"/>
        </w:rPr>
      </w:pPr>
      <w:r>
        <w:rPr>
          <w:rFonts w:ascii="宋体" w:hAnsi="宋体" w:eastAsia="宋体" w:cs="宋体"/>
          <w:color w:val="auto"/>
          <w:spacing w:val="5"/>
          <w:sz w:val="28"/>
          <w:szCs w:val="28"/>
          <w:highlight w:val="none"/>
          <w:lang w:eastAsia="zh-CN"/>
        </w:rPr>
        <w:t>企业按照《个体防护装备配备规范</w:t>
      </w:r>
      <w:r>
        <w:rPr>
          <w:rFonts w:ascii="宋体" w:hAnsi="宋体" w:eastAsia="宋体" w:cs="宋体"/>
          <w:color w:val="auto"/>
          <w:spacing w:val="-28"/>
          <w:sz w:val="28"/>
          <w:szCs w:val="28"/>
          <w:highlight w:val="none"/>
          <w:lang w:eastAsia="zh-CN"/>
        </w:rPr>
        <w:t xml:space="preserve"> </w:t>
      </w:r>
      <w:r>
        <w:rPr>
          <w:rFonts w:ascii="宋体" w:hAnsi="宋体" w:eastAsia="宋体" w:cs="宋体"/>
          <w:color w:val="auto"/>
          <w:spacing w:val="5"/>
          <w:sz w:val="28"/>
          <w:szCs w:val="28"/>
          <w:highlight w:val="none"/>
          <w:lang w:eastAsia="zh-CN"/>
        </w:rPr>
        <w:t>第</w:t>
      </w:r>
      <w:r>
        <w:rPr>
          <w:rFonts w:ascii="Times New Roman" w:hAnsi="Times New Roman" w:eastAsia="Times New Roman" w:cs="Times New Roman"/>
          <w:color w:val="auto"/>
          <w:spacing w:val="5"/>
          <w:sz w:val="28"/>
          <w:szCs w:val="28"/>
          <w:highlight w:val="none"/>
          <w:lang w:eastAsia="zh-CN"/>
        </w:rPr>
        <w:t>4</w:t>
      </w:r>
      <w:r>
        <w:rPr>
          <w:rFonts w:ascii="宋体" w:hAnsi="宋体" w:eastAsia="宋体" w:cs="宋体"/>
          <w:color w:val="auto"/>
          <w:spacing w:val="5"/>
          <w:sz w:val="28"/>
          <w:szCs w:val="28"/>
          <w:highlight w:val="none"/>
          <w:lang w:eastAsia="zh-CN"/>
        </w:rPr>
        <w:t>部分：非煤矿山》（</w:t>
      </w:r>
      <w:r>
        <w:rPr>
          <w:rFonts w:ascii="Times New Roman" w:hAnsi="Times New Roman" w:eastAsia="Times New Roman" w:cs="Times New Roman"/>
          <w:color w:val="auto"/>
          <w:sz w:val="28"/>
          <w:szCs w:val="28"/>
          <w:highlight w:val="none"/>
          <w:lang w:eastAsia="zh-CN"/>
        </w:rPr>
        <w:t xml:space="preserve">GB </w:t>
      </w:r>
      <w:r>
        <w:rPr>
          <w:rFonts w:ascii="Times New Roman" w:hAnsi="Times New Roman" w:eastAsia="Times New Roman" w:cs="Times New Roman"/>
          <w:color w:val="auto"/>
          <w:spacing w:val="6"/>
          <w:sz w:val="28"/>
          <w:szCs w:val="28"/>
          <w:highlight w:val="none"/>
          <w:lang w:eastAsia="zh-CN"/>
        </w:rPr>
        <w:t>39800.4-2020</w:t>
      </w:r>
      <w:r>
        <w:rPr>
          <w:rFonts w:ascii="宋体" w:hAnsi="宋体" w:eastAsia="宋体" w:cs="宋体"/>
          <w:color w:val="auto"/>
          <w:spacing w:val="6"/>
          <w:sz w:val="28"/>
          <w:szCs w:val="28"/>
          <w:highlight w:val="none"/>
          <w:lang w:eastAsia="zh-CN"/>
        </w:rPr>
        <w:t>）要求，根据尾矿库的实际情况为工作人</w:t>
      </w:r>
      <w:r>
        <w:rPr>
          <w:rFonts w:ascii="宋体" w:hAnsi="宋体" w:eastAsia="宋体" w:cs="宋体"/>
          <w:color w:val="auto"/>
          <w:spacing w:val="5"/>
          <w:sz w:val="28"/>
          <w:szCs w:val="28"/>
          <w:highlight w:val="none"/>
          <w:lang w:eastAsia="zh-CN"/>
        </w:rPr>
        <w:t>员配备</w:t>
      </w:r>
      <w:r>
        <w:rPr>
          <w:rFonts w:hint="eastAsia" w:ascii="宋体" w:hAnsi="宋体" w:eastAsia="宋体" w:cs="宋体"/>
          <w:color w:val="auto"/>
          <w:spacing w:val="5"/>
          <w:sz w:val="28"/>
          <w:szCs w:val="28"/>
          <w:highlight w:val="none"/>
          <w:lang w:eastAsia="zh-CN"/>
        </w:rPr>
        <w:t>了</w:t>
      </w:r>
      <w:r>
        <w:rPr>
          <w:rFonts w:ascii="宋体" w:hAnsi="宋体" w:eastAsia="宋体" w:cs="宋体"/>
          <w:color w:val="auto"/>
          <w:spacing w:val="5"/>
          <w:sz w:val="28"/>
          <w:szCs w:val="28"/>
          <w:highlight w:val="none"/>
          <w:lang w:eastAsia="zh-CN"/>
        </w:rPr>
        <w:t>对讲</w:t>
      </w:r>
      <w:r>
        <w:rPr>
          <w:rFonts w:ascii="宋体" w:hAnsi="宋体" w:eastAsia="宋体" w:cs="宋体"/>
          <w:color w:val="auto"/>
          <w:spacing w:val="3"/>
          <w:sz w:val="28"/>
          <w:szCs w:val="28"/>
          <w:highlight w:val="none"/>
          <w:lang w:eastAsia="zh-CN"/>
        </w:rPr>
        <w:t>机、工作服、安全帽、照明矿灯、防水雨鞋、帆布手套、劳保鞋等安</w:t>
      </w:r>
      <w:r>
        <w:rPr>
          <w:rFonts w:ascii="宋体" w:hAnsi="宋体" w:eastAsia="宋体" w:cs="宋体"/>
          <w:color w:val="auto"/>
          <w:spacing w:val="-2"/>
          <w:sz w:val="28"/>
          <w:szCs w:val="28"/>
          <w:highlight w:val="none"/>
          <w:lang w:eastAsia="zh-CN"/>
        </w:rPr>
        <w:t>全防护用品。</w:t>
      </w:r>
    </w:p>
    <w:p w14:paraId="6D5F5C73">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91" w:name="_Toc21955"/>
      <w:bookmarkStart w:id="92" w:name="_Toc358"/>
      <w:bookmarkStart w:id="93" w:name="_Toc22486"/>
      <w:r>
        <w:rPr>
          <w:rFonts w:ascii="Times New Roman" w:hAnsi="Times New Roman" w:eastAsia="Times New Roman" w:cs="Times New Roman"/>
          <w:bCs/>
          <w:color w:val="auto"/>
          <w:spacing w:val="-3"/>
          <w:sz w:val="28"/>
          <w:szCs w:val="28"/>
          <w:highlight w:val="none"/>
          <w:lang w:eastAsia="zh-CN"/>
        </w:rPr>
        <w:t xml:space="preserve">2.5.9 </w:t>
      </w:r>
      <w:r>
        <w:rPr>
          <w:rFonts w:ascii="宋体" w:hAnsi="宋体" w:eastAsia="宋体" w:cs="宋体"/>
          <w:bCs/>
          <w:color w:val="auto"/>
          <w:spacing w:val="-3"/>
          <w:sz w:val="28"/>
          <w:szCs w:val="28"/>
          <w:highlight w:val="none"/>
          <w:lang w:eastAsia="zh-CN"/>
        </w:rPr>
        <w:t>企业安全生产管理</w:t>
      </w:r>
      <w:bookmarkEnd w:id="91"/>
      <w:bookmarkEnd w:id="92"/>
      <w:bookmarkEnd w:id="93"/>
    </w:p>
    <w:p w14:paraId="7E6AA774">
      <w:pPr>
        <w:keepNext w:val="0"/>
        <w:keepLines w:val="0"/>
        <w:pageBreakBefore w:val="0"/>
        <w:widowControl/>
        <w:kinsoku w:val="0"/>
        <w:wordWrap/>
        <w:overflowPunct/>
        <w:topLinePunct w:val="0"/>
        <w:autoSpaceDE w:val="0"/>
        <w:autoSpaceDN w:val="0"/>
        <w:bidi w:val="0"/>
        <w:adjustRightInd w:val="0"/>
        <w:snapToGrid w:val="0"/>
        <w:spacing w:line="360" w:lineRule="auto"/>
        <w:ind w:firstLine="552"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default" w:ascii="Times New Roman Regular" w:hAnsi="Times New Roman Regular" w:eastAsia="Times New Roman" w:cs="Times New Roman Regular"/>
          <w:color w:val="auto"/>
          <w:spacing w:val="-2"/>
          <w:sz w:val="28"/>
          <w:szCs w:val="28"/>
          <w:highlight w:val="none"/>
          <w:lang w:eastAsia="zh-CN"/>
        </w:rPr>
        <w:t>1</w:t>
      </w:r>
      <w:r>
        <w:rPr>
          <w:rFonts w:hint="default" w:ascii="Times New Roman Regular" w:hAnsi="Times New Roman Regular" w:eastAsia="宋体" w:cs="Times New Roman Regular"/>
          <w:color w:val="auto"/>
          <w:spacing w:val="-2"/>
          <w:sz w:val="28"/>
          <w:szCs w:val="28"/>
          <w:highlight w:val="none"/>
          <w:lang w:eastAsia="zh-CN"/>
        </w:rPr>
        <w:t>）尾矿库排水构筑物检测</w:t>
      </w:r>
    </w:p>
    <w:p w14:paraId="5CA6FAC2">
      <w:pPr>
        <w:keepNext w:val="0"/>
        <w:keepLines w:val="0"/>
        <w:pageBreakBefore w:val="0"/>
        <w:widowControl/>
        <w:kinsoku w:val="0"/>
        <w:wordWrap/>
        <w:overflowPunct/>
        <w:topLinePunct w:val="0"/>
        <w:autoSpaceDE w:val="0"/>
        <w:autoSpaceDN w:val="0"/>
        <w:bidi w:val="0"/>
        <w:adjustRightInd w:val="0"/>
        <w:snapToGrid w:val="0"/>
        <w:spacing w:line="360" w:lineRule="auto"/>
        <w:ind w:firstLine="580" w:firstLineChars="200"/>
        <w:jc w:val="both"/>
        <w:textAlignment w:val="baseline"/>
        <w:rPr>
          <w:rFonts w:hint="default" w:ascii="Times New Roman Regular" w:hAnsi="Times New Roman Regular" w:eastAsia="宋体" w:cs="Times New Roman Regular"/>
          <w:color w:val="auto"/>
          <w:spacing w:val="5"/>
          <w:sz w:val="28"/>
          <w:szCs w:val="28"/>
          <w:highlight w:val="none"/>
          <w:lang w:eastAsia="zh-CN"/>
        </w:rPr>
      </w:pPr>
    </w:p>
    <w:p w14:paraId="0CEEDACB">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Times New Roman" w:cs="Times New Roman Regular"/>
          <w:color w:val="auto"/>
          <w:spacing w:val="-3"/>
          <w:sz w:val="28"/>
          <w:szCs w:val="28"/>
          <w:highlight w:val="none"/>
          <w:lang w:eastAsia="zh-CN"/>
        </w:rPr>
        <w:t>2</w:t>
      </w:r>
      <w:r>
        <w:rPr>
          <w:rFonts w:hint="default" w:ascii="Times New Roman Regular" w:hAnsi="Times New Roman Regular" w:eastAsia="宋体" w:cs="Times New Roman Regular"/>
          <w:color w:val="auto"/>
          <w:spacing w:val="-3"/>
          <w:sz w:val="28"/>
          <w:szCs w:val="28"/>
          <w:highlight w:val="none"/>
          <w:lang w:eastAsia="zh-CN"/>
        </w:rPr>
        <w:t>）尾矿库</w:t>
      </w:r>
      <w:r>
        <w:rPr>
          <w:rFonts w:hint="default" w:ascii="Times New Roman Regular" w:hAnsi="Times New Roman Regular" w:eastAsia="Times New Roman" w:cs="Times New Roman Regular"/>
          <w:color w:val="auto"/>
          <w:spacing w:val="-3"/>
          <w:sz w:val="28"/>
          <w:szCs w:val="28"/>
          <w:highlight w:val="none"/>
          <w:lang w:eastAsia="zh-CN"/>
        </w:rPr>
        <w:t>202</w:t>
      </w:r>
      <w:r>
        <w:rPr>
          <w:rFonts w:hint="default" w:ascii="Times New Roman Regular" w:hAnsi="Times New Roman Regular" w:eastAsia="宋体" w:cs="Times New Roman Regular"/>
          <w:color w:val="auto"/>
          <w:spacing w:val="-3"/>
          <w:sz w:val="28"/>
          <w:szCs w:val="28"/>
          <w:highlight w:val="none"/>
          <w:lang w:eastAsia="zh-CN"/>
        </w:rPr>
        <w:t>5年调洪演算</w:t>
      </w:r>
    </w:p>
    <w:p w14:paraId="424C49F4">
      <w:pPr>
        <w:keepNext w:val="0"/>
        <w:keepLines w:val="0"/>
        <w:pageBreakBefore w:val="0"/>
        <w:widowControl/>
        <w:kinsoku w:val="0"/>
        <w:wordWrap/>
        <w:overflowPunct/>
        <w:topLinePunct w:val="0"/>
        <w:autoSpaceDE w:val="0"/>
        <w:autoSpaceDN w:val="0"/>
        <w:bidi w:val="0"/>
        <w:adjustRightInd w:val="0"/>
        <w:snapToGrid w:val="0"/>
        <w:spacing w:line="360" w:lineRule="auto"/>
        <w:ind w:firstLine="584" w:firstLineChars="200"/>
        <w:textAlignment w:val="baseline"/>
        <w:rPr>
          <w:rFonts w:hint="default" w:ascii="Times New Roman Regular" w:hAnsi="Times New Roman Regular" w:eastAsia="宋体" w:cs="Times New Roman Regular"/>
          <w:color w:val="auto"/>
          <w:spacing w:val="6"/>
          <w:sz w:val="28"/>
          <w:szCs w:val="28"/>
          <w:highlight w:val="none"/>
          <w:lang w:eastAsia="zh-CN"/>
        </w:rPr>
      </w:pPr>
    </w:p>
    <w:p w14:paraId="03BDF5ED">
      <w:pPr>
        <w:keepNext w:val="0"/>
        <w:keepLines w:val="0"/>
        <w:pageBreakBefore w:val="0"/>
        <w:widowControl/>
        <w:kinsoku w:val="0"/>
        <w:wordWrap/>
        <w:overflowPunct/>
        <w:topLinePunct w:val="0"/>
        <w:autoSpaceDE w:val="0"/>
        <w:autoSpaceDN w:val="0"/>
        <w:bidi w:val="0"/>
        <w:adjustRightInd w:val="0"/>
        <w:snapToGrid w:val="0"/>
        <w:spacing w:line="360" w:lineRule="auto"/>
        <w:ind w:firstLine="552"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default" w:ascii="Times New Roman Regular" w:hAnsi="Times New Roman Regular" w:eastAsia="Times New Roman" w:cs="Times New Roman Regular"/>
          <w:color w:val="auto"/>
          <w:spacing w:val="-2"/>
          <w:sz w:val="28"/>
          <w:szCs w:val="28"/>
          <w:highlight w:val="none"/>
          <w:lang w:eastAsia="zh-CN"/>
        </w:rPr>
        <w:t>3</w:t>
      </w:r>
      <w:r>
        <w:rPr>
          <w:rFonts w:hint="default" w:ascii="Times New Roman Regular" w:hAnsi="Times New Roman Regular" w:eastAsia="宋体" w:cs="Times New Roman Regular"/>
          <w:color w:val="auto"/>
          <w:spacing w:val="-2"/>
          <w:sz w:val="28"/>
          <w:szCs w:val="28"/>
          <w:highlight w:val="none"/>
          <w:lang w:eastAsia="zh-CN"/>
        </w:rPr>
        <w:t>）尾矿库应急物资情况</w:t>
      </w:r>
    </w:p>
    <w:p w14:paraId="2990483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Times New Roman Regular" w:hAnsi="Times New Roman Regular" w:eastAsia="宋体" w:cs="Times New Roman Regular"/>
          <w:color w:val="auto"/>
          <w:sz w:val="28"/>
          <w:szCs w:val="28"/>
          <w:highlight w:val="none"/>
          <w:lang w:eastAsia="zh-CN"/>
        </w:rPr>
      </w:pPr>
    </w:p>
    <w:p w14:paraId="1F2FF60C">
      <w:pPr>
        <w:keepNext w:val="0"/>
        <w:keepLines w:val="0"/>
        <w:pageBreakBefore w:val="0"/>
        <w:widowControl/>
        <w:kinsoku w:val="0"/>
        <w:wordWrap/>
        <w:overflowPunct/>
        <w:topLinePunct w:val="0"/>
        <w:autoSpaceDE w:val="0"/>
        <w:autoSpaceDN w:val="0"/>
        <w:bidi w:val="0"/>
        <w:adjustRightInd w:val="0"/>
        <w:snapToGrid w:val="0"/>
        <w:spacing w:line="360" w:lineRule="auto"/>
        <w:ind w:firstLine="552"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default" w:ascii="Times New Roman Regular" w:hAnsi="Times New Roman Regular" w:eastAsia="Times New Roman" w:cs="Times New Roman Regular"/>
          <w:color w:val="auto"/>
          <w:spacing w:val="-2"/>
          <w:sz w:val="28"/>
          <w:szCs w:val="28"/>
          <w:highlight w:val="none"/>
          <w:lang w:eastAsia="zh-CN"/>
        </w:rPr>
        <w:t>4</w:t>
      </w:r>
      <w:r>
        <w:rPr>
          <w:rFonts w:hint="default" w:ascii="Times New Roman Regular" w:hAnsi="Times New Roman Regular" w:eastAsia="宋体" w:cs="Times New Roman Regular"/>
          <w:color w:val="auto"/>
          <w:spacing w:val="-2"/>
          <w:sz w:val="28"/>
          <w:szCs w:val="28"/>
          <w:highlight w:val="none"/>
          <w:lang w:eastAsia="zh-CN"/>
        </w:rPr>
        <w:t>）尾矿库安措费提取情况</w:t>
      </w:r>
    </w:p>
    <w:p w14:paraId="0DFEF272">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Times New Roman Regular" w:hAnsi="Times New Roman Regular" w:eastAsia="宋体" w:cs="Times New Roman Regular"/>
          <w:color w:val="auto"/>
          <w:sz w:val="28"/>
          <w:szCs w:val="28"/>
          <w:highlight w:val="none"/>
          <w:lang w:eastAsia="zh-CN"/>
        </w:rPr>
      </w:pPr>
    </w:p>
    <w:p w14:paraId="08A7A8DA">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（5）人员证件情况</w:t>
      </w:r>
    </w:p>
    <w:p w14:paraId="230577D5">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textAlignment w:val="baseline"/>
        <w:rPr>
          <w:rFonts w:hint="default" w:ascii="Times New Roman Regular" w:hAnsi="Times New Roman Regular" w:eastAsia="宋体" w:cs="Times New Roman Regular"/>
          <w:color w:val="auto"/>
          <w:spacing w:val="7"/>
          <w:sz w:val="28"/>
          <w:szCs w:val="28"/>
          <w:highlight w:val="none"/>
          <w:lang w:val="zh-CN" w:eastAsia="zh-CN"/>
        </w:rPr>
      </w:pPr>
    </w:p>
    <w:p w14:paraId="23D2E88B">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（6）安全组织机构及规章制度</w:t>
      </w:r>
    </w:p>
    <w:p w14:paraId="60865B6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Times New Roman Regular" w:hAnsi="Times New Roman Regular" w:eastAsia="宋体" w:cs="Times New Roman Regular"/>
          <w:color w:val="auto"/>
          <w:sz w:val="28"/>
          <w:szCs w:val="28"/>
          <w:highlight w:val="none"/>
          <w:lang w:eastAsia="zh-CN"/>
        </w:rPr>
      </w:pPr>
    </w:p>
    <w:p w14:paraId="1D6CFCB2">
      <w:pPr>
        <w:keepNext w:val="0"/>
        <w:keepLines w:val="0"/>
        <w:pageBreakBefore w:val="0"/>
        <w:widowControl/>
        <w:kinsoku w:val="0"/>
        <w:wordWrap/>
        <w:overflowPunct/>
        <w:topLinePunct w:val="0"/>
        <w:autoSpaceDE w:val="0"/>
        <w:autoSpaceDN w:val="0"/>
        <w:bidi w:val="0"/>
        <w:adjustRightInd w:val="0"/>
        <w:snapToGrid w:val="0"/>
        <w:spacing w:line="360" w:lineRule="auto"/>
        <w:ind w:firstLine="552"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default" w:ascii="Times New Roman Regular" w:hAnsi="Times New Roman Regular" w:eastAsia="Times New Roman" w:cs="Times New Roman Regular"/>
          <w:color w:val="auto"/>
          <w:spacing w:val="-2"/>
          <w:sz w:val="28"/>
          <w:szCs w:val="28"/>
          <w:highlight w:val="none"/>
          <w:lang w:eastAsia="zh-CN"/>
        </w:rPr>
        <w:t>7</w:t>
      </w:r>
      <w:r>
        <w:rPr>
          <w:rFonts w:hint="default" w:ascii="Times New Roman Regular" w:hAnsi="Times New Roman Regular" w:eastAsia="宋体" w:cs="Times New Roman Regular"/>
          <w:color w:val="auto"/>
          <w:spacing w:val="-2"/>
          <w:sz w:val="28"/>
          <w:szCs w:val="28"/>
          <w:highlight w:val="none"/>
          <w:lang w:eastAsia="zh-CN"/>
        </w:rPr>
        <w:t>）现场管理及安全检查</w:t>
      </w:r>
    </w:p>
    <w:p w14:paraId="79270BA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Times New Roman Regular" w:hAnsi="Times New Roman Regular" w:eastAsia="宋体" w:cs="Times New Roman Regular"/>
          <w:color w:val="auto"/>
          <w:sz w:val="28"/>
          <w:szCs w:val="28"/>
          <w:highlight w:val="none"/>
          <w:lang w:eastAsia="zh-CN"/>
        </w:rPr>
      </w:pPr>
    </w:p>
    <w:p w14:paraId="69F81C4D">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Times New Roman" w:cs="Times New Roman Regular"/>
          <w:color w:val="auto"/>
          <w:spacing w:val="-3"/>
          <w:sz w:val="28"/>
          <w:szCs w:val="28"/>
          <w:highlight w:val="none"/>
          <w:lang w:eastAsia="zh-CN"/>
        </w:rPr>
        <w:t>8</w:t>
      </w:r>
      <w:r>
        <w:rPr>
          <w:rFonts w:hint="default" w:ascii="Times New Roman Regular" w:hAnsi="Times New Roman Regular" w:eastAsia="宋体" w:cs="Times New Roman Regular"/>
          <w:color w:val="auto"/>
          <w:spacing w:val="-3"/>
          <w:sz w:val="28"/>
          <w:szCs w:val="28"/>
          <w:highlight w:val="none"/>
          <w:lang w:eastAsia="zh-CN"/>
        </w:rPr>
        <w:t>）应急预案</w:t>
      </w:r>
    </w:p>
    <w:p w14:paraId="6E62AD2E">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default" w:ascii="Times New Roman Regular" w:hAnsi="Times New Roman Regular" w:eastAsia="宋体" w:cs="Times New Roman Regular"/>
          <w:color w:val="auto"/>
          <w:sz w:val="28"/>
          <w:szCs w:val="28"/>
          <w:highlight w:val="none"/>
          <w:lang w:eastAsia="zh-CN"/>
        </w:rPr>
      </w:pPr>
    </w:p>
    <w:p w14:paraId="5A9ABD8A">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default" w:ascii="Times New Roman Regular" w:hAnsi="Times New Roman Regular" w:eastAsia="宋体" w:cs="Times New Roman Regular"/>
          <w:color w:val="auto"/>
          <w:spacing w:val="-45"/>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（9）</w:t>
      </w:r>
      <w:r>
        <w:rPr>
          <w:rFonts w:hint="default" w:ascii="Times New Roman Regular" w:hAnsi="Times New Roman Regular" w:eastAsia="宋体" w:cs="Times New Roman Regular"/>
          <w:color w:val="auto"/>
          <w:sz w:val="28"/>
          <w:szCs w:val="28"/>
          <w:highlight w:val="none"/>
          <w:lang w:eastAsia="zh-CN"/>
        </w:rPr>
        <w:t>保险</w:t>
      </w:r>
    </w:p>
    <w:p w14:paraId="7D662C79">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ascii="Times New Roman Regular" w:hAnsi="Times New Roman Regular" w:eastAsia="宋体" w:cs="Times New Roman Regular"/>
          <w:color w:val="auto"/>
          <w:sz w:val="28"/>
          <w:szCs w:val="28"/>
          <w:highlight w:val="none"/>
          <w:lang w:eastAsia="zh-CN"/>
        </w:rPr>
      </w:pPr>
    </w:p>
    <w:p w14:paraId="53C519E3">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94" w:name="_Toc3900"/>
      <w:bookmarkStart w:id="95" w:name="_Toc32733"/>
      <w:bookmarkStart w:id="96" w:name="_Toc31838"/>
      <w:r>
        <w:rPr>
          <w:rFonts w:ascii="Times New Roman" w:hAnsi="Times New Roman" w:eastAsia="Times New Roman" w:cs="Times New Roman"/>
          <w:bCs/>
          <w:color w:val="auto"/>
          <w:spacing w:val="-2"/>
          <w:sz w:val="28"/>
          <w:szCs w:val="28"/>
          <w:highlight w:val="none"/>
          <w:lang w:eastAsia="zh-CN"/>
        </w:rPr>
        <w:t xml:space="preserve">2.5.10 </w:t>
      </w:r>
      <w:r>
        <w:rPr>
          <w:rFonts w:ascii="宋体" w:hAnsi="宋体" w:eastAsia="宋体" w:cs="宋体"/>
          <w:bCs/>
          <w:color w:val="auto"/>
          <w:spacing w:val="-2"/>
          <w:sz w:val="28"/>
          <w:szCs w:val="28"/>
          <w:highlight w:val="none"/>
          <w:lang w:eastAsia="zh-CN"/>
        </w:rPr>
        <w:t>上一周期安全生产许可期间生产基</w:t>
      </w:r>
      <w:r>
        <w:rPr>
          <w:rFonts w:ascii="宋体" w:hAnsi="宋体" w:eastAsia="宋体" w:cs="宋体"/>
          <w:bCs/>
          <w:color w:val="auto"/>
          <w:spacing w:val="-3"/>
          <w:sz w:val="28"/>
          <w:szCs w:val="28"/>
          <w:highlight w:val="none"/>
          <w:lang w:eastAsia="zh-CN"/>
        </w:rPr>
        <w:t>本情况</w:t>
      </w:r>
      <w:bookmarkEnd w:id="94"/>
      <w:bookmarkEnd w:id="95"/>
      <w:bookmarkEnd w:id="96"/>
    </w:p>
    <w:p w14:paraId="4B7F041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ascii="宋体" w:hAnsi="宋体" w:eastAsia="宋体" w:cs="宋体"/>
          <w:color w:val="auto"/>
          <w:spacing w:val="-1"/>
          <w:sz w:val="28"/>
          <w:szCs w:val="28"/>
          <w:highlight w:val="none"/>
          <w:lang w:eastAsia="zh-CN"/>
        </w:rPr>
      </w:pPr>
      <w:r>
        <w:rPr>
          <w:rFonts w:hint="eastAsia" w:ascii="宋体" w:hAnsi="宋体" w:eastAsia="宋体" w:cs="宋体"/>
          <w:color w:val="auto"/>
          <w:sz w:val="28"/>
          <w:szCs w:val="28"/>
          <w:highlight w:val="none"/>
          <w:lang w:eastAsia="zh-CN"/>
        </w:rPr>
        <w:t>葫芦岛岳强矿业有限责任公司尾矿库</w:t>
      </w:r>
      <w:r>
        <w:rPr>
          <w:rFonts w:ascii="宋体" w:hAnsi="宋体" w:eastAsia="宋体" w:cs="宋体"/>
          <w:color w:val="auto"/>
          <w:sz w:val="28"/>
          <w:szCs w:val="28"/>
          <w:highlight w:val="none"/>
          <w:lang w:eastAsia="zh-CN"/>
        </w:rPr>
        <w:t>自</w:t>
      </w:r>
      <w:r>
        <w:rPr>
          <w:rFonts w:ascii="Times New Roman" w:hAnsi="Times New Roman" w:eastAsia="Times New Roman" w:cs="Times New Roman"/>
          <w:color w:val="auto"/>
          <w:sz w:val="28"/>
          <w:szCs w:val="28"/>
          <w:highlight w:val="none"/>
          <w:lang w:eastAsia="zh-CN"/>
        </w:rPr>
        <w:t>202</w:t>
      </w:r>
      <w:r>
        <w:rPr>
          <w:rFonts w:hint="eastAsia" w:ascii="Times New Roman" w:hAnsi="Times New Roman" w:eastAsia="宋体" w:cs="Times New Roman"/>
          <w:color w:val="auto"/>
          <w:sz w:val="28"/>
          <w:szCs w:val="28"/>
          <w:highlight w:val="none"/>
          <w:lang w:eastAsia="zh-CN"/>
        </w:rPr>
        <w:t>3</w:t>
      </w:r>
      <w:r>
        <w:rPr>
          <w:rFonts w:ascii="宋体" w:hAnsi="宋体" w:eastAsia="宋体" w:cs="宋体"/>
          <w:color w:val="auto"/>
          <w:sz w:val="28"/>
          <w:szCs w:val="28"/>
          <w:highlight w:val="none"/>
          <w:lang w:eastAsia="zh-CN"/>
        </w:rPr>
        <w:t>年</w:t>
      </w:r>
      <w:r>
        <w:rPr>
          <w:rFonts w:hint="eastAsia" w:ascii="Times New Roman" w:hAnsi="Times New Roman" w:eastAsia="Times New Roman" w:cs="Times New Roman"/>
          <w:color w:val="auto"/>
          <w:sz w:val="28"/>
          <w:szCs w:val="28"/>
          <w:highlight w:val="none"/>
          <w:lang w:eastAsia="zh-CN"/>
        </w:rPr>
        <w:t>4</w:t>
      </w:r>
      <w:r>
        <w:rPr>
          <w:rFonts w:ascii="宋体" w:hAnsi="宋体" w:eastAsia="宋体" w:cs="宋体"/>
          <w:color w:val="auto"/>
          <w:sz w:val="28"/>
          <w:szCs w:val="28"/>
          <w:highlight w:val="none"/>
          <w:lang w:eastAsia="zh-CN"/>
        </w:rPr>
        <w:t>月换发安全生</w:t>
      </w:r>
      <w:r>
        <w:rPr>
          <w:rFonts w:ascii="宋体" w:hAnsi="宋体" w:eastAsia="宋体" w:cs="宋体"/>
          <w:color w:val="auto"/>
          <w:spacing w:val="-2"/>
          <w:sz w:val="28"/>
          <w:szCs w:val="28"/>
          <w:highlight w:val="none"/>
          <w:lang w:eastAsia="zh-CN"/>
        </w:rPr>
        <w:t>产许可证至今无安全生产事故发生，企业按</w:t>
      </w:r>
      <w:r>
        <w:rPr>
          <w:rFonts w:ascii="宋体" w:hAnsi="宋体" w:eastAsia="宋体" w:cs="宋体"/>
          <w:color w:val="auto"/>
          <w:spacing w:val="-3"/>
          <w:sz w:val="28"/>
          <w:szCs w:val="28"/>
          <w:highlight w:val="none"/>
          <w:lang w:eastAsia="zh-CN"/>
        </w:rPr>
        <w:t>照设计工艺要求排放尾矿，</w:t>
      </w:r>
      <w:r>
        <w:rPr>
          <w:rFonts w:ascii="宋体" w:hAnsi="宋体" w:eastAsia="宋体" w:cs="宋体"/>
          <w:color w:val="auto"/>
          <w:sz w:val="28"/>
          <w:szCs w:val="28"/>
          <w:highlight w:val="none"/>
          <w:lang w:eastAsia="zh-CN"/>
        </w:rPr>
        <w:t>在此基础上按时进行</w:t>
      </w:r>
      <w:r>
        <w:rPr>
          <w:rFonts w:hint="eastAsia" w:ascii="宋体" w:hAnsi="宋体" w:eastAsia="宋体" w:cs="宋体"/>
          <w:color w:val="auto"/>
          <w:sz w:val="28"/>
          <w:szCs w:val="28"/>
          <w:highlight w:val="none"/>
          <w:lang w:val="en-US" w:eastAsia="zh-CN"/>
        </w:rPr>
        <w:t>了</w:t>
      </w:r>
      <w:r>
        <w:rPr>
          <w:rFonts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eastAsia="zh-CN"/>
        </w:rPr>
        <w:t>葫芦岛岳强矿业有限责任公司尾矿库2025年度汛前调洪演算报告》《葫芦岛岳强矿业有限责任公司尾矿库排水构筑物检测报告》《</w:t>
      </w:r>
      <w:r>
        <w:rPr>
          <w:rFonts w:hint="eastAsia" w:ascii="Times New Roman Regular" w:hAnsi="Times New Roman Regular" w:eastAsia="宋体" w:cs="Times New Roman Regular"/>
          <w:snapToGrid/>
          <w:color w:val="auto"/>
          <w:kern w:val="2"/>
          <w:sz w:val="28"/>
          <w:szCs w:val="28"/>
          <w:highlight w:val="none"/>
          <w:lang w:val="zh-CN" w:eastAsia="zh-CN"/>
        </w:rPr>
        <w:t>葫芦岛岳强矿业有限责任公司干堆尾矿库安全性复核报告》《</w:t>
      </w:r>
      <w:r>
        <w:rPr>
          <w:rFonts w:hint="default" w:ascii="Times New Roman Regular" w:hAnsi="Times New Roman Regular" w:eastAsia="宋体" w:cs="Times New Roman Regular"/>
          <w:snapToGrid/>
          <w:color w:val="auto"/>
          <w:kern w:val="2"/>
          <w:sz w:val="28"/>
          <w:szCs w:val="28"/>
          <w:highlight w:val="none"/>
          <w:lang w:val="zh-CN" w:eastAsia="zh-CN"/>
        </w:rPr>
        <w:t>葫芦岛岳强矿业有限责任公司尾矿库隐蔽致灾因素普查报告</w:t>
      </w:r>
      <w:r>
        <w:rPr>
          <w:rFonts w:hint="eastAsia" w:ascii="Times New Roman Regular" w:hAnsi="Times New Roman Regular" w:eastAsia="宋体" w:cs="Times New Roman Regular"/>
          <w:snapToGrid/>
          <w:color w:val="auto"/>
          <w:kern w:val="2"/>
          <w:sz w:val="28"/>
          <w:szCs w:val="28"/>
          <w:highlight w:val="none"/>
          <w:lang w:val="zh-CN" w:eastAsia="zh-CN"/>
        </w:rPr>
        <w:t>》</w:t>
      </w:r>
      <w:r>
        <w:rPr>
          <w:rFonts w:ascii="宋体" w:hAnsi="宋体" w:eastAsia="宋体" w:cs="宋体"/>
          <w:color w:val="auto"/>
          <w:sz w:val="28"/>
          <w:szCs w:val="28"/>
          <w:highlight w:val="none"/>
          <w:lang w:eastAsia="zh-CN"/>
        </w:rPr>
        <w:t>等相关报告</w:t>
      </w:r>
      <w:r>
        <w:rPr>
          <w:rFonts w:ascii="宋体" w:hAnsi="宋体" w:eastAsia="宋体" w:cs="宋体"/>
          <w:color w:val="auto"/>
          <w:spacing w:val="-2"/>
          <w:sz w:val="28"/>
          <w:szCs w:val="28"/>
          <w:highlight w:val="none"/>
          <w:lang w:eastAsia="zh-CN"/>
        </w:rPr>
        <w:t>的编制</w:t>
      </w:r>
      <w:r>
        <w:rPr>
          <w:rFonts w:hint="eastAsia" w:ascii="宋体" w:hAnsi="宋体" w:eastAsia="宋体" w:cs="宋体"/>
          <w:color w:val="auto"/>
          <w:spacing w:val="-2"/>
          <w:sz w:val="28"/>
          <w:szCs w:val="28"/>
          <w:highlight w:val="none"/>
          <w:lang w:eastAsia="zh-CN"/>
        </w:rPr>
        <w:t>。企业</w:t>
      </w:r>
      <w:r>
        <w:rPr>
          <w:rFonts w:ascii="宋体" w:hAnsi="宋体" w:eastAsia="宋体" w:cs="宋体"/>
          <w:color w:val="auto"/>
          <w:spacing w:val="-2"/>
          <w:sz w:val="28"/>
          <w:szCs w:val="28"/>
          <w:highlight w:val="none"/>
          <w:lang w:eastAsia="zh-CN"/>
        </w:rPr>
        <w:t>日常</w:t>
      </w:r>
      <w:r>
        <w:rPr>
          <w:rFonts w:hint="eastAsia" w:ascii="宋体" w:hAnsi="宋体" w:eastAsia="宋体" w:cs="宋体"/>
          <w:color w:val="auto"/>
          <w:spacing w:val="-2"/>
          <w:sz w:val="28"/>
          <w:szCs w:val="28"/>
          <w:highlight w:val="none"/>
          <w:lang w:eastAsia="zh-CN"/>
        </w:rPr>
        <w:t>对初期</w:t>
      </w:r>
      <w:r>
        <w:rPr>
          <w:rFonts w:ascii="宋体" w:hAnsi="宋体" w:eastAsia="宋体" w:cs="宋体"/>
          <w:color w:val="auto"/>
          <w:spacing w:val="-2"/>
          <w:sz w:val="28"/>
          <w:szCs w:val="28"/>
          <w:highlight w:val="none"/>
          <w:lang w:eastAsia="zh-CN"/>
        </w:rPr>
        <w:t>坝、</w:t>
      </w:r>
      <w:r>
        <w:rPr>
          <w:rFonts w:hint="eastAsia" w:ascii="宋体" w:hAnsi="宋体" w:eastAsia="宋体" w:cs="宋体"/>
          <w:color w:val="auto"/>
          <w:spacing w:val="-2"/>
          <w:sz w:val="28"/>
          <w:szCs w:val="28"/>
          <w:highlight w:val="none"/>
          <w:lang w:eastAsia="zh-CN"/>
        </w:rPr>
        <w:t>堆积</w:t>
      </w:r>
      <w:r>
        <w:rPr>
          <w:rFonts w:ascii="宋体" w:hAnsi="宋体" w:eastAsia="宋体" w:cs="宋体"/>
          <w:color w:val="auto"/>
          <w:spacing w:val="-2"/>
          <w:sz w:val="28"/>
          <w:szCs w:val="28"/>
          <w:highlight w:val="none"/>
          <w:lang w:eastAsia="zh-CN"/>
        </w:rPr>
        <w:t>坝</w:t>
      </w:r>
      <w:r>
        <w:rPr>
          <w:rFonts w:hint="eastAsia" w:ascii="宋体" w:hAnsi="宋体" w:eastAsia="宋体" w:cs="宋体"/>
          <w:color w:val="auto"/>
          <w:spacing w:val="-2"/>
          <w:sz w:val="28"/>
          <w:szCs w:val="28"/>
          <w:highlight w:val="none"/>
          <w:lang w:eastAsia="zh-CN"/>
        </w:rPr>
        <w:t>、</w:t>
      </w:r>
      <w:r>
        <w:rPr>
          <w:rFonts w:ascii="宋体" w:hAnsi="宋体" w:eastAsia="宋体" w:cs="宋体"/>
          <w:color w:val="auto"/>
          <w:spacing w:val="-2"/>
          <w:sz w:val="28"/>
          <w:szCs w:val="28"/>
          <w:highlight w:val="none"/>
          <w:lang w:eastAsia="zh-CN"/>
        </w:rPr>
        <w:t>排洪设施、监测设施</w:t>
      </w:r>
      <w:r>
        <w:rPr>
          <w:rFonts w:hint="eastAsia" w:ascii="宋体" w:hAnsi="宋体" w:eastAsia="宋体" w:cs="宋体"/>
          <w:color w:val="auto"/>
          <w:spacing w:val="-2"/>
          <w:sz w:val="28"/>
          <w:szCs w:val="28"/>
          <w:highlight w:val="none"/>
          <w:lang w:eastAsia="zh-CN"/>
        </w:rPr>
        <w:t>、辅助设施</w:t>
      </w:r>
      <w:r>
        <w:rPr>
          <w:rFonts w:ascii="宋体" w:hAnsi="宋体" w:eastAsia="宋体" w:cs="宋体"/>
          <w:color w:val="auto"/>
          <w:spacing w:val="-2"/>
          <w:sz w:val="28"/>
          <w:szCs w:val="28"/>
          <w:highlight w:val="none"/>
          <w:lang w:eastAsia="zh-CN"/>
        </w:rPr>
        <w:t>等</w:t>
      </w:r>
      <w:r>
        <w:rPr>
          <w:rFonts w:hint="eastAsia" w:ascii="宋体" w:hAnsi="宋体" w:eastAsia="宋体" w:cs="宋体"/>
          <w:color w:val="auto"/>
          <w:spacing w:val="-2"/>
          <w:sz w:val="28"/>
          <w:szCs w:val="28"/>
          <w:highlight w:val="none"/>
          <w:lang w:eastAsia="zh-CN"/>
        </w:rPr>
        <w:t>进行</w:t>
      </w:r>
      <w:r>
        <w:rPr>
          <w:rFonts w:ascii="宋体" w:hAnsi="宋体" w:eastAsia="宋体" w:cs="宋体"/>
          <w:color w:val="auto"/>
          <w:spacing w:val="-2"/>
          <w:sz w:val="28"/>
          <w:szCs w:val="28"/>
          <w:highlight w:val="none"/>
          <w:lang w:eastAsia="zh-CN"/>
        </w:rPr>
        <w:t>维护，配备</w:t>
      </w:r>
      <w:r>
        <w:rPr>
          <w:rFonts w:ascii="宋体" w:hAnsi="宋体" w:eastAsia="宋体" w:cs="宋体"/>
          <w:color w:val="auto"/>
          <w:spacing w:val="3"/>
          <w:sz w:val="28"/>
          <w:szCs w:val="28"/>
          <w:highlight w:val="none"/>
          <w:lang w:eastAsia="zh-CN"/>
        </w:rPr>
        <w:t>了</w:t>
      </w:r>
      <w:r>
        <w:rPr>
          <w:rFonts w:hint="eastAsia" w:ascii="宋体" w:hAnsi="宋体" w:eastAsia="宋体" w:cs="宋体"/>
          <w:color w:val="auto"/>
          <w:spacing w:val="3"/>
          <w:sz w:val="28"/>
          <w:szCs w:val="28"/>
          <w:highlight w:val="none"/>
          <w:lang w:eastAsia="zh-CN"/>
        </w:rPr>
        <w:t>尾矿库</w:t>
      </w:r>
      <w:r>
        <w:rPr>
          <w:rFonts w:ascii="宋体" w:hAnsi="宋体" w:eastAsia="宋体" w:cs="宋体"/>
          <w:color w:val="auto"/>
          <w:spacing w:val="3"/>
          <w:sz w:val="28"/>
          <w:szCs w:val="28"/>
          <w:highlight w:val="none"/>
          <w:lang w:eastAsia="zh-CN"/>
        </w:rPr>
        <w:t>安全</w:t>
      </w:r>
      <w:r>
        <w:rPr>
          <w:rFonts w:hint="eastAsia" w:ascii="宋体" w:hAnsi="宋体" w:eastAsia="宋体" w:cs="宋体"/>
          <w:color w:val="auto"/>
          <w:spacing w:val="3"/>
          <w:sz w:val="28"/>
          <w:szCs w:val="28"/>
          <w:highlight w:val="none"/>
          <w:lang w:eastAsia="zh-CN"/>
        </w:rPr>
        <w:t>生产</w:t>
      </w:r>
      <w:r>
        <w:rPr>
          <w:rFonts w:ascii="宋体" w:hAnsi="宋体" w:eastAsia="宋体" w:cs="宋体"/>
          <w:color w:val="auto"/>
          <w:spacing w:val="3"/>
          <w:sz w:val="28"/>
          <w:szCs w:val="28"/>
          <w:highlight w:val="none"/>
          <w:lang w:eastAsia="zh-CN"/>
        </w:rPr>
        <w:t>管理人员、特种作业人员、专业技术人员、注安人员，企业对</w:t>
      </w:r>
      <w:r>
        <w:rPr>
          <w:rFonts w:hint="eastAsia" w:ascii="宋体" w:hAnsi="宋体" w:eastAsia="宋体" w:cs="宋体"/>
          <w:color w:val="auto"/>
          <w:spacing w:val="3"/>
          <w:sz w:val="28"/>
          <w:szCs w:val="28"/>
          <w:highlight w:val="none"/>
          <w:lang w:eastAsia="zh-CN"/>
        </w:rPr>
        <w:t>尾矿库</w:t>
      </w:r>
      <w:r>
        <w:rPr>
          <w:rFonts w:ascii="宋体" w:hAnsi="宋体" w:eastAsia="宋体" w:cs="宋体"/>
          <w:color w:val="auto"/>
          <w:spacing w:val="-1"/>
          <w:sz w:val="28"/>
          <w:szCs w:val="28"/>
          <w:highlight w:val="none"/>
          <w:lang w:eastAsia="zh-CN"/>
        </w:rPr>
        <w:t>安全管理认真负责。</w:t>
      </w:r>
    </w:p>
    <w:p w14:paraId="4BFAD2F6">
      <w:pPr>
        <w:tabs>
          <w:tab w:val="left" w:pos="504"/>
        </w:tabs>
        <w:spacing w:line="360" w:lineRule="auto"/>
        <w:ind w:firstLine="560" w:firstLineChars="200"/>
        <w:jc w:val="left"/>
        <w:rPr>
          <w:rFonts w:hint="default" w:ascii="Times New Roman" w:hAnsi="Times New Roman" w:eastAsia="宋体"/>
          <w:color w:val="auto"/>
          <w:sz w:val="28"/>
          <w:szCs w:val="28"/>
          <w:highlight w:val="none"/>
          <w:lang w:val="zh-CN" w:eastAsia="zh-CN"/>
        </w:rPr>
      </w:pPr>
      <w:r>
        <w:rPr>
          <w:rFonts w:hint="eastAsia" w:ascii="Times New Roman" w:hAnsi="Times New Roman" w:eastAsia="宋体"/>
          <w:color w:val="auto"/>
          <w:sz w:val="28"/>
          <w:szCs w:val="28"/>
          <w:highlight w:val="none"/>
          <w:lang w:val="zh-CN" w:eastAsia="zh-CN"/>
        </w:rPr>
        <w:t>《葫芦岛岳强矿业有限责任公司干堆尾矿库安全性复核报告》</w:t>
      </w:r>
      <w:r>
        <w:rPr>
          <w:rFonts w:hint="eastAsia" w:ascii="Times New Roman" w:hAnsi="Times New Roman" w:eastAsia="宋体"/>
          <w:color w:val="auto"/>
          <w:sz w:val="28"/>
          <w:szCs w:val="28"/>
          <w:highlight w:val="none"/>
          <w:lang w:val="en-US" w:eastAsia="zh-CN"/>
        </w:rPr>
        <w:t>结论为：现状尾矿坝安全设施与原设计安全专篇设计一致。葫芦岛岳强矿业有限责任公司干堆尾矿库安全专篇设计无重大设计变更，葫芦岛岳强矿业有限责任公司干堆尾矿库安全专篇设计无重大事故隐患。</w:t>
      </w:r>
    </w:p>
    <w:p w14:paraId="3BD69052">
      <w:pPr>
        <w:tabs>
          <w:tab w:val="left" w:pos="504"/>
        </w:tabs>
        <w:spacing w:line="360" w:lineRule="auto"/>
        <w:ind w:firstLine="560" w:firstLineChars="200"/>
        <w:jc w:val="left"/>
        <w:rPr>
          <w:rFonts w:hint="default" w:ascii="Times New Roman" w:hAnsi="Times New Roman" w:eastAsia="宋体"/>
          <w:color w:val="auto"/>
          <w:sz w:val="28"/>
          <w:szCs w:val="28"/>
          <w:highlight w:val="none"/>
          <w:lang w:val="en-US" w:eastAsia="zh-CN"/>
        </w:rPr>
      </w:pPr>
      <w:r>
        <w:rPr>
          <w:rFonts w:hint="eastAsia" w:ascii="Times New Roman" w:hAnsi="Times New Roman" w:eastAsia="宋体"/>
          <w:color w:val="auto"/>
          <w:sz w:val="28"/>
          <w:szCs w:val="28"/>
          <w:highlight w:val="none"/>
          <w:lang w:val="zh-CN" w:eastAsia="zh-CN"/>
        </w:rPr>
        <w:t>《</w:t>
      </w:r>
      <w:r>
        <w:rPr>
          <w:rFonts w:hint="default" w:ascii="Times New Roman" w:hAnsi="Times New Roman" w:eastAsia="宋体"/>
          <w:color w:val="auto"/>
          <w:sz w:val="28"/>
          <w:szCs w:val="28"/>
          <w:highlight w:val="none"/>
          <w:lang w:val="zh-CN" w:eastAsia="zh-CN"/>
        </w:rPr>
        <w:t>葫芦岛岳强矿业有限责任公司尾矿库隐蔽致灾因素普查报告</w:t>
      </w:r>
      <w:r>
        <w:rPr>
          <w:rFonts w:hint="eastAsia" w:ascii="Times New Roman" w:hAnsi="Times New Roman" w:eastAsia="宋体"/>
          <w:color w:val="auto"/>
          <w:sz w:val="28"/>
          <w:szCs w:val="28"/>
          <w:highlight w:val="none"/>
          <w:lang w:val="zh-CN" w:eastAsia="zh-CN"/>
        </w:rPr>
        <w:t>》</w:t>
      </w:r>
      <w:r>
        <w:rPr>
          <w:rFonts w:hint="eastAsia" w:ascii="Times New Roman" w:hAnsi="Times New Roman" w:eastAsia="宋体"/>
          <w:color w:val="auto"/>
          <w:sz w:val="28"/>
          <w:szCs w:val="28"/>
          <w:highlight w:val="none"/>
          <w:lang w:val="en-US" w:eastAsia="zh-CN"/>
        </w:rPr>
        <w:t>得出的结论为：</w:t>
      </w:r>
    </w:p>
    <w:p w14:paraId="50C3047D">
      <w:pPr>
        <w:tabs>
          <w:tab w:val="left" w:pos="504"/>
        </w:tabs>
        <w:spacing w:line="360" w:lineRule="auto"/>
        <w:ind w:firstLine="560" w:firstLineChars="200"/>
        <w:jc w:val="left"/>
        <w:rPr>
          <w:rFonts w:hint="eastAsia" w:ascii="Times New Roman" w:hAnsi="Times New Roman" w:eastAsia="宋体"/>
          <w:color w:val="auto"/>
          <w:sz w:val="28"/>
          <w:szCs w:val="28"/>
          <w:highlight w:val="none"/>
          <w:lang w:eastAsia="zh-CN"/>
        </w:rPr>
      </w:pPr>
      <w:r>
        <w:rPr>
          <w:rFonts w:hint="eastAsia" w:ascii="Times New Roman" w:hAnsi="Times New Roman" w:eastAsia="宋体"/>
          <w:color w:val="auto"/>
          <w:sz w:val="28"/>
          <w:szCs w:val="28"/>
          <w:highlight w:val="none"/>
        </w:rPr>
        <w:t>断层破碎带</w:t>
      </w:r>
      <w:r>
        <w:rPr>
          <w:rFonts w:hint="eastAsia" w:ascii="Times New Roman" w:hAnsi="Times New Roman" w:eastAsia="宋体"/>
          <w:color w:val="auto"/>
          <w:sz w:val="28"/>
          <w:szCs w:val="28"/>
          <w:highlight w:val="none"/>
          <w:lang w:eastAsia="zh-CN"/>
        </w:rPr>
        <w:t>、</w:t>
      </w:r>
      <w:r>
        <w:rPr>
          <w:rFonts w:hint="eastAsia" w:ascii="Times New Roman" w:hAnsi="Times New Roman" w:eastAsia="宋体"/>
          <w:color w:val="auto"/>
          <w:sz w:val="28"/>
          <w:szCs w:val="28"/>
          <w:highlight w:val="none"/>
        </w:rPr>
        <w:t>地表水体</w:t>
      </w:r>
      <w:r>
        <w:rPr>
          <w:rFonts w:hint="eastAsia" w:ascii="Times New Roman" w:hAnsi="Times New Roman" w:eastAsia="宋体"/>
          <w:color w:val="auto"/>
          <w:sz w:val="28"/>
          <w:szCs w:val="28"/>
          <w:highlight w:val="none"/>
          <w:lang w:eastAsia="zh-CN"/>
        </w:rPr>
        <w:t>、</w:t>
      </w:r>
      <w:r>
        <w:rPr>
          <w:rFonts w:hint="eastAsia" w:ascii="Times New Roman" w:hAnsi="Times New Roman" w:eastAsia="宋体"/>
          <w:color w:val="auto"/>
          <w:sz w:val="28"/>
          <w:szCs w:val="28"/>
          <w:highlight w:val="none"/>
        </w:rPr>
        <w:t>溶洞（土洞）及采空区</w:t>
      </w:r>
      <w:r>
        <w:rPr>
          <w:rFonts w:hint="eastAsia" w:ascii="Times New Roman" w:hAnsi="Times New Roman" w:eastAsia="宋体"/>
          <w:color w:val="auto"/>
          <w:sz w:val="28"/>
          <w:szCs w:val="28"/>
          <w:highlight w:val="none"/>
          <w:lang w:eastAsia="zh-CN"/>
        </w:rPr>
        <w:t>、</w:t>
      </w:r>
      <w:r>
        <w:rPr>
          <w:rFonts w:hint="eastAsia" w:ascii="Times New Roman" w:hAnsi="Times New Roman" w:eastAsia="宋体"/>
          <w:color w:val="auto"/>
          <w:sz w:val="28"/>
          <w:szCs w:val="28"/>
          <w:highlight w:val="none"/>
        </w:rPr>
        <w:t>特殊性岩土和尾矿堆积坝软弱层</w:t>
      </w:r>
      <w:r>
        <w:rPr>
          <w:rFonts w:hint="eastAsia" w:ascii="Times New Roman" w:hAnsi="Times New Roman" w:eastAsia="宋体"/>
          <w:color w:val="auto"/>
          <w:sz w:val="28"/>
          <w:szCs w:val="28"/>
          <w:highlight w:val="none"/>
          <w:lang w:eastAsia="zh-CN"/>
        </w:rPr>
        <w:t>、</w:t>
      </w:r>
      <w:r>
        <w:rPr>
          <w:rFonts w:hint="eastAsia" w:ascii="Times New Roman" w:hAnsi="Times New Roman" w:eastAsia="宋体"/>
          <w:color w:val="auto"/>
          <w:sz w:val="28"/>
          <w:szCs w:val="28"/>
          <w:highlight w:val="none"/>
        </w:rPr>
        <w:t>排洪构筑物</w:t>
      </w:r>
      <w:r>
        <w:rPr>
          <w:rFonts w:hint="eastAsia" w:ascii="Times New Roman" w:hAnsi="Times New Roman" w:eastAsia="宋体"/>
          <w:color w:val="auto"/>
          <w:sz w:val="28"/>
          <w:szCs w:val="28"/>
          <w:highlight w:val="none"/>
          <w:lang w:val="en-US" w:eastAsia="zh-CN"/>
        </w:rPr>
        <w:t>的</w:t>
      </w:r>
      <w:r>
        <w:rPr>
          <w:rFonts w:hint="eastAsia" w:ascii="Times New Roman" w:hAnsi="Times New Roman" w:eastAsia="宋体"/>
          <w:color w:val="auto"/>
          <w:sz w:val="28"/>
          <w:szCs w:val="28"/>
          <w:highlight w:val="none"/>
        </w:rPr>
        <w:t>隐蔽致灾因素风险</w:t>
      </w:r>
      <w:r>
        <w:rPr>
          <w:rFonts w:hint="eastAsia" w:ascii="Times New Roman" w:hAnsi="Times New Roman" w:eastAsia="宋体"/>
          <w:color w:val="auto"/>
          <w:sz w:val="28"/>
          <w:szCs w:val="28"/>
          <w:highlight w:val="none"/>
          <w:lang w:val="en-US" w:eastAsia="zh-CN"/>
        </w:rPr>
        <w:t>均为</w:t>
      </w:r>
      <w:r>
        <w:rPr>
          <w:rFonts w:hint="eastAsia" w:ascii="Times New Roman" w:hAnsi="Times New Roman" w:eastAsia="宋体"/>
          <w:color w:val="auto"/>
          <w:sz w:val="28"/>
          <w:szCs w:val="28"/>
          <w:highlight w:val="none"/>
        </w:rPr>
        <w:t>低风险</w:t>
      </w:r>
      <w:r>
        <w:rPr>
          <w:rFonts w:hint="eastAsia" w:ascii="Times New Roman" w:hAnsi="Times New Roman" w:eastAsia="宋体"/>
          <w:color w:val="auto"/>
          <w:sz w:val="28"/>
          <w:szCs w:val="28"/>
          <w:highlight w:val="none"/>
          <w:lang w:eastAsia="zh-CN"/>
        </w:rPr>
        <w:t>；</w:t>
      </w:r>
      <w:r>
        <w:rPr>
          <w:rFonts w:hint="eastAsia" w:ascii="Times New Roman" w:hAnsi="Times New Roman" w:eastAsia="宋体"/>
          <w:color w:val="auto"/>
          <w:sz w:val="28"/>
          <w:szCs w:val="28"/>
          <w:highlight w:val="none"/>
        </w:rPr>
        <w:t>坝基对尾矿库安全无影响</w:t>
      </w:r>
      <w:r>
        <w:rPr>
          <w:rFonts w:hint="eastAsia" w:ascii="Times New Roman" w:hAnsi="Times New Roman" w:eastAsia="宋体"/>
          <w:color w:val="auto"/>
          <w:sz w:val="28"/>
          <w:szCs w:val="28"/>
          <w:highlight w:val="none"/>
          <w:lang w:eastAsia="zh-CN"/>
        </w:rPr>
        <w:t>；</w:t>
      </w:r>
      <w:r>
        <w:rPr>
          <w:rFonts w:hint="eastAsia" w:ascii="Times New Roman" w:hAnsi="Times New Roman" w:eastAsia="宋体"/>
          <w:color w:val="auto"/>
          <w:sz w:val="28"/>
          <w:szCs w:val="28"/>
          <w:highlight w:val="none"/>
        </w:rPr>
        <w:t>潜在不稳定岸坡和泥石流物料区隐蔽致灾因素风险为中等风险</w:t>
      </w:r>
      <w:r>
        <w:rPr>
          <w:rFonts w:hint="eastAsia" w:ascii="Times New Roman" w:hAnsi="Times New Roman" w:eastAsia="宋体"/>
          <w:color w:val="auto"/>
          <w:sz w:val="28"/>
          <w:szCs w:val="28"/>
          <w:highlight w:val="none"/>
          <w:lang w:eastAsia="zh-CN"/>
        </w:rPr>
        <w:t>。</w:t>
      </w:r>
    </w:p>
    <w:p w14:paraId="1066FF67">
      <w:pPr>
        <w:rPr>
          <w:rFonts w:hint="eastAsia"/>
          <w:color w:val="auto"/>
          <w:highlight w:val="none"/>
          <w:lang w:eastAsia="zh-CN"/>
        </w:rPr>
      </w:pPr>
    </w:p>
    <w:p w14:paraId="62CCAC09">
      <w:pPr>
        <w:spacing w:line="360" w:lineRule="auto"/>
        <w:rPr>
          <w:rFonts w:hint="eastAsia" w:ascii="宋体" w:hAnsi="宋体" w:eastAsia="宋体" w:cs="宋体"/>
          <w:color w:val="auto"/>
          <w:sz w:val="28"/>
          <w:szCs w:val="28"/>
          <w:highlight w:val="none"/>
          <w:lang w:eastAsia="zh-CN"/>
        </w:rPr>
        <w:sectPr>
          <w:headerReference r:id="rId3" w:type="default"/>
          <w:footerReference r:id="rId4" w:type="default"/>
          <w:pgSz w:w="11906" w:h="16839"/>
          <w:pgMar w:top="1440" w:right="1800" w:bottom="1440" w:left="1800" w:header="867" w:footer="986" w:gutter="0"/>
          <w:pgNumType w:start="1"/>
          <w:cols w:space="720" w:num="1"/>
        </w:sectPr>
      </w:pPr>
    </w:p>
    <w:p w14:paraId="60F0D29F">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97" w:name="bookmark24"/>
      <w:bookmarkEnd w:id="97"/>
      <w:bookmarkStart w:id="98" w:name="_Toc7017"/>
      <w:bookmarkStart w:id="99" w:name="_Toc484118925"/>
      <w:r>
        <w:rPr>
          <w:rFonts w:ascii="Times New Roman Regular" w:hAnsi="Times New Roman Regular" w:eastAsia="黑体" w:cs="Times New Roman Regular"/>
          <w:b/>
          <w:bCs/>
          <w:snapToGrid/>
          <w:color w:val="auto"/>
          <w:kern w:val="44"/>
          <w:sz w:val="32"/>
          <w:szCs w:val="44"/>
          <w:highlight w:val="none"/>
          <w:lang w:eastAsia="zh-CN"/>
        </w:rPr>
        <w:t>3 主要危险、有害因素辨识及分析</w:t>
      </w:r>
      <w:bookmarkEnd w:id="98"/>
      <w:bookmarkEnd w:id="99"/>
    </w:p>
    <w:p w14:paraId="11CD198C">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在</w:t>
      </w:r>
      <w:r>
        <w:rPr>
          <w:rFonts w:ascii="Times New Roman Regular" w:hAnsi="Times New Roman Regular" w:eastAsia="宋体" w:cs="Times New Roman Regular"/>
          <w:color w:val="auto"/>
          <w:spacing w:val="2"/>
          <w:sz w:val="28"/>
          <w:szCs w:val="28"/>
          <w:highlight w:val="none"/>
          <w:lang w:eastAsia="zh-CN"/>
        </w:rPr>
        <w:t>矿山生产过程中，尾矿库是可能导致人员伤亡、财产损失的不安全因素，属于危险源之一。尾矿库的危害不只涉及企业内部亦涉及尾矿库周围环境。一旦溃坝将会对其下游的工业、民用建筑、公路、输电线路、农田及其它建、构筑物造成巨大危害，甚至导致人员伤亡、财产损失，后果是非常严重的。国内外尾矿库事故案例类型繁多，</w:t>
      </w:r>
      <w:r>
        <w:rPr>
          <w:rFonts w:hint="eastAsia" w:ascii="Times New Roman Regular" w:hAnsi="Times New Roman Regular" w:eastAsia="宋体" w:cs="Times New Roman Regular"/>
          <w:color w:val="auto"/>
          <w:spacing w:val="2"/>
          <w:sz w:val="28"/>
          <w:szCs w:val="28"/>
          <w:highlight w:val="none"/>
          <w:lang w:eastAsia="zh-CN"/>
        </w:rPr>
        <w:t>包括：</w:t>
      </w:r>
      <w:r>
        <w:rPr>
          <w:rFonts w:ascii="Times New Roman Regular" w:hAnsi="Times New Roman Regular" w:eastAsia="宋体" w:cs="Times New Roman Regular"/>
          <w:color w:val="auto"/>
          <w:spacing w:val="2"/>
          <w:sz w:val="28"/>
          <w:szCs w:val="28"/>
          <w:highlight w:val="none"/>
          <w:lang w:eastAsia="zh-CN"/>
        </w:rPr>
        <w:t>坝体失稳、洪水漫顶、因地震造成坝体液化、渗流造成管涌、坝基过度沉陷等。随着现代科学技术的发展，通过对尾矿库已发生事故进行科学的分析和总结，制定安全标准和对策措施，进行综合比较和评价，来预防事故的发生。为使对危险、有害因素的辨识与分析全面、清晰和条理化，采取按生产过程危险和有害因素分类对其致害原因进行总结，并按导致事故的直接原因进行辨识和分析。</w:t>
      </w:r>
    </w:p>
    <w:p w14:paraId="0459C609">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00" w:name="bookmark26"/>
      <w:bookmarkEnd w:id="100"/>
      <w:bookmarkStart w:id="101" w:name="_Toc3603"/>
      <w:bookmarkStart w:id="102" w:name="_Toc1918717639"/>
      <w:r>
        <w:rPr>
          <w:rFonts w:ascii="Times New Roman Regular" w:hAnsi="Times New Roman Regular" w:eastAsia="黑体" w:cs="Times New Roman Regular"/>
          <w:snapToGrid/>
          <w:color w:val="auto"/>
          <w:kern w:val="2"/>
          <w:highlight w:val="none"/>
          <w:lang w:eastAsia="zh-CN"/>
        </w:rPr>
        <w:t>3.1 主要危险因素辨识及分析</w:t>
      </w:r>
      <w:bookmarkEnd w:id="101"/>
      <w:bookmarkEnd w:id="102"/>
    </w:p>
    <w:p w14:paraId="030F0743">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03" w:name="_Toc32175"/>
      <w:bookmarkStart w:id="104" w:name="_Toc8470"/>
      <w:bookmarkStart w:id="105" w:name="_Toc9637"/>
      <w:r>
        <w:rPr>
          <w:rFonts w:ascii="Times New Roman" w:hAnsi="Times New Roman" w:eastAsia="Times New Roman" w:cs="Times New Roman"/>
          <w:bCs/>
          <w:color w:val="auto"/>
          <w:spacing w:val="-3"/>
          <w:sz w:val="28"/>
          <w:szCs w:val="28"/>
          <w:highlight w:val="none"/>
          <w:lang w:eastAsia="zh-CN"/>
        </w:rPr>
        <w:t xml:space="preserve">3.1.1 </w:t>
      </w:r>
      <w:r>
        <w:rPr>
          <w:rFonts w:ascii="宋体" w:hAnsi="宋体" w:eastAsia="宋体" w:cs="宋体"/>
          <w:bCs/>
          <w:color w:val="auto"/>
          <w:spacing w:val="-3"/>
          <w:sz w:val="28"/>
          <w:szCs w:val="28"/>
          <w:highlight w:val="none"/>
          <w:lang w:eastAsia="zh-CN"/>
        </w:rPr>
        <w:t>溃坝</w:t>
      </w:r>
      <w:bookmarkEnd w:id="103"/>
      <w:bookmarkEnd w:id="104"/>
      <w:bookmarkEnd w:id="105"/>
    </w:p>
    <w:p w14:paraId="72964D7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ascii="Times New Roman Regular" w:hAnsi="Times New Roman Regular" w:eastAsia="宋体" w:cs="Times New Roman Regular"/>
          <w:color w:val="auto"/>
          <w:spacing w:val="2"/>
          <w:sz w:val="28"/>
          <w:szCs w:val="28"/>
          <w:highlight w:val="none"/>
          <w:lang w:eastAsia="zh-CN"/>
        </w:rPr>
      </w:pPr>
      <w:r>
        <w:rPr>
          <w:rFonts w:ascii="Times New Roman Regular" w:hAnsi="Times New Roman Regular" w:eastAsia="宋体" w:cs="Times New Roman Regular"/>
          <w:color w:val="auto"/>
          <w:spacing w:val="2"/>
          <w:sz w:val="28"/>
          <w:szCs w:val="28"/>
          <w:highlight w:val="none"/>
          <w:lang w:eastAsia="zh-CN"/>
        </w:rPr>
        <w:t>造成尾矿库溃坝的因素有：</w:t>
      </w:r>
    </w:p>
    <w:p w14:paraId="0B26839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ascii="Times New Roman Regular" w:hAnsi="Times New Roman Regular" w:eastAsia="宋体" w:cs="Times New Roman Regular"/>
          <w:color w:val="auto"/>
          <w:spacing w:val="2"/>
          <w:sz w:val="28"/>
          <w:szCs w:val="28"/>
          <w:highlight w:val="none"/>
          <w:lang w:eastAsia="zh-CN"/>
        </w:rPr>
      </w:pPr>
      <w:r>
        <w:rPr>
          <w:rFonts w:ascii="Times New Roman Regular" w:hAnsi="Times New Roman Regular" w:eastAsia="宋体" w:cs="Times New Roman Regular"/>
          <w:color w:val="auto"/>
          <w:spacing w:val="2"/>
          <w:sz w:val="28"/>
          <w:szCs w:val="28"/>
          <w:highlight w:val="none"/>
          <w:lang w:eastAsia="zh-CN"/>
        </w:rPr>
        <w:t>（1）</w:t>
      </w:r>
      <w:r>
        <w:rPr>
          <w:rFonts w:hint="eastAsia" w:ascii="Times New Roman Regular" w:hAnsi="Times New Roman Regular" w:eastAsia="宋体" w:cs="Times New Roman Regular"/>
          <w:color w:val="auto"/>
          <w:spacing w:val="2"/>
          <w:sz w:val="28"/>
          <w:szCs w:val="28"/>
          <w:highlight w:val="none"/>
          <w:lang w:eastAsia="zh-CN"/>
        </w:rPr>
        <w:t>堆积体、</w:t>
      </w:r>
      <w:r>
        <w:rPr>
          <w:rFonts w:ascii="Times New Roman Regular" w:hAnsi="Times New Roman Regular" w:eastAsia="宋体" w:cs="Times New Roman Regular"/>
          <w:color w:val="auto"/>
          <w:spacing w:val="2"/>
          <w:sz w:val="28"/>
          <w:szCs w:val="28"/>
          <w:highlight w:val="none"/>
          <w:lang w:eastAsia="zh-CN"/>
        </w:rPr>
        <w:t>坝体边坡过陡</w:t>
      </w:r>
    </w:p>
    <w:p w14:paraId="5F92C24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ascii="Times New Roman Regular" w:hAnsi="Times New Roman Regular" w:eastAsia="宋体" w:cs="Times New Roman Regular"/>
          <w:color w:val="auto"/>
          <w:spacing w:val="2"/>
          <w:sz w:val="28"/>
          <w:szCs w:val="28"/>
          <w:highlight w:val="none"/>
          <w:lang w:eastAsia="zh-CN"/>
        </w:rPr>
      </w:pPr>
      <w:r>
        <w:rPr>
          <w:rFonts w:ascii="Times New Roman Regular" w:hAnsi="Times New Roman Regular" w:eastAsia="宋体" w:cs="Times New Roman Regular"/>
          <w:color w:val="auto"/>
          <w:spacing w:val="2"/>
          <w:sz w:val="28"/>
          <w:szCs w:val="28"/>
          <w:highlight w:val="none"/>
          <w:lang w:eastAsia="zh-CN"/>
        </w:rPr>
        <w:t>过陡的坝体边坡往往增加尾矿坝边坡范围内的最危险滑动面上的滑动土体的下滑力，减小阻滑力，使得尾矿坝体的安全系数减小。</w:t>
      </w:r>
    </w:p>
    <w:p w14:paraId="1C33B46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ascii="Times New Roman Regular" w:hAnsi="Times New Roman Regular" w:eastAsia="宋体" w:cs="Times New Roman Regular"/>
          <w:color w:val="auto"/>
          <w:spacing w:val="2"/>
          <w:sz w:val="28"/>
          <w:szCs w:val="28"/>
          <w:highlight w:val="none"/>
          <w:lang w:eastAsia="zh-CN"/>
        </w:rPr>
      </w:pPr>
      <w:r>
        <w:rPr>
          <w:rFonts w:ascii="Times New Roman Regular" w:hAnsi="Times New Roman Regular" w:eastAsia="宋体" w:cs="Times New Roman Regular"/>
          <w:color w:val="auto"/>
          <w:spacing w:val="2"/>
          <w:sz w:val="28"/>
          <w:szCs w:val="28"/>
          <w:highlight w:val="none"/>
          <w:lang w:eastAsia="zh-CN"/>
        </w:rPr>
        <w:t>（2）防洪能力不足</w:t>
      </w:r>
    </w:p>
    <w:p w14:paraId="069D6788">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ascii="Times New Roman Regular" w:hAnsi="Times New Roman Regular" w:eastAsia="宋体" w:cs="Times New Roman Regular"/>
          <w:color w:val="auto"/>
          <w:spacing w:val="2"/>
          <w:sz w:val="28"/>
          <w:szCs w:val="28"/>
          <w:highlight w:val="none"/>
          <w:lang w:eastAsia="zh-CN"/>
        </w:rPr>
      </w:pPr>
      <w:r>
        <w:rPr>
          <w:rFonts w:ascii="Times New Roman Regular" w:hAnsi="Times New Roman Regular" w:eastAsia="宋体" w:cs="Times New Roman Regular"/>
          <w:color w:val="auto"/>
          <w:spacing w:val="2"/>
          <w:sz w:val="28"/>
          <w:szCs w:val="28"/>
          <w:highlight w:val="none"/>
          <w:lang w:eastAsia="zh-CN"/>
        </w:rPr>
        <w:t>防洪能力不足将使库水位急剧升高，库区调洪能力有限加之泄洪能力不足，会直接造成洪水漫坝，使坝体决口。由于库水位增高也将使坝体浸润线升高，从坝坡溢出，引发坝体渗流形成管涌、流土，使坝体塌滑破坏。</w:t>
      </w:r>
    </w:p>
    <w:p w14:paraId="5F998D2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（3）不良的尾矿性质及不规范的放矿方法</w:t>
      </w:r>
    </w:p>
    <w:p w14:paraId="20C89BE3">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尾矿性质：尾矿颗粒粒度、矿物组成对尾矿坝抗剪强度有直接的影响，一般来说粗颗粒原生矿物的内摩擦角φ的数值比较高，强度高；细颗粒氧化黏土矿物内摩擦角φ的数值低，强度低。</w:t>
      </w:r>
    </w:p>
    <w:p w14:paraId="4B1105F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（4）不合理的坝体、堆积体的几何参数及结构</w:t>
      </w:r>
    </w:p>
    <w:p w14:paraId="671EBEE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坝体、堆积体的几何参数及结构对尾矿堆积体的安全的影响主要体现在边坡、坝体及堆积体的防、排渗处理上。对于其来说，合理的边坡、良好的防排渗措施是坝体、堆积体稳定性的基本保证。</w:t>
      </w:r>
    </w:p>
    <w:p w14:paraId="218E8C8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（5）尾矿库排洪设施的破坏</w:t>
      </w:r>
    </w:p>
    <w:p w14:paraId="74B193AB">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尾矿库排洪设施的破坏导致尾矿外泄的事故在尾矿工程事故中也是比较常见的事故类型之一。其原因主要是排水设施强度低，不能满足承载要求，多是设计或施工中人为造成的。</w:t>
      </w:r>
    </w:p>
    <w:p w14:paraId="5B7B00A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（6）不良工程地质</w:t>
      </w:r>
    </w:p>
    <w:p w14:paraId="18D4F87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不良的工程地质或工程地质不清，地基处理不到位，可能造成坝体不均匀沉陷，从而造成溃坝事故的发生，造成排水构筑物坍塌。</w:t>
      </w:r>
    </w:p>
    <w:p w14:paraId="3D4D8384">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（7）施工质量不佳</w:t>
      </w:r>
    </w:p>
    <w:p w14:paraId="61BB29F4">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没有按照设计规范施工，或施工质量达不到规范与设计要求，如坝体施工中清基不彻底，坝体密实度不均，筑坝材料不符合要求，反滤层铺设不当，坝体边坡比陡于设计值等。</w:t>
      </w:r>
    </w:p>
    <w:p w14:paraId="64456F0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（8）安全管理不善</w:t>
      </w:r>
    </w:p>
    <w:p w14:paraId="56C11CE8">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尾矿库的日常管理工作主要包括尾矿排放、排水设施检查维护、监测设施观测及管理等，不当的管理维护工作皆可对尾矿库安全性带来不利影响。尾矿排放不当，库区无法形成设计所需的防洪库容，将导致洪水漫顶，严重时造成溃坝。排水设施维护不当发生淤堵、坍塌等事故，轻者导致漏砂、严重时</w:t>
      </w:r>
      <w:r>
        <w:rPr>
          <w:rFonts w:hint="eastAsia" w:ascii="Times New Roman Regular" w:hAnsi="Times New Roman Regular" w:eastAsia="宋体" w:cs="Times New Roman Regular"/>
          <w:color w:val="auto"/>
          <w:spacing w:val="2"/>
          <w:sz w:val="28"/>
          <w:szCs w:val="28"/>
          <w:highlight w:val="none"/>
          <w:lang w:eastAsia="zh-CN"/>
        </w:rPr>
        <w:t>造</w:t>
      </w:r>
      <w:r>
        <w:rPr>
          <w:rFonts w:hint="default" w:ascii="Times New Roman Regular" w:hAnsi="Times New Roman Regular" w:eastAsia="宋体" w:cs="Times New Roman Regular"/>
          <w:color w:val="auto"/>
          <w:spacing w:val="2"/>
          <w:sz w:val="28"/>
          <w:szCs w:val="28"/>
          <w:highlight w:val="none"/>
          <w:lang w:eastAsia="zh-CN"/>
        </w:rPr>
        <w:t>成泄流能力不足而发生溃坝事故。尾矿库监测设施未按规定进行观测，坝体等存在事故隐患未能及时修复。</w:t>
      </w:r>
    </w:p>
    <w:p w14:paraId="497EE76B">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06" w:name="_Toc6978"/>
      <w:bookmarkStart w:id="107" w:name="_Toc13169"/>
      <w:bookmarkStart w:id="108" w:name="_Toc25646"/>
      <w:r>
        <w:rPr>
          <w:rFonts w:ascii="Times New Roman" w:hAnsi="Times New Roman" w:eastAsia="Times New Roman" w:cs="Times New Roman"/>
          <w:bCs/>
          <w:color w:val="auto"/>
          <w:spacing w:val="-2"/>
          <w:sz w:val="28"/>
          <w:szCs w:val="28"/>
          <w:highlight w:val="none"/>
          <w:lang w:eastAsia="zh-CN"/>
        </w:rPr>
        <w:t xml:space="preserve">3.1.2 </w:t>
      </w:r>
      <w:r>
        <w:rPr>
          <w:rFonts w:ascii="宋体" w:hAnsi="宋体" w:eastAsia="宋体" w:cs="宋体"/>
          <w:bCs/>
          <w:color w:val="auto"/>
          <w:spacing w:val="-2"/>
          <w:sz w:val="28"/>
          <w:szCs w:val="28"/>
          <w:highlight w:val="none"/>
          <w:lang w:eastAsia="zh-CN"/>
        </w:rPr>
        <w:t>洪水漫顶</w:t>
      </w:r>
      <w:bookmarkEnd w:id="106"/>
      <w:bookmarkEnd w:id="107"/>
      <w:bookmarkEnd w:id="108"/>
    </w:p>
    <w:p w14:paraId="2480C65F">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造成洪水漫顶的因素有：</w:t>
      </w:r>
    </w:p>
    <w:p w14:paraId="7B46DD7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（1）设计防洪标准过低、洪水计算错误、尾矿库调洪计算有误、排水设施布置不当或尺寸不足导致设计泄洪能力不足。</w:t>
      </w:r>
    </w:p>
    <w:p w14:paraId="68AAE57C">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（2）排水设施因施工质量不佳或后期维护管理不善造成堵塞、损坏，丧失部分或全部泄洪能力。</w:t>
      </w:r>
    </w:p>
    <w:p w14:paraId="7F32BC5B">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（3）库区水位控制不善，造成汛前库内水位过高。</w:t>
      </w:r>
    </w:p>
    <w:p w14:paraId="5870E7FE">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（4）尾矿库放矿不当，未形成设计要求的沉积滩坡度或防洪宽度。</w:t>
      </w:r>
    </w:p>
    <w:p w14:paraId="7E80DBB4">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09" w:name="_Toc25332"/>
      <w:bookmarkStart w:id="110" w:name="_Toc25125"/>
      <w:bookmarkStart w:id="111" w:name="_Toc32190"/>
      <w:r>
        <w:rPr>
          <w:rFonts w:ascii="Times New Roman" w:hAnsi="Times New Roman" w:eastAsia="Times New Roman" w:cs="Times New Roman"/>
          <w:bCs/>
          <w:color w:val="auto"/>
          <w:spacing w:val="-4"/>
          <w:sz w:val="28"/>
          <w:szCs w:val="28"/>
          <w:highlight w:val="none"/>
          <w:lang w:eastAsia="zh-CN"/>
        </w:rPr>
        <w:t>3.1.3</w:t>
      </w:r>
      <w:r>
        <w:rPr>
          <w:rFonts w:hint="eastAsia" w:ascii="Times New Roman" w:hAnsi="Times New Roman" w:eastAsia="Times New Roman" w:cs="Times New Roman"/>
          <w:bCs/>
          <w:color w:val="auto"/>
          <w:spacing w:val="-4"/>
          <w:sz w:val="28"/>
          <w:szCs w:val="28"/>
          <w:highlight w:val="none"/>
          <w:lang w:eastAsia="zh-CN"/>
        </w:rPr>
        <w:t xml:space="preserve"> </w:t>
      </w:r>
      <w:r>
        <w:rPr>
          <w:rFonts w:ascii="宋体" w:hAnsi="宋体" w:eastAsia="宋体" w:cs="宋体"/>
          <w:bCs/>
          <w:color w:val="auto"/>
          <w:spacing w:val="-4"/>
          <w:sz w:val="28"/>
          <w:szCs w:val="28"/>
          <w:highlight w:val="none"/>
          <w:lang w:eastAsia="zh-CN"/>
        </w:rPr>
        <w:t>结构破坏</w:t>
      </w:r>
      <w:bookmarkEnd w:id="109"/>
      <w:bookmarkEnd w:id="110"/>
      <w:bookmarkEnd w:id="111"/>
    </w:p>
    <w:p w14:paraId="30797FD4">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尾矿库排洪设施多为混凝土结构，结构受损、失事比例较高，应是排洪设施安全检查和维护的重点之一。按照国家工程结构可靠度设计统一标准，必须满足承载能力、正常使用、耐久性和坚固性四项功能要求。</w:t>
      </w:r>
    </w:p>
    <w:p w14:paraId="4029B02C">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混凝土建筑物病害的主要现象有三种：裂缝、渗漏和剥蚀。</w:t>
      </w:r>
    </w:p>
    <w:p w14:paraId="1A585EC1">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1）裂缝：裂缝对水工混凝土建筑物的危害程度不一，严重的裂缝不仅危害建筑物的整体性和稳定性，而且还会产生大量的漏水，使坝体及其他水工建筑物的安全运行受到严重威胁。另外，裂缝往往会引起其他病害的发生与发展，如渗漏溶蚀、环境水侵蚀、冻融破坏及钢筋锈蚀等。这些病害与裂缝形成恶性循环，会对水工混凝土建筑物的耐久性产生很大危害。</w:t>
      </w:r>
    </w:p>
    <w:p w14:paraId="4B37D2A0">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2）渗漏：水工混凝土建筑物的主要任务是挡水、引水、输水和泄水，因此，渗漏也是水工混凝土建筑物常见的主要病害之一。渗漏会使建筑物内部产生较大的渗透压力和浮托力，甚至危及建筑物的稳定与安全；渗漏还会引发溶蚀、侵蚀、冻融、钢筋锈蚀、地基冻胀等病害，加速混凝土结构老化，缩短建筑物的使用寿命。</w:t>
      </w:r>
    </w:p>
    <w:p w14:paraId="37982D0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3）剥蚀：水工混凝土产生剥蚀破坏是由于环境因素（包括水、气、温度、介质）与混凝土及其内部的水化产物、砂石骨料、掺合料、外加剂、钢筋相互之间产生一系列机械的、物理的、化学的复杂作用，从而形成大于混凝土抵抗能力（强度）的破坏应力所致。</w:t>
      </w:r>
    </w:p>
    <w:p w14:paraId="64042468">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排洪构筑物断裂造成大量泄漏，垮塌造成堵塞，排洪能力急剧下降，危及坝体安全。造成排洪系统结构破坏的因素有：</w:t>
      </w:r>
    </w:p>
    <w:p w14:paraId="0DF592D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①未进行设计或设计强度不足；</w:t>
      </w:r>
    </w:p>
    <w:p w14:paraId="210EC22F">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②未按设计规范施工或施工质量不满足设计规范要求；</w:t>
      </w:r>
    </w:p>
    <w:p w14:paraId="4E3C3F8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③沿线地质条件不佳，地基处理不当；</w:t>
      </w:r>
    </w:p>
    <w:p w14:paraId="785D9ED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④超高堆存尾矿，造成排洪系统荷载增加；</w:t>
      </w:r>
    </w:p>
    <w:p w14:paraId="3AA4846A">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⑤出现不均匀或集中荷载。</w:t>
      </w:r>
    </w:p>
    <w:p w14:paraId="5478A15C">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12" w:name="_Toc1638"/>
      <w:bookmarkStart w:id="113" w:name="_Toc4503"/>
      <w:bookmarkStart w:id="114" w:name="_Toc11381"/>
      <w:r>
        <w:rPr>
          <w:rFonts w:ascii="Times New Roman" w:hAnsi="Times New Roman" w:eastAsia="Times New Roman" w:cs="Times New Roman"/>
          <w:bCs/>
          <w:color w:val="auto"/>
          <w:spacing w:val="-3"/>
          <w:sz w:val="28"/>
          <w:szCs w:val="28"/>
          <w:highlight w:val="none"/>
          <w:lang w:eastAsia="zh-CN"/>
        </w:rPr>
        <w:t xml:space="preserve">3.1.4 </w:t>
      </w:r>
      <w:r>
        <w:rPr>
          <w:rFonts w:ascii="宋体" w:hAnsi="宋体" w:eastAsia="宋体" w:cs="宋体"/>
          <w:bCs/>
          <w:color w:val="auto"/>
          <w:spacing w:val="-3"/>
          <w:sz w:val="28"/>
          <w:szCs w:val="28"/>
          <w:highlight w:val="none"/>
          <w:lang w:eastAsia="zh-CN"/>
        </w:rPr>
        <w:t>渗流破坏</w:t>
      </w:r>
      <w:bookmarkEnd w:id="112"/>
      <w:bookmarkEnd w:id="113"/>
      <w:bookmarkEnd w:id="114"/>
    </w:p>
    <w:p w14:paraId="32D331DF">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渗流破坏是尾矿坝中最常见的病险症状之一，尾矿水受重力作用，由高水位区向低水位区流动，水在尾矿坝体、坝肩和坝基土中的运动，称作尾矿坝的渗流。尾矿坝是一种散粒体堆筑的水工构筑物，当上游存在高势能水位时，坝体内必然形成复杂的渗流场。在渗流作用下，坝体有可能发生渗流破坏，严重时将导致溃坝。</w:t>
      </w:r>
    </w:p>
    <w:p w14:paraId="6B2CFD9E">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渗流破坏主要有四种破坏形式，即管涌、流土、接触冲刷和接触冲砂。但无论何种形式引起的渗流破坏，导致尾矿坝溃决，总是表现为集中渗流，发展成管涌、流砂，冲刷周边通道不断坍塌、扩大，管涌无法控制而最终溃坝。当尾矿坝渗、漏水“跑浑”或下游坝面出现管涌、流土迹象时，应及时处理，以避免加剧渗流破坏。</w:t>
      </w:r>
    </w:p>
    <w:p w14:paraId="380A8CC9">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渗流破坏的主要类型有：</w:t>
      </w:r>
    </w:p>
    <w:p w14:paraId="07C7D490">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（1）坝面局部管涌、流土、隆起、坍塌；</w:t>
      </w:r>
    </w:p>
    <w:p w14:paraId="18324E1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（2）</w:t>
      </w:r>
      <w:r>
        <w:rPr>
          <w:rFonts w:hint="eastAsia" w:ascii="Times New Roman Regular" w:hAnsi="Times New Roman Regular" w:eastAsia="宋体" w:cs="Times New Roman Regular"/>
          <w:color w:val="auto"/>
          <w:spacing w:val="2"/>
          <w:sz w:val="28"/>
          <w:szCs w:val="28"/>
          <w:highlight w:val="none"/>
          <w:lang w:eastAsia="zh-CN"/>
        </w:rPr>
        <w:t>坝体</w:t>
      </w:r>
      <w:r>
        <w:rPr>
          <w:rFonts w:hint="default" w:ascii="Times New Roman Regular" w:hAnsi="Times New Roman Regular" w:eastAsia="宋体" w:cs="Times New Roman Regular"/>
          <w:color w:val="auto"/>
          <w:spacing w:val="2"/>
          <w:sz w:val="28"/>
          <w:szCs w:val="28"/>
          <w:highlight w:val="none"/>
          <w:lang w:eastAsia="zh-CN"/>
        </w:rPr>
        <w:t>下游坡面、沉积滩面或库水区出现陷坑；</w:t>
      </w:r>
    </w:p>
    <w:p w14:paraId="5CEB720B">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（3）坝肩和岸坡接触处出现裂缝；</w:t>
      </w:r>
    </w:p>
    <w:p w14:paraId="4F83031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（4）坝体下游坡面或坝肩渗水量增加或渗透水浑浊；</w:t>
      </w:r>
    </w:p>
    <w:p w14:paraId="701A3CD4">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（5）坝顶高不一致；</w:t>
      </w:r>
    </w:p>
    <w:p w14:paraId="399C890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eastAsia" w:ascii="Times New Roman Regular" w:hAnsi="Times New Roman Regular" w:eastAsia="宋体" w:cs="Times New Roman Regular"/>
          <w:color w:val="auto"/>
          <w:spacing w:val="2"/>
          <w:sz w:val="28"/>
          <w:szCs w:val="28"/>
          <w:highlight w:val="none"/>
          <w:lang w:eastAsia="zh-CN"/>
        </w:rPr>
        <w:t>6</w:t>
      </w:r>
      <w:r>
        <w:rPr>
          <w:rFonts w:hint="default" w:ascii="Times New Roman Regular" w:hAnsi="Times New Roman Regular" w:eastAsia="宋体" w:cs="Times New Roman Regular"/>
          <w:color w:val="auto"/>
          <w:spacing w:val="2"/>
          <w:sz w:val="28"/>
          <w:szCs w:val="28"/>
          <w:highlight w:val="none"/>
          <w:lang w:eastAsia="zh-CN"/>
        </w:rPr>
        <w:t>）坝底、坝基漏砂。</w:t>
      </w:r>
    </w:p>
    <w:p w14:paraId="45429143">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造成渗流破坏的因素有：</w:t>
      </w:r>
    </w:p>
    <w:p w14:paraId="25CB9381">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eastAsia" w:ascii="Times New Roman Regular" w:hAnsi="Times New Roman Regular" w:eastAsia="宋体" w:cs="Times New Roman Regular"/>
          <w:color w:val="auto"/>
          <w:spacing w:val="2"/>
          <w:sz w:val="28"/>
          <w:szCs w:val="28"/>
          <w:highlight w:val="none"/>
          <w:lang w:eastAsia="zh-CN"/>
        </w:rPr>
        <w:t>1</w:t>
      </w:r>
      <w:r>
        <w:rPr>
          <w:rFonts w:hint="default" w:ascii="Times New Roman Regular" w:hAnsi="Times New Roman Regular" w:eastAsia="宋体" w:cs="Times New Roman Regular"/>
          <w:color w:val="auto"/>
          <w:spacing w:val="2"/>
          <w:sz w:val="28"/>
          <w:szCs w:val="28"/>
          <w:highlight w:val="none"/>
          <w:lang w:eastAsia="zh-CN"/>
        </w:rPr>
        <w:t>）筑坝未按设计要求施工，施工质量没达到设计要求；</w:t>
      </w:r>
    </w:p>
    <w:p w14:paraId="0DE67F61">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eastAsia" w:ascii="Times New Roman Regular" w:hAnsi="Times New Roman Regular" w:eastAsia="宋体" w:cs="Times New Roman Regular"/>
          <w:color w:val="auto"/>
          <w:spacing w:val="2"/>
          <w:sz w:val="28"/>
          <w:szCs w:val="28"/>
          <w:highlight w:val="none"/>
          <w:lang w:eastAsia="zh-CN"/>
        </w:rPr>
        <w:t>2</w:t>
      </w:r>
      <w:r>
        <w:rPr>
          <w:rFonts w:hint="default" w:ascii="Times New Roman Regular" w:hAnsi="Times New Roman Regular" w:eastAsia="宋体" w:cs="Times New Roman Regular"/>
          <w:color w:val="auto"/>
          <w:spacing w:val="2"/>
          <w:sz w:val="28"/>
          <w:szCs w:val="28"/>
          <w:highlight w:val="none"/>
          <w:lang w:eastAsia="zh-CN"/>
        </w:rPr>
        <w:t>）排渗、反滤层等重要措施设计不能满足渗流要求；</w:t>
      </w:r>
    </w:p>
    <w:p w14:paraId="5EB1529A">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eastAsia" w:ascii="Times New Roman Regular" w:hAnsi="Times New Roman Regular" w:eastAsia="宋体" w:cs="Times New Roman Regular"/>
          <w:color w:val="auto"/>
          <w:spacing w:val="2"/>
          <w:sz w:val="28"/>
          <w:szCs w:val="28"/>
          <w:highlight w:val="none"/>
          <w:lang w:eastAsia="zh-CN"/>
        </w:rPr>
        <w:t>3</w:t>
      </w:r>
      <w:r>
        <w:rPr>
          <w:rFonts w:hint="default" w:ascii="Times New Roman Regular" w:hAnsi="Times New Roman Regular" w:eastAsia="宋体" w:cs="Times New Roman Regular"/>
          <w:color w:val="auto"/>
          <w:spacing w:val="2"/>
          <w:sz w:val="28"/>
          <w:szCs w:val="28"/>
          <w:highlight w:val="none"/>
          <w:lang w:eastAsia="zh-CN"/>
        </w:rPr>
        <w:t>）尾矿排放违规，方式不当；</w:t>
      </w:r>
    </w:p>
    <w:p w14:paraId="53BAB7C9">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eastAsia" w:ascii="Times New Roman Regular" w:hAnsi="Times New Roman Regular" w:eastAsia="宋体" w:cs="Times New Roman Regular"/>
          <w:color w:val="auto"/>
          <w:spacing w:val="2"/>
          <w:sz w:val="28"/>
          <w:szCs w:val="28"/>
          <w:highlight w:val="none"/>
          <w:lang w:eastAsia="zh-CN"/>
        </w:rPr>
        <w:t>4</w:t>
      </w:r>
      <w:r>
        <w:rPr>
          <w:rFonts w:hint="default" w:ascii="Times New Roman Regular" w:hAnsi="Times New Roman Regular" w:eastAsia="宋体" w:cs="Times New Roman Regular"/>
          <w:color w:val="auto"/>
          <w:spacing w:val="2"/>
          <w:sz w:val="28"/>
          <w:szCs w:val="28"/>
          <w:highlight w:val="none"/>
          <w:lang w:eastAsia="zh-CN"/>
        </w:rPr>
        <w:t>）坝体沉降、裂缝或塌陷等形成集中渗流；</w:t>
      </w:r>
    </w:p>
    <w:p w14:paraId="3D296BB1">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eastAsia" w:ascii="Times New Roman Regular" w:hAnsi="Times New Roman Regular" w:eastAsia="宋体" w:cs="Times New Roman Regular"/>
          <w:color w:val="auto"/>
          <w:spacing w:val="2"/>
          <w:sz w:val="28"/>
          <w:szCs w:val="28"/>
          <w:highlight w:val="none"/>
          <w:lang w:eastAsia="zh-CN"/>
        </w:rPr>
        <w:t>5</w:t>
      </w:r>
      <w:r>
        <w:rPr>
          <w:rFonts w:hint="default" w:ascii="Times New Roman Regular" w:hAnsi="Times New Roman Regular" w:eastAsia="宋体" w:cs="Times New Roman Regular"/>
          <w:color w:val="auto"/>
          <w:spacing w:val="2"/>
          <w:sz w:val="28"/>
          <w:szCs w:val="28"/>
          <w:highlight w:val="none"/>
          <w:lang w:eastAsia="zh-CN"/>
        </w:rPr>
        <w:t>）防洪宽度达不到要求、库内蓄水水位过高，造成坝面、坝坡渗流出逸，坝面出现沼泽化；</w:t>
      </w:r>
    </w:p>
    <w:p w14:paraId="79153EB0">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eastAsia" w:ascii="Times New Roman Regular" w:hAnsi="Times New Roman Regular" w:eastAsia="宋体" w:cs="Times New Roman Regular"/>
          <w:color w:val="auto"/>
          <w:spacing w:val="2"/>
          <w:sz w:val="28"/>
          <w:szCs w:val="28"/>
          <w:highlight w:val="none"/>
          <w:lang w:eastAsia="zh-CN"/>
        </w:rPr>
        <w:t>6</w:t>
      </w:r>
      <w:r>
        <w:rPr>
          <w:rFonts w:hint="default" w:ascii="Times New Roman Regular" w:hAnsi="Times New Roman Regular" w:eastAsia="宋体" w:cs="Times New Roman Regular"/>
          <w:color w:val="auto"/>
          <w:spacing w:val="2"/>
          <w:sz w:val="28"/>
          <w:szCs w:val="28"/>
          <w:highlight w:val="none"/>
          <w:lang w:eastAsia="zh-CN"/>
        </w:rPr>
        <w:t>）管理不善，没有认真</w:t>
      </w:r>
      <w:r>
        <w:rPr>
          <w:rFonts w:hint="eastAsia" w:ascii="Times New Roman Regular" w:hAnsi="Times New Roman Regular" w:eastAsia="宋体" w:cs="Times New Roman Regular"/>
          <w:color w:val="auto"/>
          <w:spacing w:val="2"/>
          <w:sz w:val="28"/>
          <w:szCs w:val="28"/>
          <w:highlight w:val="none"/>
          <w:lang w:eastAsia="zh-CN"/>
        </w:rPr>
        <w:t>地</w:t>
      </w:r>
      <w:r>
        <w:rPr>
          <w:rFonts w:hint="default" w:ascii="Times New Roman Regular" w:hAnsi="Times New Roman Regular" w:eastAsia="宋体" w:cs="Times New Roman Regular"/>
          <w:color w:val="auto"/>
          <w:spacing w:val="2"/>
          <w:sz w:val="28"/>
          <w:szCs w:val="28"/>
          <w:highlight w:val="none"/>
          <w:lang w:eastAsia="zh-CN"/>
        </w:rPr>
        <w:t>经常性检查与观测，没能及时发现问题，及时采取措施，防止事故发生。</w:t>
      </w:r>
    </w:p>
    <w:p w14:paraId="3F12DA87">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15" w:name="_Toc3613"/>
      <w:bookmarkStart w:id="116" w:name="_Toc587"/>
      <w:bookmarkStart w:id="117" w:name="_Toc4113"/>
      <w:r>
        <w:rPr>
          <w:rFonts w:ascii="Times New Roman" w:hAnsi="Times New Roman" w:eastAsia="Times New Roman" w:cs="Times New Roman"/>
          <w:bCs/>
          <w:color w:val="auto"/>
          <w:spacing w:val="-2"/>
          <w:sz w:val="28"/>
          <w:szCs w:val="28"/>
          <w:highlight w:val="none"/>
          <w:lang w:eastAsia="zh-CN"/>
        </w:rPr>
        <w:t xml:space="preserve">3.1.5 </w:t>
      </w:r>
      <w:r>
        <w:rPr>
          <w:rFonts w:ascii="宋体" w:hAnsi="宋体" w:eastAsia="宋体" w:cs="宋体"/>
          <w:bCs/>
          <w:color w:val="auto"/>
          <w:spacing w:val="-2"/>
          <w:sz w:val="28"/>
          <w:szCs w:val="28"/>
          <w:highlight w:val="none"/>
          <w:lang w:eastAsia="zh-CN"/>
        </w:rPr>
        <w:t>坝坡失稳</w:t>
      </w:r>
      <w:bookmarkEnd w:id="115"/>
      <w:bookmarkEnd w:id="116"/>
      <w:bookmarkEnd w:id="117"/>
    </w:p>
    <w:p w14:paraId="515638CB">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坝坡失稳造成滑坡是尾矿坝的危险因素之一，较大规模的滑坡，往往是垮坝事故的前兆，即使是较小的滑坡也不能掉以轻心。有些滑坡是突然发生的，有的先由裂缝开始，如不及时处理，逐步扩大和蔓延，则可能造成垮坝重大事故。造成滑坡的主要因素有：</w:t>
      </w:r>
    </w:p>
    <w:p w14:paraId="73CDB61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（1）为片面追求库容，尾矿坝边坡陡于设计值，坝体抗滑安全系数不足；</w:t>
      </w:r>
    </w:p>
    <w:p w14:paraId="35CF4AE0">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（2）勘察时未查明坝基有淤泥层或其他高压缩性软土层，设计时未采取适当措施；</w:t>
      </w:r>
    </w:p>
    <w:p w14:paraId="6C7847F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（3）坝面维护不善，雨水冲刷拉沟，严重时会造成局部坝段滑坡；</w:t>
      </w:r>
    </w:p>
    <w:p w14:paraId="5D6DD1B4">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（4）为增加蓄水量，提高库内水位，造成尾矿坝安全超高不足，降低坝体稳定性；</w:t>
      </w:r>
    </w:p>
    <w:p w14:paraId="5912D3B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（5）尾矿坝坝顶安全超高、防洪宽度不满足规范要求。</w:t>
      </w:r>
    </w:p>
    <w:p w14:paraId="3BC01915">
      <w:pPr>
        <w:pStyle w:val="4"/>
        <w:widowControl w:val="0"/>
        <w:kinsoku/>
        <w:autoSpaceDE/>
        <w:autoSpaceDN/>
        <w:adjustRightInd/>
        <w:snapToGrid/>
        <w:spacing w:before="60" w:after="60" w:line="360" w:lineRule="auto"/>
        <w:jc w:val="both"/>
        <w:textAlignment w:val="auto"/>
        <w:rPr>
          <w:rFonts w:ascii="Times New Roman" w:hAnsi="Times New Roman" w:eastAsia="Times New Roman" w:cs="Times New Roman"/>
          <w:bCs/>
          <w:color w:val="auto"/>
          <w:spacing w:val="-2"/>
          <w:sz w:val="28"/>
          <w:szCs w:val="28"/>
          <w:highlight w:val="none"/>
          <w:lang w:eastAsia="zh-CN"/>
        </w:rPr>
      </w:pPr>
      <w:bookmarkStart w:id="118" w:name="_Toc7754"/>
      <w:bookmarkStart w:id="119" w:name="_Toc14648"/>
      <w:bookmarkStart w:id="120" w:name="_Toc29287"/>
      <w:r>
        <w:rPr>
          <w:rFonts w:ascii="Times New Roman" w:hAnsi="Times New Roman" w:eastAsia="Times New Roman" w:cs="Times New Roman"/>
          <w:bCs/>
          <w:color w:val="auto"/>
          <w:spacing w:val="-2"/>
          <w:sz w:val="28"/>
          <w:szCs w:val="28"/>
          <w:highlight w:val="none"/>
          <w:lang w:eastAsia="zh-CN"/>
        </w:rPr>
        <w:t>3.1.</w:t>
      </w:r>
      <w:r>
        <w:rPr>
          <w:rFonts w:hint="eastAsia" w:ascii="Times New Roman" w:hAnsi="Times New Roman" w:eastAsia="Times New Roman" w:cs="Times New Roman"/>
          <w:bCs/>
          <w:color w:val="auto"/>
          <w:spacing w:val="-2"/>
          <w:sz w:val="28"/>
          <w:szCs w:val="28"/>
          <w:highlight w:val="none"/>
          <w:lang w:val="en-US" w:eastAsia="zh-CN"/>
        </w:rPr>
        <w:t xml:space="preserve">6 </w:t>
      </w:r>
      <w:r>
        <w:rPr>
          <w:rFonts w:ascii="Times New Roman" w:hAnsi="Times New Roman" w:eastAsia="Times New Roman" w:cs="Times New Roman"/>
          <w:bCs/>
          <w:color w:val="auto"/>
          <w:spacing w:val="-2"/>
          <w:sz w:val="28"/>
          <w:szCs w:val="28"/>
          <w:highlight w:val="none"/>
          <w:lang w:val="en-US" w:eastAsia="zh-CN"/>
        </w:rPr>
        <w:t>尾砂晾晒堆积体滑塌</w:t>
      </w:r>
    </w:p>
    <w:p w14:paraId="43B3F642">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snapToGrid w:val="0"/>
          <w:color w:val="auto"/>
          <w:spacing w:val="2"/>
          <w:kern w:val="0"/>
          <w:sz w:val="28"/>
          <w:szCs w:val="28"/>
          <w:highlight w:val="none"/>
          <w:lang w:eastAsia="zh-CN"/>
        </w:rPr>
      </w:pPr>
      <w:r>
        <w:rPr>
          <w:rFonts w:hint="eastAsia" w:ascii="Times New Roman Regular" w:hAnsi="Times New Roman Regular" w:eastAsia="宋体" w:cs="Times New Roman Regular"/>
          <w:snapToGrid w:val="0"/>
          <w:color w:val="auto"/>
          <w:spacing w:val="2"/>
          <w:kern w:val="0"/>
          <w:sz w:val="28"/>
          <w:szCs w:val="28"/>
          <w:highlight w:val="none"/>
          <w:lang w:eastAsia="zh-CN"/>
        </w:rPr>
        <w:t>干堆库通常堆存较高，堆积体具有较大的势能。一旦发生滑塌，大量尾砂在重力作用下迅速下滑，具有巨大的冲击力。</w:t>
      </w:r>
    </w:p>
    <w:p w14:paraId="7475A8B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snapToGrid w:val="0"/>
          <w:color w:val="auto"/>
          <w:spacing w:val="2"/>
          <w:kern w:val="0"/>
          <w:sz w:val="28"/>
          <w:szCs w:val="28"/>
          <w:highlight w:val="none"/>
          <w:lang w:eastAsia="zh-CN"/>
        </w:rPr>
      </w:pPr>
      <w:r>
        <w:rPr>
          <w:rFonts w:hint="eastAsia" w:ascii="Times New Roman Regular" w:hAnsi="Times New Roman Regular" w:eastAsia="宋体" w:cs="Times New Roman Regular"/>
          <w:snapToGrid w:val="0"/>
          <w:color w:val="auto"/>
          <w:spacing w:val="2"/>
          <w:kern w:val="0"/>
          <w:sz w:val="28"/>
          <w:szCs w:val="28"/>
          <w:highlight w:val="none"/>
          <w:lang w:eastAsia="zh-CN"/>
        </w:rPr>
        <w:t>滑塌体可能直接冲毁下游的排水设施、拦挡坝、道路或由于堆积过高导致局部地基失稳。若作业人员在坡脚进行修坡、排水或运输作业，极易被滑塌体掩埋，造成群死群伤事故。</w:t>
      </w:r>
    </w:p>
    <w:p w14:paraId="39CAACA2">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snapToGrid w:val="0"/>
          <w:color w:val="auto"/>
          <w:spacing w:val="2"/>
          <w:kern w:val="0"/>
          <w:sz w:val="28"/>
          <w:szCs w:val="28"/>
          <w:highlight w:val="none"/>
          <w:lang w:eastAsia="zh-CN"/>
        </w:rPr>
      </w:pPr>
      <w:r>
        <w:rPr>
          <w:rFonts w:hint="default" w:ascii="Times New Roman Regular" w:hAnsi="Times New Roman Regular" w:eastAsia="宋体" w:cs="Times New Roman Regular"/>
          <w:snapToGrid w:val="0"/>
          <w:color w:val="auto"/>
          <w:spacing w:val="2"/>
          <w:kern w:val="0"/>
          <w:sz w:val="28"/>
          <w:szCs w:val="28"/>
          <w:highlight w:val="none"/>
          <w:lang w:eastAsia="zh-CN"/>
        </w:rPr>
        <w:t>造成</w:t>
      </w:r>
      <w:r>
        <w:rPr>
          <w:rFonts w:hint="default" w:ascii="Times New Roman Regular" w:hAnsi="Times New Roman Regular" w:eastAsia="宋体" w:cs="Times New Roman Regular"/>
          <w:snapToGrid w:val="0"/>
          <w:color w:val="auto"/>
          <w:spacing w:val="2"/>
          <w:kern w:val="0"/>
          <w:sz w:val="28"/>
          <w:szCs w:val="28"/>
          <w:highlight w:val="none"/>
          <w:lang w:val="en-US" w:eastAsia="zh-CN"/>
        </w:rPr>
        <w:t>尾砂晾晒堆积体滑塌</w:t>
      </w:r>
      <w:r>
        <w:rPr>
          <w:rFonts w:hint="default" w:ascii="Times New Roman Regular" w:hAnsi="Times New Roman Regular" w:eastAsia="宋体" w:cs="Times New Roman Regular"/>
          <w:snapToGrid w:val="0"/>
          <w:color w:val="auto"/>
          <w:spacing w:val="2"/>
          <w:kern w:val="0"/>
          <w:sz w:val="28"/>
          <w:szCs w:val="28"/>
          <w:highlight w:val="none"/>
          <w:lang w:eastAsia="zh-CN"/>
        </w:rPr>
        <w:t>的主要因素有：</w:t>
      </w:r>
    </w:p>
    <w:p w14:paraId="21EC9A6C">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snapToGrid w:val="0"/>
          <w:color w:val="auto"/>
          <w:spacing w:val="2"/>
          <w:kern w:val="0"/>
          <w:sz w:val="28"/>
          <w:szCs w:val="28"/>
          <w:highlight w:val="none"/>
          <w:lang w:eastAsia="zh-CN"/>
        </w:rPr>
      </w:pPr>
      <w:r>
        <w:rPr>
          <w:rFonts w:hint="eastAsia" w:ascii="Times New Roman Regular" w:hAnsi="Times New Roman Regular" w:eastAsia="宋体" w:cs="Times New Roman Regular"/>
          <w:snapToGrid w:val="0"/>
          <w:color w:val="auto"/>
          <w:spacing w:val="2"/>
          <w:kern w:val="0"/>
          <w:sz w:val="28"/>
          <w:szCs w:val="28"/>
          <w:highlight w:val="none"/>
          <w:lang w:val="en-US" w:eastAsia="zh-CN"/>
        </w:rPr>
        <w:t>（1）尾砂</w:t>
      </w:r>
      <w:r>
        <w:rPr>
          <w:rFonts w:hint="eastAsia" w:ascii="Times New Roman Regular" w:hAnsi="Times New Roman Regular" w:eastAsia="宋体" w:cs="Times New Roman Regular"/>
          <w:snapToGrid w:val="0"/>
          <w:color w:val="auto"/>
          <w:spacing w:val="2"/>
          <w:kern w:val="0"/>
          <w:sz w:val="28"/>
          <w:szCs w:val="28"/>
          <w:highlight w:val="none"/>
          <w:lang w:eastAsia="zh-CN"/>
        </w:rPr>
        <w:t>过干：干燥尾砂极为松散，内摩擦角虽有一定数值，但缺乏粘聚力，极易发生表面剥落或浅层滑塌。</w:t>
      </w:r>
    </w:p>
    <w:p w14:paraId="077F82B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snapToGrid w:val="0"/>
          <w:color w:val="auto"/>
          <w:spacing w:val="2"/>
          <w:kern w:val="0"/>
          <w:sz w:val="28"/>
          <w:szCs w:val="28"/>
          <w:highlight w:val="none"/>
          <w:lang w:eastAsia="zh-CN"/>
        </w:rPr>
      </w:pPr>
      <w:r>
        <w:rPr>
          <w:rFonts w:hint="eastAsia" w:ascii="Times New Roman Regular" w:hAnsi="Times New Roman Regular" w:eastAsia="宋体" w:cs="Times New Roman Regular"/>
          <w:snapToGrid w:val="0"/>
          <w:color w:val="auto"/>
          <w:spacing w:val="2"/>
          <w:kern w:val="0"/>
          <w:sz w:val="28"/>
          <w:szCs w:val="28"/>
          <w:highlight w:val="none"/>
          <w:lang w:val="en-US" w:eastAsia="zh-CN"/>
        </w:rPr>
        <w:t>（2）尾砂</w:t>
      </w:r>
      <w:r>
        <w:rPr>
          <w:rFonts w:hint="eastAsia" w:ascii="Times New Roman Regular" w:hAnsi="Times New Roman Regular" w:eastAsia="宋体" w:cs="Times New Roman Regular"/>
          <w:snapToGrid w:val="0"/>
          <w:color w:val="auto"/>
          <w:spacing w:val="2"/>
          <w:kern w:val="0"/>
          <w:sz w:val="28"/>
          <w:szCs w:val="28"/>
          <w:highlight w:val="none"/>
          <w:lang w:eastAsia="zh-CN"/>
        </w:rPr>
        <w:t>过湿：尾砂晾晒不充分，或者遇雨，含水率过高会导致孔隙水压力升高，有效应力降低，土体抗剪强度急剧下降，极易引发深层滑坡。</w:t>
      </w:r>
    </w:p>
    <w:p w14:paraId="5C7840EC">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snapToGrid w:val="0"/>
          <w:color w:val="auto"/>
          <w:spacing w:val="2"/>
          <w:kern w:val="0"/>
          <w:sz w:val="28"/>
          <w:szCs w:val="28"/>
          <w:highlight w:val="none"/>
          <w:lang w:eastAsia="zh-CN"/>
        </w:rPr>
      </w:pPr>
      <w:r>
        <w:rPr>
          <w:rFonts w:hint="eastAsia" w:ascii="Times New Roman Regular" w:hAnsi="Times New Roman Regular" w:eastAsia="宋体" w:cs="Times New Roman Regular"/>
          <w:snapToGrid w:val="0"/>
          <w:color w:val="auto"/>
          <w:spacing w:val="2"/>
          <w:kern w:val="0"/>
          <w:sz w:val="28"/>
          <w:szCs w:val="28"/>
          <w:highlight w:val="none"/>
          <w:lang w:eastAsia="zh-CN"/>
        </w:rPr>
        <w:t>（</w:t>
      </w:r>
      <w:r>
        <w:rPr>
          <w:rFonts w:hint="eastAsia" w:ascii="Times New Roman Regular" w:hAnsi="Times New Roman Regular" w:eastAsia="宋体" w:cs="Times New Roman Regular"/>
          <w:snapToGrid w:val="0"/>
          <w:color w:val="auto"/>
          <w:spacing w:val="2"/>
          <w:kern w:val="0"/>
          <w:sz w:val="28"/>
          <w:szCs w:val="28"/>
          <w:highlight w:val="none"/>
          <w:lang w:val="en-US" w:eastAsia="zh-CN"/>
        </w:rPr>
        <w:t>3</w:t>
      </w:r>
      <w:r>
        <w:rPr>
          <w:rFonts w:hint="eastAsia" w:ascii="Times New Roman Regular" w:hAnsi="Times New Roman Regular" w:eastAsia="宋体" w:cs="Times New Roman Regular"/>
          <w:snapToGrid w:val="0"/>
          <w:color w:val="auto"/>
          <w:spacing w:val="2"/>
          <w:kern w:val="0"/>
          <w:sz w:val="28"/>
          <w:szCs w:val="28"/>
          <w:highlight w:val="none"/>
          <w:lang w:eastAsia="zh-CN"/>
        </w:rPr>
        <w:t>）大气降水（暴雨）：雨水渗入坡体，增加土体重量（下滑力增加），雨水润滑滑动面，降低摩擦系数。</w:t>
      </w:r>
    </w:p>
    <w:p w14:paraId="6471D61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snapToGrid w:val="0"/>
          <w:color w:val="auto"/>
          <w:spacing w:val="2"/>
          <w:kern w:val="0"/>
          <w:sz w:val="28"/>
          <w:szCs w:val="28"/>
          <w:highlight w:val="none"/>
          <w:lang w:eastAsia="zh-CN"/>
        </w:rPr>
      </w:pPr>
      <w:r>
        <w:rPr>
          <w:rFonts w:hint="eastAsia" w:ascii="Times New Roman Regular" w:hAnsi="Times New Roman Regular" w:eastAsia="宋体" w:cs="Times New Roman Regular"/>
          <w:snapToGrid w:val="0"/>
          <w:color w:val="auto"/>
          <w:spacing w:val="2"/>
          <w:kern w:val="0"/>
          <w:sz w:val="28"/>
          <w:szCs w:val="28"/>
          <w:highlight w:val="none"/>
          <w:lang w:eastAsia="zh-CN"/>
        </w:rPr>
        <w:t>（</w:t>
      </w:r>
      <w:r>
        <w:rPr>
          <w:rFonts w:hint="eastAsia" w:ascii="Times New Roman Regular" w:hAnsi="Times New Roman Regular" w:eastAsia="宋体" w:cs="Times New Roman Regular"/>
          <w:snapToGrid w:val="0"/>
          <w:color w:val="auto"/>
          <w:spacing w:val="2"/>
          <w:kern w:val="0"/>
          <w:sz w:val="28"/>
          <w:szCs w:val="28"/>
          <w:highlight w:val="none"/>
          <w:lang w:val="en-US" w:eastAsia="zh-CN"/>
        </w:rPr>
        <w:t>4</w:t>
      </w:r>
      <w:r>
        <w:rPr>
          <w:rFonts w:hint="eastAsia" w:ascii="Times New Roman Regular" w:hAnsi="Times New Roman Regular" w:eastAsia="宋体" w:cs="Times New Roman Regular"/>
          <w:snapToGrid w:val="0"/>
          <w:color w:val="auto"/>
          <w:spacing w:val="2"/>
          <w:kern w:val="0"/>
          <w:sz w:val="28"/>
          <w:szCs w:val="28"/>
          <w:highlight w:val="none"/>
          <w:lang w:eastAsia="zh-CN"/>
        </w:rPr>
        <w:t>）压实度不足：干堆要求分层碾压。如果为了省事未进行有效碾压，堆体过于疏松，孔隙率大，容易产生不均匀沉降，进而拉裂坡面导致滑坡。</w:t>
      </w:r>
    </w:p>
    <w:p w14:paraId="4250C77B">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r>
        <w:rPr>
          <w:rFonts w:ascii="Times New Roman" w:hAnsi="Times New Roman" w:eastAsia="Times New Roman" w:cs="Times New Roman"/>
          <w:bCs/>
          <w:color w:val="auto"/>
          <w:spacing w:val="-2"/>
          <w:sz w:val="28"/>
          <w:szCs w:val="28"/>
          <w:highlight w:val="none"/>
          <w:lang w:eastAsia="zh-CN"/>
        </w:rPr>
        <w:t>3.1.</w:t>
      </w:r>
      <w:r>
        <w:rPr>
          <w:rFonts w:hint="eastAsia" w:ascii="Times New Roman" w:hAnsi="Times New Roman" w:eastAsia="Times New Roman" w:cs="Times New Roman"/>
          <w:bCs/>
          <w:color w:val="auto"/>
          <w:spacing w:val="-2"/>
          <w:sz w:val="28"/>
          <w:szCs w:val="28"/>
          <w:highlight w:val="none"/>
          <w:lang w:val="en-US" w:eastAsia="zh-CN"/>
        </w:rPr>
        <w:t>7</w:t>
      </w:r>
      <w:r>
        <w:rPr>
          <w:rFonts w:ascii="Times New Roman" w:hAnsi="Times New Roman" w:eastAsia="Times New Roman" w:cs="Times New Roman"/>
          <w:bCs/>
          <w:color w:val="auto"/>
          <w:spacing w:val="-2"/>
          <w:sz w:val="28"/>
          <w:szCs w:val="28"/>
          <w:highlight w:val="none"/>
          <w:lang w:eastAsia="zh-CN"/>
        </w:rPr>
        <w:t xml:space="preserve"> </w:t>
      </w:r>
      <w:r>
        <w:rPr>
          <w:rFonts w:ascii="宋体" w:hAnsi="宋体" w:eastAsia="宋体" w:cs="宋体"/>
          <w:bCs/>
          <w:color w:val="auto"/>
          <w:spacing w:val="-2"/>
          <w:sz w:val="28"/>
          <w:szCs w:val="28"/>
          <w:highlight w:val="none"/>
          <w:lang w:eastAsia="zh-CN"/>
        </w:rPr>
        <w:t>严寒冰冻</w:t>
      </w:r>
      <w:bookmarkEnd w:id="118"/>
      <w:bookmarkEnd w:id="119"/>
      <w:bookmarkEnd w:id="120"/>
    </w:p>
    <w:p w14:paraId="300195C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地区低温导致堆积坝冻结，形成冻土。堆积坝冻土分为表层冻土和深层冻土，表层冻土指的是在当地最大冻土深度以上的冻土，深层冻土是指在浸润线以下（一般浸润线深度大于当地最大冻土深度）的冻土。</w:t>
      </w:r>
    </w:p>
    <w:p w14:paraId="47DB8979">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冻土会造成冻结时冻胀、融化时土体融陷，进而给尾矿库安全带来一系列问题。</w:t>
      </w:r>
    </w:p>
    <w:p w14:paraId="4C35B7CE">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（1）坝体稳定性降低</w:t>
      </w:r>
    </w:p>
    <w:p w14:paraId="43D9334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冻土层存在，提升了浸润线，必然会降低坝体稳定性。再者，深层冰冻层在坝坡附近时，可导致坝坡长期渗水沼泽化，冻土解冻可能出现流水甚至局部滑移。春暖来临时，表层冻土融化快，冰晶析水导致上部来水量大，而此时深层冻土融化慢且基本不透水，导致冻土上游水位上升快，渗透坡降增大，容易造成流土等渗流破坏，甚至导致坝体失稳。深层冻土因受地热传递而温度升高，同时在长期高压力下，深层冻土会融化，融化的冰冻层强度急剧降低，可能会导致坝体失稳。</w:t>
      </w:r>
    </w:p>
    <w:p w14:paraId="7E91E62A">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（2）降低抗渗强度</w:t>
      </w:r>
    </w:p>
    <w:p w14:paraId="3E37C741">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尾砂冻结时，水分冻结成冰，导致体积膨胀，尾砂间空隙胀大。当冻土融化时，由于尾砂的渗透性差，水不能及时下渗，融化开始时，尾砂悬浮在水中，在水下渗后，尾砂空隙较大，呈松散状态，抗渗强度降低，甚至形成流土或管涌。</w:t>
      </w:r>
    </w:p>
    <w:p w14:paraId="7CE3D4F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（3）破坏建构筑物</w:t>
      </w:r>
    </w:p>
    <w:p w14:paraId="4B6DE51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宋体" w:hAnsi="宋体" w:eastAsia="宋体" w:cs="宋体"/>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土体在冻结时由于土中水冻结成冰与周围迁移来的水冻结产生体积膨胀，土体冻胀会使排水管隆起、脱节甚至裂缝，排水管两侧冻胀不均匀时可使管线弯曲、偏斜。土体冻胀不均匀可导致排水设施偏斜甚至倒塌。冻土在融化时强度降低，会产生大的沉降变形，如果排水设施等构筑物基础在冻土层内，构筑物产生沉降变形，产生不均匀沉降会导致构筑物裂缝甚至破坏。</w:t>
      </w:r>
    </w:p>
    <w:p w14:paraId="51FA89C8">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21" w:name="_Toc26488"/>
      <w:bookmarkStart w:id="122" w:name="_Toc17596"/>
      <w:bookmarkStart w:id="123" w:name="_Toc2212"/>
      <w:r>
        <w:rPr>
          <w:rFonts w:ascii="Times New Roman" w:hAnsi="Times New Roman" w:eastAsia="Times New Roman" w:cs="Times New Roman"/>
          <w:bCs/>
          <w:color w:val="auto"/>
          <w:spacing w:val="-3"/>
          <w:sz w:val="28"/>
          <w:szCs w:val="28"/>
          <w:highlight w:val="none"/>
          <w:lang w:eastAsia="zh-CN"/>
        </w:rPr>
        <w:t>3.1.</w:t>
      </w:r>
      <w:r>
        <w:rPr>
          <w:rFonts w:hint="eastAsia" w:ascii="Times New Roman" w:hAnsi="Times New Roman" w:eastAsia="Times New Roman" w:cs="Times New Roman"/>
          <w:bCs/>
          <w:color w:val="auto"/>
          <w:spacing w:val="-3"/>
          <w:sz w:val="28"/>
          <w:szCs w:val="28"/>
          <w:highlight w:val="none"/>
          <w:lang w:val="en-US" w:eastAsia="zh-CN"/>
        </w:rPr>
        <w:t>8</w:t>
      </w:r>
      <w:r>
        <w:rPr>
          <w:rFonts w:ascii="Times New Roman" w:hAnsi="Times New Roman" w:eastAsia="Times New Roman" w:cs="Times New Roman"/>
          <w:bCs/>
          <w:color w:val="auto"/>
          <w:spacing w:val="-3"/>
          <w:sz w:val="28"/>
          <w:szCs w:val="28"/>
          <w:highlight w:val="none"/>
          <w:lang w:eastAsia="zh-CN"/>
        </w:rPr>
        <w:t xml:space="preserve"> </w:t>
      </w:r>
      <w:r>
        <w:rPr>
          <w:rFonts w:ascii="宋体" w:hAnsi="宋体" w:eastAsia="宋体" w:cs="宋体"/>
          <w:bCs/>
          <w:color w:val="auto"/>
          <w:spacing w:val="-3"/>
          <w:sz w:val="28"/>
          <w:szCs w:val="28"/>
          <w:highlight w:val="none"/>
          <w:lang w:eastAsia="zh-CN"/>
        </w:rPr>
        <w:t>触电与雷击</w:t>
      </w:r>
      <w:bookmarkEnd w:id="121"/>
      <w:bookmarkEnd w:id="122"/>
      <w:bookmarkEnd w:id="123"/>
    </w:p>
    <w:p w14:paraId="1384A31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宋体" w:hAnsi="宋体" w:eastAsia="宋体" w:cs="宋体"/>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尾矿库区的供电、照明等用电设施由于电线架设不当，绝缘老化、损坏，接地不良，用电设备短路、过载，人员操作不当以及雷电等原因，可能造成设备事故或触电、雷击事故。</w:t>
      </w:r>
    </w:p>
    <w:p w14:paraId="627240C3">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24" w:name="_Toc19087"/>
      <w:bookmarkStart w:id="125" w:name="_Toc16630"/>
      <w:bookmarkStart w:id="126" w:name="_Toc4957"/>
      <w:r>
        <w:rPr>
          <w:rFonts w:ascii="Times New Roman" w:hAnsi="Times New Roman" w:eastAsia="Times New Roman" w:cs="Times New Roman"/>
          <w:bCs/>
          <w:color w:val="auto"/>
          <w:spacing w:val="-3"/>
          <w:sz w:val="28"/>
          <w:szCs w:val="28"/>
          <w:highlight w:val="none"/>
          <w:lang w:eastAsia="zh-CN"/>
        </w:rPr>
        <w:t>3.1.</w:t>
      </w:r>
      <w:r>
        <w:rPr>
          <w:rFonts w:hint="eastAsia" w:ascii="Times New Roman" w:hAnsi="Times New Roman" w:eastAsia="Times New Roman" w:cs="Times New Roman"/>
          <w:bCs/>
          <w:color w:val="auto"/>
          <w:spacing w:val="-3"/>
          <w:sz w:val="28"/>
          <w:szCs w:val="28"/>
          <w:highlight w:val="none"/>
          <w:lang w:val="en-US" w:eastAsia="zh-CN"/>
        </w:rPr>
        <w:t>9</w:t>
      </w:r>
      <w:r>
        <w:rPr>
          <w:rFonts w:ascii="Times New Roman" w:hAnsi="Times New Roman" w:eastAsia="Times New Roman" w:cs="Times New Roman"/>
          <w:bCs/>
          <w:color w:val="auto"/>
          <w:spacing w:val="-3"/>
          <w:sz w:val="28"/>
          <w:szCs w:val="28"/>
          <w:highlight w:val="none"/>
          <w:lang w:eastAsia="zh-CN"/>
        </w:rPr>
        <w:t xml:space="preserve"> </w:t>
      </w:r>
      <w:r>
        <w:rPr>
          <w:rFonts w:ascii="宋体" w:hAnsi="宋体" w:eastAsia="宋体" w:cs="宋体"/>
          <w:bCs/>
          <w:color w:val="auto"/>
          <w:spacing w:val="-3"/>
          <w:sz w:val="28"/>
          <w:szCs w:val="28"/>
          <w:highlight w:val="none"/>
          <w:lang w:eastAsia="zh-CN"/>
        </w:rPr>
        <w:t>高处坠落</w:t>
      </w:r>
      <w:bookmarkEnd w:id="124"/>
      <w:bookmarkEnd w:id="125"/>
      <w:bookmarkEnd w:id="126"/>
    </w:p>
    <w:p w14:paraId="542B5FA4">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宋体" w:hAnsi="宋体" w:eastAsia="宋体" w:cs="宋体"/>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由于尾矿库设施和环境条件的特殊性，在尾矿库生产过程中，其巡查人员在坝顶及其坝坡面上从事尾矿库安全巡查，检查人员在坝顶、山坡等处进行巡查和检测工作时，由于防护设施缺失和缺陷，或由于人员不小心，易于发生高处坠落（滑落）事故发生的可能性，造成人员伤亡。</w:t>
      </w:r>
    </w:p>
    <w:p w14:paraId="1F00F883">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27" w:name="bookmark28"/>
      <w:bookmarkEnd w:id="127"/>
      <w:bookmarkStart w:id="128" w:name="_Toc5355"/>
      <w:bookmarkStart w:id="129" w:name="_Toc1272915321"/>
      <w:r>
        <w:rPr>
          <w:rFonts w:ascii="Times New Roman Regular" w:hAnsi="Times New Roman Regular" w:eastAsia="黑体" w:cs="Times New Roman Regular"/>
          <w:snapToGrid/>
          <w:color w:val="auto"/>
          <w:kern w:val="2"/>
          <w:highlight w:val="none"/>
          <w:lang w:eastAsia="zh-CN"/>
        </w:rPr>
        <w:t>3.2 主要有害因素辨识及分析</w:t>
      </w:r>
      <w:bookmarkEnd w:id="128"/>
      <w:bookmarkEnd w:id="129"/>
    </w:p>
    <w:p w14:paraId="034A7C94">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30" w:name="_Toc12475"/>
      <w:bookmarkStart w:id="131" w:name="_Toc10735"/>
      <w:bookmarkStart w:id="132" w:name="_Toc4180"/>
      <w:r>
        <w:rPr>
          <w:rFonts w:ascii="Times New Roman" w:hAnsi="Times New Roman" w:eastAsia="Times New Roman" w:cs="Times New Roman"/>
          <w:bCs/>
          <w:color w:val="auto"/>
          <w:spacing w:val="-3"/>
          <w:sz w:val="28"/>
          <w:szCs w:val="28"/>
          <w:highlight w:val="none"/>
          <w:lang w:eastAsia="zh-CN"/>
        </w:rPr>
        <w:t xml:space="preserve">3.2.1 </w:t>
      </w:r>
      <w:r>
        <w:rPr>
          <w:rFonts w:ascii="宋体" w:hAnsi="宋体" w:eastAsia="宋体" w:cs="宋体"/>
          <w:bCs/>
          <w:color w:val="auto"/>
          <w:spacing w:val="-3"/>
          <w:sz w:val="28"/>
          <w:szCs w:val="28"/>
          <w:highlight w:val="none"/>
          <w:lang w:eastAsia="zh-CN"/>
        </w:rPr>
        <w:t>粉尘</w:t>
      </w:r>
      <w:bookmarkEnd w:id="130"/>
      <w:bookmarkEnd w:id="131"/>
      <w:bookmarkEnd w:id="132"/>
    </w:p>
    <w:p w14:paraId="5B99FC13">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尾砂的粒度较小，在干旱季节和久晴无雨的情况下，遇上刮风时尾矿库的尾砂将会被风扬起，产生扬尘，对人体产生危害，或对环境产生污染。</w:t>
      </w:r>
    </w:p>
    <w:p w14:paraId="3D685B97">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33" w:name="_Toc1200"/>
      <w:bookmarkStart w:id="134" w:name="_Toc28080"/>
      <w:bookmarkStart w:id="135" w:name="_Toc8600"/>
      <w:r>
        <w:rPr>
          <w:rFonts w:ascii="Times New Roman" w:hAnsi="Times New Roman" w:eastAsia="Times New Roman" w:cs="Times New Roman"/>
          <w:bCs/>
          <w:color w:val="auto"/>
          <w:spacing w:val="-3"/>
          <w:sz w:val="28"/>
          <w:szCs w:val="28"/>
          <w:highlight w:val="none"/>
          <w:lang w:eastAsia="zh-CN"/>
        </w:rPr>
        <w:t xml:space="preserve">3.2.2 </w:t>
      </w:r>
      <w:r>
        <w:rPr>
          <w:rFonts w:ascii="宋体" w:hAnsi="宋体" w:eastAsia="宋体" w:cs="宋体"/>
          <w:bCs/>
          <w:color w:val="auto"/>
          <w:spacing w:val="-3"/>
          <w:sz w:val="28"/>
          <w:szCs w:val="28"/>
          <w:highlight w:val="none"/>
          <w:lang w:eastAsia="zh-CN"/>
        </w:rPr>
        <w:t>高温</w:t>
      </w:r>
      <w:bookmarkEnd w:id="133"/>
      <w:bookmarkEnd w:id="134"/>
      <w:bookmarkEnd w:id="135"/>
    </w:p>
    <w:p w14:paraId="678E95E8">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在盛夏酷暑季节，尾矿库作业环境温度较高，巡检人员易发生眩晕、中暑等症状。长期高温作业可出现高血压、心肌受损和消化功能障碍等病症。</w:t>
      </w:r>
    </w:p>
    <w:p w14:paraId="6419CE41">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36" w:name="_Toc15550"/>
      <w:bookmarkStart w:id="137" w:name="_Toc20709"/>
      <w:bookmarkStart w:id="138" w:name="_Toc20103"/>
      <w:r>
        <w:rPr>
          <w:rFonts w:ascii="Times New Roman" w:hAnsi="Times New Roman" w:eastAsia="Times New Roman" w:cs="Times New Roman"/>
          <w:bCs/>
          <w:color w:val="auto"/>
          <w:spacing w:val="-3"/>
          <w:sz w:val="28"/>
          <w:szCs w:val="28"/>
          <w:highlight w:val="none"/>
          <w:lang w:eastAsia="zh-CN"/>
        </w:rPr>
        <w:t xml:space="preserve">3.2.3 </w:t>
      </w:r>
      <w:r>
        <w:rPr>
          <w:rFonts w:ascii="宋体" w:hAnsi="宋体" w:eastAsia="宋体" w:cs="宋体"/>
          <w:bCs/>
          <w:color w:val="auto"/>
          <w:spacing w:val="-3"/>
          <w:sz w:val="28"/>
          <w:szCs w:val="28"/>
          <w:highlight w:val="none"/>
          <w:lang w:eastAsia="zh-CN"/>
        </w:rPr>
        <w:t>低温</w:t>
      </w:r>
      <w:bookmarkEnd w:id="136"/>
      <w:bookmarkEnd w:id="137"/>
      <w:bookmarkEnd w:id="138"/>
    </w:p>
    <w:p w14:paraId="4D0A7FCF">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在严冬，尾矿库巡检人员在寒冷的环境中作业，如果劳动防护不好，容易冻伤手脚，轻则红肿疼痛，重则可能造成终身残疾。</w:t>
      </w:r>
    </w:p>
    <w:p w14:paraId="26D60D21">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14:paraId="7CC27829">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139" w:name="_Toc11311"/>
      <w:bookmarkStart w:id="140" w:name="_Toc655708633"/>
      <w:r>
        <w:rPr>
          <w:rFonts w:ascii="Times New Roman Regular" w:hAnsi="Times New Roman Regular" w:eastAsia="黑体" w:cs="Times New Roman Regular"/>
          <w:b/>
          <w:bCs/>
          <w:snapToGrid/>
          <w:color w:val="auto"/>
          <w:kern w:val="44"/>
          <w:sz w:val="32"/>
          <w:szCs w:val="44"/>
          <w:highlight w:val="none"/>
          <w:lang w:eastAsia="zh-CN"/>
        </w:rPr>
        <w:t>4 评价单元划分与评价方法选择</w:t>
      </w:r>
      <w:bookmarkEnd w:id="139"/>
      <w:bookmarkEnd w:id="140"/>
    </w:p>
    <w:p w14:paraId="4B88C08B">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41" w:name="bookmark32"/>
      <w:bookmarkEnd w:id="141"/>
      <w:bookmarkStart w:id="142" w:name="_Toc4573"/>
      <w:bookmarkStart w:id="143" w:name="_Toc1756402074"/>
      <w:r>
        <w:rPr>
          <w:rFonts w:ascii="Times New Roman Regular" w:hAnsi="Times New Roman Regular" w:eastAsia="黑体" w:cs="Times New Roman Regular"/>
          <w:snapToGrid/>
          <w:color w:val="auto"/>
          <w:kern w:val="2"/>
          <w:highlight w:val="none"/>
          <w:lang w:eastAsia="zh-CN"/>
        </w:rPr>
        <w:t>4.1 评价单元划分</w:t>
      </w:r>
      <w:bookmarkEnd w:id="142"/>
      <w:bookmarkEnd w:id="143"/>
    </w:p>
    <w:p w14:paraId="584F73E1">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安全评价是以实现系统安全为目的，应用安全系统工程原理和方法，对系统中存在的危险、有害因素进行辨识和分析，判断系统发生事故和职业危害的可能性及其危害程度，从而为制定防范措施和管理决策提供科学依据。根据该尾矿库的特点，本次安全现状评价单元划分如下：</w:t>
      </w:r>
    </w:p>
    <w:p w14:paraId="7B1D615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（1）周边环境单元；</w:t>
      </w:r>
    </w:p>
    <w:p w14:paraId="312C484F">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（2）尾矿坝单元；</w:t>
      </w:r>
    </w:p>
    <w:p w14:paraId="0ADEC25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（3）</w:t>
      </w:r>
      <w:r>
        <w:rPr>
          <w:rFonts w:hint="eastAsia" w:ascii="Times New Roman Regular" w:hAnsi="Times New Roman Regular" w:eastAsia="宋体" w:cs="Times New Roman Regular"/>
          <w:color w:val="auto"/>
          <w:spacing w:val="2"/>
          <w:sz w:val="28"/>
          <w:szCs w:val="28"/>
          <w:highlight w:val="none"/>
          <w:lang w:eastAsia="zh-CN"/>
        </w:rPr>
        <w:t>防</w:t>
      </w:r>
      <w:r>
        <w:rPr>
          <w:rFonts w:hint="default" w:ascii="Times New Roman Regular" w:hAnsi="Times New Roman Regular" w:eastAsia="宋体" w:cs="Times New Roman Regular"/>
          <w:color w:val="auto"/>
          <w:spacing w:val="2"/>
          <w:sz w:val="28"/>
          <w:szCs w:val="28"/>
          <w:highlight w:val="none"/>
          <w:lang w:eastAsia="zh-CN"/>
        </w:rPr>
        <w:t>排洪系统单元；</w:t>
      </w:r>
    </w:p>
    <w:p w14:paraId="1ED31E1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（4）安全监测设施单元；</w:t>
      </w:r>
    </w:p>
    <w:p w14:paraId="2436039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（5）辅助设施单元；</w:t>
      </w:r>
    </w:p>
    <w:p w14:paraId="47348A4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（6）安全管理单元；</w:t>
      </w:r>
    </w:p>
    <w:p w14:paraId="45A99824">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（7）重大</w:t>
      </w:r>
      <w:r>
        <w:rPr>
          <w:rFonts w:hint="eastAsia" w:ascii="Times New Roman Regular" w:hAnsi="Times New Roman Regular" w:eastAsia="宋体" w:cs="Times New Roman Regular"/>
          <w:color w:val="auto"/>
          <w:spacing w:val="2"/>
          <w:sz w:val="28"/>
          <w:szCs w:val="28"/>
          <w:highlight w:val="none"/>
          <w:lang w:eastAsia="zh-CN"/>
        </w:rPr>
        <w:t>事故</w:t>
      </w:r>
      <w:r>
        <w:rPr>
          <w:rFonts w:hint="default" w:ascii="Times New Roman Regular" w:hAnsi="Times New Roman Regular" w:eastAsia="宋体" w:cs="Times New Roman Regular"/>
          <w:color w:val="auto"/>
          <w:spacing w:val="2"/>
          <w:sz w:val="28"/>
          <w:szCs w:val="28"/>
          <w:highlight w:val="none"/>
          <w:lang w:eastAsia="zh-CN"/>
        </w:rPr>
        <w:t>隐患判定单元；</w:t>
      </w:r>
    </w:p>
    <w:p w14:paraId="163E687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（8）“延期换证审核”单元。</w:t>
      </w:r>
    </w:p>
    <w:p w14:paraId="733A2000">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44" w:name="bookmark34"/>
      <w:bookmarkEnd w:id="144"/>
      <w:bookmarkStart w:id="145" w:name="_Toc539446056"/>
      <w:bookmarkStart w:id="146" w:name="_Toc5204"/>
      <w:r>
        <w:rPr>
          <w:rFonts w:ascii="Times New Roman Regular" w:hAnsi="Times New Roman Regular" w:eastAsia="黑体" w:cs="Times New Roman Regular"/>
          <w:snapToGrid/>
          <w:color w:val="auto"/>
          <w:kern w:val="2"/>
          <w:highlight w:val="none"/>
          <w:lang w:eastAsia="zh-CN"/>
        </w:rPr>
        <w:t>4.2 评价方法选择</w:t>
      </w:r>
      <w:bookmarkEnd w:id="145"/>
      <w:bookmarkEnd w:id="146"/>
    </w:p>
    <w:p w14:paraId="17EA957E">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葫芦岛岳强矿业有限责任公司尾矿库</w:t>
      </w:r>
      <w:r>
        <w:rPr>
          <w:rFonts w:hint="default" w:ascii="Times New Roman Regular" w:hAnsi="Times New Roman Regular" w:eastAsia="宋体" w:cs="Times New Roman Regular"/>
          <w:color w:val="auto"/>
          <w:spacing w:val="2"/>
          <w:sz w:val="28"/>
          <w:szCs w:val="28"/>
          <w:highlight w:val="none"/>
          <w:lang w:eastAsia="zh-CN"/>
        </w:rPr>
        <w:t>存在的危险、有害因素既具有尾矿库的共性，也有其固有的特殊性。针对实际情况和危险、有害因素性质，本次安全评价选用定性法和定量分析法。</w:t>
      </w:r>
    </w:p>
    <w:p w14:paraId="1D75AF0F">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（1）定性分析法</w:t>
      </w:r>
    </w:p>
    <w:p w14:paraId="46C99356">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安全检查表法是定性的安全评价方法，可用于评价项目的任何时期。通过对检查对象进行详细调查研究和全面分析，所制定出来的安全检查表比较系统、完善，包括控制事故发生的各种因素，可避免检查过程中的走过场和盲目性，从而提高安全检查工作的效果和质量。</w:t>
      </w:r>
    </w:p>
    <w:p w14:paraId="3E262F9F">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安全检查表法有如下优点：</w:t>
      </w:r>
    </w:p>
    <w:p w14:paraId="59FDB762">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①安全检查表是根据法律法规、安全技术规程和标准制定的，因此检查目的明确，内容具体，易于实现安全要求；</w:t>
      </w:r>
    </w:p>
    <w:p w14:paraId="7571158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②安全检查表对所拟定的检查项目进行逐项检查的过程，也是对系统危险因素辨识、评价和制定措施的过程，既能准确地查出隐患，又能得出确切的结论，从而保证了有关法规的全面落实；</w:t>
      </w:r>
    </w:p>
    <w:p w14:paraId="0E53973D">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③安全检查表是与有关责任人紧密相连的，所以易于推行安全生产责任制，检查后能够做到事故清、责任明、整改措施落实快；</w:t>
      </w:r>
    </w:p>
    <w:p w14:paraId="37DDC5D2">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④安全检查表使用起来简单易行，易于安全管理人员和广大职工掌握和接受，可经常自我检查。</w:t>
      </w:r>
    </w:p>
    <w:p w14:paraId="51FAC7C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（2）定量分析法</w:t>
      </w:r>
    </w:p>
    <w:p w14:paraId="1CCF09DE">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宋体" w:hAnsi="宋体" w:eastAsia="宋体" w:cs="宋体"/>
          <w:color w:val="auto"/>
          <w:spacing w:val="2"/>
          <w:sz w:val="28"/>
          <w:szCs w:val="28"/>
          <w:highlight w:val="none"/>
          <w:lang w:eastAsia="zh-CN"/>
        </w:rPr>
      </w:pPr>
      <w:r>
        <w:rPr>
          <w:rFonts w:hint="eastAsia" w:ascii="Times New Roman Regular" w:hAnsi="Times New Roman Regular" w:eastAsia="宋体" w:cs="Times New Roman Regular"/>
          <w:color w:val="auto"/>
          <w:spacing w:val="2"/>
          <w:sz w:val="28"/>
          <w:szCs w:val="28"/>
          <w:highlight w:val="none"/>
          <w:lang w:eastAsia="zh-CN"/>
        </w:rPr>
        <w:t>按照国家和行业技术规范标准的相关规定，利用经验公式或理论计算公式，根据设施的相关技术参数进行校验计算，得出项目安全设施是否满足安全生产的要求，进一步提出安全对策措施。</w:t>
      </w:r>
    </w:p>
    <w:p w14:paraId="4DBA44B1">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47" w:name="bookmark36"/>
      <w:bookmarkEnd w:id="147"/>
      <w:bookmarkStart w:id="148" w:name="_Toc1941389205"/>
      <w:bookmarkStart w:id="149" w:name="_Toc9243"/>
      <w:r>
        <w:rPr>
          <w:rFonts w:ascii="Times New Roman Regular" w:hAnsi="Times New Roman Regular" w:eastAsia="黑体" w:cs="Times New Roman Regular"/>
          <w:snapToGrid/>
          <w:color w:val="auto"/>
          <w:kern w:val="2"/>
          <w:highlight w:val="none"/>
          <w:lang w:eastAsia="zh-CN"/>
        </w:rPr>
        <w:t>4.3 各评价单元采用的评价方法</w:t>
      </w:r>
      <w:bookmarkEnd w:id="148"/>
      <w:bookmarkEnd w:id="149"/>
    </w:p>
    <w:p w14:paraId="7DEA193B">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Times New Roman Regular" w:hAnsi="Times New Roman Regular" w:eastAsia="宋体" w:cs="Times New Roman Regular"/>
          <w:color w:val="auto"/>
          <w:spacing w:val="2"/>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本《安全现状评价报告》根据该尾矿库特点</w:t>
      </w:r>
      <w:r>
        <w:rPr>
          <w:rFonts w:hint="eastAsia" w:ascii="Times New Roman Regular" w:hAnsi="Times New Roman Regular" w:eastAsia="宋体" w:cs="Times New Roman Regular"/>
          <w:color w:val="auto"/>
          <w:spacing w:val="2"/>
          <w:sz w:val="28"/>
          <w:szCs w:val="28"/>
          <w:highlight w:val="none"/>
          <w:lang w:eastAsia="zh-CN"/>
        </w:rPr>
        <w:t>，将</w:t>
      </w:r>
      <w:r>
        <w:rPr>
          <w:rFonts w:hint="default" w:ascii="Times New Roman Regular" w:hAnsi="Times New Roman Regular" w:eastAsia="宋体" w:cs="Times New Roman Regular"/>
          <w:color w:val="auto"/>
          <w:spacing w:val="2"/>
          <w:sz w:val="28"/>
          <w:szCs w:val="28"/>
          <w:highlight w:val="none"/>
          <w:lang w:eastAsia="zh-CN"/>
        </w:rPr>
        <w:t>尾矿库生产系统划分为8个评价单元，采用了多种评价方法，具体情况如下表所示：</w:t>
      </w:r>
    </w:p>
    <w:p w14:paraId="18D6F1F5">
      <w:pPr>
        <w:spacing w:line="400" w:lineRule="exact"/>
        <w:jc w:val="center"/>
        <w:rPr>
          <w:rFonts w:hint="eastAsia" w:ascii="黑体" w:hAnsi="黑体" w:eastAsia="黑体" w:cs="黑体"/>
          <w:bCs/>
          <w:color w:val="auto"/>
          <w:sz w:val="24"/>
          <w:highlight w:val="none"/>
          <w:lang w:eastAsia="zh-CN"/>
        </w:rPr>
      </w:pPr>
      <w:r>
        <w:rPr>
          <w:rFonts w:ascii="黑体" w:hAnsi="黑体" w:eastAsia="黑体" w:cs="黑体"/>
          <w:bCs/>
          <w:color w:val="auto"/>
          <w:sz w:val="24"/>
          <w:highlight w:val="none"/>
          <w:lang w:eastAsia="zh-CN"/>
        </w:rPr>
        <w:t xml:space="preserve">表4.3-1 </w:t>
      </w:r>
      <w:r>
        <w:rPr>
          <w:rFonts w:hint="eastAsia" w:ascii="黑体" w:hAnsi="黑体" w:eastAsia="黑体" w:cs="黑体"/>
          <w:bCs/>
          <w:color w:val="auto"/>
          <w:sz w:val="24"/>
          <w:highlight w:val="none"/>
          <w:lang w:val="en-US" w:eastAsia="zh-CN"/>
        </w:rPr>
        <w:t xml:space="preserve"> </w:t>
      </w:r>
      <w:r>
        <w:rPr>
          <w:rFonts w:ascii="黑体" w:hAnsi="黑体" w:eastAsia="黑体" w:cs="黑体"/>
          <w:bCs/>
          <w:color w:val="auto"/>
          <w:sz w:val="24"/>
          <w:highlight w:val="none"/>
          <w:lang w:eastAsia="zh-CN"/>
        </w:rPr>
        <w:t>各评价单元采用的评价方法一览表</w:t>
      </w:r>
    </w:p>
    <w:tbl>
      <w:tblPr>
        <w:tblStyle w:val="24"/>
        <w:tblW w:w="80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7"/>
        <w:gridCol w:w="4157"/>
        <w:gridCol w:w="1656"/>
        <w:gridCol w:w="1695"/>
      </w:tblGrid>
      <w:tr w14:paraId="0D84F901">
        <w:trPr>
          <w:trHeight w:val="556" w:hRule="atLeast"/>
          <w:tblHeader/>
          <w:jc w:val="center"/>
        </w:trPr>
        <w:tc>
          <w:tcPr>
            <w:tcW w:w="4714" w:type="dxa"/>
            <w:gridSpan w:val="2"/>
            <w:tcBorders>
              <w:tl2br w:val="single" w:color="000000" w:sz="6" w:space="0"/>
            </w:tcBorders>
            <w:vAlign w:val="bottom"/>
          </w:tcPr>
          <w:p w14:paraId="090D11DC">
            <w:pPr>
              <w:ind w:firstLine="3584" w:firstLineChars="1600"/>
              <w:jc w:val="both"/>
              <w:rPr>
                <w:rFonts w:hint="eastAsia" w:ascii="宋体" w:hAnsi="宋体" w:eastAsia="宋体" w:cs="宋体"/>
                <w:color w:val="auto"/>
                <w:highlight w:val="none"/>
                <w:lang w:eastAsia="zh-CN"/>
              </w:rPr>
            </w:pPr>
            <w:r>
              <w:rPr>
                <w:rFonts w:ascii="宋体" w:hAnsi="宋体" w:eastAsia="宋体" w:cs="宋体"/>
                <w:color w:val="auto"/>
                <w:spacing w:val="7"/>
                <w:highlight w:val="none"/>
                <w:lang w:eastAsia="zh-CN"/>
              </w:rPr>
              <w:t>评价方法</w:t>
            </w:r>
          </w:p>
          <w:p w14:paraId="5572CDD5">
            <w:pPr>
              <w:ind w:firstLine="678" w:firstLineChars="300"/>
              <w:jc w:val="both"/>
              <w:rPr>
                <w:rFonts w:hint="eastAsia" w:ascii="宋体" w:hAnsi="宋体" w:eastAsia="宋体" w:cs="宋体"/>
                <w:color w:val="auto"/>
                <w:highlight w:val="none"/>
                <w:lang w:eastAsia="zh-CN"/>
              </w:rPr>
            </w:pPr>
            <w:r>
              <w:rPr>
                <w:rFonts w:ascii="宋体" w:hAnsi="宋体" w:eastAsia="宋体" w:cs="宋体"/>
                <w:color w:val="auto"/>
                <w:spacing w:val="8"/>
                <w:highlight w:val="none"/>
                <w:lang w:eastAsia="zh-CN"/>
              </w:rPr>
              <w:t>评价单元名称</w:t>
            </w:r>
          </w:p>
        </w:tc>
        <w:tc>
          <w:tcPr>
            <w:tcW w:w="1656" w:type="dxa"/>
            <w:vAlign w:val="center"/>
          </w:tcPr>
          <w:p w14:paraId="304F44F6">
            <w:pPr>
              <w:jc w:val="center"/>
              <w:rPr>
                <w:rFonts w:hint="eastAsia" w:ascii="宋体" w:hAnsi="宋体" w:eastAsia="宋体" w:cs="宋体"/>
                <w:color w:val="auto"/>
                <w:highlight w:val="none"/>
              </w:rPr>
            </w:pPr>
            <w:r>
              <w:rPr>
                <w:rFonts w:ascii="宋体" w:hAnsi="宋体" w:eastAsia="宋体" w:cs="宋体"/>
                <w:color w:val="auto"/>
                <w:spacing w:val="7"/>
                <w:highlight w:val="none"/>
              </w:rPr>
              <w:t>安全检查表法</w:t>
            </w:r>
          </w:p>
        </w:tc>
        <w:tc>
          <w:tcPr>
            <w:tcW w:w="1695" w:type="dxa"/>
            <w:vAlign w:val="center"/>
          </w:tcPr>
          <w:p w14:paraId="6C157060">
            <w:pPr>
              <w:jc w:val="center"/>
              <w:rPr>
                <w:rFonts w:hint="eastAsia" w:ascii="宋体" w:hAnsi="宋体" w:eastAsia="宋体" w:cs="宋体"/>
                <w:color w:val="auto"/>
                <w:highlight w:val="none"/>
              </w:rPr>
            </w:pPr>
            <w:r>
              <w:rPr>
                <w:rFonts w:ascii="宋体" w:hAnsi="宋体" w:eastAsia="宋体" w:cs="宋体"/>
                <w:color w:val="auto"/>
                <w:spacing w:val="7"/>
                <w:highlight w:val="none"/>
              </w:rPr>
              <w:t>定量分析法</w:t>
            </w:r>
          </w:p>
        </w:tc>
      </w:tr>
      <w:tr w14:paraId="42C73273">
        <w:trPr>
          <w:trHeight w:val="344" w:hRule="atLeast"/>
          <w:jc w:val="center"/>
        </w:trPr>
        <w:tc>
          <w:tcPr>
            <w:tcW w:w="557" w:type="dxa"/>
            <w:vAlign w:val="center"/>
          </w:tcPr>
          <w:p w14:paraId="41516505">
            <w:pPr>
              <w:pStyle w:val="25"/>
              <w:jc w:val="center"/>
              <w:rPr>
                <w:color w:val="auto"/>
                <w:sz w:val="21"/>
                <w:szCs w:val="21"/>
                <w:highlight w:val="none"/>
              </w:rPr>
            </w:pPr>
            <w:r>
              <w:rPr>
                <w:color w:val="auto"/>
                <w:sz w:val="21"/>
                <w:szCs w:val="21"/>
                <w:highlight w:val="none"/>
              </w:rPr>
              <w:t>1</w:t>
            </w:r>
          </w:p>
        </w:tc>
        <w:tc>
          <w:tcPr>
            <w:tcW w:w="4157" w:type="dxa"/>
            <w:vAlign w:val="center"/>
          </w:tcPr>
          <w:p w14:paraId="6A9D397F">
            <w:pPr>
              <w:jc w:val="center"/>
              <w:rPr>
                <w:rFonts w:hint="eastAsia" w:ascii="宋体" w:hAnsi="宋体" w:eastAsia="宋体" w:cs="宋体"/>
                <w:color w:val="auto"/>
                <w:highlight w:val="none"/>
              </w:rPr>
            </w:pPr>
            <w:r>
              <w:rPr>
                <w:rFonts w:ascii="宋体" w:hAnsi="宋体" w:eastAsia="宋体" w:cs="宋体"/>
                <w:color w:val="auto"/>
                <w:spacing w:val="8"/>
                <w:highlight w:val="none"/>
              </w:rPr>
              <w:t>周边环境单元</w:t>
            </w:r>
          </w:p>
        </w:tc>
        <w:tc>
          <w:tcPr>
            <w:tcW w:w="1656" w:type="dxa"/>
            <w:vAlign w:val="center"/>
          </w:tcPr>
          <w:p w14:paraId="2CB39E52">
            <w:pPr>
              <w:pStyle w:val="25"/>
              <w:jc w:val="center"/>
              <w:rPr>
                <w:color w:val="auto"/>
                <w:sz w:val="21"/>
                <w:szCs w:val="21"/>
                <w:highlight w:val="none"/>
              </w:rPr>
            </w:pPr>
            <w:r>
              <w:rPr>
                <w:color w:val="auto"/>
                <w:sz w:val="21"/>
                <w:szCs w:val="21"/>
                <w:highlight w:val="none"/>
              </w:rPr>
              <w:t>√</w:t>
            </w:r>
          </w:p>
        </w:tc>
        <w:tc>
          <w:tcPr>
            <w:tcW w:w="1695" w:type="dxa"/>
            <w:vAlign w:val="center"/>
          </w:tcPr>
          <w:p w14:paraId="01CD79D3">
            <w:pPr>
              <w:jc w:val="center"/>
              <w:rPr>
                <w:color w:val="auto"/>
                <w:highlight w:val="none"/>
              </w:rPr>
            </w:pPr>
          </w:p>
        </w:tc>
      </w:tr>
      <w:tr w14:paraId="27C716C7">
        <w:trPr>
          <w:trHeight w:val="344" w:hRule="atLeast"/>
          <w:jc w:val="center"/>
        </w:trPr>
        <w:tc>
          <w:tcPr>
            <w:tcW w:w="557" w:type="dxa"/>
            <w:vAlign w:val="center"/>
          </w:tcPr>
          <w:p w14:paraId="6EE7325B">
            <w:pPr>
              <w:pStyle w:val="25"/>
              <w:jc w:val="center"/>
              <w:rPr>
                <w:color w:val="auto"/>
                <w:sz w:val="21"/>
                <w:szCs w:val="21"/>
                <w:highlight w:val="none"/>
              </w:rPr>
            </w:pPr>
            <w:r>
              <w:rPr>
                <w:color w:val="auto"/>
                <w:sz w:val="21"/>
                <w:szCs w:val="21"/>
                <w:highlight w:val="none"/>
              </w:rPr>
              <w:t>2</w:t>
            </w:r>
          </w:p>
        </w:tc>
        <w:tc>
          <w:tcPr>
            <w:tcW w:w="4157" w:type="dxa"/>
            <w:vAlign w:val="center"/>
          </w:tcPr>
          <w:p w14:paraId="3683AFF7">
            <w:pPr>
              <w:jc w:val="center"/>
              <w:rPr>
                <w:rFonts w:hint="eastAsia" w:ascii="宋体" w:hAnsi="宋体" w:eastAsia="宋体" w:cs="宋体"/>
                <w:color w:val="auto"/>
                <w:highlight w:val="none"/>
              </w:rPr>
            </w:pPr>
            <w:r>
              <w:rPr>
                <w:rFonts w:ascii="宋体" w:hAnsi="宋体" w:eastAsia="宋体" w:cs="宋体"/>
                <w:color w:val="auto"/>
                <w:spacing w:val="8"/>
                <w:highlight w:val="none"/>
              </w:rPr>
              <w:t>尾矿坝单元</w:t>
            </w:r>
          </w:p>
        </w:tc>
        <w:tc>
          <w:tcPr>
            <w:tcW w:w="1656" w:type="dxa"/>
            <w:vAlign w:val="center"/>
          </w:tcPr>
          <w:p w14:paraId="75026793">
            <w:pPr>
              <w:pStyle w:val="25"/>
              <w:jc w:val="center"/>
              <w:rPr>
                <w:color w:val="auto"/>
                <w:sz w:val="21"/>
                <w:szCs w:val="21"/>
                <w:highlight w:val="none"/>
              </w:rPr>
            </w:pPr>
            <w:r>
              <w:rPr>
                <w:color w:val="auto"/>
                <w:sz w:val="21"/>
                <w:szCs w:val="21"/>
                <w:highlight w:val="none"/>
              </w:rPr>
              <w:t>√</w:t>
            </w:r>
          </w:p>
        </w:tc>
        <w:tc>
          <w:tcPr>
            <w:tcW w:w="1695" w:type="dxa"/>
            <w:vAlign w:val="center"/>
          </w:tcPr>
          <w:p w14:paraId="784C723A">
            <w:pPr>
              <w:pStyle w:val="25"/>
              <w:jc w:val="center"/>
              <w:rPr>
                <w:color w:val="auto"/>
                <w:sz w:val="21"/>
                <w:szCs w:val="21"/>
                <w:highlight w:val="none"/>
              </w:rPr>
            </w:pPr>
            <w:r>
              <w:rPr>
                <w:color w:val="auto"/>
                <w:sz w:val="21"/>
                <w:szCs w:val="21"/>
                <w:highlight w:val="none"/>
              </w:rPr>
              <w:t>√</w:t>
            </w:r>
          </w:p>
        </w:tc>
      </w:tr>
      <w:tr w14:paraId="46F7A5AA">
        <w:trPr>
          <w:trHeight w:val="344" w:hRule="atLeast"/>
          <w:jc w:val="center"/>
        </w:trPr>
        <w:tc>
          <w:tcPr>
            <w:tcW w:w="557" w:type="dxa"/>
            <w:vAlign w:val="center"/>
          </w:tcPr>
          <w:p w14:paraId="1BC1A5F0">
            <w:pPr>
              <w:pStyle w:val="25"/>
              <w:jc w:val="center"/>
              <w:rPr>
                <w:color w:val="auto"/>
                <w:sz w:val="21"/>
                <w:szCs w:val="21"/>
                <w:highlight w:val="none"/>
              </w:rPr>
            </w:pPr>
            <w:r>
              <w:rPr>
                <w:color w:val="auto"/>
                <w:sz w:val="21"/>
                <w:szCs w:val="21"/>
                <w:highlight w:val="none"/>
              </w:rPr>
              <w:t>3</w:t>
            </w:r>
          </w:p>
        </w:tc>
        <w:tc>
          <w:tcPr>
            <w:tcW w:w="4157" w:type="dxa"/>
            <w:vAlign w:val="center"/>
          </w:tcPr>
          <w:p w14:paraId="6F07B343">
            <w:pPr>
              <w:jc w:val="center"/>
              <w:rPr>
                <w:rFonts w:hint="eastAsia" w:ascii="宋体" w:hAnsi="宋体" w:eastAsia="宋体" w:cs="宋体"/>
                <w:color w:val="auto"/>
                <w:highlight w:val="none"/>
              </w:rPr>
            </w:pPr>
            <w:r>
              <w:rPr>
                <w:rFonts w:hint="eastAsia" w:ascii="宋体" w:hAnsi="宋体" w:eastAsia="宋体" w:cs="宋体"/>
                <w:color w:val="auto"/>
                <w:spacing w:val="8"/>
                <w:highlight w:val="none"/>
                <w:lang w:eastAsia="zh-CN"/>
              </w:rPr>
              <w:t>防</w:t>
            </w:r>
            <w:r>
              <w:rPr>
                <w:rFonts w:ascii="宋体" w:hAnsi="宋体" w:eastAsia="宋体" w:cs="宋体"/>
                <w:color w:val="auto"/>
                <w:spacing w:val="8"/>
                <w:highlight w:val="none"/>
              </w:rPr>
              <w:t>排洪系统单元</w:t>
            </w:r>
          </w:p>
        </w:tc>
        <w:tc>
          <w:tcPr>
            <w:tcW w:w="1656" w:type="dxa"/>
            <w:vAlign w:val="center"/>
          </w:tcPr>
          <w:p w14:paraId="157511B2">
            <w:pPr>
              <w:pStyle w:val="25"/>
              <w:jc w:val="center"/>
              <w:rPr>
                <w:color w:val="auto"/>
                <w:sz w:val="21"/>
                <w:szCs w:val="21"/>
                <w:highlight w:val="none"/>
              </w:rPr>
            </w:pPr>
            <w:r>
              <w:rPr>
                <w:color w:val="auto"/>
                <w:sz w:val="21"/>
                <w:szCs w:val="21"/>
                <w:highlight w:val="none"/>
              </w:rPr>
              <w:t>√</w:t>
            </w:r>
          </w:p>
        </w:tc>
        <w:tc>
          <w:tcPr>
            <w:tcW w:w="1695" w:type="dxa"/>
            <w:vAlign w:val="center"/>
          </w:tcPr>
          <w:p w14:paraId="473492FC">
            <w:pPr>
              <w:pStyle w:val="25"/>
              <w:jc w:val="center"/>
              <w:rPr>
                <w:color w:val="auto"/>
                <w:sz w:val="21"/>
                <w:szCs w:val="21"/>
                <w:highlight w:val="none"/>
              </w:rPr>
            </w:pPr>
            <w:r>
              <w:rPr>
                <w:color w:val="auto"/>
                <w:sz w:val="21"/>
                <w:szCs w:val="21"/>
                <w:highlight w:val="none"/>
              </w:rPr>
              <w:t>√</w:t>
            </w:r>
          </w:p>
        </w:tc>
      </w:tr>
      <w:tr w14:paraId="56A89CCF">
        <w:trPr>
          <w:trHeight w:val="344" w:hRule="atLeast"/>
          <w:jc w:val="center"/>
        </w:trPr>
        <w:tc>
          <w:tcPr>
            <w:tcW w:w="557" w:type="dxa"/>
            <w:vAlign w:val="center"/>
          </w:tcPr>
          <w:p w14:paraId="259B359D">
            <w:pPr>
              <w:pStyle w:val="25"/>
              <w:jc w:val="center"/>
              <w:rPr>
                <w:color w:val="auto"/>
                <w:sz w:val="21"/>
                <w:szCs w:val="21"/>
                <w:highlight w:val="none"/>
              </w:rPr>
            </w:pPr>
            <w:r>
              <w:rPr>
                <w:color w:val="auto"/>
                <w:spacing w:val="1"/>
                <w:sz w:val="21"/>
                <w:szCs w:val="21"/>
                <w:highlight w:val="none"/>
              </w:rPr>
              <w:t>4</w:t>
            </w:r>
          </w:p>
        </w:tc>
        <w:tc>
          <w:tcPr>
            <w:tcW w:w="4157" w:type="dxa"/>
            <w:vAlign w:val="center"/>
          </w:tcPr>
          <w:p w14:paraId="4E648D1E">
            <w:pPr>
              <w:jc w:val="center"/>
              <w:rPr>
                <w:rFonts w:hint="eastAsia" w:ascii="宋体" w:hAnsi="宋体" w:eastAsia="宋体" w:cs="宋体"/>
                <w:color w:val="auto"/>
                <w:highlight w:val="none"/>
              </w:rPr>
            </w:pPr>
            <w:r>
              <w:rPr>
                <w:rFonts w:ascii="宋体" w:hAnsi="宋体" w:eastAsia="宋体" w:cs="宋体"/>
                <w:color w:val="auto"/>
                <w:spacing w:val="8"/>
                <w:highlight w:val="none"/>
              </w:rPr>
              <w:t>安全监测设施单元</w:t>
            </w:r>
          </w:p>
        </w:tc>
        <w:tc>
          <w:tcPr>
            <w:tcW w:w="1656" w:type="dxa"/>
            <w:vAlign w:val="center"/>
          </w:tcPr>
          <w:p w14:paraId="0286A3E0">
            <w:pPr>
              <w:pStyle w:val="25"/>
              <w:jc w:val="center"/>
              <w:rPr>
                <w:color w:val="auto"/>
                <w:sz w:val="21"/>
                <w:szCs w:val="21"/>
                <w:highlight w:val="none"/>
              </w:rPr>
            </w:pPr>
            <w:r>
              <w:rPr>
                <w:color w:val="auto"/>
                <w:sz w:val="21"/>
                <w:szCs w:val="21"/>
                <w:highlight w:val="none"/>
              </w:rPr>
              <w:t>√</w:t>
            </w:r>
          </w:p>
        </w:tc>
        <w:tc>
          <w:tcPr>
            <w:tcW w:w="1695" w:type="dxa"/>
            <w:vAlign w:val="center"/>
          </w:tcPr>
          <w:p w14:paraId="0249720A">
            <w:pPr>
              <w:jc w:val="center"/>
              <w:rPr>
                <w:color w:val="auto"/>
                <w:highlight w:val="none"/>
              </w:rPr>
            </w:pPr>
          </w:p>
        </w:tc>
      </w:tr>
      <w:tr w14:paraId="381ED616">
        <w:trPr>
          <w:trHeight w:val="344" w:hRule="atLeast"/>
          <w:jc w:val="center"/>
        </w:trPr>
        <w:tc>
          <w:tcPr>
            <w:tcW w:w="557" w:type="dxa"/>
            <w:vAlign w:val="center"/>
          </w:tcPr>
          <w:p w14:paraId="1D94A45D">
            <w:pPr>
              <w:pStyle w:val="25"/>
              <w:jc w:val="center"/>
              <w:rPr>
                <w:color w:val="auto"/>
                <w:sz w:val="21"/>
                <w:szCs w:val="21"/>
                <w:highlight w:val="none"/>
              </w:rPr>
            </w:pPr>
            <w:r>
              <w:rPr>
                <w:color w:val="auto"/>
                <w:sz w:val="21"/>
                <w:szCs w:val="21"/>
                <w:highlight w:val="none"/>
              </w:rPr>
              <w:t>5</w:t>
            </w:r>
          </w:p>
        </w:tc>
        <w:tc>
          <w:tcPr>
            <w:tcW w:w="4157" w:type="dxa"/>
            <w:vAlign w:val="center"/>
          </w:tcPr>
          <w:p w14:paraId="6A723696">
            <w:pPr>
              <w:jc w:val="center"/>
              <w:rPr>
                <w:rFonts w:hint="eastAsia" w:ascii="宋体" w:hAnsi="宋体" w:eastAsia="宋体" w:cs="宋体"/>
                <w:color w:val="auto"/>
                <w:highlight w:val="none"/>
              </w:rPr>
            </w:pPr>
            <w:r>
              <w:rPr>
                <w:rFonts w:ascii="宋体" w:hAnsi="宋体" w:eastAsia="宋体" w:cs="宋体"/>
                <w:color w:val="auto"/>
                <w:spacing w:val="7"/>
                <w:highlight w:val="none"/>
              </w:rPr>
              <w:t>辅助设施单元</w:t>
            </w:r>
          </w:p>
        </w:tc>
        <w:tc>
          <w:tcPr>
            <w:tcW w:w="1656" w:type="dxa"/>
            <w:vAlign w:val="center"/>
          </w:tcPr>
          <w:p w14:paraId="3AA4F82D">
            <w:pPr>
              <w:pStyle w:val="25"/>
              <w:jc w:val="center"/>
              <w:rPr>
                <w:color w:val="auto"/>
                <w:sz w:val="21"/>
                <w:szCs w:val="21"/>
                <w:highlight w:val="none"/>
              </w:rPr>
            </w:pPr>
            <w:r>
              <w:rPr>
                <w:color w:val="auto"/>
                <w:sz w:val="21"/>
                <w:szCs w:val="21"/>
                <w:highlight w:val="none"/>
              </w:rPr>
              <w:t>√</w:t>
            </w:r>
          </w:p>
        </w:tc>
        <w:tc>
          <w:tcPr>
            <w:tcW w:w="1695" w:type="dxa"/>
            <w:vAlign w:val="center"/>
          </w:tcPr>
          <w:p w14:paraId="65D1AE76">
            <w:pPr>
              <w:jc w:val="center"/>
              <w:rPr>
                <w:color w:val="auto"/>
                <w:highlight w:val="none"/>
              </w:rPr>
            </w:pPr>
          </w:p>
        </w:tc>
      </w:tr>
      <w:tr w14:paraId="3686F962">
        <w:trPr>
          <w:trHeight w:val="344" w:hRule="atLeast"/>
          <w:jc w:val="center"/>
        </w:trPr>
        <w:tc>
          <w:tcPr>
            <w:tcW w:w="557" w:type="dxa"/>
            <w:vAlign w:val="center"/>
          </w:tcPr>
          <w:p w14:paraId="1207CF14">
            <w:pPr>
              <w:pStyle w:val="25"/>
              <w:jc w:val="center"/>
              <w:rPr>
                <w:color w:val="auto"/>
                <w:sz w:val="21"/>
                <w:szCs w:val="21"/>
                <w:highlight w:val="none"/>
              </w:rPr>
            </w:pPr>
            <w:r>
              <w:rPr>
                <w:color w:val="auto"/>
                <w:sz w:val="21"/>
                <w:szCs w:val="21"/>
                <w:highlight w:val="none"/>
              </w:rPr>
              <w:t>6</w:t>
            </w:r>
          </w:p>
        </w:tc>
        <w:tc>
          <w:tcPr>
            <w:tcW w:w="4157" w:type="dxa"/>
            <w:vAlign w:val="center"/>
          </w:tcPr>
          <w:p w14:paraId="509FF7E0">
            <w:pPr>
              <w:jc w:val="center"/>
              <w:rPr>
                <w:rFonts w:hint="eastAsia" w:ascii="宋体" w:hAnsi="宋体" w:eastAsia="宋体" w:cs="宋体"/>
                <w:color w:val="auto"/>
                <w:highlight w:val="none"/>
              </w:rPr>
            </w:pPr>
            <w:r>
              <w:rPr>
                <w:rFonts w:ascii="宋体" w:hAnsi="宋体" w:eastAsia="宋体" w:cs="宋体"/>
                <w:color w:val="auto"/>
                <w:spacing w:val="7"/>
                <w:highlight w:val="none"/>
              </w:rPr>
              <w:t>安全管理单元</w:t>
            </w:r>
          </w:p>
        </w:tc>
        <w:tc>
          <w:tcPr>
            <w:tcW w:w="1656" w:type="dxa"/>
            <w:vAlign w:val="center"/>
          </w:tcPr>
          <w:p w14:paraId="23F51C67">
            <w:pPr>
              <w:pStyle w:val="25"/>
              <w:jc w:val="center"/>
              <w:rPr>
                <w:color w:val="auto"/>
                <w:sz w:val="21"/>
                <w:szCs w:val="21"/>
                <w:highlight w:val="none"/>
              </w:rPr>
            </w:pPr>
            <w:r>
              <w:rPr>
                <w:color w:val="auto"/>
                <w:sz w:val="21"/>
                <w:szCs w:val="21"/>
                <w:highlight w:val="none"/>
              </w:rPr>
              <w:t>√</w:t>
            </w:r>
          </w:p>
        </w:tc>
        <w:tc>
          <w:tcPr>
            <w:tcW w:w="1695" w:type="dxa"/>
            <w:vAlign w:val="center"/>
          </w:tcPr>
          <w:p w14:paraId="0D4F4E99">
            <w:pPr>
              <w:jc w:val="center"/>
              <w:rPr>
                <w:color w:val="auto"/>
                <w:highlight w:val="none"/>
              </w:rPr>
            </w:pPr>
          </w:p>
        </w:tc>
      </w:tr>
      <w:tr w14:paraId="7551CBFD">
        <w:trPr>
          <w:trHeight w:val="413" w:hRule="atLeast"/>
          <w:jc w:val="center"/>
        </w:trPr>
        <w:tc>
          <w:tcPr>
            <w:tcW w:w="557" w:type="dxa"/>
            <w:vAlign w:val="center"/>
          </w:tcPr>
          <w:p w14:paraId="7319E81C">
            <w:pPr>
              <w:pStyle w:val="25"/>
              <w:jc w:val="center"/>
              <w:rPr>
                <w:color w:val="auto"/>
                <w:sz w:val="21"/>
                <w:szCs w:val="21"/>
                <w:highlight w:val="none"/>
              </w:rPr>
            </w:pPr>
            <w:r>
              <w:rPr>
                <w:color w:val="auto"/>
                <w:sz w:val="21"/>
                <w:szCs w:val="21"/>
                <w:highlight w:val="none"/>
              </w:rPr>
              <w:t>7</w:t>
            </w:r>
          </w:p>
        </w:tc>
        <w:tc>
          <w:tcPr>
            <w:tcW w:w="4157" w:type="dxa"/>
            <w:vAlign w:val="center"/>
          </w:tcPr>
          <w:p w14:paraId="43EA6D43">
            <w:pPr>
              <w:jc w:val="center"/>
              <w:rPr>
                <w:rFonts w:hint="eastAsia" w:ascii="宋体" w:hAnsi="宋体" w:eastAsia="宋体" w:cs="宋体"/>
                <w:color w:val="auto"/>
                <w:highlight w:val="none"/>
                <w:lang w:eastAsia="zh-CN"/>
              </w:rPr>
            </w:pPr>
            <w:r>
              <w:rPr>
                <w:rFonts w:ascii="宋体" w:hAnsi="宋体" w:eastAsia="宋体" w:cs="宋体"/>
                <w:color w:val="auto"/>
                <w:spacing w:val="8"/>
                <w:highlight w:val="none"/>
                <w:lang w:eastAsia="zh-CN"/>
              </w:rPr>
              <w:t>重大</w:t>
            </w:r>
            <w:r>
              <w:rPr>
                <w:rFonts w:hint="eastAsia" w:ascii="宋体" w:hAnsi="宋体" w:eastAsia="宋体" w:cs="宋体"/>
                <w:color w:val="auto"/>
                <w:spacing w:val="8"/>
                <w:highlight w:val="none"/>
                <w:lang w:eastAsia="zh-CN"/>
              </w:rPr>
              <w:t>事故</w:t>
            </w:r>
            <w:r>
              <w:rPr>
                <w:rFonts w:ascii="宋体" w:hAnsi="宋体" w:eastAsia="宋体" w:cs="宋体"/>
                <w:color w:val="auto"/>
                <w:spacing w:val="8"/>
                <w:highlight w:val="none"/>
                <w:lang w:eastAsia="zh-CN"/>
              </w:rPr>
              <w:t>隐患判定单元</w:t>
            </w:r>
          </w:p>
        </w:tc>
        <w:tc>
          <w:tcPr>
            <w:tcW w:w="1656" w:type="dxa"/>
            <w:vAlign w:val="center"/>
          </w:tcPr>
          <w:p w14:paraId="136E7D2F">
            <w:pPr>
              <w:pStyle w:val="25"/>
              <w:jc w:val="center"/>
              <w:rPr>
                <w:color w:val="auto"/>
                <w:sz w:val="21"/>
                <w:szCs w:val="21"/>
                <w:highlight w:val="none"/>
              </w:rPr>
            </w:pPr>
            <w:r>
              <w:rPr>
                <w:color w:val="auto"/>
                <w:sz w:val="21"/>
                <w:szCs w:val="21"/>
                <w:highlight w:val="none"/>
              </w:rPr>
              <w:t>√</w:t>
            </w:r>
          </w:p>
        </w:tc>
        <w:tc>
          <w:tcPr>
            <w:tcW w:w="1695" w:type="dxa"/>
            <w:vAlign w:val="center"/>
          </w:tcPr>
          <w:p w14:paraId="10C51F63">
            <w:pPr>
              <w:jc w:val="center"/>
              <w:rPr>
                <w:color w:val="auto"/>
                <w:highlight w:val="none"/>
              </w:rPr>
            </w:pPr>
          </w:p>
        </w:tc>
      </w:tr>
      <w:tr w14:paraId="7FA763EB">
        <w:trPr>
          <w:trHeight w:val="419" w:hRule="atLeast"/>
          <w:jc w:val="center"/>
        </w:trPr>
        <w:tc>
          <w:tcPr>
            <w:tcW w:w="557" w:type="dxa"/>
            <w:vAlign w:val="center"/>
          </w:tcPr>
          <w:p w14:paraId="5E0B9D7F">
            <w:pPr>
              <w:pStyle w:val="25"/>
              <w:jc w:val="center"/>
              <w:rPr>
                <w:color w:val="auto"/>
                <w:sz w:val="21"/>
                <w:szCs w:val="21"/>
                <w:highlight w:val="none"/>
              </w:rPr>
            </w:pPr>
            <w:r>
              <w:rPr>
                <w:color w:val="auto"/>
                <w:sz w:val="21"/>
                <w:szCs w:val="21"/>
                <w:highlight w:val="none"/>
              </w:rPr>
              <w:t>8</w:t>
            </w:r>
          </w:p>
        </w:tc>
        <w:tc>
          <w:tcPr>
            <w:tcW w:w="4157" w:type="dxa"/>
            <w:vAlign w:val="center"/>
          </w:tcPr>
          <w:p w14:paraId="7EA60340">
            <w:pPr>
              <w:jc w:val="center"/>
              <w:rPr>
                <w:rFonts w:hint="eastAsia" w:ascii="宋体" w:hAnsi="宋体" w:eastAsia="宋体" w:cs="宋体"/>
                <w:color w:val="auto"/>
                <w:highlight w:val="none"/>
                <w:lang w:eastAsia="zh-CN"/>
              </w:rPr>
            </w:pPr>
            <w:bookmarkStart w:id="150" w:name="_Toc23084"/>
            <w:bookmarkStart w:id="151" w:name="_Toc29388"/>
            <w:bookmarkStart w:id="152" w:name="_Toc3048"/>
            <w:bookmarkStart w:id="153" w:name="_Toc1980095371"/>
            <w:r>
              <w:rPr>
                <w:rFonts w:ascii="宋体" w:hAnsi="宋体" w:eastAsia="宋体" w:cs="宋体"/>
                <w:color w:val="auto"/>
                <w:spacing w:val="8"/>
                <w:highlight w:val="none"/>
                <w:lang w:eastAsia="zh-CN"/>
              </w:rPr>
              <w:t>“延期换证审核”单元</w:t>
            </w:r>
            <w:bookmarkEnd w:id="150"/>
            <w:bookmarkEnd w:id="151"/>
            <w:bookmarkEnd w:id="152"/>
            <w:bookmarkEnd w:id="153"/>
          </w:p>
        </w:tc>
        <w:tc>
          <w:tcPr>
            <w:tcW w:w="1656" w:type="dxa"/>
            <w:vAlign w:val="center"/>
          </w:tcPr>
          <w:p w14:paraId="41D7A097">
            <w:pPr>
              <w:pStyle w:val="25"/>
              <w:jc w:val="center"/>
              <w:rPr>
                <w:color w:val="auto"/>
                <w:sz w:val="21"/>
                <w:szCs w:val="21"/>
                <w:highlight w:val="none"/>
              </w:rPr>
            </w:pPr>
            <w:r>
              <w:rPr>
                <w:color w:val="auto"/>
                <w:sz w:val="21"/>
                <w:szCs w:val="21"/>
                <w:highlight w:val="none"/>
              </w:rPr>
              <w:t>√</w:t>
            </w:r>
          </w:p>
        </w:tc>
        <w:tc>
          <w:tcPr>
            <w:tcW w:w="1695" w:type="dxa"/>
            <w:vAlign w:val="center"/>
          </w:tcPr>
          <w:p w14:paraId="0838A1E4">
            <w:pPr>
              <w:jc w:val="center"/>
              <w:rPr>
                <w:color w:val="auto"/>
                <w:highlight w:val="none"/>
              </w:rPr>
            </w:pPr>
          </w:p>
        </w:tc>
      </w:tr>
    </w:tbl>
    <w:p w14:paraId="4D77649E">
      <w:pPr>
        <w:rPr>
          <w:rFonts w:ascii="Times New Roman" w:hAnsi="Times New Roman" w:eastAsia="Times New Roman" w:cs="Times New Roman"/>
          <w:b/>
          <w:bCs/>
          <w:color w:val="auto"/>
          <w:spacing w:val="3"/>
          <w:sz w:val="31"/>
          <w:szCs w:val="31"/>
          <w:highlight w:val="none"/>
        </w:rPr>
      </w:pPr>
      <w:bookmarkStart w:id="154" w:name="bookmark38"/>
      <w:bookmarkEnd w:id="154"/>
      <w:bookmarkStart w:id="155" w:name="_Toc18168"/>
      <w:r>
        <w:rPr>
          <w:rFonts w:ascii="Times New Roman" w:hAnsi="Times New Roman" w:eastAsia="Times New Roman" w:cs="Times New Roman"/>
          <w:b/>
          <w:bCs/>
          <w:color w:val="auto"/>
          <w:spacing w:val="3"/>
          <w:sz w:val="31"/>
          <w:szCs w:val="31"/>
          <w:highlight w:val="none"/>
        </w:rPr>
        <w:br w:type="page"/>
      </w:r>
    </w:p>
    <w:p w14:paraId="785BDB4F">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156" w:name="_Toc61835917"/>
      <w:r>
        <w:rPr>
          <w:rFonts w:ascii="Times New Roman Regular" w:hAnsi="Times New Roman Regular" w:eastAsia="黑体" w:cs="Times New Roman Regular"/>
          <w:b/>
          <w:bCs/>
          <w:snapToGrid/>
          <w:color w:val="auto"/>
          <w:kern w:val="44"/>
          <w:sz w:val="32"/>
          <w:szCs w:val="44"/>
          <w:highlight w:val="none"/>
          <w:lang w:eastAsia="zh-CN"/>
        </w:rPr>
        <w:t>5 定性定量评价</w:t>
      </w:r>
      <w:bookmarkEnd w:id="155"/>
      <w:bookmarkEnd w:id="156"/>
    </w:p>
    <w:p w14:paraId="76F964B3">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57" w:name="bookmark40"/>
      <w:bookmarkEnd w:id="157"/>
      <w:bookmarkStart w:id="158" w:name="_Toc2041655518"/>
      <w:bookmarkStart w:id="159" w:name="_Toc22026"/>
      <w:r>
        <w:rPr>
          <w:rFonts w:ascii="Times New Roman Regular" w:hAnsi="Times New Roman Regular" w:eastAsia="黑体" w:cs="Times New Roman Regular"/>
          <w:snapToGrid/>
          <w:color w:val="auto"/>
          <w:kern w:val="2"/>
          <w:highlight w:val="none"/>
          <w:lang w:eastAsia="zh-CN"/>
        </w:rPr>
        <w:t>5.1 周边环境单元</w:t>
      </w:r>
      <w:bookmarkEnd w:id="158"/>
      <w:bookmarkEnd w:id="159"/>
    </w:p>
    <w:p w14:paraId="589922BC">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rPr>
      </w:pPr>
      <w:bookmarkStart w:id="160" w:name="_Toc24865"/>
      <w:bookmarkStart w:id="161" w:name="_Toc20597"/>
      <w:bookmarkStart w:id="162" w:name="_Toc30144"/>
      <w:r>
        <w:rPr>
          <w:rFonts w:ascii="Times New Roman" w:hAnsi="Times New Roman" w:eastAsia="Times New Roman" w:cs="Times New Roman"/>
          <w:bCs/>
          <w:color w:val="auto"/>
          <w:spacing w:val="-3"/>
          <w:sz w:val="28"/>
          <w:szCs w:val="28"/>
          <w:highlight w:val="none"/>
        </w:rPr>
        <w:t xml:space="preserve">5.1.1 </w:t>
      </w:r>
      <w:r>
        <w:rPr>
          <w:rFonts w:ascii="宋体" w:hAnsi="宋体" w:eastAsia="宋体" w:cs="宋体"/>
          <w:bCs/>
          <w:color w:val="auto"/>
          <w:spacing w:val="-3"/>
          <w:sz w:val="28"/>
          <w:szCs w:val="28"/>
          <w:highlight w:val="none"/>
        </w:rPr>
        <w:t>安全检查表法评价</w:t>
      </w:r>
      <w:bookmarkEnd w:id="160"/>
      <w:bookmarkEnd w:id="161"/>
      <w:bookmarkEnd w:id="162"/>
    </w:p>
    <w:p w14:paraId="05D65BF2">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textAlignment w:val="baseline"/>
        <w:rPr>
          <w:rFonts w:hint="eastAsia" w:ascii="宋体" w:hAnsi="宋体" w:eastAsia="宋体" w:cs="宋体"/>
          <w:color w:val="auto"/>
          <w:sz w:val="28"/>
          <w:szCs w:val="28"/>
          <w:highlight w:val="none"/>
          <w:lang w:eastAsia="zh-CN"/>
        </w:rPr>
      </w:pPr>
      <w:r>
        <w:rPr>
          <w:rFonts w:ascii="宋体" w:hAnsi="宋体" w:eastAsia="宋体" w:cs="宋体"/>
          <w:color w:val="auto"/>
          <w:spacing w:val="7"/>
          <w:sz w:val="28"/>
          <w:szCs w:val="28"/>
          <w:highlight w:val="none"/>
          <w:lang w:eastAsia="zh-CN"/>
        </w:rPr>
        <w:t>根据</w:t>
      </w:r>
      <w:r>
        <w:rPr>
          <w:rFonts w:hint="eastAsia" w:ascii="宋体" w:hAnsi="宋体" w:eastAsia="宋体" w:cs="宋体"/>
          <w:color w:val="auto"/>
          <w:spacing w:val="7"/>
          <w:sz w:val="28"/>
          <w:szCs w:val="28"/>
          <w:highlight w:val="none"/>
          <w:lang w:eastAsia="zh-CN"/>
        </w:rPr>
        <w:t>相关</w:t>
      </w:r>
      <w:r>
        <w:rPr>
          <w:rFonts w:ascii="宋体" w:hAnsi="宋体" w:eastAsia="宋体" w:cs="宋体"/>
          <w:color w:val="auto"/>
          <w:spacing w:val="7"/>
          <w:sz w:val="28"/>
          <w:szCs w:val="28"/>
          <w:highlight w:val="none"/>
          <w:lang w:eastAsia="zh-CN"/>
        </w:rPr>
        <w:t>法律法规、技术标准规定，借鉴同类尾矿库的经验，运用安全检查表的评价方法对该尾矿库周边环</w:t>
      </w:r>
      <w:r>
        <w:rPr>
          <w:rFonts w:ascii="宋体" w:hAnsi="宋体" w:eastAsia="宋体" w:cs="宋体"/>
          <w:color w:val="auto"/>
          <w:spacing w:val="6"/>
          <w:sz w:val="28"/>
          <w:szCs w:val="28"/>
          <w:highlight w:val="none"/>
          <w:lang w:eastAsia="zh-CN"/>
        </w:rPr>
        <w:t>境单元进行符合性评价，详</w:t>
      </w:r>
      <w:r>
        <w:rPr>
          <w:rFonts w:ascii="宋体" w:hAnsi="宋体" w:eastAsia="宋体" w:cs="宋体"/>
          <w:color w:val="auto"/>
          <w:spacing w:val="-3"/>
          <w:sz w:val="28"/>
          <w:szCs w:val="28"/>
          <w:highlight w:val="none"/>
          <w:lang w:eastAsia="zh-CN"/>
        </w:rPr>
        <w:t>见表</w:t>
      </w:r>
      <w:r>
        <w:rPr>
          <w:rFonts w:ascii="Times New Roman" w:hAnsi="Times New Roman" w:eastAsia="Times New Roman" w:cs="Times New Roman"/>
          <w:color w:val="auto"/>
          <w:spacing w:val="-3"/>
          <w:sz w:val="28"/>
          <w:szCs w:val="28"/>
          <w:highlight w:val="none"/>
          <w:lang w:eastAsia="zh-CN"/>
        </w:rPr>
        <w:t>5.1-1</w:t>
      </w:r>
      <w:r>
        <w:rPr>
          <w:rFonts w:ascii="宋体" w:hAnsi="宋体" w:eastAsia="宋体" w:cs="宋体"/>
          <w:color w:val="auto"/>
          <w:spacing w:val="-3"/>
          <w:sz w:val="28"/>
          <w:szCs w:val="28"/>
          <w:highlight w:val="none"/>
          <w:lang w:eastAsia="zh-CN"/>
        </w:rPr>
        <w:t>。</w:t>
      </w:r>
    </w:p>
    <w:p w14:paraId="0B91F7A2">
      <w:pPr>
        <w:spacing w:line="400" w:lineRule="exact"/>
        <w:jc w:val="center"/>
        <w:rPr>
          <w:rFonts w:hint="eastAsia" w:ascii="黑体" w:hAnsi="黑体" w:eastAsia="黑体" w:cs="黑体"/>
          <w:bCs/>
          <w:color w:val="auto"/>
          <w:sz w:val="24"/>
          <w:highlight w:val="none"/>
          <w:lang w:eastAsia="zh-CN"/>
        </w:rPr>
      </w:pPr>
      <w:r>
        <w:rPr>
          <w:rFonts w:ascii="黑体" w:hAnsi="黑体" w:eastAsia="黑体" w:cs="黑体"/>
          <w:bCs/>
          <w:color w:val="auto"/>
          <w:sz w:val="24"/>
          <w:highlight w:val="none"/>
          <w:lang w:eastAsia="zh-CN"/>
        </w:rPr>
        <w:t xml:space="preserve">表5.1-1 </w:t>
      </w:r>
      <w:r>
        <w:rPr>
          <w:rFonts w:hint="eastAsia" w:ascii="黑体" w:hAnsi="黑体" w:eastAsia="黑体" w:cs="黑体"/>
          <w:bCs/>
          <w:color w:val="auto"/>
          <w:sz w:val="24"/>
          <w:highlight w:val="none"/>
          <w:lang w:eastAsia="zh-CN"/>
        </w:rPr>
        <w:t xml:space="preserve"> </w:t>
      </w:r>
      <w:r>
        <w:rPr>
          <w:rFonts w:ascii="黑体" w:hAnsi="黑体" w:eastAsia="黑体" w:cs="黑体"/>
          <w:bCs/>
          <w:color w:val="auto"/>
          <w:sz w:val="24"/>
          <w:highlight w:val="none"/>
          <w:lang w:eastAsia="zh-CN"/>
        </w:rPr>
        <w:t>周边环境单元安全检查表</w:t>
      </w:r>
    </w:p>
    <w:tbl>
      <w:tblPr>
        <w:tblStyle w:val="24"/>
        <w:tblW w:w="90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28" w:type="dxa"/>
          <w:left w:w="28" w:type="dxa"/>
          <w:bottom w:w="28" w:type="dxa"/>
          <w:right w:w="28" w:type="dxa"/>
        </w:tblCellMar>
      </w:tblPr>
      <w:tblGrid>
        <w:gridCol w:w="606"/>
        <w:gridCol w:w="3008"/>
        <w:gridCol w:w="1836"/>
        <w:gridCol w:w="2717"/>
        <w:gridCol w:w="836"/>
      </w:tblGrid>
      <w:tr w14:paraId="3D430995">
        <w:trPr>
          <w:trHeight w:val="441" w:hRule="atLeast"/>
          <w:jc w:val="center"/>
        </w:trPr>
        <w:tc>
          <w:tcPr>
            <w:tcW w:w="606" w:type="dxa"/>
            <w:vAlign w:val="center"/>
          </w:tcPr>
          <w:p w14:paraId="79D5B579">
            <w:pPr>
              <w:jc w:val="center"/>
              <w:rPr>
                <w:rFonts w:hint="eastAsia" w:ascii="宋体" w:hAnsi="宋体" w:eastAsia="宋体" w:cs="宋体"/>
                <w:color w:val="auto"/>
                <w:highlight w:val="none"/>
              </w:rPr>
            </w:pPr>
            <w:r>
              <w:rPr>
                <w:rFonts w:ascii="宋体" w:hAnsi="宋体" w:eastAsia="宋体" w:cs="宋体"/>
                <w:color w:val="auto"/>
                <w:spacing w:val="5"/>
                <w:highlight w:val="none"/>
              </w:rPr>
              <w:t>序号</w:t>
            </w:r>
          </w:p>
        </w:tc>
        <w:tc>
          <w:tcPr>
            <w:tcW w:w="3008" w:type="dxa"/>
            <w:vAlign w:val="center"/>
          </w:tcPr>
          <w:p w14:paraId="169FE8EF">
            <w:pPr>
              <w:jc w:val="center"/>
              <w:rPr>
                <w:rFonts w:hint="eastAsia" w:ascii="宋体" w:hAnsi="宋体" w:eastAsia="宋体" w:cs="宋体"/>
                <w:color w:val="auto"/>
                <w:highlight w:val="none"/>
              </w:rPr>
            </w:pPr>
            <w:r>
              <w:rPr>
                <w:rFonts w:ascii="宋体" w:hAnsi="宋体" w:eastAsia="宋体" w:cs="宋体"/>
                <w:color w:val="auto"/>
                <w:spacing w:val="7"/>
                <w:highlight w:val="none"/>
              </w:rPr>
              <w:t>检查项目</w:t>
            </w:r>
          </w:p>
        </w:tc>
        <w:tc>
          <w:tcPr>
            <w:tcW w:w="1836" w:type="dxa"/>
            <w:vAlign w:val="center"/>
          </w:tcPr>
          <w:p w14:paraId="0FB7C39D">
            <w:pPr>
              <w:jc w:val="center"/>
              <w:rPr>
                <w:rFonts w:hint="eastAsia" w:ascii="宋体" w:hAnsi="宋体" w:eastAsia="宋体" w:cs="宋体"/>
                <w:color w:val="auto"/>
                <w:highlight w:val="none"/>
              </w:rPr>
            </w:pPr>
            <w:r>
              <w:rPr>
                <w:rFonts w:ascii="宋体" w:hAnsi="宋体" w:eastAsia="宋体" w:cs="宋体"/>
                <w:color w:val="auto"/>
                <w:spacing w:val="7"/>
                <w:highlight w:val="none"/>
              </w:rPr>
              <w:t>检查依据</w:t>
            </w:r>
          </w:p>
        </w:tc>
        <w:tc>
          <w:tcPr>
            <w:tcW w:w="2717" w:type="dxa"/>
            <w:vAlign w:val="center"/>
          </w:tcPr>
          <w:p w14:paraId="17D806A6">
            <w:pPr>
              <w:jc w:val="center"/>
              <w:rPr>
                <w:rFonts w:hint="eastAsia" w:ascii="宋体" w:hAnsi="宋体" w:eastAsia="宋体" w:cs="宋体"/>
                <w:color w:val="auto"/>
                <w:highlight w:val="none"/>
              </w:rPr>
            </w:pPr>
            <w:r>
              <w:rPr>
                <w:rFonts w:ascii="宋体" w:hAnsi="宋体" w:eastAsia="宋体" w:cs="宋体"/>
                <w:color w:val="auto"/>
                <w:spacing w:val="6"/>
                <w:highlight w:val="none"/>
              </w:rPr>
              <w:t>实际情况</w:t>
            </w:r>
          </w:p>
        </w:tc>
        <w:tc>
          <w:tcPr>
            <w:tcW w:w="836" w:type="dxa"/>
            <w:vAlign w:val="center"/>
          </w:tcPr>
          <w:p w14:paraId="5583D303">
            <w:pPr>
              <w:jc w:val="center"/>
              <w:rPr>
                <w:rFonts w:hint="eastAsia" w:ascii="宋体" w:hAnsi="宋体" w:eastAsia="宋体" w:cs="宋体"/>
                <w:color w:val="auto"/>
                <w:highlight w:val="none"/>
              </w:rPr>
            </w:pPr>
            <w:r>
              <w:rPr>
                <w:rFonts w:ascii="宋体" w:hAnsi="宋体" w:eastAsia="宋体" w:cs="宋体"/>
                <w:color w:val="auto"/>
                <w:spacing w:val="2"/>
                <w:highlight w:val="none"/>
              </w:rPr>
              <w:t>结论</w:t>
            </w:r>
          </w:p>
        </w:tc>
      </w:tr>
      <w:tr w14:paraId="50E79104">
        <w:trPr>
          <w:trHeight w:val="1365" w:hRule="atLeast"/>
          <w:jc w:val="center"/>
        </w:trPr>
        <w:tc>
          <w:tcPr>
            <w:tcW w:w="606" w:type="dxa"/>
            <w:vAlign w:val="center"/>
          </w:tcPr>
          <w:p w14:paraId="4FD37DC2">
            <w:pPr>
              <w:numPr>
                <w:ilvl w:val="0"/>
                <w:numId w:val="9"/>
              </w:numPr>
              <w:tabs>
                <w:tab w:val="clear" w:pos="0"/>
              </w:tabs>
              <w:spacing w:line="240" w:lineRule="exact"/>
              <w:jc w:val="center"/>
              <w:rPr>
                <w:rFonts w:eastAsia="仿宋"/>
                <w:color w:val="auto"/>
                <w:highlight w:val="none"/>
              </w:rPr>
            </w:pPr>
          </w:p>
        </w:tc>
        <w:tc>
          <w:tcPr>
            <w:tcW w:w="3008" w:type="dxa"/>
            <w:vAlign w:val="center"/>
          </w:tcPr>
          <w:p w14:paraId="7F8C5324">
            <w:pPr>
              <w:jc w:val="both"/>
              <w:rPr>
                <w:rFonts w:hint="eastAsia" w:ascii="宋体" w:hAnsi="宋体" w:eastAsia="宋体" w:cs="宋体"/>
                <w:color w:val="auto"/>
                <w:highlight w:val="none"/>
                <w:lang w:eastAsia="zh-CN"/>
              </w:rPr>
            </w:pPr>
            <w:r>
              <w:rPr>
                <w:rFonts w:ascii="宋体" w:hAnsi="宋体" w:eastAsia="宋体" w:cs="宋体"/>
                <w:color w:val="auto"/>
                <w:spacing w:val="12"/>
                <w:highlight w:val="none"/>
                <w:lang w:eastAsia="zh-CN"/>
              </w:rPr>
              <w:t>应设置通往坝顶、排洪系统附近的应急道路，应急道路应满足应急抢险时通行和运送应急物资的需求，应避开生产安全事故可能影响区域</w:t>
            </w:r>
            <w:r>
              <w:rPr>
                <w:rFonts w:ascii="宋体" w:hAnsi="宋体" w:eastAsia="宋体" w:cs="宋体"/>
                <w:color w:val="auto"/>
                <w:spacing w:val="8"/>
                <w:highlight w:val="none"/>
                <w:lang w:eastAsia="zh-CN"/>
              </w:rPr>
              <w:t>且不应设置在尾矿坝外坡上。</w:t>
            </w:r>
          </w:p>
        </w:tc>
        <w:tc>
          <w:tcPr>
            <w:tcW w:w="1836" w:type="dxa"/>
            <w:vAlign w:val="center"/>
          </w:tcPr>
          <w:p w14:paraId="455E79D9">
            <w:pPr>
              <w:pStyle w:val="25"/>
              <w:ind w:firstLine="6"/>
              <w:jc w:val="both"/>
              <w:rPr>
                <w:rFonts w:hint="eastAsia" w:ascii="宋体" w:hAnsi="宋体" w:eastAsia="宋体" w:cs="宋体"/>
                <w:color w:val="auto"/>
                <w:sz w:val="21"/>
                <w:szCs w:val="21"/>
                <w:highlight w:val="none"/>
                <w:lang w:eastAsia="zh-CN"/>
              </w:rPr>
            </w:pPr>
            <w:r>
              <w:rPr>
                <w:rFonts w:ascii="宋体" w:hAnsi="宋体" w:eastAsia="宋体" w:cs="宋体"/>
                <w:color w:val="auto"/>
                <w:spacing w:val="11"/>
                <w:sz w:val="21"/>
                <w:szCs w:val="21"/>
                <w:highlight w:val="none"/>
                <w:lang w:eastAsia="zh-CN"/>
              </w:rPr>
              <w:t>《尾矿库安全规</w:t>
            </w:r>
            <w:r>
              <w:rPr>
                <w:rFonts w:ascii="宋体" w:hAnsi="宋体" w:eastAsia="宋体" w:cs="宋体"/>
                <w:color w:val="auto"/>
                <w:spacing w:val="-1"/>
                <w:sz w:val="21"/>
                <w:szCs w:val="21"/>
                <w:highlight w:val="none"/>
                <w:lang w:eastAsia="zh-CN"/>
              </w:rPr>
              <w:t>程》第</w:t>
            </w:r>
            <w:r>
              <w:rPr>
                <w:color w:val="auto"/>
                <w:spacing w:val="-1"/>
                <w:sz w:val="21"/>
                <w:szCs w:val="21"/>
                <w:highlight w:val="none"/>
                <w:lang w:eastAsia="zh-CN"/>
              </w:rPr>
              <w:t>6.1.10</w:t>
            </w:r>
            <w:r>
              <w:rPr>
                <w:rFonts w:ascii="宋体" w:hAnsi="宋体" w:eastAsia="宋体" w:cs="宋体"/>
                <w:color w:val="auto"/>
                <w:spacing w:val="-1"/>
                <w:sz w:val="21"/>
                <w:szCs w:val="21"/>
                <w:highlight w:val="none"/>
                <w:lang w:eastAsia="zh-CN"/>
              </w:rPr>
              <w:t>条</w:t>
            </w:r>
          </w:p>
        </w:tc>
        <w:tc>
          <w:tcPr>
            <w:tcW w:w="2717" w:type="dxa"/>
            <w:vAlign w:val="center"/>
          </w:tcPr>
          <w:p w14:paraId="547557B7">
            <w:pPr>
              <w:jc w:val="both"/>
              <w:rPr>
                <w:rFonts w:hint="eastAsia" w:ascii="宋体" w:hAnsi="宋体" w:eastAsia="宋体" w:cs="宋体"/>
                <w:color w:val="auto"/>
                <w:highlight w:val="none"/>
                <w:lang w:eastAsia="zh-CN"/>
              </w:rPr>
            </w:pPr>
          </w:p>
        </w:tc>
        <w:tc>
          <w:tcPr>
            <w:tcW w:w="836" w:type="dxa"/>
            <w:vAlign w:val="center"/>
          </w:tcPr>
          <w:p w14:paraId="34B2F82C">
            <w:pPr>
              <w:jc w:val="center"/>
              <w:rPr>
                <w:rFonts w:hint="eastAsia" w:ascii="宋体" w:hAnsi="宋体" w:eastAsia="宋体" w:cs="宋体"/>
                <w:color w:val="auto"/>
                <w:highlight w:val="none"/>
              </w:rPr>
            </w:pPr>
            <w:r>
              <w:rPr>
                <w:rFonts w:ascii="宋体" w:hAnsi="宋体" w:eastAsia="宋体" w:cs="宋体"/>
                <w:color w:val="auto"/>
                <w:spacing w:val="3"/>
                <w:highlight w:val="none"/>
              </w:rPr>
              <w:t>符合</w:t>
            </w:r>
          </w:p>
        </w:tc>
      </w:tr>
      <w:tr w14:paraId="18D1FCAE">
        <w:trPr>
          <w:trHeight w:val="571" w:hRule="atLeast"/>
          <w:jc w:val="center"/>
        </w:trPr>
        <w:tc>
          <w:tcPr>
            <w:tcW w:w="606" w:type="dxa"/>
            <w:vAlign w:val="center"/>
          </w:tcPr>
          <w:p w14:paraId="5EB328E8">
            <w:pPr>
              <w:numPr>
                <w:ilvl w:val="0"/>
                <w:numId w:val="9"/>
              </w:numPr>
              <w:tabs>
                <w:tab w:val="clear" w:pos="0"/>
              </w:tabs>
              <w:spacing w:line="240" w:lineRule="exact"/>
              <w:jc w:val="center"/>
              <w:rPr>
                <w:rFonts w:eastAsia="仿宋"/>
                <w:color w:val="auto"/>
                <w:highlight w:val="none"/>
              </w:rPr>
            </w:pPr>
          </w:p>
        </w:tc>
        <w:tc>
          <w:tcPr>
            <w:tcW w:w="3008" w:type="dxa"/>
            <w:vAlign w:val="center"/>
          </w:tcPr>
          <w:p w14:paraId="1A35400C">
            <w:pPr>
              <w:jc w:val="both"/>
              <w:rPr>
                <w:rFonts w:hint="eastAsia" w:ascii="宋体" w:hAnsi="宋体" w:eastAsia="宋体" w:cs="宋体"/>
                <w:color w:val="auto"/>
                <w:highlight w:val="none"/>
                <w:lang w:eastAsia="zh-CN"/>
              </w:rPr>
            </w:pPr>
            <w:r>
              <w:rPr>
                <w:rFonts w:ascii="宋体" w:hAnsi="宋体" w:eastAsia="宋体" w:cs="宋体"/>
                <w:color w:val="auto"/>
                <w:spacing w:val="12"/>
                <w:highlight w:val="none"/>
                <w:lang w:eastAsia="zh-CN"/>
              </w:rPr>
              <w:t>尾矿坝上和尾矿库区不得建设与尾</w:t>
            </w:r>
            <w:r>
              <w:rPr>
                <w:rFonts w:ascii="宋体" w:hAnsi="宋体" w:eastAsia="宋体" w:cs="宋体"/>
                <w:color w:val="auto"/>
                <w:spacing w:val="8"/>
                <w:highlight w:val="none"/>
                <w:lang w:eastAsia="zh-CN"/>
              </w:rPr>
              <w:t>矿库运行无关的建、构筑物。</w:t>
            </w:r>
          </w:p>
        </w:tc>
        <w:tc>
          <w:tcPr>
            <w:tcW w:w="1836" w:type="dxa"/>
            <w:vAlign w:val="center"/>
          </w:tcPr>
          <w:p w14:paraId="07E6D831">
            <w:pPr>
              <w:pStyle w:val="25"/>
              <w:ind w:firstLine="6"/>
              <w:jc w:val="both"/>
              <w:rPr>
                <w:rFonts w:hint="eastAsia" w:ascii="宋体" w:hAnsi="宋体" w:eastAsia="宋体" w:cs="宋体"/>
                <w:color w:val="auto"/>
                <w:sz w:val="21"/>
                <w:szCs w:val="21"/>
                <w:highlight w:val="none"/>
                <w:lang w:eastAsia="zh-CN"/>
              </w:rPr>
            </w:pPr>
            <w:r>
              <w:rPr>
                <w:rFonts w:ascii="宋体" w:hAnsi="宋体" w:eastAsia="宋体" w:cs="宋体"/>
                <w:color w:val="auto"/>
                <w:spacing w:val="11"/>
                <w:sz w:val="21"/>
                <w:szCs w:val="21"/>
                <w:highlight w:val="none"/>
                <w:lang w:eastAsia="zh-CN"/>
              </w:rPr>
              <w:t>《尾矿库安全规</w:t>
            </w:r>
            <w:r>
              <w:rPr>
                <w:rFonts w:ascii="宋体" w:hAnsi="宋体" w:eastAsia="宋体" w:cs="宋体"/>
                <w:color w:val="auto"/>
                <w:spacing w:val="1"/>
                <w:sz w:val="21"/>
                <w:szCs w:val="21"/>
                <w:highlight w:val="none"/>
                <w:lang w:eastAsia="zh-CN"/>
              </w:rPr>
              <w:t>程》第</w:t>
            </w:r>
            <w:r>
              <w:rPr>
                <w:color w:val="auto"/>
                <w:spacing w:val="1"/>
                <w:sz w:val="21"/>
                <w:szCs w:val="21"/>
                <w:highlight w:val="none"/>
                <w:lang w:eastAsia="zh-CN"/>
              </w:rPr>
              <w:t>6.8.1</w:t>
            </w:r>
            <w:r>
              <w:rPr>
                <w:rFonts w:ascii="宋体" w:hAnsi="宋体" w:eastAsia="宋体" w:cs="宋体"/>
                <w:color w:val="auto"/>
                <w:spacing w:val="1"/>
                <w:sz w:val="21"/>
                <w:szCs w:val="21"/>
                <w:highlight w:val="none"/>
                <w:lang w:eastAsia="zh-CN"/>
              </w:rPr>
              <w:t>条</w:t>
            </w:r>
          </w:p>
        </w:tc>
        <w:tc>
          <w:tcPr>
            <w:tcW w:w="2717" w:type="dxa"/>
            <w:vAlign w:val="center"/>
          </w:tcPr>
          <w:p w14:paraId="3E007C62">
            <w:pPr>
              <w:jc w:val="both"/>
              <w:rPr>
                <w:rFonts w:hint="eastAsia" w:ascii="宋体" w:hAnsi="宋体" w:eastAsia="宋体" w:cs="宋体"/>
                <w:color w:val="auto"/>
                <w:highlight w:val="none"/>
                <w:lang w:eastAsia="zh-CN"/>
              </w:rPr>
            </w:pPr>
          </w:p>
        </w:tc>
        <w:tc>
          <w:tcPr>
            <w:tcW w:w="836" w:type="dxa"/>
            <w:vAlign w:val="center"/>
          </w:tcPr>
          <w:p w14:paraId="33B0985D">
            <w:pPr>
              <w:jc w:val="center"/>
              <w:rPr>
                <w:rFonts w:hint="eastAsia" w:ascii="宋体" w:hAnsi="宋体" w:eastAsia="宋体" w:cs="宋体"/>
                <w:color w:val="auto"/>
                <w:highlight w:val="none"/>
              </w:rPr>
            </w:pPr>
            <w:r>
              <w:rPr>
                <w:rFonts w:ascii="宋体" w:hAnsi="宋体" w:eastAsia="宋体" w:cs="宋体"/>
                <w:color w:val="auto"/>
                <w:spacing w:val="3"/>
                <w:highlight w:val="none"/>
              </w:rPr>
              <w:t>符合</w:t>
            </w:r>
          </w:p>
        </w:tc>
      </w:tr>
      <w:tr w14:paraId="566DA6AD">
        <w:trPr>
          <w:trHeight w:val="822" w:hRule="atLeast"/>
          <w:jc w:val="center"/>
        </w:trPr>
        <w:tc>
          <w:tcPr>
            <w:tcW w:w="606" w:type="dxa"/>
            <w:vAlign w:val="center"/>
          </w:tcPr>
          <w:p w14:paraId="4AD77155">
            <w:pPr>
              <w:numPr>
                <w:ilvl w:val="0"/>
                <w:numId w:val="9"/>
              </w:numPr>
              <w:tabs>
                <w:tab w:val="clear" w:pos="0"/>
              </w:tabs>
              <w:spacing w:line="240" w:lineRule="exact"/>
              <w:jc w:val="center"/>
              <w:rPr>
                <w:rFonts w:eastAsia="仿宋"/>
                <w:color w:val="auto"/>
                <w:highlight w:val="none"/>
              </w:rPr>
            </w:pPr>
          </w:p>
        </w:tc>
        <w:tc>
          <w:tcPr>
            <w:tcW w:w="3008" w:type="dxa"/>
            <w:vAlign w:val="center"/>
          </w:tcPr>
          <w:p w14:paraId="4623A6B7">
            <w:pPr>
              <w:jc w:val="both"/>
              <w:rPr>
                <w:rFonts w:hint="eastAsia" w:ascii="宋体" w:hAnsi="宋体" w:eastAsia="宋体" w:cs="宋体"/>
                <w:color w:val="auto"/>
                <w:highlight w:val="none"/>
                <w:lang w:eastAsia="zh-CN"/>
              </w:rPr>
            </w:pPr>
            <w:r>
              <w:rPr>
                <w:rFonts w:ascii="宋体" w:hAnsi="宋体" w:eastAsia="宋体" w:cs="宋体"/>
                <w:color w:val="auto"/>
                <w:spacing w:val="12"/>
                <w:highlight w:val="none"/>
                <w:lang w:eastAsia="zh-CN"/>
              </w:rPr>
              <w:t>尾矿坝上和对尾矿库产生安全影响的区域不得进行乱采、滥挖和非法</w:t>
            </w:r>
            <w:r>
              <w:rPr>
                <w:rFonts w:ascii="宋体" w:hAnsi="宋体" w:eastAsia="宋体" w:cs="宋体"/>
                <w:color w:val="auto"/>
                <w:spacing w:val="7"/>
                <w:highlight w:val="none"/>
                <w:lang w:eastAsia="zh-CN"/>
              </w:rPr>
              <w:t>爆破等违规作业。</w:t>
            </w:r>
          </w:p>
        </w:tc>
        <w:tc>
          <w:tcPr>
            <w:tcW w:w="1836" w:type="dxa"/>
            <w:vAlign w:val="center"/>
          </w:tcPr>
          <w:p w14:paraId="60BF9657">
            <w:pPr>
              <w:pStyle w:val="25"/>
              <w:ind w:firstLine="6"/>
              <w:jc w:val="both"/>
              <w:rPr>
                <w:rFonts w:hint="eastAsia" w:ascii="宋体" w:hAnsi="宋体" w:eastAsia="宋体" w:cs="宋体"/>
                <w:color w:val="auto"/>
                <w:sz w:val="21"/>
                <w:szCs w:val="21"/>
                <w:highlight w:val="none"/>
                <w:lang w:eastAsia="zh-CN"/>
              </w:rPr>
            </w:pPr>
            <w:r>
              <w:rPr>
                <w:rFonts w:ascii="宋体" w:hAnsi="宋体" w:eastAsia="宋体" w:cs="宋体"/>
                <w:color w:val="auto"/>
                <w:spacing w:val="11"/>
                <w:sz w:val="21"/>
                <w:szCs w:val="21"/>
                <w:highlight w:val="none"/>
                <w:lang w:eastAsia="zh-CN"/>
              </w:rPr>
              <w:t>《尾矿库安全规</w:t>
            </w:r>
            <w:r>
              <w:rPr>
                <w:rFonts w:ascii="宋体" w:hAnsi="宋体" w:eastAsia="宋体" w:cs="宋体"/>
                <w:color w:val="auto"/>
                <w:spacing w:val="3"/>
                <w:sz w:val="21"/>
                <w:szCs w:val="21"/>
                <w:highlight w:val="none"/>
                <w:lang w:eastAsia="zh-CN"/>
              </w:rPr>
              <w:t>程》第</w:t>
            </w:r>
            <w:r>
              <w:rPr>
                <w:color w:val="auto"/>
                <w:spacing w:val="3"/>
                <w:sz w:val="21"/>
                <w:szCs w:val="21"/>
                <w:highlight w:val="none"/>
                <w:lang w:eastAsia="zh-CN"/>
              </w:rPr>
              <w:t>6.8.2</w:t>
            </w:r>
            <w:r>
              <w:rPr>
                <w:rFonts w:ascii="宋体" w:hAnsi="宋体" w:eastAsia="宋体" w:cs="宋体"/>
                <w:color w:val="auto"/>
                <w:spacing w:val="3"/>
                <w:sz w:val="21"/>
                <w:szCs w:val="21"/>
                <w:highlight w:val="none"/>
                <w:lang w:eastAsia="zh-CN"/>
              </w:rPr>
              <w:t>条</w:t>
            </w:r>
          </w:p>
        </w:tc>
        <w:tc>
          <w:tcPr>
            <w:tcW w:w="2717" w:type="dxa"/>
            <w:vAlign w:val="center"/>
          </w:tcPr>
          <w:p w14:paraId="30F77BF8">
            <w:pPr>
              <w:jc w:val="both"/>
              <w:rPr>
                <w:rFonts w:hint="eastAsia" w:ascii="宋体" w:hAnsi="宋体" w:eastAsia="宋体" w:cs="宋体"/>
                <w:color w:val="auto"/>
                <w:highlight w:val="none"/>
                <w:lang w:eastAsia="zh-CN"/>
              </w:rPr>
            </w:pPr>
          </w:p>
        </w:tc>
        <w:tc>
          <w:tcPr>
            <w:tcW w:w="836" w:type="dxa"/>
            <w:vAlign w:val="center"/>
          </w:tcPr>
          <w:p w14:paraId="215BB64F">
            <w:pPr>
              <w:jc w:val="center"/>
              <w:rPr>
                <w:rFonts w:hint="eastAsia" w:ascii="宋体" w:hAnsi="宋体" w:eastAsia="宋体" w:cs="宋体"/>
                <w:color w:val="auto"/>
                <w:highlight w:val="none"/>
              </w:rPr>
            </w:pPr>
            <w:r>
              <w:rPr>
                <w:rFonts w:ascii="宋体" w:hAnsi="宋体" w:eastAsia="宋体" w:cs="宋体"/>
                <w:color w:val="auto"/>
                <w:spacing w:val="3"/>
                <w:highlight w:val="none"/>
              </w:rPr>
              <w:t>符合</w:t>
            </w:r>
          </w:p>
        </w:tc>
      </w:tr>
      <w:tr w14:paraId="52EF018D">
        <w:trPr>
          <w:trHeight w:val="683" w:hRule="atLeast"/>
          <w:jc w:val="center"/>
        </w:trPr>
        <w:tc>
          <w:tcPr>
            <w:tcW w:w="606" w:type="dxa"/>
            <w:vAlign w:val="center"/>
          </w:tcPr>
          <w:p w14:paraId="47A01A9B">
            <w:pPr>
              <w:numPr>
                <w:ilvl w:val="0"/>
                <w:numId w:val="9"/>
              </w:numPr>
              <w:tabs>
                <w:tab w:val="clear" w:pos="0"/>
              </w:tabs>
              <w:spacing w:line="240" w:lineRule="exact"/>
              <w:jc w:val="center"/>
              <w:rPr>
                <w:rFonts w:eastAsia="仿宋"/>
                <w:color w:val="auto"/>
                <w:highlight w:val="none"/>
              </w:rPr>
            </w:pPr>
          </w:p>
        </w:tc>
        <w:tc>
          <w:tcPr>
            <w:tcW w:w="3008" w:type="dxa"/>
            <w:vAlign w:val="center"/>
          </w:tcPr>
          <w:p w14:paraId="64298B64">
            <w:pPr>
              <w:jc w:val="both"/>
              <w:rPr>
                <w:rFonts w:hint="eastAsia" w:ascii="宋体" w:hAnsi="宋体" w:eastAsia="宋体" w:cs="宋体"/>
                <w:color w:val="auto"/>
                <w:highlight w:val="none"/>
                <w:lang w:eastAsia="zh-CN"/>
              </w:rPr>
            </w:pPr>
            <w:r>
              <w:rPr>
                <w:rFonts w:ascii="宋体" w:hAnsi="宋体" w:eastAsia="宋体" w:cs="宋体"/>
                <w:color w:val="auto"/>
                <w:spacing w:val="12"/>
                <w:highlight w:val="none"/>
                <w:lang w:eastAsia="zh-CN"/>
              </w:rPr>
              <w:t>周边山体不得存在山体滑坡、塌方</w:t>
            </w:r>
            <w:r>
              <w:rPr>
                <w:rFonts w:ascii="宋体" w:hAnsi="宋体" w:eastAsia="宋体" w:cs="宋体"/>
                <w:color w:val="auto"/>
                <w:spacing w:val="7"/>
                <w:highlight w:val="none"/>
                <w:lang w:eastAsia="zh-CN"/>
              </w:rPr>
              <w:t>和泥石流等情况。</w:t>
            </w:r>
          </w:p>
        </w:tc>
        <w:tc>
          <w:tcPr>
            <w:tcW w:w="1836" w:type="dxa"/>
            <w:vAlign w:val="center"/>
          </w:tcPr>
          <w:p w14:paraId="28D5686D">
            <w:pPr>
              <w:pStyle w:val="25"/>
              <w:ind w:firstLine="6"/>
              <w:jc w:val="both"/>
              <w:rPr>
                <w:rFonts w:hint="eastAsia" w:ascii="宋体" w:hAnsi="宋体" w:eastAsia="宋体" w:cs="宋体"/>
                <w:color w:val="auto"/>
                <w:sz w:val="21"/>
                <w:szCs w:val="21"/>
                <w:highlight w:val="none"/>
                <w:lang w:eastAsia="zh-CN"/>
              </w:rPr>
            </w:pPr>
            <w:r>
              <w:rPr>
                <w:rFonts w:ascii="宋体" w:hAnsi="宋体" w:eastAsia="宋体" w:cs="宋体"/>
                <w:color w:val="auto"/>
                <w:spacing w:val="11"/>
                <w:sz w:val="21"/>
                <w:szCs w:val="21"/>
                <w:highlight w:val="none"/>
                <w:lang w:eastAsia="zh-CN"/>
              </w:rPr>
              <w:t>《尾矿库安全规</w:t>
            </w:r>
            <w:r>
              <w:rPr>
                <w:rFonts w:ascii="宋体" w:hAnsi="宋体" w:eastAsia="宋体" w:cs="宋体"/>
                <w:color w:val="auto"/>
                <w:spacing w:val="3"/>
                <w:sz w:val="21"/>
                <w:szCs w:val="21"/>
                <w:highlight w:val="none"/>
                <w:lang w:eastAsia="zh-CN"/>
              </w:rPr>
              <w:t>程》第</w:t>
            </w:r>
            <w:r>
              <w:rPr>
                <w:color w:val="auto"/>
                <w:spacing w:val="3"/>
                <w:sz w:val="21"/>
                <w:szCs w:val="21"/>
                <w:highlight w:val="none"/>
                <w:lang w:eastAsia="zh-CN"/>
              </w:rPr>
              <w:t>9.5.2</w:t>
            </w:r>
            <w:r>
              <w:rPr>
                <w:rFonts w:ascii="宋体" w:hAnsi="宋体" w:eastAsia="宋体" w:cs="宋体"/>
                <w:color w:val="auto"/>
                <w:spacing w:val="3"/>
                <w:sz w:val="21"/>
                <w:szCs w:val="21"/>
                <w:highlight w:val="none"/>
                <w:lang w:eastAsia="zh-CN"/>
              </w:rPr>
              <w:t>条</w:t>
            </w:r>
          </w:p>
        </w:tc>
        <w:tc>
          <w:tcPr>
            <w:tcW w:w="2717" w:type="dxa"/>
            <w:vAlign w:val="center"/>
          </w:tcPr>
          <w:p w14:paraId="1E13E30F">
            <w:pPr>
              <w:ind w:hanging="22"/>
              <w:jc w:val="both"/>
              <w:rPr>
                <w:rFonts w:hint="eastAsia" w:ascii="宋体" w:hAnsi="宋体" w:eastAsia="宋体" w:cs="宋体"/>
                <w:color w:val="auto"/>
                <w:highlight w:val="none"/>
                <w:lang w:eastAsia="zh-CN"/>
              </w:rPr>
            </w:pPr>
          </w:p>
        </w:tc>
        <w:tc>
          <w:tcPr>
            <w:tcW w:w="836" w:type="dxa"/>
            <w:vAlign w:val="center"/>
          </w:tcPr>
          <w:p w14:paraId="7BFA7888">
            <w:pPr>
              <w:jc w:val="center"/>
              <w:rPr>
                <w:rFonts w:hint="eastAsia" w:ascii="宋体" w:hAnsi="宋体" w:eastAsia="宋体" w:cs="宋体"/>
                <w:color w:val="auto"/>
                <w:highlight w:val="none"/>
              </w:rPr>
            </w:pPr>
            <w:r>
              <w:rPr>
                <w:rFonts w:ascii="宋体" w:hAnsi="宋体" w:eastAsia="宋体" w:cs="宋体"/>
                <w:color w:val="auto"/>
                <w:spacing w:val="3"/>
                <w:highlight w:val="none"/>
              </w:rPr>
              <w:t>符合</w:t>
            </w:r>
          </w:p>
        </w:tc>
      </w:tr>
      <w:tr w14:paraId="2D07BB80">
        <w:trPr>
          <w:trHeight w:val="1365" w:hRule="atLeast"/>
          <w:jc w:val="center"/>
        </w:trPr>
        <w:tc>
          <w:tcPr>
            <w:tcW w:w="606" w:type="dxa"/>
            <w:vAlign w:val="center"/>
          </w:tcPr>
          <w:p w14:paraId="361B59B6">
            <w:pPr>
              <w:numPr>
                <w:ilvl w:val="0"/>
                <w:numId w:val="9"/>
              </w:numPr>
              <w:tabs>
                <w:tab w:val="clear" w:pos="0"/>
              </w:tabs>
              <w:spacing w:line="240" w:lineRule="exact"/>
              <w:jc w:val="center"/>
              <w:rPr>
                <w:rFonts w:eastAsia="仿宋"/>
                <w:color w:val="auto"/>
                <w:highlight w:val="none"/>
              </w:rPr>
            </w:pPr>
          </w:p>
        </w:tc>
        <w:tc>
          <w:tcPr>
            <w:tcW w:w="3008" w:type="dxa"/>
            <w:vAlign w:val="center"/>
          </w:tcPr>
          <w:p w14:paraId="524D6CA3">
            <w:pPr>
              <w:jc w:val="both"/>
              <w:rPr>
                <w:rFonts w:hint="eastAsia" w:ascii="宋体" w:hAnsi="宋体" w:eastAsia="宋体" w:cs="宋体"/>
                <w:color w:val="auto"/>
                <w:highlight w:val="none"/>
                <w:lang w:eastAsia="zh-CN"/>
              </w:rPr>
            </w:pPr>
            <w:r>
              <w:rPr>
                <w:rFonts w:ascii="宋体" w:hAnsi="宋体" w:eastAsia="宋体" w:cs="宋体"/>
                <w:color w:val="auto"/>
                <w:spacing w:val="12"/>
                <w:highlight w:val="none"/>
                <w:lang w:eastAsia="zh-CN"/>
              </w:rPr>
              <w:t>库区范围内不得进行危及尾矿库安全的行为，主要包括违章爆破、采石和建筑，尾矿回采、取水，外来尾矿、废水和废弃物排入，放牧和</w:t>
            </w:r>
            <w:r>
              <w:rPr>
                <w:rFonts w:ascii="宋体" w:hAnsi="宋体" w:eastAsia="宋体" w:cs="宋体"/>
                <w:color w:val="auto"/>
                <w:spacing w:val="5"/>
                <w:highlight w:val="none"/>
                <w:lang w:eastAsia="zh-CN"/>
              </w:rPr>
              <w:t>开垦等。</w:t>
            </w:r>
          </w:p>
        </w:tc>
        <w:tc>
          <w:tcPr>
            <w:tcW w:w="1836" w:type="dxa"/>
            <w:vAlign w:val="center"/>
          </w:tcPr>
          <w:p w14:paraId="7F4D9B07">
            <w:pPr>
              <w:pStyle w:val="25"/>
              <w:jc w:val="both"/>
              <w:rPr>
                <w:rFonts w:hint="eastAsia" w:ascii="宋体" w:hAnsi="宋体" w:eastAsia="宋体" w:cs="宋体"/>
                <w:color w:val="auto"/>
                <w:sz w:val="21"/>
                <w:szCs w:val="21"/>
                <w:highlight w:val="none"/>
                <w:lang w:eastAsia="zh-CN"/>
              </w:rPr>
            </w:pPr>
            <w:r>
              <w:rPr>
                <w:rFonts w:ascii="宋体" w:hAnsi="宋体" w:eastAsia="宋体" w:cs="宋体"/>
                <w:color w:val="auto"/>
                <w:spacing w:val="11"/>
                <w:sz w:val="21"/>
                <w:szCs w:val="21"/>
                <w:highlight w:val="none"/>
                <w:lang w:eastAsia="zh-CN"/>
              </w:rPr>
              <w:t>《尾矿库安全规</w:t>
            </w:r>
            <w:r>
              <w:rPr>
                <w:rFonts w:ascii="宋体" w:hAnsi="宋体" w:eastAsia="宋体" w:cs="宋体"/>
                <w:color w:val="auto"/>
                <w:spacing w:val="3"/>
                <w:sz w:val="21"/>
                <w:szCs w:val="21"/>
                <w:highlight w:val="none"/>
                <w:lang w:eastAsia="zh-CN"/>
              </w:rPr>
              <w:t>程》第</w:t>
            </w:r>
            <w:r>
              <w:rPr>
                <w:color w:val="auto"/>
                <w:spacing w:val="3"/>
                <w:sz w:val="21"/>
                <w:szCs w:val="21"/>
                <w:highlight w:val="none"/>
                <w:lang w:eastAsia="zh-CN"/>
              </w:rPr>
              <w:t>9.5.3</w:t>
            </w:r>
            <w:r>
              <w:rPr>
                <w:rFonts w:ascii="宋体" w:hAnsi="宋体" w:eastAsia="宋体" w:cs="宋体"/>
                <w:color w:val="auto"/>
                <w:spacing w:val="3"/>
                <w:sz w:val="21"/>
                <w:szCs w:val="21"/>
                <w:highlight w:val="none"/>
                <w:lang w:eastAsia="zh-CN"/>
              </w:rPr>
              <w:t>条</w:t>
            </w:r>
          </w:p>
        </w:tc>
        <w:tc>
          <w:tcPr>
            <w:tcW w:w="2717" w:type="dxa"/>
            <w:vAlign w:val="center"/>
          </w:tcPr>
          <w:p w14:paraId="5F41585F">
            <w:pPr>
              <w:ind w:firstLine="1"/>
              <w:jc w:val="both"/>
              <w:rPr>
                <w:rFonts w:hint="eastAsia" w:ascii="宋体" w:hAnsi="宋体" w:eastAsia="宋体" w:cs="宋体"/>
                <w:color w:val="auto"/>
                <w:highlight w:val="none"/>
                <w:lang w:eastAsia="zh-CN"/>
              </w:rPr>
            </w:pPr>
          </w:p>
        </w:tc>
        <w:tc>
          <w:tcPr>
            <w:tcW w:w="836" w:type="dxa"/>
            <w:vAlign w:val="center"/>
          </w:tcPr>
          <w:p w14:paraId="68E82607">
            <w:pPr>
              <w:jc w:val="center"/>
              <w:rPr>
                <w:rFonts w:hint="eastAsia" w:ascii="宋体" w:hAnsi="宋体" w:eastAsia="宋体" w:cs="宋体"/>
                <w:color w:val="auto"/>
                <w:highlight w:val="none"/>
              </w:rPr>
            </w:pPr>
            <w:r>
              <w:rPr>
                <w:rFonts w:ascii="宋体" w:hAnsi="宋体" w:eastAsia="宋体" w:cs="宋体"/>
                <w:color w:val="auto"/>
                <w:spacing w:val="3"/>
                <w:highlight w:val="none"/>
              </w:rPr>
              <w:t>符合</w:t>
            </w:r>
          </w:p>
        </w:tc>
      </w:tr>
      <w:tr w14:paraId="4FC0947D">
        <w:trPr>
          <w:trHeight w:val="554" w:hRule="atLeast"/>
          <w:jc w:val="center"/>
        </w:trPr>
        <w:tc>
          <w:tcPr>
            <w:tcW w:w="606" w:type="dxa"/>
            <w:vAlign w:val="center"/>
          </w:tcPr>
          <w:p w14:paraId="1CB0F8FD">
            <w:pPr>
              <w:numPr>
                <w:ilvl w:val="0"/>
                <w:numId w:val="9"/>
              </w:numPr>
              <w:tabs>
                <w:tab w:val="clear" w:pos="0"/>
              </w:tabs>
              <w:spacing w:line="240" w:lineRule="exact"/>
              <w:jc w:val="center"/>
              <w:rPr>
                <w:color w:val="auto"/>
                <w:highlight w:val="none"/>
              </w:rPr>
            </w:pPr>
          </w:p>
        </w:tc>
        <w:tc>
          <w:tcPr>
            <w:tcW w:w="3008" w:type="dxa"/>
            <w:vAlign w:val="center"/>
          </w:tcPr>
          <w:p w14:paraId="4C4CD36F">
            <w:pPr>
              <w:ind w:hanging="17"/>
              <w:jc w:val="both"/>
              <w:rPr>
                <w:rFonts w:hint="eastAsia" w:ascii="宋体" w:hAnsi="宋体" w:eastAsia="宋体" w:cs="宋体"/>
                <w:color w:val="auto"/>
                <w:highlight w:val="none"/>
                <w:lang w:eastAsia="zh-CN"/>
              </w:rPr>
            </w:pPr>
            <w:r>
              <w:rPr>
                <w:rFonts w:ascii="宋体" w:hAnsi="宋体" w:eastAsia="宋体" w:cs="宋体"/>
                <w:color w:val="auto"/>
                <w:spacing w:val="9"/>
                <w:highlight w:val="none"/>
                <w:lang w:eastAsia="zh-CN"/>
              </w:rPr>
              <w:t>生产经营单位应在尾矿库库区设置</w:t>
            </w:r>
            <w:r>
              <w:rPr>
                <w:rFonts w:ascii="宋体" w:hAnsi="宋体" w:eastAsia="宋体" w:cs="宋体"/>
                <w:color w:val="auto"/>
                <w:spacing w:val="6"/>
                <w:highlight w:val="none"/>
                <w:lang w:eastAsia="zh-CN"/>
              </w:rPr>
              <w:t>明显的安全警示标识。</w:t>
            </w:r>
          </w:p>
        </w:tc>
        <w:tc>
          <w:tcPr>
            <w:tcW w:w="1836" w:type="dxa"/>
            <w:vAlign w:val="center"/>
          </w:tcPr>
          <w:p w14:paraId="3A5814C7">
            <w:pPr>
              <w:pStyle w:val="25"/>
              <w:ind w:firstLine="6"/>
              <w:jc w:val="both"/>
              <w:rPr>
                <w:rFonts w:hint="eastAsia" w:ascii="宋体" w:hAnsi="宋体" w:eastAsia="宋体" w:cs="宋体"/>
                <w:color w:val="auto"/>
                <w:sz w:val="21"/>
                <w:szCs w:val="21"/>
                <w:highlight w:val="none"/>
                <w:lang w:eastAsia="zh-CN"/>
              </w:rPr>
            </w:pPr>
            <w:r>
              <w:rPr>
                <w:rFonts w:ascii="宋体" w:hAnsi="宋体" w:eastAsia="宋体" w:cs="宋体"/>
                <w:color w:val="auto"/>
                <w:spacing w:val="7"/>
                <w:sz w:val="21"/>
                <w:szCs w:val="21"/>
                <w:highlight w:val="none"/>
                <w:lang w:eastAsia="zh-CN"/>
              </w:rPr>
              <w:t>《尾矿库安全规</w:t>
            </w:r>
            <w:r>
              <w:rPr>
                <w:rFonts w:ascii="宋体" w:hAnsi="宋体" w:eastAsia="宋体" w:cs="宋体"/>
                <w:color w:val="auto"/>
                <w:spacing w:val="1"/>
                <w:sz w:val="21"/>
                <w:szCs w:val="21"/>
                <w:highlight w:val="none"/>
                <w:lang w:eastAsia="zh-CN"/>
              </w:rPr>
              <w:t>程》第</w:t>
            </w:r>
            <w:r>
              <w:rPr>
                <w:color w:val="auto"/>
                <w:spacing w:val="1"/>
                <w:sz w:val="21"/>
                <w:szCs w:val="21"/>
                <w:highlight w:val="none"/>
                <w:lang w:eastAsia="zh-CN"/>
              </w:rPr>
              <w:t>6.1.7</w:t>
            </w:r>
            <w:r>
              <w:rPr>
                <w:rFonts w:ascii="宋体" w:hAnsi="宋体" w:eastAsia="宋体" w:cs="宋体"/>
                <w:color w:val="auto"/>
                <w:spacing w:val="1"/>
                <w:sz w:val="21"/>
                <w:szCs w:val="21"/>
                <w:highlight w:val="none"/>
                <w:lang w:eastAsia="zh-CN"/>
              </w:rPr>
              <w:t>条</w:t>
            </w:r>
          </w:p>
        </w:tc>
        <w:tc>
          <w:tcPr>
            <w:tcW w:w="2717" w:type="dxa"/>
            <w:vAlign w:val="center"/>
          </w:tcPr>
          <w:p w14:paraId="6021ECC2">
            <w:pPr>
              <w:jc w:val="both"/>
              <w:rPr>
                <w:rFonts w:hint="eastAsia" w:ascii="宋体" w:hAnsi="宋体" w:eastAsia="宋体" w:cs="宋体"/>
                <w:color w:val="auto"/>
                <w:highlight w:val="none"/>
                <w:lang w:eastAsia="zh-CN"/>
              </w:rPr>
            </w:pPr>
          </w:p>
        </w:tc>
        <w:tc>
          <w:tcPr>
            <w:tcW w:w="836" w:type="dxa"/>
            <w:vAlign w:val="center"/>
          </w:tcPr>
          <w:p w14:paraId="1084BFD9">
            <w:pPr>
              <w:jc w:val="center"/>
              <w:rPr>
                <w:rFonts w:hint="eastAsia" w:ascii="宋体" w:hAnsi="宋体" w:eastAsia="宋体" w:cs="宋体"/>
                <w:color w:val="auto"/>
                <w:highlight w:val="none"/>
              </w:rPr>
            </w:pPr>
            <w:r>
              <w:rPr>
                <w:rFonts w:ascii="宋体" w:hAnsi="宋体" w:eastAsia="宋体" w:cs="宋体"/>
                <w:color w:val="auto"/>
                <w:spacing w:val="3"/>
                <w:highlight w:val="none"/>
              </w:rPr>
              <w:t>符合</w:t>
            </w:r>
          </w:p>
        </w:tc>
      </w:tr>
    </w:tbl>
    <w:p w14:paraId="2A0D6324">
      <w:pPr>
        <w:rPr>
          <w:color w:val="auto"/>
          <w:highlight w:val="none"/>
          <w:lang w:eastAsia="zh-CN"/>
        </w:rPr>
      </w:pPr>
      <w:bookmarkStart w:id="163" w:name="_Toc11493"/>
      <w:bookmarkStart w:id="164" w:name="_Toc25230"/>
      <w:bookmarkStart w:id="165" w:name="_Toc8946"/>
    </w:p>
    <w:p w14:paraId="5EA12CD9">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r>
        <w:rPr>
          <w:rFonts w:ascii="Times New Roman" w:hAnsi="Times New Roman" w:eastAsia="Times New Roman" w:cs="Times New Roman"/>
          <w:bCs/>
          <w:color w:val="auto"/>
          <w:spacing w:val="-3"/>
          <w:sz w:val="28"/>
          <w:szCs w:val="28"/>
          <w:highlight w:val="none"/>
          <w:lang w:eastAsia="zh-CN"/>
        </w:rPr>
        <w:t xml:space="preserve">5.1.2 </w:t>
      </w:r>
      <w:r>
        <w:rPr>
          <w:rFonts w:ascii="宋体" w:hAnsi="宋体" w:eastAsia="宋体" w:cs="宋体"/>
          <w:bCs/>
          <w:color w:val="auto"/>
          <w:spacing w:val="-3"/>
          <w:sz w:val="28"/>
          <w:szCs w:val="28"/>
          <w:highlight w:val="none"/>
          <w:lang w:eastAsia="zh-CN"/>
        </w:rPr>
        <w:t>尾矿库与周边环境相互影响评价</w:t>
      </w:r>
      <w:bookmarkEnd w:id="163"/>
      <w:bookmarkEnd w:id="164"/>
      <w:bookmarkEnd w:id="165"/>
    </w:p>
    <w:p w14:paraId="06A319B6">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通过现场勘查，库区及其周围大部分为山地，植被良好。库区下游无国家、省、市重点保护的名胜、自然保护区与军事设施，无民用、公用设施，无通讯、供电线路，无国家级公路、铁路和桥梁等设施，周边无其他工矿企业、水源地和地表水体。尾矿库周边无居民居住，尾矿库下游没有名胜古迹、国家自然保护区、军事设施，没有学校、医院、铁路、桥梁、国家级公路等重要公共建构筑物。</w:t>
      </w:r>
    </w:p>
    <w:p w14:paraId="4196E1B1">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该选矿厂、办公室位于尾矿库南侧，距坝址最近直线距离为150m，尾矿库对选矿厂、周边设施无影响。尾矿库南侧约390m为该企业的地下矿山，该尾矿库下方不存在采空区及井巷工程。</w:t>
      </w:r>
    </w:p>
    <w:p w14:paraId="404C9C1F">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尾矿库周边环境不存在影响尾矿库安全的违章爆破、采石、建筑、违章尾矿回采、开垦、放牧、违章排入外来尾矿、废石、废水和其他废弃物等情况。</w:t>
      </w:r>
    </w:p>
    <w:p w14:paraId="684279B0">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综上所述，葫芦岛岳强矿业有限责任公司干堆尾矿库下游溃坝直接冲击1km范围内无重要设施，尾矿库的运行对周边区域无影响。</w:t>
      </w:r>
    </w:p>
    <w:p w14:paraId="5943549D">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66" w:name="_Toc14268"/>
      <w:r>
        <w:rPr>
          <w:rFonts w:ascii="Times New Roman" w:hAnsi="Times New Roman" w:eastAsia="Times New Roman" w:cs="Times New Roman"/>
          <w:bCs/>
          <w:color w:val="auto"/>
          <w:spacing w:val="-3"/>
          <w:sz w:val="28"/>
          <w:szCs w:val="28"/>
          <w:highlight w:val="none"/>
          <w:lang w:eastAsia="zh-CN"/>
        </w:rPr>
        <w:t xml:space="preserve">5.1.3 </w:t>
      </w:r>
      <w:r>
        <w:rPr>
          <w:rFonts w:ascii="宋体" w:hAnsi="宋体" w:eastAsia="宋体" w:cs="宋体"/>
          <w:bCs/>
          <w:color w:val="auto"/>
          <w:spacing w:val="-3"/>
          <w:sz w:val="28"/>
          <w:szCs w:val="28"/>
          <w:highlight w:val="none"/>
          <w:lang w:eastAsia="zh-CN"/>
        </w:rPr>
        <w:t>评价单元小结</w:t>
      </w:r>
      <w:bookmarkEnd w:id="166"/>
    </w:p>
    <w:p w14:paraId="0711F8A9">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宋体" w:hAnsi="宋体" w:eastAsia="宋体" w:cs="宋体"/>
          <w:color w:val="auto"/>
          <w:spacing w:val="7"/>
          <w:sz w:val="28"/>
          <w:szCs w:val="28"/>
          <w:highlight w:val="none"/>
          <w:lang w:eastAsia="zh-CN"/>
        </w:rPr>
      </w:pPr>
      <w:r>
        <w:rPr>
          <w:rFonts w:ascii="宋体" w:hAnsi="宋体" w:eastAsia="宋体" w:cs="宋体"/>
          <w:color w:val="auto"/>
          <w:spacing w:val="7"/>
          <w:sz w:val="28"/>
          <w:szCs w:val="28"/>
          <w:highlight w:val="none"/>
          <w:lang w:eastAsia="zh-CN"/>
        </w:rPr>
        <w:t>评价组通过查阅相关报告及现场踏勘对</w:t>
      </w:r>
      <w:r>
        <w:rPr>
          <w:rFonts w:hint="eastAsia" w:ascii="宋体" w:hAnsi="宋体" w:eastAsia="宋体" w:cs="宋体"/>
          <w:color w:val="auto"/>
          <w:spacing w:val="7"/>
          <w:sz w:val="28"/>
          <w:szCs w:val="28"/>
          <w:highlight w:val="none"/>
          <w:lang w:eastAsia="zh-CN"/>
        </w:rPr>
        <w:t>该</w:t>
      </w:r>
      <w:r>
        <w:rPr>
          <w:rFonts w:ascii="宋体" w:hAnsi="宋体" w:eastAsia="宋体" w:cs="宋体"/>
          <w:color w:val="auto"/>
          <w:spacing w:val="7"/>
          <w:sz w:val="28"/>
          <w:szCs w:val="28"/>
          <w:highlight w:val="none"/>
          <w:lang w:eastAsia="zh-CN"/>
        </w:rPr>
        <w:t>尾矿库周边环境单元进行定性评价：尾矿库库区内未发现大面积滑坡、塌方及泥石流迹象，库区边坡整体稳定性较好；库区范围内无违章爆破、采石、放牧、取土等危及尾矿库安全的行为；尾矿库与周边环境的相互影响在可控范围内</w:t>
      </w:r>
      <w:r>
        <w:rPr>
          <w:rFonts w:hint="eastAsia" w:ascii="宋体" w:hAnsi="宋体" w:eastAsia="宋体" w:cs="宋体"/>
          <w:color w:val="auto"/>
          <w:spacing w:val="7"/>
          <w:sz w:val="28"/>
          <w:szCs w:val="28"/>
          <w:highlight w:val="none"/>
          <w:lang w:eastAsia="zh-CN"/>
        </w:rPr>
        <w:t>。该</w:t>
      </w:r>
      <w:r>
        <w:rPr>
          <w:rFonts w:ascii="宋体" w:hAnsi="宋体" w:eastAsia="宋体" w:cs="宋体"/>
          <w:color w:val="auto"/>
          <w:spacing w:val="7"/>
          <w:sz w:val="28"/>
          <w:szCs w:val="28"/>
          <w:highlight w:val="none"/>
          <w:lang w:eastAsia="zh-CN"/>
        </w:rPr>
        <w:t>尾矿库周边环境符合</w:t>
      </w:r>
      <w:r>
        <w:rPr>
          <w:rFonts w:hint="eastAsia" w:ascii="宋体" w:hAnsi="宋体" w:eastAsia="宋体" w:cs="宋体"/>
          <w:color w:val="auto"/>
          <w:spacing w:val="7"/>
          <w:sz w:val="28"/>
          <w:szCs w:val="28"/>
          <w:highlight w:val="none"/>
          <w:lang w:eastAsia="zh-CN"/>
        </w:rPr>
        <w:t>相关</w:t>
      </w:r>
      <w:r>
        <w:rPr>
          <w:rFonts w:ascii="宋体" w:hAnsi="宋体" w:eastAsia="宋体" w:cs="宋体"/>
          <w:color w:val="auto"/>
          <w:spacing w:val="7"/>
          <w:sz w:val="28"/>
          <w:szCs w:val="28"/>
          <w:highlight w:val="none"/>
          <w:lang w:eastAsia="zh-CN"/>
        </w:rPr>
        <w:t>安全生产法律法规、规章、规范性文件和标准的规定，具备安全生产条件。</w:t>
      </w:r>
    </w:p>
    <w:p w14:paraId="577D14E7">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67" w:name="bookmark42"/>
      <w:bookmarkEnd w:id="167"/>
      <w:bookmarkStart w:id="168" w:name="_Toc1610579260"/>
      <w:bookmarkStart w:id="169" w:name="_Toc172"/>
      <w:r>
        <w:rPr>
          <w:rFonts w:ascii="Times New Roman Regular" w:hAnsi="Times New Roman Regular" w:eastAsia="黑体" w:cs="Times New Roman Regular"/>
          <w:snapToGrid/>
          <w:color w:val="auto"/>
          <w:kern w:val="2"/>
          <w:highlight w:val="none"/>
          <w:lang w:eastAsia="zh-CN"/>
        </w:rPr>
        <w:t>5.2 尾矿坝单元</w:t>
      </w:r>
      <w:bookmarkEnd w:id="168"/>
      <w:bookmarkEnd w:id="169"/>
    </w:p>
    <w:p w14:paraId="7497D3E2">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70" w:name="_Toc9617"/>
      <w:bookmarkStart w:id="171" w:name="_Toc4254"/>
      <w:bookmarkStart w:id="172" w:name="_Toc10875"/>
      <w:r>
        <w:rPr>
          <w:rFonts w:ascii="Times New Roman" w:hAnsi="Times New Roman" w:eastAsia="Times New Roman" w:cs="Times New Roman"/>
          <w:bCs/>
          <w:color w:val="auto"/>
          <w:spacing w:val="-3"/>
          <w:sz w:val="28"/>
          <w:szCs w:val="28"/>
          <w:highlight w:val="none"/>
          <w:lang w:eastAsia="zh-CN"/>
        </w:rPr>
        <w:t xml:space="preserve">5.2.1 </w:t>
      </w:r>
      <w:r>
        <w:rPr>
          <w:rFonts w:ascii="宋体" w:hAnsi="宋体" w:eastAsia="宋体" w:cs="宋体"/>
          <w:bCs/>
          <w:color w:val="auto"/>
          <w:spacing w:val="-3"/>
          <w:sz w:val="28"/>
          <w:szCs w:val="28"/>
          <w:highlight w:val="none"/>
          <w:lang w:eastAsia="zh-CN"/>
        </w:rPr>
        <w:t>安全检查表法评价</w:t>
      </w:r>
      <w:bookmarkEnd w:id="170"/>
      <w:bookmarkEnd w:id="171"/>
      <w:bookmarkEnd w:id="172"/>
    </w:p>
    <w:p w14:paraId="7FA86980">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根据相关法律法规、技术标准规定，借鉴同类尾矿库经验，运用安全检查表的评价方法对该尾矿库坝体单元进行符合性评价，详见表5.2-1。</w:t>
      </w:r>
    </w:p>
    <w:p w14:paraId="7AE462FC">
      <w:pPr>
        <w:spacing w:line="400" w:lineRule="exact"/>
        <w:jc w:val="center"/>
        <w:rPr>
          <w:rFonts w:hint="eastAsia" w:ascii="黑体" w:hAnsi="黑体" w:eastAsia="黑体" w:cs="黑体"/>
          <w:bCs/>
          <w:color w:val="auto"/>
          <w:sz w:val="24"/>
          <w:highlight w:val="none"/>
          <w:lang w:eastAsia="zh-CN"/>
        </w:rPr>
      </w:pPr>
      <w:r>
        <w:rPr>
          <w:rFonts w:ascii="黑体" w:hAnsi="黑体" w:eastAsia="黑体" w:cs="黑体"/>
          <w:bCs/>
          <w:color w:val="auto"/>
          <w:sz w:val="24"/>
          <w:highlight w:val="none"/>
          <w:lang w:eastAsia="zh-CN"/>
        </w:rPr>
        <w:t>表5.2-1 尾矿库坝体单元安全检查表</w:t>
      </w:r>
    </w:p>
    <w:tbl>
      <w:tblPr>
        <w:tblStyle w:val="24"/>
        <w:tblW w:w="90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28" w:type="dxa"/>
          <w:left w:w="28" w:type="dxa"/>
          <w:bottom w:w="28" w:type="dxa"/>
          <w:right w:w="28" w:type="dxa"/>
        </w:tblCellMar>
      </w:tblPr>
      <w:tblGrid>
        <w:gridCol w:w="606"/>
        <w:gridCol w:w="3008"/>
        <w:gridCol w:w="1836"/>
        <w:gridCol w:w="2717"/>
        <w:gridCol w:w="836"/>
      </w:tblGrid>
      <w:tr w14:paraId="0035AE9D">
        <w:trPr>
          <w:trHeight w:val="442" w:hRule="atLeast"/>
          <w:tblHeader/>
          <w:jc w:val="center"/>
        </w:trPr>
        <w:tc>
          <w:tcPr>
            <w:tcW w:w="606" w:type="dxa"/>
            <w:vAlign w:val="center"/>
          </w:tcPr>
          <w:p w14:paraId="26B657C2">
            <w:pPr>
              <w:jc w:val="center"/>
              <w:rPr>
                <w:rFonts w:hint="eastAsia" w:ascii="宋体" w:hAnsi="宋体" w:eastAsia="宋体" w:cs="宋体"/>
                <w:color w:val="auto"/>
                <w:highlight w:val="none"/>
              </w:rPr>
            </w:pPr>
            <w:r>
              <w:rPr>
                <w:rFonts w:ascii="宋体" w:hAnsi="宋体" w:eastAsia="宋体" w:cs="宋体"/>
                <w:color w:val="auto"/>
                <w:spacing w:val="5"/>
                <w:highlight w:val="none"/>
              </w:rPr>
              <w:t>序号</w:t>
            </w:r>
          </w:p>
        </w:tc>
        <w:tc>
          <w:tcPr>
            <w:tcW w:w="3008" w:type="dxa"/>
            <w:vAlign w:val="center"/>
          </w:tcPr>
          <w:p w14:paraId="3C516AD8">
            <w:pPr>
              <w:jc w:val="center"/>
              <w:rPr>
                <w:rFonts w:hint="eastAsia" w:ascii="宋体" w:hAnsi="宋体" w:eastAsia="宋体" w:cs="宋体"/>
                <w:color w:val="auto"/>
                <w:highlight w:val="none"/>
              </w:rPr>
            </w:pPr>
            <w:r>
              <w:rPr>
                <w:rFonts w:ascii="宋体" w:hAnsi="宋体" w:eastAsia="宋体" w:cs="宋体"/>
                <w:color w:val="auto"/>
                <w:spacing w:val="7"/>
                <w:highlight w:val="none"/>
              </w:rPr>
              <w:t>检查项目</w:t>
            </w:r>
          </w:p>
        </w:tc>
        <w:tc>
          <w:tcPr>
            <w:tcW w:w="1836" w:type="dxa"/>
            <w:vAlign w:val="center"/>
          </w:tcPr>
          <w:p w14:paraId="1A7CB13E">
            <w:pPr>
              <w:jc w:val="center"/>
              <w:rPr>
                <w:rFonts w:hint="eastAsia" w:ascii="宋体" w:hAnsi="宋体" w:eastAsia="宋体" w:cs="宋体"/>
                <w:color w:val="auto"/>
                <w:highlight w:val="none"/>
              </w:rPr>
            </w:pPr>
            <w:r>
              <w:rPr>
                <w:rFonts w:ascii="宋体" w:hAnsi="宋体" w:eastAsia="宋体" w:cs="宋体"/>
                <w:color w:val="auto"/>
                <w:spacing w:val="7"/>
                <w:highlight w:val="none"/>
              </w:rPr>
              <w:t>检查依据</w:t>
            </w:r>
          </w:p>
        </w:tc>
        <w:tc>
          <w:tcPr>
            <w:tcW w:w="2717" w:type="dxa"/>
            <w:vAlign w:val="center"/>
          </w:tcPr>
          <w:p w14:paraId="3CA86A05">
            <w:pPr>
              <w:jc w:val="center"/>
              <w:rPr>
                <w:rFonts w:hint="eastAsia" w:ascii="宋体" w:hAnsi="宋体" w:eastAsia="宋体" w:cs="宋体"/>
                <w:color w:val="auto"/>
                <w:highlight w:val="none"/>
              </w:rPr>
            </w:pPr>
            <w:r>
              <w:rPr>
                <w:rFonts w:ascii="宋体" w:hAnsi="宋体" w:eastAsia="宋体" w:cs="宋体"/>
                <w:color w:val="auto"/>
                <w:spacing w:val="6"/>
                <w:highlight w:val="none"/>
              </w:rPr>
              <w:t>实际情况</w:t>
            </w:r>
          </w:p>
        </w:tc>
        <w:tc>
          <w:tcPr>
            <w:tcW w:w="836" w:type="dxa"/>
            <w:vAlign w:val="center"/>
          </w:tcPr>
          <w:p w14:paraId="23F81B22">
            <w:pPr>
              <w:jc w:val="center"/>
              <w:rPr>
                <w:rFonts w:hint="eastAsia" w:ascii="宋体" w:hAnsi="宋体" w:eastAsia="宋体" w:cs="宋体"/>
                <w:color w:val="auto"/>
                <w:highlight w:val="none"/>
              </w:rPr>
            </w:pPr>
            <w:r>
              <w:rPr>
                <w:rFonts w:ascii="宋体" w:hAnsi="宋体" w:eastAsia="宋体" w:cs="宋体"/>
                <w:color w:val="auto"/>
                <w:spacing w:val="2"/>
                <w:highlight w:val="none"/>
              </w:rPr>
              <w:t>结论</w:t>
            </w:r>
          </w:p>
        </w:tc>
      </w:tr>
      <w:tr w14:paraId="05A1B6A9">
        <w:trPr>
          <w:trHeight w:val="1366" w:hRule="atLeast"/>
          <w:jc w:val="center"/>
        </w:trPr>
        <w:tc>
          <w:tcPr>
            <w:tcW w:w="606" w:type="dxa"/>
            <w:vAlign w:val="center"/>
          </w:tcPr>
          <w:p w14:paraId="2678668C">
            <w:pPr>
              <w:numPr>
                <w:ilvl w:val="0"/>
                <w:numId w:val="10"/>
              </w:numPr>
              <w:tabs>
                <w:tab w:val="clear" w:pos="0"/>
              </w:tabs>
              <w:spacing w:line="240" w:lineRule="exact"/>
              <w:jc w:val="center"/>
              <w:rPr>
                <w:rFonts w:eastAsia="仿宋"/>
                <w:color w:val="auto"/>
                <w:highlight w:val="none"/>
              </w:rPr>
            </w:pPr>
          </w:p>
        </w:tc>
        <w:tc>
          <w:tcPr>
            <w:tcW w:w="3008" w:type="dxa"/>
            <w:vAlign w:val="center"/>
          </w:tcPr>
          <w:p w14:paraId="7402D476">
            <w:pPr>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该尾矿坝初期坝坝型为透水堆石坝，坝顶标高+197m，最大坝高H</w:t>
            </w:r>
            <w:r>
              <w:rPr>
                <w:rFonts w:hint="eastAsia" w:ascii="Times New Roman" w:hAnsi="Times New Roman" w:eastAsia="宋体" w:cs="Times New Roman"/>
                <w:color w:val="auto"/>
                <w:highlight w:val="none"/>
                <w:vertAlign w:val="subscript"/>
                <w:lang w:eastAsia="zh-CN"/>
              </w:rPr>
              <w:t>初</w:t>
            </w:r>
            <w:r>
              <w:rPr>
                <w:rFonts w:hint="eastAsia" w:ascii="Times New Roman" w:hAnsi="Times New Roman" w:eastAsia="宋体" w:cs="Times New Roman"/>
                <w:color w:val="auto"/>
                <w:highlight w:val="none"/>
                <w:lang w:eastAsia="zh-CN"/>
              </w:rPr>
              <w:t>=16m（+181.00m～+197.00 m），最大坝长L=89.47m坝外坡坡比1:2.0，内坡坡比1:2.0。</w:t>
            </w:r>
          </w:p>
        </w:tc>
        <w:tc>
          <w:tcPr>
            <w:tcW w:w="1836" w:type="dxa"/>
            <w:vAlign w:val="center"/>
          </w:tcPr>
          <w:p w14:paraId="2B9DA5A9">
            <w:pPr>
              <w:rPr>
                <w:rFonts w:ascii="Times New Roman" w:hAnsi="Times New Roman" w:eastAsia="宋体" w:cs="Times New Roman"/>
                <w:color w:val="auto"/>
                <w:spacing w:val="3"/>
                <w:highlight w:val="none"/>
                <w:lang w:val="zh-CN" w:eastAsia="zh-CN"/>
              </w:rPr>
            </w:pPr>
            <w:r>
              <w:rPr>
                <w:rFonts w:hint="eastAsia" w:ascii="Times New Roman" w:hAnsi="Times New Roman" w:eastAsia="宋体" w:cs="Times New Roman"/>
                <w:color w:val="auto"/>
                <w:spacing w:val="3"/>
                <w:highlight w:val="none"/>
                <w:lang w:val="zh-CN" w:eastAsia="zh-CN"/>
              </w:rPr>
              <w:t>《葫芦岛岳强矿业有限责任公司干堆尾矿库安全专篇》</w:t>
            </w:r>
          </w:p>
        </w:tc>
        <w:tc>
          <w:tcPr>
            <w:tcW w:w="2717" w:type="dxa"/>
            <w:vAlign w:val="center"/>
          </w:tcPr>
          <w:p w14:paraId="59E9025C">
            <w:pPr>
              <w:pStyle w:val="25"/>
              <w:ind w:firstLine="1"/>
              <w:jc w:val="both"/>
              <w:rPr>
                <w:rFonts w:eastAsia="宋体"/>
                <w:color w:val="auto"/>
                <w:spacing w:val="21"/>
                <w:sz w:val="21"/>
                <w:szCs w:val="21"/>
                <w:highlight w:val="none"/>
                <w:lang w:eastAsia="zh-CN"/>
              </w:rPr>
            </w:pPr>
          </w:p>
        </w:tc>
        <w:tc>
          <w:tcPr>
            <w:tcW w:w="836" w:type="dxa"/>
            <w:vAlign w:val="center"/>
          </w:tcPr>
          <w:p w14:paraId="5B0C6594">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0B077B5F">
        <w:trPr>
          <w:trHeight w:val="1366" w:hRule="atLeast"/>
          <w:jc w:val="center"/>
        </w:trPr>
        <w:tc>
          <w:tcPr>
            <w:tcW w:w="606" w:type="dxa"/>
            <w:vAlign w:val="center"/>
          </w:tcPr>
          <w:p w14:paraId="27E92758">
            <w:pPr>
              <w:numPr>
                <w:ilvl w:val="0"/>
                <w:numId w:val="10"/>
              </w:numPr>
              <w:tabs>
                <w:tab w:val="clear" w:pos="0"/>
              </w:tabs>
              <w:spacing w:line="240" w:lineRule="exact"/>
              <w:jc w:val="center"/>
              <w:rPr>
                <w:rFonts w:eastAsia="仿宋"/>
                <w:color w:val="auto"/>
                <w:highlight w:val="none"/>
              </w:rPr>
            </w:pPr>
          </w:p>
        </w:tc>
        <w:tc>
          <w:tcPr>
            <w:tcW w:w="3008" w:type="dxa"/>
            <w:vAlign w:val="center"/>
          </w:tcPr>
          <w:p w14:paraId="36972C6B">
            <w:pPr>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该尾矿坝堆积坝为尾矿砂干堆分层碾压而成，在初期坝之上共设计三级子坝，其中一级子坝已经建成，高4m，坝顶高+201m。二级子坝高4m，坝顶高程+205 m。三级子坝高5m，坝顶高程+210m。尾矿堆积坝外坡坡比1:2.0，内坡坡比1:2.0。</w:t>
            </w:r>
          </w:p>
        </w:tc>
        <w:tc>
          <w:tcPr>
            <w:tcW w:w="1836" w:type="dxa"/>
            <w:vAlign w:val="center"/>
          </w:tcPr>
          <w:p w14:paraId="608FC95B">
            <w:pPr>
              <w:rPr>
                <w:rFonts w:ascii="Times New Roman" w:hAnsi="Times New Roman" w:eastAsia="宋体" w:cs="Times New Roman"/>
                <w:color w:val="auto"/>
                <w:spacing w:val="3"/>
                <w:highlight w:val="none"/>
                <w:lang w:val="zh-CN" w:eastAsia="zh-CN"/>
              </w:rPr>
            </w:pPr>
            <w:r>
              <w:rPr>
                <w:rFonts w:hint="eastAsia" w:ascii="Times New Roman" w:hAnsi="Times New Roman" w:eastAsia="宋体" w:cs="Times New Roman"/>
                <w:color w:val="auto"/>
                <w:spacing w:val="3"/>
                <w:highlight w:val="none"/>
                <w:lang w:val="zh-CN" w:eastAsia="zh-CN"/>
              </w:rPr>
              <w:t>《葫芦岛岳强矿业有限责任公司干堆尾矿库安全专篇》</w:t>
            </w:r>
          </w:p>
        </w:tc>
        <w:tc>
          <w:tcPr>
            <w:tcW w:w="2717" w:type="dxa"/>
            <w:vAlign w:val="center"/>
          </w:tcPr>
          <w:p w14:paraId="072C82A7">
            <w:pPr>
              <w:pStyle w:val="25"/>
              <w:ind w:firstLine="1"/>
              <w:jc w:val="both"/>
              <w:rPr>
                <w:rFonts w:eastAsia="宋体"/>
                <w:color w:val="auto"/>
                <w:spacing w:val="21"/>
                <w:sz w:val="21"/>
                <w:szCs w:val="21"/>
                <w:highlight w:val="none"/>
                <w:lang w:eastAsia="zh-CN"/>
              </w:rPr>
            </w:pPr>
          </w:p>
        </w:tc>
        <w:tc>
          <w:tcPr>
            <w:tcW w:w="836" w:type="dxa"/>
            <w:vAlign w:val="center"/>
          </w:tcPr>
          <w:p w14:paraId="519CE4EF">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7539800C">
        <w:trPr>
          <w:trHeight w:val="1366" w:hRule="atLeast"/>
          <w:jc w:val="center"/>
        </w:trPr>
        <w:tc>
          <w:tcPr>
            <w:tcW w:w="606" w:type="dxa"/>
            <w:vAlign w:val="center"/>
          </w:tcPr>
          <w:p w14:paraId="3914971F">
            <w:pPr>
              <w:numPr>
                <w:ilvl w:val="0"/>
                <w:numId w:val="10"/>
              </w:numPr>
              <w:tabs>
                <w:tab w:val="clear" w:pos="0"/>
              </w:tabs>
              <w:spacing w:line="240" w:lineRule="exact"/>
              <w:jc w:val="center"/>
              <w:rPr>
                <w:rFonts w:eastAsia="仿宋"/>
                <w:color w:val="auto"/>
                <w:highlight w:val="none"/>
              </w:rPr>
            </w:pPr>
          </w:p>
        </w:tc>
        <w:tc>
          <w:tcPr>
            <w:tcW w:w="3008" w:type="dxa"/>
            <w:vAlign w:val="center"/>
          </w:tcPr>
          <w:p w14:paraId="65F64F29">
            <w:pPr>
              <w:kinsoku/>
              <w:autoSpaceDE/>
              <w:autoSpaceDN/>
              <w:adjustRightInd/>
              <w:snapToGrid/>
              <w:spacing w:line="280" w:lineRule="exact"/>
              <w:textAlignment w:val="auto"/>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highlight w:val="none"/>
                <w:lang w:eastAsia="zh-CN"/>
              </w:rPr>
              <w:t>尾矿坝坝址选择应以避免不良工程地质和水文地质条件为原则。</w:t>
            </w:r>
          </w:p>
        </w:tc>
        <w:tc>
          <w:tcPr>
            <w:tcW w:w="1836" w:type="dxa"/>
            <w:vAlign w:val="center"/>
          </w:tcPr>
          <w:p w14:paraId="3547BC00">
            <w:pPr>
              <w:kinsoku/>
              <w:autoSpaceDE/>
              <w:autoSpaceDN/>
              <w:adjustRightInd/>
              <w:snapToGrid/>
              <w:spacing w:line="280" w:lineRule="exact"/>
              <w:jc w:val="both"/>
              <w:textAlignment w:val="auto"/>
              <w:rPr>
                <w:rFonts w:ascii="Times New Roman Regular" w:hAnsi="Times New Roman Regular" w:eastAsia="宋体" w:cs="Times New Roman Regular"/>
                <w:color w:val="auto"/>
                <w:spacing w:val="3"/>
                <w:highlight w:val="none"/>
                <w:lang w:val="zh-CN" w:eastAsia="zh-CN"/>
              </w:rPr>
            </w:pPr>
            <w:r>
              <w:rPr>
                <w:rFonts w:ascii="Times New Roman Regular" w:hAnsi="Times New Roman Regular" w:eastAsia="宋体" w:cs="Times New Roman Regular"/>
                <w:color w:val="auto"/>
                <w:highlight w:val="none"/>
                <w:lang w:eastAsia="zh-CN"/>
              </w:rPr>
              <w:t>《尾矿库安全规程》（GB39496-20 20）第5.3.1条</w:t>
            </w:r>
          </w:p>
        </w:tc>
        <w:tc>
          <w:tcPr>
            <w:tcW w:w="2717" w:type="dxa"/>
            <w:vAlign w:val="center"/>
          </w:tcPr>
          <w:p w14:paraId="1C041941">
            <w:pPr>
              <w:kinsoku/>
              <w:autoSpaceDE/>
              <w:autoSpaceDN/>
              <w:adjustRightInd/>
              <w:snapToGrid/>
              <w:spacing w:line="280" w:lineRule="exact"/>
              <w:textAlignment w:val="auto"/>
              <w:rPr>
                <w:rFonts w:ascii="Times New Roman Regular" w:hAnsi="Times New Roman Regular" w:eastAsia="宋体" w:cs="Times New Roman Regular"/>
                <w:color w:val="auto"/>
                <w:spacing w:val="21"/>
                <w:highlight w:val="none"/>
                <w:lang w:eastAsia="zh-CN"/>
              </w:rPr>
            </w:pPr>
          </w:p>
        </w:tc>
        <w:tc>
          <w:tcPr>
            <w:tcW w:w="836" w:type="dxa"/>
            <w:vAlign w:val="center"/>
          </w:tcPr>
          <w:p w14:paraId="64499081">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hint="eastAsia" w:ascii="宋体" w:hAnsi="宋体" w:eastAsia="宋体" w:cs="宋体"/>
                <w:color w:val="auto"/>
                <w:highlight w:val="none"/>
              </w:rPr>
              <w:t>符合</w:t>
            </w:r>
          </w:p>
        </w:tc>
      </w:tr>
      <w:tr w14:paraId="405C2A9B">
        <w:trPr>
          <w:trHeight w:val="1366" w:hRule="atLeast"/>
          <w:jc w:val="center"/>
        </w:trPr>
        <w:tc>
          <w:tcPr>
            <w:tcW w:w="606" w:type="dxa"/>
            <w:vAlign w:val="center"/>
          </w:tcPr>
          <w:p w14:paraId="39F24EBC">
            <w:pPr>
              <w:numPr>
                <w:ilvl w:val="0"/>
                <w:numId w:val="10"/>
              </w:numPr>
              <w:tabs>
                <w:tab w:val="clear" w:pos="0"/>
              </w:tabs>
              <w:spacing w:line="240" w:lineRule="exact"/>
              <w:jc w:val="center"/>
              <w:rPr>
                <w:rFonts w:eastAsia="仿宋"/>
                <w:color w:val="auto"/>
                <w:highlight w:val="none"/>
              </w:rPr>
            </w:pPr>
          </w:p>
        </w:tc>
        <w:tc>
          <w:tcPr>
            <w:tcW w:w="3008" w:type="dxa"/>
            <w:vAlign w:val="center"/>
          </w:tcPr>
          <w:p w14:paraId="1FC35E3C">
            <w:pPr>
              <w:kinsoku/>
              <w:autoSpaceDE/>
              <w:autoSpaceDN/>
              <w:adjustRightInd/>
              <w:snapToGrid/>
              <w:spacing w:line="280" w:lineRule="exact"/>
              <w:textAlignment w:val="auto"/>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highlight w:val="none"/>
                <w:lang w:eastAsia="zh-CN"/>
              </w:rPr>
              <w:t>干排尾矿库尾矿排矿筑坝应边堆放边碾压，堆积坝顶面坡度应满足排水的要求，并不得出现反坡。</w:t>
            </w:r>
          </w:p>
        </w:tc>
        <w:tc>
          <w:tcPr>
            <w:tcW w:w="1836" w:type="dxa"/>
            <w:vAlign w:val="center"/>
          </w:tcPr>
          <w:p w14:paraId="2502F8C4">
            <w:pPr>
              <w:kinsoku/>
              <w:autoSpaceDE/>
              <w:autoSpaceDN/>
              <w:adjustRightInd/>
              <w:snapToGrid/>
              <w:spacing w:line="280" w:lineRule="exact"/>
              <w:jc w:val="both"/>
              <w:textAlignment w:val="auto"/>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highlight w:val="none"/>
                <w:lang w:eastAsia="zh-CN"/>
              </w:rPr>
              <w:t>《尾矿库安全规程》（GB39496-20 20）第5.3.6条</w:t>
            </w:r>
          </w:p>
        </w:tc>
        <w:tc>
          <w:tcPr>
            <w:tcW w:w="2717" w:type="dxa"/>
            <w:vAlign w:val="center"/>
          </w:tcPr>
          <w:p w14:paraId="7E0E504A">
            <w:pPr>
              <w:kinsoku/>
              <w:autoSpaceDE/>
              <w:autoSpaceDN/>
              <w:adjustRightInd/>
              <w:snapToGrid/>
              <w:spacing w:line="280" w:lineRule="exact"/>
              <w:jc w:val="both"/>
              <w:textAlignment w:val="auto"/>
              <w:rPr>
                <w:rFonts w:ascii="Times New Roman Regular" w:hAnsi="Times New Roman Regular" w:eastAsia="宋体" w:cs="Times New Roman Regular"/>
                <w:color w:val="auto"/>
                <w:highlight w:val="none"/>
                <w:lang w:eastAsia="zh-CN"/>
              </w:rPr>
            </w:pPr>
          </w:p>
        </w:tc>
        <w:tc>
          <w:tcPr>
            <w:tcW w:w="836" w:type="dxa"/>
            <w:vAlign w:val="center"/>
          </w:tcPr>
          <w:p w14:paraId="062B25F7">
            <w:pPr>
              <w:kinsoku/>
              <w:autoSpaceDE/>
              <w:autoSpaceDN/>
              <w:adjustRightInd/>
              <w:snapToGrid/>
              <w:spacing w:line="280" w:lineRule="exact"/>
              <w:jc w:val="center"/>
              <w:textAlignment w:val="auto"/>
              <w:rPr>
                <w:rFonts w:ascii="Times New Roman" w:hAnsi="Times New Roman" w:eastAsia="宋体" w:cs="Times New Roman"/>
                <w:color w:val="auto"/>
                <w:highlight w:val="none"/>
              </w:rPr>
            </w:pPr>
            <w:r>
              <w:rPr>
                <w:rFonts w:hint="eastAsia" w:ascii="宋体" w:hAnsi="宋体" w:eastAsia="宋体" w:cs="宋体"/>
                <w:color w:val="auto"/>
                <w:highlight w:val="none"/>
              </w:rPr>
              <w:t>符合</w:t>
            </w:r>
          </w:p>
        </w:tc>
      </w:tr>
      <w:tr w14:paraId="579F0A5D">
        <w:trPr>
          <w:trHeight w:val="1366" w:hRule="atLeast"/>
          <w:jc w:val="center"/>
        </w:trPr>
        <w:tc>
          <w:tcPr>
            <w:tcW w:w="606" w:type="dxa"/>
            <w:vAlign w:val="center"/>
          </w:tcPr>
          <w:p w14:paraId="2ADB46CA">
            <w:pPr>
              <w:numPr>
                <w:ilvl w:val="0"/>
                <w:numId w:val="10"/>
              </w:numPr>
              <w:tabs>
                <w:tab w:val="clear" w:pos="0"/>
              </w:tabs>
              <w:spacing w:line="240" w:lineRule="exact"/>
              <w:jc w:val="center"/>
              <w:rPr>
                <w:rFonts w:eastAsia="仿宋"/>
                <w:color w:val="auto"/>
                <w:highlight w:val="none"/>
                <w:lang w:eastAsia="zh-CN"/>
              </w:rPr>
            </w:pPr>
          </w:p>
        </w:tc>
        <w:tc>
          <w:tcPr>
            <w:tcW w:w="3008" w:type="dxa"/>
            <w:vAlign w:val="center"/>
          </w:tcPr>
          <w:p w14:paraId="39377BFD">
            <w:pPr>
              <w:kinsoku/>
              <w:autoSpaceDE/>
              <w:autoSpaceDN/>
              <w:adjustRightInd/>
              <w:snapToGrid/>
              <w:spacing w:line="280" w:lineRule="exact"/>
              <w:textAlignment w:val="auto"/>
              <w:rPr>
                <w:rFonts w:ascii="Times New Roman Regular" w:hAnsi="Times New Roman Regular" w:eastAsia="宋体" w:cs="Times New Roman Regular"/>
                <w:color w:val="auto"/>
                <w:spacing w:val="10"/>
                <w:highlight w:val="none"/>
                <w:lang w:eastAsia="zh-CN"/>
              </w:rPr>
            </w:pPr>
            <w:r>
              <w:rPr>
                <w:rFonts w:ascii="Times New Roman Regular" w:hAnsi="Times New Roman Regular" w:eastAsia="宋体" w:cs="Times New Roman Regular"/>
                <w:color w:val="auto"/>
                <w:highlight w:val="none"/>
                <w:lang w:eastAsia="zh-CN"/>
              </w:rPr>
              <w:t>干排尾矿库尾矿排矿筑坝期间应设置台阶，分层碾压排放作业的台阶高度不应超过10</w:t>
            </w:r>
            <w:r>
              <w:rPr>
                <w:rFonts w:ascii="Times New Roman Regular" w:hAnsi="Times New Roman Regular" w:eastAsia="宋体" w:cs="Times New Roman Regular"/>
                <w:color w:val="auto"/>
                <w:highlight w:val="none"/>
                <w:lang w:eastAsia="zh-CN" w:bidi="en-US"/>
              </w:rPr>
              <w:t>m，</w:t>
            </w:r>
            <w:r>
              <w:rPr>
                <w:rFonts w:ascii="Times New Roman Regular" w:hAnsi="Times New Roman Regular" w:eastAsia="宋体" w:cs="Times New Roman Regular"/>
                <w:color w:val="auto"/>
                <w:highlight w:val="none"/>
                <w:lang w:eastAsia="zh-CN"/>
              </w:rPr>
              <w:t>台阶宽度不应小于</w:t>
            </w:r>
            <w:r>
              <w:rPr>
                <w:rFonts w:ascii="Times New Roman Regular" w:hAnsi="Times New Roman Regular" w:eastAsia="宋体" w:cs="Times New Roman Regular"/>
                <w:color w:val="auto"/>
                <w:highlight w:val="none"/>
                <w:lang w:eastAsia="zh-CN" w:bidi="en-US"/>
              </w:rPr>
              <w:t>1.5m，</w:t>
            </w:r>
            <w:r>
              <w:rPr>
                <w:rFonts w:ascii="Times New Roman Regular" w:hAnsi="Times New Roman Regular" w:eastAsia="宋体" w:cs="Times New Roman Regular"/>
                <w:color w:val="auto"/>
                <w:highlight w:val="none"/>
                <w:lang w:eastAsia="zh-CN"/>
              </w:rPr>
              <w:t>有行车要求时不应小于5</w:t>
            </w:r>
            <w:r>
              <w:rPr>
                <w:rFonts w:ascii="Times New Roman Regular" w:hAnsi="Times New Roman Regular" w:eastAsia="宋体" w:cs="Times New Roman Regular"/>
                <w:color w:val="auto"/>
                <w:highlight w:val="none"/>
                <w:lang w:eastAsia="zh-CN" w:bidi="en-US"/>
              </w:rPr>
              <w:t>m；</w:t>
            </w:r>
            <w:r>
              <w:rPr>
                <w:rFonts w:ascii="Times New Roman Regular" w:hAnsi="Times New Roman Regular" w:eastAsia="宋体" w:cs="Times New Roman Regular"/>
                <w:color w:val="auto"/>
                <w:highlight w:val="none"/>
                <w:lang w:eastAsia="zh-CN"/>
              </w:rPr>
              <w:t xml:space="preserve">推进碾压排放作业的台阶高度不应超过5 </w:t>
            </w:r>
            <w:r>
              <w:rPr>
                <w:rFonts w:ascii="Times New Roman Regular" w:hAnsi="Times New Roman Regular" w:eastAsia="宋体" w:cs="Times New Roman Regular"/>
                <w:color w:val="auto"/>
                <w:highlight w:val="none"/>
                <w:lang w:eastAsia="zh-CN" w:bidi="en-US"/>
              </w:rPr>
              <w:t>m</w:t>
            </w:r>
            <w:r>
              <w:rPr>
                <w:rFonts w:ascii="Times New Roman Regular" w:hAnsi="Times New Roman Regular" w:eastAsia="宋体" w:cs="Times New Roman Regular"/>
                <w:color w:val="auto"/>
                <w:highlight w:val="none"/>
                <w:lang w:eastAsia="zh-CN"/>
              </w:rPr>
              <w:t>。</w:t>
            </w:r>
          </w:p>
        </w:tc>
        <w:tc>
          <w:tcPr>
            <w:tcW w:w="1836" w:type="dxa"/>
            <w:vAlign w:val="center"/>
          </w:tcPr>
          <w:p w14:paraId="209C7320">
            <w:pPr>
              <w:kinsoku/>
              <w:autoSpaceDE/>
              <w:autoSpaceDN/>
              <w:adjustRightInd/>
              <w:snapToGrid/>
              <w:spacing w:line="280" w:lineRule="exact"/>
              <w:jc w:val="both"/>
              <w:textAlignment w:val="auto"/>
              <w:rPr>
                <w:rFonts w:ascii="Times New Roman Regular" w:hAnsi="Times New Roman Regular" w:eastAsia="宋体" w:cs="Times New Roman Regular"/>
                <w:color w:val="auto"/>
                <w:spacing w:val="3"/>
                <w:highlight w:val="none"/>
                <w:lang w:val="zh-CN" w:eastAsia="zh-CN"/>
              </w:rPr>
            </w:pPr>
            <w:r>
              <w:rPr>
                <w:rFonts w:ascii="Times New Roman Regular" w:hAnsi="Times New Roman Regular" w:eastAsia="宋体" w:cs="Times New Roman Regular"/>
                <w:color w:val="auto"/>
                <w:highlight w:val="none"/>
                <w:lang w:eastAsia="zh-CN"/>
              </w:rPr>
              <w:t>《尾矿库安全规程》（GB39496-20 20）第5.3.6条</w:t>
            </w:r>
          </w:p>
        </w:tc>
        <w:tc>
          <w:tcPr>
            <w:tcW w:w="2717" w:type="dxa"/>
            <w:vAlign w:val="center"/>
          </w:tcPr>
          <w:p w14:paraId="2CF960C7">
            <w:pPr>
              <w:kinsoku/>
              <w:autoSpaceDE/>
              <w:autoSpaceDN/>
              <w:adjustRightInd/>
              <w:snapToGrid/>
              <w:spacing w:line="280" w:lineRule="exact"/>
              <w:textAlignment w:val="auto"/>
              <w:rPr>
                <w:rFonts w:ascii="Times New Roman Regular" w:hAnsi="Times New Roman Regular" w:eastAsia="宋体" w:cs="Times New Roman Regular"/>
                <w:color w:val="auto"/>
                <w:spacing w:val="21"/>
                <w:highlight w:val="none"/>
                <w:lang w:eastAsia="zh-CN"/>
              </w:rPr>
            </w:pPr>
          </w:p>
        </w:tc>
        <w:tc>
          <w:tcPr>
            <w:tcW w:w="836" w:type="dxa"/>
            <w:vAlign w:val="center"/>
          </w:tcPr>
          <w:p w14:paraId="76027713">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hint="eastAsia" w:ascii="宋体" w:hAnsi="宋体" w:eastAsia="宋体" w:cs="宋体"/>
                <w:color w:val="auto"/>
                <w:highlight w:val="none"/>
              </w:rPr>
              <w:t>符合</w:t>
            </w:r>
          </w:p>
        </w:tc>
      </w:tr>
      <w:tr w14:paraId="3B5CEC8E">
        <w:trPr>
          <w:trHeight w:val="1366" w:hRule="atLeast"/>
          <w:jc w:val="center"/>
        </w:trPr>
        <w:tc>
          <w:tcPr>
            <w:tcW w:w="606" w:type="dxa"/>
            <w:vAlign w:val="center"/>
          </w:tcPr>
          <w:p w14:paraId="0B5D725F">
            <w:pPr>
              <w:numPr>
                <w:ilvl w:val="0"/>
                <w:numId w:val="10"/>
              </w:numPr>
              <w:tabs>
                <w:tab w:val="clear" w:pos="0"/>
              </w:tabs>
              <w:spacing w:line="240" w:lineRule="exact"/>
              <w:jc w:val="center"/>
              <w:rPr>
                <w:rFonts w:eastAsia="仿宋"/>
                <w:color w:val="auto"/>
                <w:highlight w:val="none"/>
                <w:lang w:eastAsia="zh-CN"/>
              </w:rPr>
            </w:pPr>
          </w:p>
        </w:tc>
        <w:tc>
          <w:tcPr>
            <w:tcW w:w="3008" w:type="dxa"/>
            <w:vAlign w:val="center"/>
          </w:tcPr>
          <w:p w14:paraId="1AF95F29">
            <w:pPr>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spacing w:val="15"/>
                <w:highlight w:val="none"/>
                <w:lang w:eastAsia="zh-CN"/>
              </w:rPr>
              <w:t>坝外坡面维护工作应按设计要求进行，尾矿坝下游坡面上不得有积水坑。坝体出现冲沟、裂缝、塌坑等现象时，应及</w:t>
            </w:r>
            <w:r>
              <w:rPr>
                <w:rFonts w:ascii="Times New Roman Regular" w:hAnsi="Times New Roman Regular" w:eastAsia="宋体" w:cs="Times New Roman Regular"/>
                <w:color w:val="auto"/>
                <w:spacing w:val="5"/>
                <w:highlight w:val="none"/>
                <w:lang w:eastAsia="zh-CN"/>
              </w:rPr>
              <w:t>时处理。</w:t>
            </w:r>
          </w:p>
        </w:tc>
        <w:tc>
          <w:tcPr>
            <w:tcW w:w="1836" w:type="dxa"/>
            <w:vAlign w:val="center"/>
          </w:tcPr>
          <w:p w14:paraId="6BC467A8">
            <w:pPr>
              <w:pStyle w:val="25"/>
              <w:jc w:val="both"/>
              <w:rPr>
                <w:rFonts w:ascii="Times New Roman Regular" w:hAnsi="Times New Roman Regular" w:eastAsia="宋体" w:cs="Times New Roman Regular"/>
                <w:color w:val="auto"/>
                <w:sz w:val="21"/>
                <w:szCs w:val="21"/>
                <w:highlight w:val="none"/>
                <w:lang w:eastAsia="zh-CN"/>
              </w:rPr>
            </w:pPr>
            <w:r>
              <w:rPr>
                <w:rFonts w:ascii="Times New Roman Regular" w:hAnsi="Times New Roman Regular" w:eastAsia="宋体" w:cs="Times New Roman Regular"/>
                <w:color w:val="auto"/>
                <w:sz w:val="21"/>
                <w:szCs w:val="21"/>
                <w:highlight w:val="none"/>
                <w:lang w:eastAsia="zh-CN"/>
              </w:rPr>
              <w:t>《尾矿库安全规程》（GB39496-2020）</w:t>
            </w:r>
            <w:r>
              <w:rPr>
                <w:rFonts w:ascii="Times New Roman Regular" w:hAnsi="Times New Roman Regular" w:eastAsia="宋体" w:cs="Times New Roman Regular"/>
                <w:color w:val="auto"/>
                <w:spacing w:val="20"/>
                <w:sz w:val="21"/>
                <w:szCs w:val="21"/>
                <w:highlight w:val="none"/>
                <w:lang w:eastAsia="zh-CN"/>
              </w:rPr>
              <w:t>第</w:t>
            </w:r>
            <w:r>
              <w:rPr>
                <w:rFonts w:ascii="Times New Roman Regular" w:hAnsi="Times New Roman Regular" w:eastAsia="宋体" w:cs="Times New Roman Regular"/>
                <w:color w:val="auto"/>
                <w:spacing w:val="-2"/>
                <w:sz w:val="21"/>
                <w:szCs w:val="21"/>
                <w:highlight w:val="none"/>
                <w:lang w:eastAsia="zh-CN"/>
              </w:rPr>
              <w:t>6.3.11条</w:t>
            </w:r>
          </w:p>
        </w:tc>
        <w:tc>
          <w:tcPr>
            <w:tcW w:w="2717" w:type="dxa"/>
            <w:vAlign w:val="center"/>
          </w:tcPr>
          <w:p w14:paraId="68C987F9">
            <w:pPr>
              <w:rPr>
                <w:rFonts w:ascii="Times New Roman Regular" w:hAnsi="Times New Roman Regular" w:eastAsia="宋体" w:cs="Times New Roman Regular"/>
                <w:color w:val="auto"/>
                <w:highlight w:val="none"/>
                <w:lang w:eastAsia="zh-CN"/>
              </w:rPr>
            </w:pPr>
          </w:p>
        </w:tc>
        <w:tc>
          <w:tcPr>
            <w:tcW w:w="836" w:type="dxa"/>
            <w:vAlign w:val="center"/>
          </w:tcPr>
          <w:p w14:paraId="167243AF">
            <w:pPr>
              <w:jc w:val="center"/>
              <w:rPr>
                <w:rFonts w:ascii="Times New Roman" w:hAnsi="Times New Roman" w:eastAsia="宋体" w:cs="Times New Roman"/>
                <w:color w:val="auto"/>
                <w:highlight w:val="none"/>
                <w:lang w:eastAsia="zh-CN"/>
              </w:rPr>
            </w:pPr>
          </w:p>
          <w:p w14:paraId="389B5D74">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221B4F2C">
        <w:trPr>
          <w:trHeight w:val="1366" w:hRule="atLeast"/>
          <w:jc w:val="center"/>
        </w:trPr>
        <w:tc>
          <w:tcPr>
            <w:tcW w:w="606" w:type="dxa"/>
            <w:vAlign w:val="center"/>
          </w:tcPr>
          <w:p w14:paraId="76EBCD03">
            <w:pPr>
              <w:numPr>
                <w:ilvl w:val="0"/>
                <w:numId w:val="10"/>
              </w:numPr>
              <w:tabs>
                <w:tab w:val="clear" w:pos="0"/>
              </w:tabs>
              <w:spacing w:line="240" w:lineRule="exact"/>
              <w:jc w:val="center"/>
              <w:rPr>
                <w:rFonts w:eastAsia="仿宋"/>
                <w:color w:val="auto"/>
                <w:highlight w:val="none"/>
                <w:lang w:eastAsia="zh-CN"/>
              </w:rPr>
            </w:pPr>
          </w:p>
        </w:tc>
        <w:tc>
          <w:tcPr>
            <w:tcW w:w="3008" w:type="dxa"/>
            <w:vAlign w:val="center"/>
          </w:tcPr>
          <w:p w14:paraId="4F24EC97">
            <w:pPr>
              <w:kinsoku/>
              <w:autoSpaceDE/>
              <w:autoSpaceDN/>
              <w:adjustRightInd/>
              <w:snapToGrid/>
              <w:spacing w:line="280" w:lineRule="exact"/>
              <w:textAlignment w:val="auto"/>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highlight w:val="none"/>
                <w:lang w:eastAsia="zh-CN"/>
              </w:rPr>
              <w:t>干式尾矿库库内水位控制应遵循下列原则：</w:t>
            </w:r>
          </w:p>
          <w:p w14:paraId="56954A79">
            <w:pPr>
              <w:kinsoku/>
              <w:autoSpaceDE/>
              <w:autoSpaceDN/>
              <w:adjustRightInd/>
              <w:snapToGrid/>
              <w:spacing w:line="280" w:lineRule="exact"/>
              <w:textAlignment w:val="auto"/>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highlight w:val="none"/>
                <w:lang w:eastAsia="zh-CN"/>
              </w:rPr>
              <w:t>——尾矿库正常运行条件下不得存水；</w:t>
            </w:r>
          </w:p>
          <w:p w14:paraId="3856FA32">
            <w:pPr>
              <w:kinsoku/>
              <w:autoSpaceDE/>
              <w:autoSpaceDN/>
              <w:adjustRightInd/>
              <w:snapToGrid/>
              <w:spacing w:line="280" w:lineRule="exact"/>
              <w:textAlignment w:val="auto"/>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highlight w:val="none"/>
                <w:lang w:eastAsia="zh-CN"/>
              </w:rPr>
              <w:t>——入库一次洪水应在72h内排出库外。</w:t>
            </w:r>
          </w:p>
        </w:tc>
        <w:tc>
          <w:tcPr>
            <w:tcW w:w="1836" w:type="dxa"/>
            <w:vAlign w:val="center"/>
          </w:tcPr>
          <w:p w14:paraId="7BC91BC3">
            <w:pPr>
              <w:kinsoku/>
              <w:autoSpaceDE/>
              <w:autoSpaceDN/>
              <w:adjustRightInd/>
              <w:snapToGrid/>
              <w:spacing w:line="280" w:lineRule="exact"/>
              <w:jc w:val="both"/>
              <w:textAlignment w:val="auto"/>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highlight w:val="none"/>
                <w:lang w:eastAsia="zh-CN"/>
              </w:rPr>
              <w:t>《尾矿库安全规程》（GB39496-2020）第6.4.4条</w:t>
            </w:r>
          </w:p>
        </w:tc>
        <w:tc>
          <w:tcPr>
            <w:tcW w:w="2717" w:type="dxa"/>
            <w:vAlign w:val="center"/>
          </w:tcPr>
          <w:p w14:paraId="6D3B129B">
            <w:pPr>
              <w:kinsoku/>
              <w:autoSpaceDE/>
              <w:autoSpaceDN/>
              <w:adjustRightInd/>
              <w:snapToGrid/>
              <w:spacing w:line="280" w:lineRule="exact"/>
              <w:textAlignment w:val="auto"/>
              <w:rPr>
                <w:rFonts w:ascii="Times New Roman Regular" w:hAnsi="Times New Roman Regular" w:eastAsia="宋体" w:cs="Times New Roman Regular"/>
                <w:color w:val="auto"/>
                <w:highlight w:val="none"/>
                <w:lang w:eastAsia="zh-CN"/>
              </w:rPr>
            </w:pPr>
          </w:p>
        </w:tc>
        <w:tc>
          <w:tcPr>
            <w:tcW w:w="836" w:type="dxa"/>
            <w:vAlign w:val="center"/>
          </w:tcPr>
          <w:p w14:paraId="0E45AD70">
            <w:pPr>
              <w:kinsoku/>
              <w:autoSpaceDE/>
              <w:autoSpaceDN/>
              <w:adjustRightInd/>
              <w:snapToGrid/>
              <w:spacing w:line="28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符合</w:t>
            </w:r>
          </w:p>
        </w:tc>
      </w:tr>
      <w:tr w14:paraId="76094CDC">
        <w:trPr>
          <w:trHeight w:val="1366" w:hRule="atLeast"/>
          <w:jc w:val="center"/>
        </w:trPr>
        <w:tc>
          <w:tcPr>
            <w:tcW w:w="606" w:type="dxa"/>
            <w:vAlign w:val="center"/>
          </w:tcPr>
          <w:p w14:paraId="0CB90847">
            <w:pPr>
              <w:numPr>
                <w:ilvl w:val="0"/>
                <w:numId w:val="10"/>
              </w:numPr>
              <w:tabs>
                <w:tab w:val="clear" w:pos="0"/>
              </w:tabs>
              <w:spacing w:line="240" w:lineRule="exact"/>
              <w:jc w:val="center"/>
              <w:rPr>
                <w:rFonts w:eastAsia="仿宋"/>
                <w:color w:val="auto"/>
                <w:highlight w:val="none"/>
                <w:lang w:eastAsia="zh-CN"/>
              </w:rPr>
            </w:pPr>
          </w:p>
        </w:tc>
        <w:tc>
          <w:tcPr>
            <w:tcW w:w="3008" w:type="dxa"/>
            <w:vAlign w:val="center"/>
          </w:tcPr>
          <w:p w14:paraId="317F5599">
            <w:pPr>
              <w:jc w:val="both"/>
              <w:rPr>
                <w:rFonts w:ascii="Times New Roman Regular" w:hAnsi="Times New Roman Regular" w:eastAsia="宋体" w:cs="Times New Roman Regular"/>
                <w:color w:val="auto"/>
                <w:highlight w:val="none"/>
                <w:lang w:eastAsia="zh-CN"/>
              </w:rPr>
            </w:pPr>
            <w:r>
              <w:rPr>
                <w:rFonts w:ascii="Times New Roman Regular" w:hAnsi="Times New Roman Regular" w:eastAsia="宋体" w:cs="Times New Roman Regular"/>
                <w:color w:val="auto"/>
                <w:spacing w:val="15"/>
                <w:highlight w:val="none"/>
                <w:lang w:eastAsia="zh-CN"/>
              </w:rPr>
              <w:t>检查坝体裂缝和滑坡时，应检查坝体有无纵、横向裂缝和滑坡迹象。发现坝体</w:t>
            </w:r>
            <w:r>
              <w:rPr>
                <w:rFonts w:ascii="Times New Roman Regular" w:hAnsi="Times New Roman Regular" w:eastAsia="宋体" w:cs="Times New Roman Regular"/>
                <w:color w:val="auto"/>
                <w:spacing w:val="20"/>
                <w:highlight w:val="none"/>
                <w:lang w:eastAsia="zh-CN"/>
              </w:rPr>
              <w:t>出现裂缝时，应查明裂缝的长度、宽</w:t>
            </w:r>
            <w:r>
              <w:rPr>
                <w:rFonts w:ascii="Times New Roman Regular" w:hAnsi="Times New Roman Regular" w:eastAsia="宋体" w:cs="Times New Roman Regular"/>
                <w:color w:val="auto"/>
                <w:spacing w:val="15"/>
                <w:highlight w:val="none"/>
                <w:lang w:eastAsia="zh-CN"/>
              </w:rPr>
              <w:t>度、深度、走向、形态和成因，判定危害程度；发现坝体出现滑坡迹象时，应查明潜在滑坡位置、范围和形态以及滑</w:t>
            </w:r>
            <w:r>
              <w:rPr>
                <w:rFonts w:ascii="Times New Roman Regular" w:hAnsi="Times New Roman Regular" w:eastAsia="宋体" w:cs="Times New Roman Regular"/>
                <w:color w:val="auto"/>
                <w:spacing w:val="7"/>
                <w:highlight w:val="none"/>
                <w:lang w:eastAsia="zh-CN"/>
              </w:rPr>
              <w:t>坡的动态趋势。</w:t>
            </w:r>
          </w:p>
        </w:tc>
        <w:tc>
          <w:tcPr>
            <w:tcW w:w="1836" w:type="dxa"/>
            <w:vAlign w:val="center"/>
          </w:tcPr>
          <w:p w14:paraId="7D03A532">
            <w:pPr>
              <w:pStyle w:val="25"/>
              <w:jc w:val="both"/>
              <w:rPr>
                <w:rFonts w:ascii="Times New Roman Regular" w:hAnsi="Times New Roman Regular" w:eastAsia="宋体" w:cs="Times New Roman Regular"/>
                <w:color w:val="auto"/>
                <w:sz w:val="21"/>
                <w:szCs w:val="21"/>
                <w:highlight w:val="none"/>
                <w:lang w:eastAsia="zh-CN"/>
              </w:rPr>
            </w:pPr>
            <w:r>
              <w:rPr>
                <w:rFonts w:ascii="Times New Roman Regular" w:hAnsi="Times New Roman Regular" w:eastAsia="宋体" w:cs="Times New Roman Regular"/>
                <w:color w:val="auto"/>
                <w:sz w:val="21"/>
                <w:szCs w:val="21"/>
                <w:highlight w:val="none"/>
                <w:lang w:eastAsia="zh-CN"/>
              </w:rPr>
              <w:t>《尾矿库安全规程》（GB39496-2020）</w:t>
            </w:r>
            <w:r>
              <w:rPr>
                <w:rFonts w:ascii="Times New Roman Regular" w:hAnsi="Times New Roman Regular" w:eastAsia="宋体" w:cs="Times New Roman Regular"/>
                <w:color w:val="auto"/>
                <w:spacing w:val="20"/>
                <w:sz w:val="21"/>
                <w:szCs w:val="21"/>
                <w:highlight w:val="none"/>
                <w:lang w:eastAsia="zh-CN"/>
              </w:rPr>
              <w:t>第</w:t>
            </w:r>
            <w:r>
              <w:rPr>
                <w:rFonts w:ascii="Times New Roman Regular" w:hAnsi="Times New Roman Regular" w:eastAsia="宋体" w:cs="Times New Roman Regular"/>
                <w:color w:val="auto"/>
                <w:spacing w:val="2"/>
                <w:sz w:val="21"/>
                <w:szCs w:val="21"/>
                <w:highlight w:val="none"/>
                <w:lang w:eastAsia="zh-CN"/>
              </w:rPr>
              <w:t>9.3.4条</w:t>
            </w:r>
          </w:p>
        </w:tc>
        <w:tc>
          <w:tcPr>
            <w:tcW w:w="2717" w:type="dxa"/>
            <w:vAlign w:val="center"/>
          </w:tcPr>
          <w:p w14:paraId="0FE56E78">
            <w:pPr>
              <w:ind w:hanging="1"/>
              <w:rPr>
                <w:rFonts w:ascii="Times New Roman Regular" w:hAnsi="Times New Roman Regular" w:eastAsia="宋体" w:cs="Times New Roman Regular"/>
                <w:color w:val="auto"/>
                <w:highlight w:val="none"/>
                <w:lang w:eastAsia="zh-CN"/>
              </w:rPr>
            </w:pPr>
          </w:p>
        </w:tc>
        <w:tc>
          <w:tcPr>
            <w:tcW w:w="836" w:type="dxa"/>
            <w:vAlign w:val="center"/>
          </w:tcPr>
          <w:p w14:paraId="6FCBBC72">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5B1D6312">
        <w:trPr>
          <w:trHeight w:val="1366" w:hRule="atLeast"/>
          <w:jc w:val="center"/>
        </w:trPr>
        <w:tc>
          <w:tcPr>
            <w:tcW w:w="606" w:type="dxa"/>
            <w:vAlign w:val="center"/>
          </w:tcPr>
          <w:p w14:paraId="5DD6800B">
            <w:pPr>
              <w:numPr>
                <w:ilvl w:val="0"/>
                <w:numId w:val="10"/>
              </w:numPr>
              <w:tabs>
                <w:tab w:val="clear" w:pos="0"/>
              </w:tabs>
              <w:spacing w:line="240" w:lineRule="exact"/>
              <w:jc w:val="center"/>
              <w:rPr>
                <w:rFonts w:eastAsia="仿宋"/>
                <w:color w:val="auto"/>
                <w:highlight w:val="none"/>
                <w:lang w:eastAsia="zh-CN"/>
              </w:rPr>
            </w:pPr>
          </w:p>
        </w:tc>
        <w:tc>
          <w:tcPr>
            <w:tcW w:w="3008" w:type="dxa"/>
            <w:vAlign w:val="center"/>
          </w:tcPr>
          <w:p w14:paraId="08FB0409">
            <w:pP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8"/>
                <w:highlight w:val="none"/>
                <w:lang w:eastAsia="zh-CN"/>
              </w:rPr>
              <w:t>坝体外坡及下游是否有渗漏出逸点。</w:t>
            </w:r>
          </w:p>
        </w:tc>
        <w:tc>
          <w:tcPr>
            <w:tcW w:w="1836" w:type="dxa"/>
            <w:vAlign w:val="center"/>
          </w:tcPr>
          <w:p w14:paraId="20D67F2D">
            <w:pPr>
              <w:pStyle w:val="25"/>
              <w:ind w:firstLine="5"/>
              <w:jc w:val="both"/>
              <w:rPr>
                <w:rFonts w:ascii="Times New Roman Regular" w:hAnsi="Times New Roman Regular" w:eastAsia="宋体" w:cs="Times New Roman Regular"/>
                <w:color w:val="auto"/>
                <w:sz w:val="21"/>
                <w:szCs w:val="21"/>
                <w:highlight w:val="none"/>
                <w:lang w:eastAsia="zh-CN"/>
              </w:rPr>
            </w:pPr>
            <w:r>
              <w:rPr>
                <w:rFonts w:ascii="Times New Roman Regular" w:hAnsi="Times New Roman Regular" w:eastAsia="宋体" w:cs="Times New Roman Regular"/>
                <w:color w:val="auto"/>
                <w:sz w:val="21"/>
                <w:szCs w:val="21"/>
                <w:highlight w:val="none"/>
                <w:lang w:eastAsia="zh-CN"/>
              </w:rPr>
              <w:t>《尾矿库安全规程》（GB39496-2020）</w:t>
            </w:r>
            <w:r>
              <w:rPr>
                <w:rFonts w:ascii="Times New Roman Regular" w:hAnsi="Times New Roman Regular" w:eastAsia="宋体" w:cs="Times New Roman Regular"/>
                <w:color w:val="auto"/>
                <w:spacing w:val="20"/>
                <w:sz w:val="21"/>
                <w:szCs w:val="21"/>
                <w:highlight w:val="none"/>
                <w:lang w:eastAsia="zh-CN"/>
              </w:rPr>
              <w:t>第</w:t>
            </w:r>
            <w:r>
              <w:rPr>
                <w:rFonts w:ascii="Times New Roman Regular" w:hAnsi="Times New Roman Regular" w:eastAsia="宋体" w:cs="Times New Roman Regular"/>
                <w:color w:val="auto"/>
                <w:spacing w:val="2"/>
                <w:sz w:val="21"/>
                <w:szCs w:val="21"/>
                <w:highlight w:val="none"/>
                <w:lang w:eastAsia="zh-CN"/>
              </w:rPr>
              <w:t>9.3.5条</w:t>
            </w:r>
          </w:p>
        </w:tc>
        <w:tc>
          <w:tcPr>
            <w:tcW w:w="2717" w:type="dxa"/>
            <w:vAlign w:val="center"/>
          </w:tcPr>
          <w:p w14:paraId="5FD993C6">
            <w:pPr>
              <w:rPr>
                <w:rFonts w:ascii="Times New Roman" w:hAnsi="Times New Roman" w:eastAsia="宋体" w:cs="Times New Roman"/>
                <w:color w:val="auto"/>
                <w:highlight w:val="none"/>
                <w:lang w:eastAsia="zh-CN"/>
              </w:rPr>
            </w:pPr>
          </w:p>
        </w:tc>
        <w:tc>
          <w:tcPr>
            <w:tcW w:w="836" w:type="dxa"/>
            <w:vAlign w:val="center"/>
          </w:tcPr>
          <w:p w14:paraId="3906F623">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bl>
    <w:p w14:paraId="116E98E3">
      <w:pPr>
        <w:rPr>
          <w:color w:val="auto"/>
          <w:highlight w:val="none"/>
          <w:lang w:eastAsia="zh-CN"/>
        </w:rPr>
      </w:pPr>
    </w:p>
    <w:p w14:paraId="5AEBECCB">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73" w:name="_Toc2675"/>
      <w:bookmarkStart w:id="174" w:name="_Toc10424"/>
      <w:bookmarkStart w:id="175" w:name="_Toc30304"/>
      <w:r>
        <w:rPr>
          <w:rFonts w:ascii="Times New Roman" w:hAnsi="Times New Roman" w:eastAsia="Times New Roman" w:cs="Times New Roman"/>
          <w:bCs/>
          <w:color w:val="auto"/>
          <w:spacing w:val="-3"/>
          <w:sz w:val="28"/>
          <w:szCs w:val="28"/>
          <w:highlight w:val="none"/>
          <w:lang w:eastAsia="zh-CN"/>
        </w:rPr>
        <w:t>5.2.</w:t>
      </w:r>
      <w:r>
        <w:rPr>
          <w:rFonts w:hint="eastAsia" w:ascii="Times New Roman" w:hAnsi="Times New Roman" w:eastAsia="Times New Roman" w:cs="Times New Roman"/>
          <w:bCs/>
          <w:color w:val="auto"/>
          <w:spacing w:val="-3"/>
          <w:sz w:val="28"/>
          <w:szCs w:val="28"/>
          <w:highlight w:val="none"/>
          <w:lang w:eastAsia="zh-CN"/>
        </w:rPr>
        <w:t>2</w:t>
      </w:r>
      <w:r>
        <w:rPr>
          <w:rFonts w:ascii="Times New Roman" w:hAnsi="Times New Roman" w:eastAsia="Times New Roman" w:cs="Times New Roman"/>
          <w:bCs/>
          <w:color w:val="auto"/>
          <w:spacing w:val="-3"/>
          <w:sz w:val="28"/>
          <w:szCs w:val="28"/>
          <w:highlight w:val="none"/>
          <w:lang w:eastAsia="zh-CN"/>
        </w:rPr>
        <w:t xml:space="preserve"> </w:t>
      </w:r>
      <w:r>
        <w:rPr>
          <w:rFonts w:ascii="宋体" w:hAnsi="宋体" w:eastAsia="宋体" w:cs="宋体"/>
          <w:bCs/>
          <w:color w:val="auto"/>
          <w:spacing w:val="-3"/>
          <w:sz w:val="28"/>
          <w:szCs w:val="28"/>
          <w:highlight w:val="none"/>
          <w:lang w:eastAsia="zh-CN"/>
        </w:rPr>
        <w:t>坝体边坡稳定分析</w:t>
      </w:r>
      <w:bookmarkEnd w:id="173"/>
      <w:bookmarkEnd w:id="174"/>
      <w:bookmarkEnd w:id="175"/>
    </w:p>
    <w:p w14:paraId="27E807A8">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snapToGrid/>
          <w:color w:val="auto"/>
          <w:kern w:val="2"/>
          <w:szCs w:val="28"/>
          <w:highlight w:val="none"/>
          <w:lang w:eastAsia="zh-CN"/>
        </w:rPr>
      </w:pPr>
      <w:r>
        <w:rPr>
          <w:color w:val="auto"/>
          <w:highlight w:val="none"/>
        </w:rPr>
        <w:fldChar w:fldCharType="begin"/>
      </w:r>
      <w:r>
        <w:rPr>
          <w:color w:val="auto"/>
          <w:highlight w:val="none"/>
        </w:rPr>
        <w:instrText xml:space="preserve"> HYPERLINK "5.2.2.1"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5.2.2.1</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荷载组合及安全系数</w:t>
      </w:r>
    </w:p>
    <w:p w14:paraId="0B7A7EB1">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本次采用瑞典圆弧法进行计算，依据《选矿厂尾矿设施设计规范》和《尾矿库安全技术规程》坝体在各种运行情况下的荷载组合及最小安全系数：</w:t>
      </w:r>
    </w:p>
    <w:p w14:paraId="755B0ACA">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（1）正常运行=坝体自重，尾矿库为五等库，瑞典圆弧法最小安全系数为1.15；</w:t>
      </w:r>
    </w:p>
    <w:p w14:paraId="40B9D3F4">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（2）洪水运行=最高洪水位+坝体自重，尾矿库为五等库，瑞典圆弧法最小安全系数为1.05；</w:t>
      </w:r>
    </w:p>
    <w:p w14:paraId="34051920">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（3）特殊运行=最高洪水位+坝体自重+地震，尾矿库为五等库，瑞典圆弧法最小安全系数为1.00。</w:t>
      </w:r>
    </w:p>
    <w:p w14:paraId="42A1A02A">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color w:val="auto"/>
          <w:szCs w:val="28"/>
          <w:highlight w:val="none"/>
          <w:lang w:eastAsia="zh-CN"/>
        </w:rPr>
      </w:pPr>
      <w:r>
        <w:rPr>
          <w:color w:val="auto"/>
          <w:highlight w:val="none"/>
        </w:rPr>
        <w:fldChar w:fldCharType="begin"/>
      </w:r>
      <w:r>
        <w:rPr>
          <w:color w:val="auto"/>
          <w:highlight w:val="none"/>
        </w:rPr>
        <w:instrText xml:space="preserve"> HYPERLINK "5.2.2.1"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5.2.2.2</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稳定性计算参数选取</w:t>
      </w:r>
    </w:p>
    <w:p w14:paraId="312AD7E9">
      <w:pPr>
        <w:widowControl w:val="0"/>
        <w:kinsoku/>
        <w:autoSpaceDE/>
        <w:autoSpaceDN/>
        <w:spacing w:line="360" w:lineRule="auto"/>
        <w:ind w:firstLine="560" w:firstLineChars="200"/>
        <w:textAlignment w:val="auto"/>
        <w:rPr>
          <w:rFonts w:ascii="Times New Roman Regular" w:hAnsi="Times New Roman Regular" w:eastAsia="宋体" w:cs="Times New Roman Regular"/>
          <w:color w:val="auto"/>
          <w:sz w:val="28"/>
          <w:szCs w:val="28"/>
          <w:highlight w:val="none"/>
          <w:lang w:eastAsia="zh-CN"/>
        </w:rPr>
      </w:pPr>
    </w:p>
    <w:p w14:paraId="53A9E1E1">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color w:val="auto"/>
          <w:szCs w:val="28"/>
          <w:highlight w:val="none"/>
          <w:lang w:eastAsia="zh-CN"/>
        </w:rPr>
      </w:pPr>
      <w:r>
        <w:rPr>
          <w:color w:val="auto"/>
          <w:highlight w:val="none"/>
        </w:rPr>
        <w:fldChar w:fldCharType="begin"/>
      </w:r>
      <w:r>
        <w:rPr>
          <w:color w:val="auto"/>
          <w:highlight w:val="none"/>
        </w:rPr>
        <w:instrText xml:space="preserve"> HYPERLINK "5.2.2.1" </w:instrText>
      </w:r>
      <w:r>
        <w:rPr>
          <w:color w:val="auto"/>
          <w:highlight w:val="none"/>
        </w:rPr>
        <w:fldChar w:fldCharType="separate"/>
      </w:r>
      <w:r>
        <w:rPr>
          <w:rFonts w:ascii="Times New Roman Regular" w:hAnsi="Times New Roman Regular" w:eastAsia="宋体" w:cs="Times New Roman Regular"/>
          <w:color w:val="auto"/>
          <w:szCs w:val="28"/>
          <w:highlight w:val="none"/>
          <w:lang w:eastAsia="zh-CN"/>
        </w:rPr>
        <w:t>5.2.2.4</w:t>
      </w:r>
      <w:r>
        <w:rPr>
          <w:rFonts w:ascii="Times New Roman Regular" w:hAnsi="Times New Roman Regular" w:eastAsia="宋体" w:cs="Times New Roman Regular"/>
          <w:color w:val="auto"/>
          <w:szCs w:val="28"/>
          <w:highlight w:val="none"/>
          <w:lang w:eastAsia="zh-CN"/>
        </w:rPr>
        <w:fldChar w:fldCharType="end"/>
      </w:r>
      <w:r>
        <w:rPr>
          <w:rFonts w:ascii="Times New Roman Regular" w:hAnsi="Times New Roman Regular" w:eastAsia="宋体" w:cs="Times New Roman Regular"/>
          <w:color w:val="auto"/>
          <w:szCs w:val="28"/>
          <w:highlight w:val="none"/>
          <w:lang w:eastAsia="zh-CN"/>
        </w:rPr>
        <w:t xml:space="preserve"> 洪水运行期坝体稳定性计算</w:t>
      </w:r>
    </w:p>
    <w:p w14:paraId="1DFB146E">
      <w:pPr>
        <w:widowControl w:val="0"/>
        <w:kinsoku/>
        <w:autoSpaceDE/>
        <w:autoSpaceDN/>
        <w:spacing w:line="360" w:lineRule="auto"/>
        <w:ind w:firstLine="560" w:firstLineChars="200"/>
        <w:textAlignment w:val="auto"/>
        <w:rPr>
          <w:rFonts w:ascii="Times New Roman Regular" w:hAnsi="Times New Roman Regular" w:eastAsia="宋体" w:cs="Times New Roman Regular"/>
          <w:color w:val="auto"/>
          <w:sz w:val="28"/>
          <w:szCs w:val="28"/>
          <w:highlight w:val="none"/>
          <w:lang w:eastAsia="zh-CN"/>
        </w:rPr>
      </w:pPr>
    </w:p>
    <w:p w14:paraId="444B75C2">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color w:val="auto"/>
          <w:szCs w:val="28"/>
          <w:highlight w:val="none"/>
          <w:lang w:eastAsia="zh-CN"/>
        </w:rPr>
      </w:pPr>
      <w:r>
        <w:rPr>
          <w:color w:val="auto"/>
          <w:highlight w:val="none"/>
        </w:rPr>
        <w:fldChar w:fldCharType="begin"/>
      </w:r>
      <w:r>
        <w:rPr>
          <w:color w:val="auto"/>
          <w:highlight w:val="none"/>
        </w:rPr>
        <w:instrText xml:space="preserve"> HYPERLINK "5.2.2.1" </w:instrText>
      </w:r>
      <w:r>
        <w:rPr>
          <w:color w:val="auto"/>
          <w:highlight w:val="none"/>
        </w:rPr>
        <w:fldChar w:fldCharType="separate"/>
      </w:r>
      <w:r>
        <w:rPr>
          <w:rFonts w:ascii="Times New Roman Regular" w:hAnsi="Times New Roman Regular" w:eastAsia="宋体" w:cs="Times New Roman Regular"/>
          <w:color w:val="auto"/>
          <w:szCs w:val="28"/>
          <w:highlight w:val="none"/>
          <w:lang w:eastAsia="zh-CN"/>
        </w:rPr>
        <w:t>5.2.2.5</w:t>
      </w:r>
      <w:r>
        <w:rPr>
          <w:rFonts w:ascii="Times New Roman Regular" w:hAnsi="Times New Roman Regular" w:eastAsia="宋体" w:cs="Times New Roman Regular"/>
          <w:color w:val="auto"/>
          <w:szCs w:val="28"/>
          <w:highlight w:val="none"/>
          <w:lang w:eastAsia="zh-CN"/>
        </w:rPr>
        <w:fldChar w:fldCharType="end"/>
      </w:r>
      <w:r>
        <w:rPr>
          <w:rFonts w:ascii="Times New Roman Regular" w:hAnsi="Times New Roman Regular" w:eastAsia="宋体" w:cs="Times New Roman Regular"/>
          <w:color w:val="auto"/>
          <w:szCs w:val="28"/>
          <w:highlight w:val="none"/>
          <w:lang w:eastAsia="zh-CN"/>
        </w:rPr>
        <w:t xml:space="preserve"> 特殊运行期坝体稳定性计算</w:t>
      </w:r>
    </w:p>
    <w:p w14:paraId="1F975074">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p>
    <w:p w14:paraId="0AF627A5">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76" w:name="_Toc8689"/>
      <w:bookmarkStart w:id="177" w:name="_Toc22606"/>
      <w:bookmarkStart w:id="178" w:name="_Toc24231"/>
      <w:r>
        <w:rPr>
          <w:rFonts w:ascii="Times New Roman" w:hAnsi="Times New Roman" w:eastAsia="Times New Roman" w:cs="Times New Roman"/>
          <w:bCs/>
          <w:color w:val="auto"/>
          <w:spacing w:val="-3"/>
          <w:sz w:val="28"/>
          <w:szCs w:val="28"/>
          <w:highlight w:val="none"/>
          <w:lang w:eastAsia="zh-CN"/>
        </w:rPr>
        <w:t>5.2.</w:t>
      </w:r>
      <w:r>
        <w:rPr>
          <w:rFonts w:hint="eastAsia" w:ascii="Times New Roman" w:hAnsi="Times New Roman" w:eastAsia="Times New Roman" w:cs="Times New Roman"/>
          <w:bCs/>
          <w:color w:val="auto"/>
          <w:spacing w:val="-3"/>
          <w:sz w:val="28"/>
          <w:szCs w:val="28"/>
          <w:highlight w:val="none"/>
          <w:lang w:eastAsia="zh-CN"/>
        </w:rPr>
        <w:t>3</w:t>
      </w:r>
      <w:r>
        <w:rPr>
          <w:rFonts w:ascii="Times New Roman" w:hAnsi="Times New Roman" w:eastAsia="Times New Roman" w:cs="Times New Roman"/>
          <w:bCs/>
          <w:color w:val="auto"/>
          <w:spacing w:val="-3"/>
          <w:sz w:val="28"/>
          <w:szCs w:val="28"/>
          <w:highlight w:val="none"/>
          <w:lang w:eastAsia="zh-CN"/>
        </w:rPr>
        <w:t xml:space="preserve"> </w:t>
      </w:r>
      <w:r>
        <w:rPr>
          <w:rFonts w:ascii="宋体" w:hAnsi="宋体" w:eastAsia="宋体" w:cs="宋体"/>
          <w:bCs/>
          <w:color w:val="auto"/>
          <w:spacing w:val="-3"/>
          <w:sz w:val="28"/>
          <w:szCs w:val="28"/>
          <w:highlight w:val="none"/>
          <w:lang w:eastAsia="zh-CN"/>
        </w:rPr>
        <w:t>评价单元小结</w:t>
      </w:r>
      <w:bookmarkEnd w:id="176"/>
      <w:bookmarkEnd w:id="177"/>
      <w:bookmarkEnd w:id="178"/>
    </w:p>
    <w:p w14:paraId="205B8C95">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评价组通过查阅相关报告及现场踏勘，利用定性、定量评价法对尾矿坝单元进行评价：该尾矿库坝体结构完好，轮廓尺寸符合设计要求，无渗漏、管涌、沼泽化、裂缝和滑坡现象，坡面护坡良好。尾矿坝在现状渗流稳定性良好，不会发生渗流破坏。尾矿坝现状的边坡抗滑稳定性满足设计及规范要求。尾矿坝符合有关安全生产法律法规、规章、规范性文件和标准的规定，具备安全生产条件。</w:t>
      </w:r>
    </w:p>
    <w:p w14:paraId="732CE6F9">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79" w:name="_Toc2121736032"/>
      <w:bookmarkStart w:id="180" w:name="_Toc18891"/>
      <w:r>
        <w:rPr>
          <w:rFonts w:ascii="Times New Roman Regular" w:hAnsi="Times New Roman Regular" w:eastAsia="黑体" w:cs="Times New Roman Regular"/>
          <w:snapToGrid/>
          <w:color w:val="auto"/>
          <w:kern w:val="2"/>
          <w:highlight w:val="none"/>
          <w:lang w:eastAsia="zh-CN"/>
        </w:rPr>
        <w:t>5.3 防排洪系统单元</w:t>
      </w:r>
      <w:bookmarkEnd w:id="179"/>
      <w:bookmarkEnd w:id="180"/>
    </w:p>
    <w:p w14:paraId="1CA5DD2A">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81" w:name="_Toc7108"/>
      <w:bookmarkStart w:id="182" w:name="_Toc28658"/>
      <w:bookmarkStart w:id="183" w:name="_Toc28252"/>
      <w:r>
        <w:rPr>
          <w:rFonts w:ascii="Times New Roman" w:hAnsi="Times New Roman" w:eastAsia="Times New Roman" w:cs="Times New Roman"/>
          <w:bCs/>
          <w:color w:val="auto"/>
          <w:spacing w:val="-3"/>
          <w:sz w:val="28"/>
          <w:szCs w:val="28"/>
          <w:highlight w:val="none"/>
          <w:lang w:eastAsia="zh-CN"/>
        </w:rPr>
        <w:t xml:space="preserve">5.3.1 </w:t>
      </w:r>
      <w:r>
        <w:rPr>
          <w:rFonts w:ascii="宋体" w:hAnsi="宋体" w:eastAsia="宋体" w:cs="宋体"/>
          <w:bCs/>
          <w:color w:val="auto"/>
          <w:spacing w:val="-3"/>
          <w:sz w:val="28"/>
          <w:szCs w:val="28"/>
          <w:highlight w:val="none"/>
          <w:lang w:eastAsia="zh-CN"/>
        </w:rPr>
        <w:t>安全检查表法评价</w:t>
      </w:r>
      <w:bookmarkEnd w:id="181"/>
      <w:bookmarkEnd w:id="182"/>
      <w:bookmarkEnd w:id="183"/>
    </w:p>
    <w:p w14:paraId="22224DBB">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根据相关法律法规、技术标准的要求，借鉴同类尾矿库经验，运用安全检查表的评价方法对该尾矿库</w:t>
      </w:r>
      <w:r>
        <w:rPr>
          <w:rFonts w:hint="eastAsia" w:ascii="Times New Roman Regular" w:hAnsi="Times New Roman Regular" w:eastAsia="宋体" w:cs="Times New Roman Regular"/>
          <w:color w:val="auto"/>
          <w:spacing w:val="7"/>
          <w:sz w:val="28"/>
          <w:szCs w:val="28"/>
          <w:highlight w:val="none"/>
          <w:lang w:eastAsia="zh-CN"/>
        </w:rPr>
        <w:t>防</w:t>
      </w:r>
      <w:r>
        <w:rPr>
          <w:rFonts w:hint="default" w:ascii="Times New Roman Regular" w:hAnsi="Times New Roman Regular" w:eastAsia="宋体" w:cs="Times New Roman Regular"/>
          <w:color w:val="auto"/>
          <w:spacing w:val="7"/>
          <w:sz w:val="28"/>
          <w:szCs w:val="28"/>
          <w:highlight w:val="none"/>
          <w:lang w:eastAsia="zh-CN"/>
        </w:rPr>
        <w:t>排洪系统单元进行符合性评价，详见表5.3-1。</w:t>
      </w:r>
    </w:p>
    <w:p w14:paraId="190CBEA0">
      <w:pPr>
        <w:spacing w:line="400" w:lineRule="exact"/>
        <w:jc w:val="center"/>
        <w:rPr>
          <w:rFonts w:hint="eastAsia" w:ascii="黑体" w:hAnsi="黑体" w:eastAsia="黑体" w:cs="黑体"/>
          <w:bCs/>
          <w:color w:val="auto"/>
          <w:sz w:val="24"/>
          <w:highlight w:val="none"/>
          <w:lang w:eastAsia="zh-CN"/>
        </w:rPr>
      </w:pPr>
      <w:bookmarkStart w:id="184" w:name="bookmark44"/>
      <w:bookmarkEnd w:id="184"/>
      <w:r>
        <w:rPr>
          <w:rFonts w:ascii="黑体" w:hAnsi="黑体" w:eastAsia="黑体" w:cs="黑体"/>
          <w:bCs/>
          <w:color w:val="auto"/>
          <w:sz w:val="24"/>
          <w:highlight w:val="none"/>
          <w:lang w:eastAsia="zh-CN"/>
        </w:rPr>
        <w:t xml:space="preserve">表5.3-1 </w:t>
      </w:r>
      <w:r>
        <w:rPr>
          <w:rFonts w:hint="eastAsia" w:ascii="黑体" w:hAnsi="黑体" w:eastAsia="黑体" w:cs="黑体"/>
          <w:bCs/>
          <w:color w:val="auto"/>
          <w:sz w:val="24"/>
          <w:highlight w:val="none"/>
          <w:lang w:eastAsia="zh-CN"/>
        </w:rPr>
        <w:t xml:space="preserve"> 防</w:t>
      </w:r>
      <w:r>
        <w:rPr>
          <w:rFonts w:ascii="黑体" w:hAnsi="黑体" w:eastAsia="黑体" w:cs="黑体"/>
          <w:bCs/>
          <w:color w:val="auto"/>
          <w:sz w:val="24"/>
          <w:highlight w:val="none"/>
          <w:lang w:eastAsia="zh-CN"/>
        </w:rPr>
        <w:t>排洪系统单元安全检查表</w:t>
      </w:r>
    </w:p>
    <w:tbl>
      <w:tblPr>
        <w:tblStyle w:val="24"/>
        <w:tblW w:w="90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28" w:type="dxa"/>
          <w:left w:w="28" w:type="dxa"/>
          <w:bottom w:w="28" w:type="dxa"/>
          <w:right w:w="28" w:type="dxa"/>
        </w:tblCellMar>
      </w:tblPr>
      <w:tblGrid>
        <w:gridCol w:w="606"/>
        <w:gridCol w:w="3008"/>
        <w:gridCol w:w="1836"/>
        <w:gridCol w:w="2717"/>
        <w:gridCol w:w="836"/>
      </w:tblGrid>
      <w:tr w14:paraId="29C91DAD">
        <w:trPr>
          <w:trHeight w:val="442" w:hRule="atLeast"/>
          <w:tblHeader/>
          <w:jc w:val="center"/>
        </w:trPr>
        <w:tc>
          <w:tcPr>
            <w:tcW w:w="606" w:type="dxa"/>
            <w:vAlign w:val="center"/>
          </w:tcPr>
          <w:p w14:paraId="18F9C2BD">
            <w:pPr>
              <w:jc w:val="center"/>
              <w:rPr>
                <w:rFonts w:hint="eastAsia" w:ascii="宋体" w:hAnsi="宋体" w:eastAsia="宋体" w:cs="宋体"/>
                <w:color w:val="auto"/>
                <w:highlight w:val="none"/>
              </w:rPr>
            </w:pPr>
            <w:r>
              <w:rPr>
                <w:rFonts w:ascii="宋体" w:hAnsi="宋体" w:eastAsia="宋体" w:cs="宋体"/>
                <w:color w:val="auto"/>
                <w:spacing w:val="5"/>
                <w:highlight w:val="none"/>
              </w:rPr>
              <w:t>序号</w:t>
            </w:r>
          </w:p>
        </w:tc>
        <w:tc>
          <w:tcPr>
            <w:tcW w:w="3008" w:type="dxa"/>
            <w:vAlign w:val="center"/>
          </w:tcPr>
          <w:p w14:paraId="40B0927E">
            <w:pPr>
              <w:jc w:val="center"/>
              <w:rPr>
                <w:rFonts w:hint="eastAsia" w:ascii="宋体" w:hAnsi="宋体" w:eastAsia="宋体" w:cs="宋体"/>
                <w:color w:val="auto"/>
                <w:highlight w:val="none"/>
              </w:rPr>
            </w:pPr>
            <w:r>
              <w:rPr>
                <w:rFonts w:ascii="宋体" w:hAnsi="宋体" w:eastAsia="宋体" w:cs="宋体"/>
                <w:color w:val="auto"/>
                <w:spacing w:val="7"/>
                <w:highlight w:val="none"/>
              </w:rPr>
              <w:t>检查项目</w:t>
            </w:r>
          </w:p>
        </w:tc>
        <w:tc>
          <w:tcPr>
            <w:tcW w:w="1836" w:type="dxa"/>
            <w:vAlign w:val="center"/>
          </w:tcPr>
          <w:p w14:paraId="50F0D0B3">
            <w:pPr>
              <w:jc w:val="center"/>
              <w:rPr>
                <w:rFonts w:hint="eastAsia" w:ascii="宋体" w:hAnsi="宋体" w:eastAsia="宋体" w:cs="宋体"/>
                <w:color w:val="auto"/>
                <w:highlight w:val="none"/>
              </w:rPr>
            </w:pPr>
            <w:r>
              <w:rPr>
                <w:rFonts w:ascii="宋体" w:hAnsi="宋体" w:eastAsia="宋体" w:cs="宋体"/>
                <w:color w:val="auto"/>
                <w:spacing w:val="7"/>
                <w:highlight w:val="none"/>
              </w:rPr>
              <w:t>检查依据</w:t>
            </w:r>
          </w:p>
        </w:tc>
        <w:tc>
          <w:tcPr>
            <w:tcW w:w="2717" w:type="dxa"/>
            <w:vAlign w:val="center"/>
          </w:tcPr>
          <w:p w14:paraId="41835691">
            <w:pPr>
              <w:jc w:val="center"/>
              <w:rPr>
                <w:rFonts w:hint="eastAsia" w:ascii="宋体" w:hAnsi="宋体" w:eastAsia="宋体" w:cs="宋体"/>
                <w:color w:val="auto"/>
                <w:highlight w:val="none"/>
              </w:rPr>
            </w:pPr>
            <w:r>
              <w:rPr>
                <w:rFonts w:ascii="宋体" w:hAnsi="宋体" w:eastAsia="宋体" w:cs="宋体"/>
                <w:color w:val="auto"/>
                <w:spacing w:val="6"/>
                <w:highlight w:val="none"/>
              </w:rPr>
              <w:t>实际情况</w:t>
            </w:r>
          </w:p>
        </w:tc>
        <w:tc>
          <w:tcPr>
            <w:tcW w:w="836" w:type="dxa"/>
            <w:vAlign w:val="center"/>
          </w:tcPr>
          <w:p w14:paraId="669CD5F6">
            <w:pPr>
              <w:jc w:val="center"/>
              <w:rPr>
                <w:rFonts w:hint="eastAsia" w:ascii="宋体" w:hAnsi="宋体" w:eastAsia="宋体" w:cs="宋体"/>
                <w:color w:val="auto"/>
                <w:highlight w:val="none"/>
              </w:rPr>
            </w:pPr>
            <w:r>
              <w:rPr>
                <w:rFonts w:ascii="宋体" w:hAnsi="宋体" w:eastAsia="宋体" w:cs="宋体"/>
                <w:color w:val="auto"/>
                <w:spacing w:val="2"/>
                <w:highlight w:val="none"/>
              </w:rPr>
              <w:t>结论</w:t>
            </w:r>
          </w:p>
        </w:tc>
      </w:tr>
      <w:tr w14:paraId="0C9540B3">
        <w:trPr>
          <w:trHeight w:val="442" w:hRule="atLeast"/>
          <w:jc w:val="center"/>
        </w:trPr>
        <w:tc>
          <w:tcPr>
            <w:tcW w:w="606" w:type="dxa"/>
            <w:vAlign w:val="center"/>
          </w:tcPr>
          <w:p w14:paraId="2384517D">
            <w:pPr>
              <w:numPr>
                <w:ilvl w:val="0"/>
                <w:numId w:val="11"/>
              </w:numPr>
              <w:tabs>
                <w:tab w:val="clear" w:pos="0"/>
              </w:tabs>
              <w:spacing w:line="240" w:lineRule="exact"/>
              <w:jc w:val="center"/>
              <w:rPr>
                <w:rFonts w:eastAsia="仿宋"/>
                <w:color w:val="auto"/>
                <w:highlight w:val="none"/>
              </w:rPr>
            </w:pPr>
          </w:p>
        </w:tc>
        <w:tc>
          <w:tcPr>
            <w:tcW w:w="3008" w:type="dxa"/>
            <w:vAlign w:val="center"/>
          </w:tcPr>
          <w:p w14:paraId="2636E182">
            <w:pPr>
              <w:jc w:val="both"/>
              <w:rPr>
                <w:rFonts w:ascii="Times New Roman Regular" w:hAnsi="Times New Roman Regular" w:eastAsia="宋体" w:cs="Times New Roman Regular"/>
                <w:color w:val="auto"/>
                <w:spacing w:val="7"/>
                <w:highlight w:val="none"/>
                <w:lang w:eastAsia="zh-CN"/>
              </w:rPr>
            </w:pPr>
            <w:r>
              <w:rPr>
                <w:rFonts w:ascii="Times New Roman Regular" w:hAnsi="Times New Roman Regular" w:cs="Times New Roman Regular"/>
                <w:color w:val="auto"/>
                <w:highlight w:val="none"/>
                <w:lang w:eastAsia="zh-CN"/>
              </w:rPr>
              <w:t>采用“井—管”及溢洪道的排洪方式，并在库岸周边建设</w:t>
            </w:r>
            <w:r>
              <w:rPr>
                <w:rFonts w:ascii="Times New Roman Regular" w:hAnsi="Times New Roman Regular" w:eastAsia="宋体" w:cs="Times New Roman Regular"/>
                <w:color w:val="auto"/>
                <w:highlight w:val="none"/>
                <w:lang w:eastAsia="zh-CN"/>
              </w:rPr>
              <w:t>截</w:t>
            </w:r>
            <w:r>
              <w:rPr>
                <w:rFonts w:ascii="Times New Roman Regular" w:hAnsi="Times New Roman Regular" w:cs="Times New Roman Regular"/>
                <w:color w:val="auto"/>
                <w:highlight w:val="none"/>
                <w:lang w:eastAsia="zh-CN"/>
              </w:rPr>
              <w:t>洪沟阻止雨、洪水进库。</w:t>
            </w:r>
          </w:p>
        </w:tc>
        <w:tc>
          <w:tcPr>
            <w:tcW w:w="1836" w:type="dxa"/>
            <w:vAlign w:val="center"/>
          </w:tcPr>
          <w:p w14:paraId="2275FB70">
            <w:pPr>
              <w:jc w:val="both"/>
              <w:rPr>
                <w:rFonts w:hint="eastAsia" w:ascii="宋体" w:hAnsi="宋体" w:eastAsia="宋体" w:cs="宋体"/>
                <w:color w:val="auto"/>
                <w:spacing w:val="7"/>
                <w:highlight w:val="none"/>
                <w:lang w:eastAsia="zh-CN"/>
              </w:rPr>
            </w:pPr>
            <w:r>
              <w:rPr>
                <w:rFonts w:hint="eastAsia"/>
                <w:color w:val="auto"/>
                <w:highlight w:val="none"/>
                <w:lang w:eastAsia="zh-CN"/>
              </w:rPr>
              <w:t>《葫芦岛岳强矿业有限责任公司干堆尾矿库安全专篇》</w:t>
            </w:r>
          </w:p>
        </w:tc>
        <w:tc>
          <w:tcPr>
            <w:tcW w:w="2717" w:type="dxa"/>
            <w:vAlign w:val="center"/>
          </w:tcPr>
          <w:p w14:paraId="233BCEE8">
            <w:pPr>
              <w:jc w:val="both"/>
              <w:rPr>
                <w:rFonts w:ascii="Times New Roman Regular" w:hAnsi="Times New Roman Regular" w:eastAsia="宋体" w:cs="Times New Roman Regular"/>
                <w:color w:val="auto"/>
                <w:spacing w:val="7"/>
                <w:highlight w:val="none"/>
                <w:lang w:eastAsia="zh-CN"/>
              </w:rPr>
            </w:pPr>
          </w:p>
        </w:tc>
        <w:tc>
          <w:tcPr>
            <w:tcW w:w="836" w:type="dxa"/>
            <w:vAlign w:val="center"/>
          </w:tcPr>
          <w:p w14:paraId="487D5E3E">
            <w:pPr>
              <w:jc w:val="center"/>
              <w:rPr>
                <w:rFonts w:hint="eastAsia" w:ascii="宋体" w:hAnsi="宋体" w:eastAsia="宋体" w:cs="宋体"/>
                <w:color w:val="auto"/>
                <w:spacing w:val="2"/>
                <w:highlight w:val="none"/>
              </w:rPr>
            </w:pPr>
            <w:r>
              <w:rPr>
                <w:rFonts w:ascii="Times New Roman" w:hAnsi="Times New Roman" w:eastAsia="宋体" w:cs="Times New Roman"/>
                <w:color w:val="auto"/>
                <w:spacing w:val="3"/>
                <w:highlight w:val="none"/>
              </w:rPr>
              <w:t>符合</w:t>
            </w:r>
          </w:p>
        </w:tc>
      </w:tr>
      <w:tr w14:paraId="6BAF0766">
        <w:trPr>
          <w:trHeight w:val="442" w:hRule="atLeast"/>
          <w:jc w:val="center"/>
        </w:trPr>
        <w:tc>
          <w:tcPr>
            <w:tcW w:w="606" w:type="dxa"/>
            <w:vAlign w:val="center"/>
          </w:tcPr>
          <w:p w14:paraId="54DFD424">
            <w:pPr>
              <w:numPr>
                <w:ilvl w:val="0"/>
                <w:numId w:val="11"/>
              </w:numPr>
              <w:tabs>
                <w:tab w:val="clear" w:pos="0"/>
              </w:tabs>
              <w:spacing w:line="240" w:lineRule="exact"/>
              <w:jc w:val="center"/>
              <w:rPr>
                <w:rFonts w:eastAsia="仿宋"/>
                <w:color w:val="auto"/>
                <w:highlight w:val="none"/>
              </w:rPr>
            </w:pPr>
          </w:p>
        </w:tc>
        <w:tc>
          <w:tcPr>
            <w:tcW w:w="3008" w:type="dxa"/>
            <w:vAlign w:val="center"/>
          </w:tcPr>
          <w:p w14:paraId="29DA3D00">
            <w:pPr>
              <w:jc w:val="both"/>
              <w:rPr>
                <w:rFonts w:ascii="Times New Roman Regular" w:hAnsi="Times New Roman Regular" w:eastAsia="宋体" w:cs="Times New Roman Regular"/>
                <w:color w:val="auto"/>
                <w:spacing w:val="7"/>
                <w:highlight w:val="none"/>
                <w:lang w:eastAsia="zh-CN"/>
              </w:rPr>
            </w:pPr>
            <w:r>
              <w:rPr>
                <w:rFonts w:ascii="Times New Roman Regular" w:hAnsi="Times New Roman Regular" w:eastAsia="宋体" w:cs="Times New Roman Regular"/>
                <w:color w:val="auto"/>
                <w:spacing w:val="7"/>
                <w:highlight w:val="none"/>
                <w:lang w:eastAsia="zh-CN"/>
              </w:rPr>
              <w:t>库内已建2座钢筋混凝土框架式排水井井座，排</w:t>
            </w:r>
            <w:r>
              <w:rPr>
                <w:rFonts w:hint="eastAsia" w:ascii="Times New Roman Regular" w:hAnsi="Times New Roman Regular" w:eastAsia="宋体" w:cs="Times New Roman Regular"/>
                <w:color w:val="auto"/>
                <w:spacing w:val="7"/>
                <w:highlight w:val="none"/>
                <w:lang w:eastAsia="zh-CN"/>
              </w:rPr>
              <w:t>水</w:t>
            </w:r>
            <w:r>
              <w:rPr>
                <w:rFonts w:ascii="Times New Roman Regular" w:hAnsi="Times New Roman Regular" w:eastAsia="宋体" w:cs="Times New Roman Regular"/>
                <w:color w:val="auto"/>
                <w:spacing w:val="7"/>
                <w:highlight w:val="none"/>
                <w:lang w:eastAsia="zh-CN"/>
              </w:rPr>
              <w:t>井架外径1.1m，内径0.8m。</w:t>
            </w:r>
          </w:p>
        </w:tc>
        <w:tc>
          <w:tcPr>
            <w:tcW w:w="1836" w:type="dxa"/>
            <w:vAlign w:val="center"/>
          </w:tcPr>
          <w:p w14:paraId="3462ED43">
            <w:pPr>
              <w:jc w:val="both"/>
              <w:rPr>
                <w:rFonts w:hint="eastAsia" w:ascii="宋体" w:hAnsi="宋体" w:eastAsia="宋体" w:cs="宋体"/>
                <w:color w:val="auto"/>
                <w:spacing w:val="7"/>
                <w:highlight w:val="none"/>
                <w:lang w:eastAsia="zh-CN"/>
              </w:rPr>
            </w:pPr>
            <w:r>
              <w:rPr>
                <w:rFonts w:hint="eastAsia"/>
                <w:color w:val="auto"/>
                <w:highlight w:val="none"/>
                <w:lang w:eastAsia="zh-CN"/>
              </w:rPr>
              <w:t>《葫芦岛岳强矿业有限责任公司干堆尾矿库安全专篇》</w:t>
            </w:r>
          </w:p>
        </w:tc>
        <w:tc>
          <w:tcPr>
            <w:tcW w:w="2717" w:type="dxa"/>
            <w:vAlign w:val="center"/>
          </w:tcPr>
          <w:p w14:paraId="5234E906">
            <w:pPr>
              <w:jc w:val="both"/>
              <w:rPr>
                <w:rFonts w:ascii="Times New Roman Regular" w:hAnsi="Times New Roman Regular" w:eastAsia="宋体" w:cs="Times New Roman Regular"/>
                <w:color w:val="auto"/>
                <w:spacing w:val="7"/>
                <w:highlight w:val="none"/>
                <w:lang w:eastAsia="zh-CN"/>
              </w:rPr>
            </w:pPr>
          </w:p>
        </w:tc>
        <w:tc>
          <w:tcPr>
            <w:tcW w:w="836" w:type="dxa"/>
            <w:vAlign w:val="center"/>
          </w:tcPr>
          <w:p w14:paraId="52DC622C">
            <w:pPr>
              <w:jc w:val="center"/>
              <w:rPr>
                <w:rFonts w:hint="eastAsia" w:ascii="宋体" w:hAnsi="宋体" w:eastAsia="宋体" w:cs="宋体"/>
                <w:color w:val="auto"/>
                <w:spacing w:val="2"/>
                <w:highlight w:val="none"/>
              </w:rPr>
            </w:pPr>
            <w:r>
              <w:rPr>
                <w:rFonts w:ascii="Times New Roman" w:hAnsi="Times New Roman" w:eastAsia="宋体" w:cs="Times New Roman"/>
                <w:color w:val="auto"/>
                <w:spacing w:val="3"/>
                <w:highlight w:val="none"/>
              </w:rPr>
              <w:t>符合</w:t>
            </w:r>
          </w:p>
        </w:tc>
      </w:tr>
      <w:tr w14:paraId="5AFE2E1B">
        <w:trPr>
          <w:trHeight w:val="442" w:hRule="atLeast"/>
          <w:tblHeader/>
          <w:jc w:val="center"/>
        </w:trPr>
        <w:tc>
          <w:tcPr>
            <w:tcW w:w="606" w:type="dxa"/>
            <w:vAlign w:val="center"/>
          </w:tcPr>
          <w:p w14:paraId="34BBD6F5">
            <w:pPr>
              <w:numPr>
                <w:ilvl w:val="0"/>
                <w:numId w:val="11"/>
              </w:numPr>
              <w:tabs>
                <w:tab w:val="clear" w:pos="0"/>
              </w:tabs>
              <w:spacing w:line="240" w:lineRule="exact"/>
              <w:jc w:val="center"/>
              <w:rPr>
                <w:rFonts w:eastAsia="仿宋"/>
                <w:color w:val="auto"/>
                <w:highlight w:val="none"/>
              </w:rPr>
            </w:pPr>
          </w:p>
        </w:tc>
        <w:tc>
          <w:tcPr>
            <w:tcW w:w="3008" w:type="dxa"/>
            <w:vAlign w:val="center"/>
          </w:tcPr>
          <w:p w14:paraId="25323512">
            <w:pPr>
              <w:jc w:val="center"/>
              <w:rPr>
                <w:rFonts w:ascii="Times New Roman Regular" w:hAnsi="Times New Roman Regular" w:eastAsia="宋体" w:cs="Times New Roman Regular"/>
                <w:color w:val="auto"/>
                <w:spacing w:val="7"/>
                <w:highlight w:val="none"/>
                <w:lang w:eastAsia="zh-CN"/>
              </w:rPr>
            </w:pPr>
            <w:r>
              <w:rPr>
                <w:rFonts w:ascii="Times New Roman Regular" w:hAnsi="Times New Roman Regular" w:eastAsia="宋体" w:cs="Times New Roman Regular"/>
                <w:color w:val="auto"/>
                <w:spacing w:val="7"/>
                <w:highlight w:val="none"/>
                <w:lang w:eastAsia="zh-CN"/>
              </w:rPr>
              <w:t>在库区东南设计一条溢洪道，溢洪道为一条长296m的宽浅式矩形溢洪道，槽身为M10砂浆MU60浆砌石，断面尺寸B×H= 1.0m×1.0m，渠底坡比为1%。</w:t>
            </w:r>
          </w:p>
        </w:tc>
        <w:tc>
          <w:tcPr>
            <w:tcW w:w="1836" w:type="dxa"/>
            <w:vAlign w:val="center"/>
          </w:tcPr>
          <w:p w14:paraId="122AB2A2">
            <w:pPr>
              <w:jc w:val="both"/>
              <w:rPr>
                <w:rFonts w:hint="eastAsia" w:ascii="宋体" w:hAnsi="宋体" w:eastAsia="宋体" w:cs="宋体"/>
                <w:color w:val="auto"/>
                <w:spacing w:val="7"/>
                <w:highlight w:val="none"/>
                <w:lang w:eastAsia="zh-CN"/>
              </w:rPr>
            </w:pPr>
            <w:r>
              <w:rPr>
                <w:rFonts w:hint="eastAsia"/>
                <w:color w:val="auto"/>
                <w:highlight w:val="none"/>
                <w:lang w:eastAsia="zh-CN"/>
              </w:rPr>
              <w:t>《葫芦岛岳强矿业有限责任公司干堆尾矿库安全专篇》</w:t>
            </w:r>
          </w:p>
        </w:tc>
        <w:tc>
          <w:tcPr>
            <w:tcW w:w="2717" w:type="dxa"/>
            <w:vAlign w:val="center"/>
          </w:tcPr>
          <w:p w14:paraId="0B13A215">
            <w:pPr>
              <w:jc w:val="both"/>
              <w:rPr>
                <w:rFonts w:ascii="Times New Roman Regular" w:hAnsi="Times New Roman Regular" w:eastAsia="宋体" w:cs="Times New Roman Regular"/>
                <w:color w:val="auto"/>
                <w:spacing w:val="7"/>
                <w:highlight w:val="none"/>
                <w:lang w:eastAsia="zh-CN"/>
              </w:rPr>
            </w:pPr>
          </w:p>
        </w:tc>
        <w:tc>
          <w:tcPr>
            <w:tcW w:w="836" w:type="dxa"/>
            <w:vAlign w:val="center"/>
          </w:tcPr>
          <w:p w14:paraId="0B3DC012">
            <w:pPr>
              <w:jc w:val="center"/>
              <w:rPr>
                <w:rFonts w:hint="eastAsia" w:ascii="宋体" w:hAnsi="宋体" w:eastAsia="宋体" w:cs="宋体"/>
                <w:color w:val="auto"/>
                <w:spacing w:val="2"/>
                <w:highlight w:val="none"/>
              </w:rPr>
            </w:pPr>
            <w:r>
              <w:rPr>
                <w:rFonts w:ascii="Times New Roman" w:hAnsi="Times New Roman" w:eastAsia="宋体" w:cs="Times New Roman"/>
                <w:color w:val="auto"/>
                <w:spacing w:val="3"/>
                <w:highlight w:val="none"/>
              </w:rPr>
              <w:t>符合</w:t>
            </w:r>
          </w:p>
        </w:tc>
      </w:tr>
      <w:tr w14:paraId="6A5D0F51">
        <w:trPr>
          <w:trHeight w:val="442" w:hRule="atLeast"/>
          <w:tblHeader/>
          <w:jc w:val="center"/>
        </w:trPr>
        <w:tc>
          <w:tcPr>
            <w:tcW w:w="606" w:type="dxa"/>
            <w:vAlign w:val="center"/>
          </w:tcPr>
          <w:p w14:paraId="643BAB28">
            <w:pPr>
              <w:numPr>
                <w:ilvl w:val="0"/>
                <w:numId w:val="11"/>
              </w:numPr>
              <w:tabs>
                <w:tab w:val="clear" w:pos="0"/>
              </w:tabs>
              <w:spacing w:line="240" w:lineRule="exact"/>
              <w:jc w:val="center"/>
              <w:rPr>
                <w:rFonts w:eastAsia="仿宋"/>
                <w:color w:val="auto"/>
                <w:highlight w:val="none"/>
              </w:rPr>
            </w:pPr>
          </w:p>
        </w:tc>
        <w:tc>
          <w:tcPr>
            <w:tcW w:w="3008" w:type="dxa"/>
            <w:vAlign w:val="center"/>
          </w:tcPr>
          <w:p w14:paraId="60220634">
            <w:pPr>
              <w:ind w:hanging="1"/>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2"/>
                <w:highlight w:val="none"/>
                <w:lang w:eastAsia="zh-CN"/>
              </w:rPr>
              <w:t>尾矿库应设置排洪设施，排洪设施的排</w:t>
            </w:r>
            <w:r>
              <w:rPr>
                <w:rFonts w:ascii="Times New Roman" w:hAnsi="Times New Roman" w:eastAsia="宋体" w:cs="Times New Roman"/>
                <w:color w:val="auto"/>
                <w:spacing w:val="8"/>
                <w:highlight w:val="none"/>
                <w:lang w:eastAsia="zh-CN"/>
              </w:rPr>
              <w:t>洪能力不应包括机械排洪的排洪能力。</w:t>
            </w:r>
          </w:p>
        </w:tc>
        <w:tc>
          <w:tcPr>
            <w:tcW w:w="1836" w:type="dxa"/>
            <w:vAlign w:val="center"/>
          </w:tcPr>
          <w:p w14:paraId="1454EF94">
            <w:pPr>
              <w:pStyle w:val="25"/>
              <w:jc w:val="both"/>
              <w:rPr>
                <w:rFonts w:eastAsia="宋体"/>
                <w:color w:val="auto"/>
                <w:sz w:val="21"/>
                <w:szCs w:val="21"/>
                <w:highlight w:val="none"/>
                <w:lang w:val="zh-CN" w:eastAsia="zh-CN"/>
              </w:rPr>
            </w:pPr>
            <w:r>
              <w:rPr>
                <w:rFonts w:ascii="Times New Roman Regular" w:hAnsi="Times New Roman Regular" w:eastAsia="宋体" w:cs="Times New Roman Regular"/>
                <w:color w:val="auto"/>
                <w:sz w:val="21"/>
                <w:szCs w:val="21"/>
                <w:highlight w:val="none"/>
                <w:lang w:eastAsia="zh-CN"/>
              </w:rPr>
              <w:t>《尾矿库安全规程》（GB39496-2020）</w:t>
            </w:r>
            <w:r>
              <w:rPr>
                <w:rFonts w:ascii="Times New Roman Regular" w:hAnsi="Times New Roman Regular" w:eastAsia="宋体" w:cs="Times New Roman Regular"/>
                <w:color w:val="auto"/>
                <w:spacing w:val="3"/>
                <w:sz w:val="21"/>
                <w:szCs w:val="21"/>
                <w:highlight w:val="none"/>
                <w:lang w:eastAsia="zh-CN"/>
              </w:rPr>
              <w:t>第</w:t>
            </w:r>
            <w:r>
              <w:rPr>
                <w:rFonts w:ascii="Times New Roman Regular" w:hAnsi="Times New Roman Regular" w:eastAsia="宋体" w:cs="Times New Roman Regular"/>
                <w:color w:val="auto"/>
                <w:spacing w:val="-37"/>
                <w:sz w:val="21"/>
                <w:szCs w:val="21"/>
                <w:highlight w:val="none"/>
                <w:lang w:eastAsia="zh-CN"/>
              </w:rPr>
              <w:t xml:space="preserve"> </w:t>
            </w:r>
            <w:r>
              <w:rPr>
                <w:rFonts w:ascii="Times New Roman Regular" w:hAnsi="Times New Roman Regular" w:eastAsia="宋体" w:cs="Times New Roman Regular"/>
                <w:color w:val="auto"/>
                <w:spacing w:val="3"/>
                <w:sz w:val="21"/>
                <w:szCs w:val="21"/>
                <w:highlight w:val="none"/>
                <w:lang w:eastAsia="zh-CN"/>
              </w:rPr>
              <w:t>5.4.2 条</w:t>
            </w:r>
          </w:p>
        </w:tc>
        <w:tc>
          <w:tcPr>
            <w:tcW w:w="2717" w:type="dxa"/>
            <w:vAlign w:val="center"/>
          </w:tcPr>
          <w:p w14:paraId="1977CFD1">
            <w:pPr>
              <w:pStyle w:val="25"/>
              <w:ind w:hanging="1"/>
              <w:jc w:val="both"/>
              <w:rPr>
                <w:rFonts w:ascii="Times New Roman Regular" w:hAnsi="Times New Roman Regular" w:eastAsia="宋体" w:cs="Times New Roman Regular"/>
                <w:color w:val="auto"/>
                <w:sz w:val="21"/>
                <w:szCs w:val="21"/>
                <w:highlight w:val="none"/>
                <w:lang w:eastAsia="zh-CN"/>
              </w:rPr>
            </w:pPr>
          </w:p>
        </w:tc>
        <w:tc>
          <w:tcPr>
            <w:tcW w:w="836" w:type="dxa"/>
            <w:vAlign w:val="center"/>
          </w:tcPr>
          <w:p w14:paraId="246C509B">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237FC505">
        <w:trPr>
          <w:trHeight w:val="1366" w:hRule="atLeast"/>
          <w:jc w:val="center"/>
        </w:trPr>
        <w:tc>
          <w:tcPr>
            <w:tcW w:w="606" w:type="dxa"/>
            <w:vAlign w:val="center"/>
          </w:tcPr>
          <w:p w14:paraId="0F217B6F">
            <w:pPr>
              <w:numPr>
                <w:ilvl w:val="0"/>
                <w:numId w:val="11"/>
              </w:numPr>
              <w:tabs>
                <w:tab w:val="clear" w:pos="0"/>
              </w:tabs>
              <w:spacing w:line="240" w:lineRule="exact"/>
              <w:jc w:val="center"/>
              <w:rPr>
                <w:rFonts w:eastAsia="仿宋"/>
                <w:color w:val="auto"/>
                <w:highlight w:val="none"/>
              </w:rPr>
            </w:pPr>
          </w:p>
        </w:tc>
        <w:tc>
          <w:tcPr>
            <w:tcW w:w="3008" w:type="dxa"/>
            <w:vAlign w:val="center"/>
          </w:tcPr>
          <w:p w14:paraId="1288FF1C">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2"/>
                <w:highlight w:val="none"/>
                <w:lang w:eastAsia="zh-CN"/>
              </w:rPr>
              <w:t>排洪构筑物的基础应避免设置在工程地质条件不良或填方地段。无法避开时，应进行地基处理设计。排洪构筑物基础</w:t>
            </w:r>
            <w:r>
              <w:rPr>
                <w:rFonts w:ascii="Times New Roman" w:hAnsi="Times New Roman" w:eastAsia="宋体" w:cs="Times New Roman"/>
                <w:color w:val="auto"/>
                <w:spacing w:val="8"/>
                <w:highlight w:val="none"/>
                <w:lang w:eastAsia="zh-CN"/>
              </w:rPr>
              <w:t>不得直接坐落在尾矿沉积滩上</w:t>
            </w:r>
            <w:r>
              <w:rPr>
                <w:rFonts w:hint="eastAsia" w:ascii="Times New Roman" w:hAnsi="Times New Roman" w:eastAsia="宋体" w:cs="Times New Roman"/>
                <w:color w:val="auto"/>
                <w:spacing w:val="8"/>
                <w:highlight w:val="none"/>
                <w:lang w:eastAsia="zh-CN"/>
              </w:rPr>
              <w:t>。</w:t>
            </w:r>
          </w:p>
        </w:tc>
        <w:tc>
          <w:tcPr>
            <w:tcW w:w="1836" w:type="dxa"/>
            <w:vAlign w:val="center"/>
          </w:tcPr>
          <w:p w14:paraId="2CAF87FA">
            <w:pPr>
              <w:pStyle w:val="25"/>
              <w:ind w:firstLine="6"/>
              <w:jc w:val="both"/>
              <w:rPr>
                <w:rFonts w:eastAsia="宋体"/>
                <w:color w:val="auto"/>
                <w:sz w:val="21"/>
                <w:szCs w:val="21"/>
                <w:highlight w:val="none"/>
                <w:lang w:val="zh-CN" w:eastAsia="zh-CN"/>
              </w:rPr>
            </w:pPr>
            <w:r>
              <w:rPr>
                <w:rFonts w:ascii="Times New Roman Regular" w:hAnsi="Times New Roman Regular" w:eastAsia="宋体" w:cs="Times New Roman Regular"/>
                <w:color w:val="auto"/>
                <w:sz w:val="21"/>
                <w:szCs w:val="21"/>
                <w:highlight w:val="none"/>
                <w:lang w:eastAsia="zh-CN"/>
              </w:rPr>
              <w:t>《尾矿库安全规程》（GB39496-2020）</w:t>
            </w:r>
            <w:r>
              <w:rPr>
                <w:rFonts w:eastAsia="宋体"/>
                <w:color w:val="auto"/>
                <w:sz w:val="21"/>
                <w:szCs w:val="21"/>
                <w:highlight w:val="none"/>
                <w:lang w:eastAsia="zh-CN"/>
              </w:rPr>
              <w:t>第5.4.11条</w:t>
            </w:r>
          </w:p>
        </w:tc>
        <w:tc>
          <w:tcPr>
            <w:tcW w:w="2717" w:type="dxa"/>
            <w:vAlign w:val="center"/>
          </w:tcPr>
          <w:p w14:paraId="65003B23">
            <w:pPr>
              <w:jc w:val="both"/>
              <w:rPr>
                <w:rFonts w:ascii="Times New Roman Regular" w:hAnsi="Times New Roman Regular" w:eastAsia="宋体" w:cs="Times New Roman Regular"/>
                <w:color w:val="auto"/>
                <w:highlight w:val="none"/>
                <w:lang w:eastAsia="zh-CN"/>
              </w:rPr>
            </w:pPr>
          </w:p>
        </w:tc>
        <w:tc>
          <w:tcPr>
            <w:tcW w:w="836" w:type="dxa"/>
            <w:vAlign w:val="center"/>
          </w:tcPr>
          <w:p w14:paraId="54E9AC31">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4B2ABDBB">
        <w:trPr>
          <w:trHeight w:val="1366" w:hRule="atLeast"/>
          <w:jc w:val="center"/>
        </w:trPr>
        <w:tc>
          <w:tcPr>
            <w:tcW w:w="606" w:type="dxa"/>
            <w:vAlign w:val="center"/>
          </w:tcPr>
          <w:p w14:paraId="77B615E6">
            <w:pPr>
              <w:numPr>
                <w:ilvl w:val="0"/>
                <w:numId w:val="11"/>
              </w:numPr>
              <w:tabs>
                <w:tab w:val="clear" w:pos="0"/>
              </w:tabs>
              <w:spacing w:line="240" w:lineRule="exact"/>
              <w:jc w:val="center"/>
              <w:rPr>
                <w:rFonts w:eastAsia="仿宋"/>
                <w:color w:val="auto"/>
                <w:highlight w:val="none"/>
              </w:rPr>
            </w:pPr>
          </w:p>
        </w:tc>
        <w:tc>
          <w:tcPr>
            <w:tcW w:w="3008" w:type="dxa"/>
            <w:vAlign w:val="center"/>
          </w:tcPr>
          <w:p w14:paraId="1F730487">
            <w:pPr>
              <w:ind w:firstLine="2"/>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2"/>
                <w:highlight w:val="none"/>
                <w:lang w:eastAsia="zh-CN"/>
              </w:rPr>
              <w:t>生产经营单位每年汛前应委托设计单位根据尾矿库实测地形图、水位和尾矿沉积滩面实际情况进行调洪演算，复核尾矿库防洪能力，确定汛期尾矿库的运行水位、干滩长度、安全超高等安全运行</w:t>
            </w:r>
            <w:r>
              <w:rPr>
                <w:rFonts w:ascii="Times New Roman" w:hAnsi="Times New Roman" w:eastAsia="宋体" w:cs="Times New Roman"/>
                <w:color w:val="auto"/>
                <w:spacing w:val="6"/>
                <w:highlight w:val="none"/>
                <w:lang w:eastAsia="zh-CN"/>
              </w:rPr>
              <w:t>控制参数。</w:t>
            </w:r>
          </w:p>
        </w:tc>
        <w:tc>
          <w:tcPr>
            <w:tcW w:w="1836" w:type="dxa"/>
            <w:vAlign w:val="center"/>
          </w:tcPr>
          <w:p w14:paraId="1A817F25">
            <w:pPr>
              <w:pStyle w:val="25"/>
              <w:ind w:firstLine="6"/>
              <w:jc w:val="both"/>
              <w:rPr>
                <w:rFonts w:eastAsia="宋体"/>
                <w:color w:val="auto"/>
                <w:sz w:val="21"/>
                <w:szCs w:val="21"/>
                <w:highlight w:val="none"/>
                <w:lang w:val="zh-CN" w:eastAsia="zh-CN"/>
              </w:rPr>
            </w:pPr>
            <w:r>
              <w:rPr>
                <w:rFonts w:ascii="Times New Roman Regular" w:hAnsi="Times New Roman Regular" w:eastAsia="宋体" w:cs="Times New Roman Regular"/>
                <w:color w:val="auto"/>
                <w:sz w:val="21"/>
                <w:szCs w:val="21"/>
                <w:highlight w:val="none"/>
                <w:lang w:eastAsia="zh-CN"/>
              </w:rPr>
              <w:t>《尾矿库安全规程》（GB39496-2020）</w:t>
            </w:r>
            <w:r>
              <w:rPr>
                <w:rFonts w:eastAsia="宋体"/>
                <w:color w:val="auto"/>
                <w:spacing w:val="3"/>
                <w:sz w:val="21"/>
                <w:szCs w:val="21"/>
                <w:highlight w:val="none"/>
                <w:lang w:eastAsia="zh-CN"/>
              </w:rPr>
              <w:t>第</w:t>
            </w:r>
            <w:r>
              <w:rPr>
                <w:rFonts w:eastAsia="宋体"/>
                <w:color w:val="auto"/>
                <w:spacing w:val="-37"/>
                <w:sz w:val="21"/>
                <w:szCs w:val="21"/>
                <w:highlight w:val="none"/>
                <w:lang w:eastAsia="zh-CN"/>
              </w:rPr>
              <w:t xml:space="preserve"> </w:t>
            </w:r>
            <w:r>
              <w:rPr>
                <w:rFonts w:eastAsia="宋体"/>
                <w:color w:val="auto"/>
                <w:spacing w:val="3"/>
                <w:sz w:val="21"/>
                <w:szCs w:val="21"/>
                <w:highlight w:val="none"/>
                <w:lang w:eastAsia="zh-CN"/>
              </w:rPr>
              <w:t>6.4.2条</w:t>
            </w:r>
          </w:p>
        </w:tc>
        <w:tc>
          <w:tcPr>
            <w:tcW w:w="2717" w:type="dxa"/>
            <w:vAlign w:val="center"/>
          </w:tcPr>
          <w:p w14:paraId="74F76895">
            <w:pPr>
              <w:jc w:val="both"/>
              <w:rPr>
                <w:rFonts w:ascii="Times New Roman Regular" w:hAnsi="Times New Roman Regular" w:eastAsia="宋体" w:cs="Times New Roman Regular"/>
                <w:color w:val="auto"/>
                <w:highlight w:val="none"/>
                <w:lang w:eastAsia="zh-CN"/>
              </w:rPr>
            </w:pPr>
          </w:p>
        </w:tc>
        <w:tc>
          <w:tcPr>
            <w:tcW w:w="836" w:type="dxa"/>
            <w:vAlign w:val="center"/>
          </w:tcPr>
          <w:p w14:paraId="52741A88">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2B514561">
        <w:trPr>
          <w:trHeight w:val="1366" w:hRule="atLeast"/>
          <w:jc w:val="center"/>
        </w:trPr>
        <w:tc>
          <w:tcPr>
            <w:tcW w:w="606" w:type="dxa"/>
            <w:vAlign w:val="center"/>
          </w:tcPr>
          <w:p w14:paraId="41BD7F1B">
            <w:pPr>
              <w:numPr>
                <w:ilvl w:val="0"/>
                <w:numId w:val="11"/>
              </w:numPr>
              <w:tabs>
                <w:tab w:val="clear" w:pos="0"/>
              </w:tabs>
              <w:spacing w:line="240" w:lineRule="exact"/>
              <w:jc w:val="center"/>
              <w:rPr>
                <w:rFonts w:eastAsia="仿宋"/>
                <w:color w:val="auto"/>
                <w:highlight w:val="none"/>
              </w:rPr>
            </w:pPr>
          </w:p>
        </w:tc>
        <w:tc>
          <w:tcPr>
            <w:tcW w:w="3008" w:type="dxa"/>
            <w:vAlign w:val="center"/>
          </w:tcPr>
          <w:p w14:paraId="1DC21649">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2"/>
                <w:highlight w:val="none"/>
                <w:lang w:eastAsia="zh-CN"/>
              </w:rPr>
              <w:t>排洪构筑物安全检查的主要内容应包括构筑物有无变形、位移、损毁、淤堵，</w:t>
            </w:r>
            <w:r>
              <w:rPr>
                <w:rFonts w:ascii="Times New Roman" w:hAnsi="Times New Roman" w:eastAsia="宋体" w:cs="Times New Roman"/>
                <w:color w:val="auto"/>
                <w:spacing w:val="8"/>
                <w:highlight w:val="none"/>
                <w:lang w:eastAsia="zh-CN"/>
              </w:rPr>
              <w:t>排水能力是否满足要求。</w:t>
            </w:r>
          </w:p>
        </w:tc>
        <w:tc>
          <w:tcPr>
            <w:tcW w:w="1836" w:type="dxa"/>
            <w:vAlign w:val="center"/>
          </w:tcPr>
          <w:p w14:paraId="39DDC271">
            <w:pPr>
              <w:pStyle w:val="25"/>
              <w:ind w:firstLine="6"/>
              <w:jc w:val="both"/>
              <w:rPr>
                <w:rFonts w:eastAsia="宋体"/>
                <w:color w:val="auto"/>
                <w:sz w:val="21"/>
                <w:szCs w:val="21"/>
                <w:highlight w:val="none"/>
                <w:lang w:eastAsia="zh-CN"/>
              </w:rPr>
            </w:pPr>
            <w:r>
              <w:rPr>
                <w:rFonts w:ascii="Times New Roman Regular" w:hAnsi="Times New Roman Regular" w:eastAsia="宋体" w:cs="Times New Roman Regular"/>
                <w:color w:val="auto"/>
                <w:sz w:val="21"/>
                <w:szCs w:val="21"/>
                <w:highlight w:val="none"/>
                <w:lang w:eastAsia="zh-CN"/>
              </w:rPr>
              <w:t>《尾矿库安全规程》（GB39496-2020）</w:t>
            </w:r>
            <w:r>
              <w:rPr>
                <w:rFonts w:eastAsia="宋体"/>
                <w:color w:val="auto"/>
                <w:spacing w:val="3"/>
                <w:sz w:val="21"/>
                <w:szCs w:val="21"/>
                <w:highlight w:val="none"/>
                <w:lang w:eastAsia="zh-CN"/>
              </w:rPr>
              <w:t>第</w:t>
            </w:r>
            <w:r>
              <w:rPr>
                <w:rFonts w:eastAsia="宋体"/>
                <w:color w:val="auto"/>
                <w:spacing w:val="-37"/>
                <w:sz w:val="21"/>
                <w:szCs w:val="21"/>
                <w:highlight w:val="none"/>
                <w:lang w:eastAsia="zh-CN"/>
              </w:rPr>
              <w:t xml:space="preserve"> </w:t>
            </w:r>
            <w:r>
              <w:rPr>
                <w:rFonts w:eastAsia="宋体"/>
                <w:color w:val="auto"/>
                <w:spacing w:val="3"/>
                <w:sz w:val="21"/>
                <w:szCs w:val="21"/>
                <w:highlight w:val="none"/>
                <w:lang w:eastAsia="zh-CN"/>
              </w:rPr>
              <w:t>9.2.5 条</w:t>
            </w:r>
          </w:p>
        </w:tc>
        <w:tc>
          <w:tcPr>
            <w:tcW w:w="2717" w:type="dxa"/>
            <w:vAlign w:val="center"/>
          </w:tcPr>
          <w:p w14:paraId="0B792D50">
            <w:pPr>
              <w:jc w:val="both"/>
              <w:rPr>
                <w:rFonts w:ascii="Times New Roman Regular" w:hAnsi="Times New Roman Regular" w:eastAsia="宋体" w:cs="Times New Roman Regular"/>
                <w:color w:val="auto"/>
                <w:highlight w:val="none"/>
                <w:lang w:eastAsia="zh-CN"/>
              </w:rPr>
            </w:pPr>
          </w:p>
        </w:tc>
        <w:tc>
          <w:tcPr>
            <w:tcW w:w="836" w:type="dxa"/>
            <w:vAlign w:val="center"/>
          </w:tcPr>
          <w:p w14:paraId="42CC1BBF">
            <w:pPr>
              <w:kinsoku/>
              <w:autoSpaceDE/>
              <w:autoSpaceDN/>
              <w:adjustRightInd/>
              <w:snapToGrid/>
              <w:spacing w:line="280" w:lineRule="exact"/>
              <w:jc w:val="center"/>
              <w:textAlignment w:val="auto"/>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6DF22856">
        <w:trPr>
          <w:trHeight w:val="1366" w:hRule="atLeast"/>
          <w:jc w:val="center"/>
        </w:trPr>
        <w:tc>
          <w:tcPr>
            <w:tcW w:w="606" w:type="dxa"/>
            <w:vAlign w:val="center"/>
          </w:tcPr>
          <w:p w14:paraId="67DF6FA8">
            <w:pPr>
              <w:numPr>
                <w:ilvl w:val="0"/>
                <w:numId w:val="11"/>
              </w:numPr>
              <w:tabs>
                <w:tab w:val="clear" w:pos="0"/>
              </w:tabs>
              <w:spacing w:line="240" w:lineRule="exact"/>
              <w:jc w:val="center"/>
              <w:rPr>
                <w:rFonts w:eastAsia="仿宋"/>
                <w:color w:val="auto"/>
                <w:highlight w:val="none"/>
                <w:lang w:eastAsia="zh-CN"/>
              </w:rPr>
            </w:pPr>
          </w:p>
        </w:tc>
        <w:tc>
          <w:tcPr>
            <w:tcW w:w="3008" w:type="dxa"/>
            <w:vAlign w:val="center"/>
          </w:tcPr>
          <w:p w14:paraId="01CB5C92">
            <w:pPr>
              <w:jc w:val="both"/>
              <w:rPr>
                <w:rFonts w:ascii="Times New Roman" w:hAnsi="Times New Roman" w:eastAsia="宋体" w:cs="Times New Roman"/>
                <w:color w:val="auto"/>
                <w:spacing w:val="12"/>
                <w:highlight w:val="none"/>
                <w:lang w:eastAsia="zh-CN"/>
              </w:rPr>
            </w:pPr>
            <w:r>
              <w:rPr>
                <w:rFonts w:ascii="Times New Roman" w:hAnsi="Times New Roman" w:eastAsia="宋体" w:cs="Times New Roman"/>
                <w:color w:val="auto"/>
                <w:spacing w:val="12"/>
                <w:highlight w:val="none"/>
                <w:lang w:eastAsia="zh-CN"/>
              </w:rPr>
              <w:t>排水井检查内容应包括内径、窗口尺寸及位置，井壁剥蚀、脱落、渗漏、最大</w:t>
            </w:r>
            <w:r>
              <w:rPr>
                <w:rFonts w:ascii="Times New Roman" w:hAnsi="Times New Roman" w:eastAsia="宋体" w:cs="Times New Roman"/>
                <w:color w:val="auto"/>
                <w:spacing w:val="20"/>
                <w:highlight w:val="none"/>
                <w:lang w:eastAsia="zh-CN"/>
              </w:rPr>
              <w:t>裂缝开展宽度，井深倾斜度和变位，</w:t>
            </w:r>
            <w:r>
              <w:rPr>
                <w:rFonts w:ascii="Times New Roman" w:hAnsi="Times New Roman" w:eastAsia="宋体" w:cs="Times New Roman"/>
                <w:color w:val="auto"/>
                <w:spacing w:val="12"/>
                <w:highlight w:val="none"/>
                <w:lang w:eastAsia="zh-CN"/>
              </w:rPr>
              <w:t>井、管联接部位，拱板放置、断裂、最大裂缝开展宽度，拱板之间以及拱板与井壁之间的防漏充填物、漏砂，进水口</w:t>
            </w:r>
            <w:r>
              <w:rPr>
                <w:rFonts w:ascii="Times New Roman" w:hAnsi="Times New Roman" w:eastAsia="宋体" w:cs="Times New Roman"/>
                <w:color w:val="auto"/>
                <w:spacing w:val="23"/>
                <w:highlight w:val="none"/>
                <w:lang w:eastAsia="zh-CN"/>
              </w:rPr>
              <w:t>水水面漂浮物，停用井封堵方法及措</w:t>
            </w:r>
            <w:r>
              <w:rPr>
                <w:rFonts w:ascii="Times New Roman" w:hAnsi="Times New Roman" w:eastAsia="宋体" w:cs="Times New Roman"/>
                <w:color w:val="auto"/>
                <w:spacing w:val="22"/>
                <w:highlight w:val="none"/>
                <w:lang w:eastAsia="zh-CN"/>
              </w:rPr>
              <w:t>施，排水井拱板安装辅助设施设置情</w:t>
            </w:r>
            <w:r>
              <w:rPr>
                <w:rFonts w:ascii="Times New Roman" w:hAnsi="Times New Roman" w:eastAsia="宋体" w:cs="Times New Roman"/>
                <w:color w:val="auto"/>
                <w:highlight w:val="none"/>
                <w:lang w:eastAsia="zh-CN"/>
              </w:rPr>
              <w:t>况。</w:t>
            </w:r>
          </w:p>
        </w:tc>
        <w:tc>
          <w:tcPr>
            <w:tcW w:w="1836" w:type="dxa"/>
            <w:vAlign w:val="center"/>
          </w:tcPr>
          <w:p w14:paraId="71AB0D06">
            <w:pPr>
              <w:pStyle w:val="25"/>
              <w:ind w:firstLine="6"/>
              <w:jc w:val="both"/>
              <w:rPr>
                <w:rFonts w:eastAsia="宋体"/>
                <w:color w:val="auto"/>
                <w:spacing w:val="27"/>
                <w:sz w:val="21"/>
                <w:szCs w:val="21"/>
                <w:highlight w:val="none"/>
                <w:lang w:val="zh-CN" w:eastAsia="zh-CN"/>
              </w:rPr>
            </w:pPr>
            <w:r>
              <w:rPr>
                <w:rFonts w:eastAsia="宋体"/>
                <w:color w:val="auto"/>
                <w:spacing w:val="27"/>
                <w:sz w:val="21"/>
                <w:szCs w:val="21"/>
                <w:highlight w:val="none"/>
                <w:lang w:eastAsia="zh-CN"/>
              </w:rPr>
              <w:t>《尾矿库安全规</w:t>
            </w:r>
            <w:r>
              <w:rPr>
                <w:rFonts w:eastAsia="宋体"/>
                <w:color w:val="auto"/>
                <w:spacing w:val="3"/>
                <w:sz w:val="21"/>
                <w:szCs w:val="21"/>
                <w:highlight w:val="none"/>
                <w:lang w:eastAsia="zh-CN"/>
              </w:rPr>
              <w:t>程》第</w:t>
            </w:r>
            <w:r>
              <w:rPr>
                <w:color w:val="auto"/>
                <w:spacing w:val="3"/>
                <w:sz w:val="21"/>
                <w:szCs w:val="21"/>
                <w:highlight w:val="none"/>
                <w:lang w:eastAsia="zh-CN"/>
              </w:rPr>
              <w:t>9.2.6</w:t>
            </w:r>
            <w:r>
              <w:rPr>
                <w:rFonts w:eastAsia="宋体"/>
                <w:color w:val="auto"/>
                <w:spacing w:val="3"/>
                <w:sz w:val="21"/>
                <w:szCs w:val="21"/>
                <w:highlight w:val="none"/>
                <w:lang w:eastAsia="zh-CN"/>
              </w:rPr>
              <w:t>条</w:t>
            </w:r>
          </w:p>
        </w:tc>
        <w:tc>
          <w:tcPr>
            <w:tcW w:w="2717" w:type="dxa"/>
            <w:vAlign w:val="center"/>
          </w:tcPr>
          <w:p w14:paraId="4A1FA408">
            <w:pPr>
              <w:jc w:val="both"/>
              <w:rPr>
                <w:rFonts w:ascii="Times New Roman" w:hAnsi="Times New Roman" w:eastAsia="宋体" w:cs="Times New Roman"/>
                <w:color w:val="auto"/>
                <w:spacing w:val="28"/>
                <w:highlight w:val="none"/>
                <w:lang w:eastAsia="zh-CN"/>
              </w:rPr>
            </w:pPr>
          </w:p>
        </w:tc>
        <w:tc>
          <w:tcPr>
            <w:tcW w:w="836" w:type="dxa"/>
            <w:vAlign w:val="center"/>
          </w:tcPr>
          <w:p w14:paraId="3AE49342">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75B3DF7C">
        <w:trPr>
          <w:trHeight w:val="1366" w:hRule="atLeast"/>
          <w:jc w:val="center"/>
        </w:trPr>
        <w:tc>
          <w:tcPr>
            <w:tcW w:w="606" w:type="dxa"/>
            <w:vAlign w:val="center"/>
          </w:tcPr>
          <w:p w14:paraId="7E025184">
            <w:pPr>
              <w:numPr>
                <w:ilvl w:val="0"/>
                <w:numId w:val="11"/>
              </w:numPr>
              <w:tabs>
                <w:tab w:val="clear" w:pos="0"/>
              </w:tabs>
              <w:spacing w:line="240" w:lineRule="exact"/>
              <w:jc w:val="center"/>
              <w:rPr>
                <w:rFonts w:eastAsia="仿宋"/>
                <w:color w:val="auto"/>
                <w:highlight w:val="none"/>
                <w:lang w:eastAsia="zh-CN"/>
              </w:rPr>
            </w:pPr>
          </w:p>
        </w:tc>
        <w:tc>
          <w:tcPr>
            <w:tcW w:w="3008" w:type="dxa"/>
            <w:vAlign w:val="center"/>
          </w:tcPr>
          <w:p w14:paraId="39FE32E9">
            <w:pPr>
              <w:jc w:val="both"/>
              <w:rPr>
                <w:rFonts w:ascii="Times New Roman" w:hAnsi="Times New Roman" w:eastAsia="宋体" w:cs="Times New Roman"/>
                <w:color w:val="auto"/>
                <w:spacing w:val="12"/>
                <w:highlight w:val="none"/>
                <w:lang w:eastAsia="zh-CN"/>
              </w:rPr>
            </w:pPr>
            <w:r>
              <w:rPr>
                <w:rFonts w:hint="eastAsia" w:ascii="Times New Roman" w:hAnsi="Times New Roman" w:eastAsia="宋体" w:cs="Times New Roman"/>
                <w:color w:val="auto"/>
                <w:spacing w:val="12"/>
                <w:highlight w:val="none"/>
                <w:lang w:eastAsia="zh-CN"/>
              </w:rPr>
              <w:t>溢洪道、截洪沟检查内容应包括断面尺寸，沿线山坡滑坡、塌方，衬砌变形、破损、断裂、磨蚀、沟内淤堵等，对溢洪道还应检查溢流坎顶高程，消力池及消力坎等</w:t>
            </w:r>
          </w:p>
        </w:tc>
        <w:tc>
          <w:tcPr>
            <w:tcW w:w="1836" w:type="dxa"/>
            <w:vAlign w:val="center"/>
          </w:tcPr>
          <w:p w14:paraId="67F3D528">
            <w:pPr>
              <w:pStyle w:val="25"/>
              <w:ind w:firstLine="6"/>
              <w:jc w:val="both"/>
              <w:rPr>
                <w:rFonts w:eastAsia="宋体"/>
                <w:color w:val="auto"/>
                <w:spacing w:val="27"/>
                <w:sz w:val="21"/>
                <w:szCs w:val="21"/>
                <w:highlight w:val="none"/>
                <w:lang w:eastAsia="zh-CN"/>
              </w:rPr>
            </w:pPr>
            <w:r>
              <w:rPr>
                <w:rFonts w:eastAsia="宋体"/>
                <w:color w:val="auto"/>
                <w:spacing w:val="27"/>
                <w:sz w:val="21"/>
                <w:szCs w:val="21"/>
                <w:highlight w:val="none"/>
                <w:lang w:eastAsia="zh-CN"/>
              </w:rPr>
              <w:t>《矿库安全规</w:t>
            </w:r>
            <w:r>
              <w:rPr>
                <w:rFonts w:eastAsia="宋体"/>
                <w:color w:val="auto"/>
                <w:spacing w:val="3"/>
                <w:sz w:val="21"/>
                <w:szCs w:val="21"/>
                <w:highlight w:val="none"/>
                <w:lang w:eastAsia="zh-CN"/>
              </w:rPr>
              <w:t>程》第</w:t>
            </w:r>
            <w:r>
              <w:rPr>
                <w:color w:val="auto"/>
                <w:spacing w:val="3"/>
                <w:sz w:val="21"/>
                <w:szCs w:val="21"/>
                <w:highlight w:val="none"/>
                <w:lang w:eastAsia="zh-CN"/>
              </w:rPr>
              <w:t>9.2.</w:t>
            </w:r>
            <w:r>
              <w:rPr>
                <w:rFonts w:hint="eastAsia" w:eastAsia="宋体"/>
                <w:color w:val="auto"/>
                <w:spacing w:val="3"/>
                <w:sz w:val="21"/>
                <w:szCs w:val="21"/>
                <w:highlight w:val="none"/>
                <w:lang w:eastAsia="zh-CN"/>
              </w:rPr>
              <w:t>10</w:t>
            </w:r>
            <w:r>
              <w:rPr>
                <w:rFonts w:eastAsia="宋体"/>
                <w:color w:val="auto"/>
                <w:spacing w:val="3"/>
                <w:sz w:val="21"/>
                <w:szCs w:val="21"/>
                <w:highlight w:val="none"/>
                <w:lang w:eastAsia="zh-CN"/>
              </w:rPr>
              <w:t>条</w:t>
            </w:r>
          </w:p>
        </w:tc>
        <w:tc>
          <w:tcPr>
            <w:tcW w:w="2717" w:type="dxa"/>
            <w:vAlign w:val="center"/>
          </w:tcPr>
          <w:p w14:paraId="1045486F">
            <w:pPr>
              <w:jc w:val="both"/>
              <w:rPr>
                <w:rFonts w:ascii="Times New Roman" w:hAnsi="Times New Roman" w:eastAsia="宋体" w:cs="Times New Roman"/>
                <w:color w:val="auto"/>
                <w:spacing w:val="16"/>
                <w:highlight w:val="none"/>
                <w:lang w:eastAsia="zh-CN"/>
              </w:rPr>
            </w:pPr>
          </w:p>
        </w:tc>
        <w:tc>
          <w:tcPr>
            <w:tcW w:w="836" w:type="dxa"/>
            <w:vAlign w:val="center"/>
          </w:tcPr>
          <w:p w14:paraId="4CF88930">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bl>
    <w:p w14:paraId="10918B37">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rPr>
      </w:pPr>
      <w:r>
        <w:rPr>
          <w:rFonts w:ascii="Times New Roman" w:hAnsi="Times New Roman" w:eastAsia="Times New Roman" w:cs="Times New Roman"/>
          <w:bCs/>
          <w:color w:val="auto"/>
          <w:spacing w:val="-3"/>
          <w:sz w:val="28"/>
          <w:szCs w:val="28"/>
          <w:highlight w:val="none"/>
        </w:rPr>
        <w:t xml:space="preserve">5.3.2 </w:t>
      </w:r>
      <w:r>
        <w:rPr>
          <w:rFonts w:ascii="宋体" w:hAnsi="宋体" w:eastAsia="宋体" w:cs="宋体"/>
          <w:bCs/>
          <w:color w:val="auto"/>
          <w:spacing w:val="-3"/>
          <w:sz w:val="28"/>
          <w:szCs w:val="28"/>
          <w:highlight w:val="none"/>
        </w:rPr>
        <w:t>排洪能力校核计算</w:t>
      </w:r>
    </w:p>
    <w:p w14:paraId="3A967780">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本次尾矿库排洪能力校核计算结果参考</w:t>
      </w:r>
      <w:r>
        <w:rPr>
          <w:rFonts w:hint="eastAsia" w:ascii="Times New Roman Regular" w:hAnsi="Times New Roman Regular" w:eastAsia="宋体" w:cs="Times New Roman Regular"/>
          <w:color w:val="auto"/>
          <w:spacing w:val="7"/>
          <w:sz w:val="28"/>
          <w:szCs w:val="28"/>
          <w:highlight w:val="none"/>
          <w:lang w:val="zh-CN" w:eastAsia="zh-CN"/>
        </w:rPr>
        <w:t>《葫芦岛岳强矿业有限责任公司尾矿库2025年度汛前调洪演算报告》（中国冶金矿业鞍山冶金设计研究院有限责任公司，</w:t>
      </w:r>
      <w:r>
        <w:rPr>
          <w:rFonts w:hint="eastAsia" w:ascii="Times New Roman Regular" w:hAnsi="Times New Roman Regular" w:eastAsia="宋体" w:cs="Times New Roman Regular"/>
          <w:color w:val="auto"/>
          <w:spacing w:val="7"/>
          <w:sz w:val="28"/>
          <w:szCs w:val="28"/>
          <w:highlight w:val="none"/>
          <w:lang w:eastAsia="zh-CN"/>
        </w:rPr>
        <w:t>2025年5月）</w:t>
      </w:r>
      <w:r>
        <w:rPr>
          <w:rFonts w:hint="default" w:ascii="Times New Roman Regular" w:hAnsi="Times New Roman Regular" w:eastAsia="宋体" w:cs="Times New Roman Regular"/>
          <w:color w:val="auto"/>
          <w:spacing w:val="7"/>
          <w:sz w:val="28"/>
          <w:szCs w:val="28"/>
          <w:highlight w:val="none"/>
          <w:lang w:eastAsia="zh-CN"/>
        </w:rPr>
        <w:t>。</w:t>
      </w:r>
    </w:p>
    <w:p w14:paraId="39733E05">
      <w:pPr>
        <w:pStyle w:val="5"/>
        <w:widowControl w:val="0"/>
        <w:tabs>
          <w:tab w:val="left" w:pos="0"/>
        </w:tabs>
        <w:kinsoku/>
        <w:autoSpaceDE/>
        <w:autoSpaceDN/>
        <w:adjustRightInd/>
        <w:snapToGrid/>
        <w:spacing w:before="60" w:after="60"/>
        <w:jc w:val="both"/>
        <w:textAlignment w:val="auto"/>
        <w:rPr>
          <w:rFonts w:hint="eastAsia" w:ascii="宋体" w:hAnsi="宋体" w:eastAsia="宋体" w:cs="宋体"/>
          <w:color w:val="auto"/>
          <w:szCs w:val="28"/>
          <w:highlight w:val="none"/>
          <w:lang w:eastAsia="zh-CN"/>
        </w:rPr>
      </w:pPr>
      <w:r>
        <w:rPr>
          <w:color w:val="auto"/>
          <w:highlight w:val="none"/>
        </w:rPr>
        <w:fldChar w:fldCharType="begin"/>
      </w:r>
      <w:r>
        <w:rPr>
          <w:color w:val="auto"/>
          <w:highlight w:val="none"/>
        </w:rPr>
        <w:instrText xml:space="preserve"> HYPERLINK "5.3.2.1" </w:instrText>
      </w:r>
      <w:r>
        <w:rPr>
          <w:color w:val="auto"/>
          <w:highlight w:val="none"/>
        </w:rPr>
        <w:fldChar w:fldCharType="separate"/>
      </w:r>
      <w:r>
        <w:rPr>
          <w:rFonts w:ascii="Times New Roman Regular" w:hAnsi="Times New Roman Regular" w:eastAsia="宋体" w:cs="Times New Roman Regular"/>
          <w:snapToGrid/>
          <w:color w:val="auto"/>
          <w:kern w:val="2"/>
          <w:szCs w:val="28"/>
          <w:highlight w:val="none"/>
          <w:lang w:eastAsia="zh-CN"/>
        </w:rPr>
        <w:t>5.3.2.1</w:t>
      </w:r>
      <w:r>
        <w:rPr>
          <w:rFonts w:ascii="Times New Roman Regular" w:hAnsi="Times New Roman Regular" w:eastAsia="宋体" w:cs="Times New Roman Regular"/>
          <w:snapToGrid/>
          <w:color w:val="auto"/>
          <w:kern w:val="2"/>
          <w:szCs w:val="28"/>
          <w:highlight w:val="none"/>
          <w:lang w:eastAsia="zh-CN"/>
        </w:rPr>
        <w:fldChar w:fldCharType="end"/>
      </w:r>
      <w:r>
        <w:rPr>
          <w:rFonts w:ascii="Times New Roman Regular" w:hAnsi="Times New Roman Regular" w:eastAsia="宋体" w:cs="Times New Roman Regular"/>
          <w:snapToGrid/>
          <w:color w:val="auto"/>
          <w:kern w:val="2"/>
          <w:szCs w:val="28"/>
          <w:highlight w:val="none"/>
          <w:lang w:eastAsia="zh-CN"/>
        </w:rPr>
        <w:t xml:space="preserve"> 尾矿库防洪标准确定</w:t>
      </w:r>
    </w:p>
    <w:p w14:paraId="151F1B7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ascii="宋体" w:hAnsi="宋体" w:eastAsia="宋体" w:cs="宋体"/>
          <w:color w:val="auto"/>
          <w:sz w:val="28"/>
          <w:szCs w:val="28"/>
          <w:highlight w:val="none"/>
          <w:lang w:eastAsia="zh-CN"/>
        </w:rPr>
        <w:t>依据《尾矿库安全规程》（</w:t>
      </w:r>
      <w:r>
        <w:rPr>
          <w:rFonts w:ascii="Times New Roman" w:hAnsi="Times New Roman" w:eastAsia="Times New Roman" w:cs="Times New Roman"/>
          <w:color w:val="auto"/>
          <w:sz w:val="28"/>
          <w:szCs w:val="28"/>
          <w:highlight w:val="none"/>
          <w:lang w:eastAsia="zh-CN"/>
        </w:rPr>
        <w:t>GB39496-2020</w:t>
      </w:r>
      <w:r>
        <w:rPr>
          <w:rFonts w:ascii="宋体" w:hAnsi="宋体" w:eastAsia="宋体" w:cs="宋体"/>
          <w:color w:val="auto"/>
          <w:sz w:val="28"/>
          <w:szCs w:val="28"/>
          <w:highlight w:val="none"/>
          <w:lang w:eastAsia="zh-CN"/>
        </w:rPr>
        <w:t>）规定，现状尾矿库</w:t>
      </w:r>
      <w:r>
        <w:rPr>
          <w:rFonts w:hint="eastAsia" w:ascii="宋体" w:hAnsi="宋体" w:eastAsia="宋体" w:cs="宋体"/>
          <w:color w:val="auto"/>
          <w:sz w:val="28"/>
          <w:szCs w:val="28"/>
          <w:highlight w:val="none"/>
          <w:lang w:eastAsia="zh-CN"/>
        </w:rPr>
        <w:t>最大</w:t>
      </w:r>
      <w:r>
        <w:rPr>
          <w:rFonts w:ascii="宋体" w:hAnsi="宋体" w:eastAsia="宋体" w:cs="宋体"/>
          <w:color w:val="auto"/>
          <w:sz w:val="28"/>
          <w:szCs w:val="28"/>
          <w:highlight w:val="none"/>
          <w:lang w:eastAsia="zh-CN"/>
        </w:rPr>
        <w:t>坝高为</w:t>
      </w:r>
      <w:r>
        <w:rPr>
          <w:rFonts w:hint="eastAsia" w:ascii="Times New Roman" w:hAnsi="Times New Roman" w:eastAsia="宋体" w:cs="Times New Roman"/>
          <w:color w:val="auto"/>
          <w:sz w:val="28"/>
          <w:szCs w:val="28"/>
          <w:highlight w:val="none"/>
          <w:lang w:eastAsia="zh-CN"/>
        </w:rPr>
        <w:t>26</w:t>
      </w:r>
      <w:r>
        <w:rPr>
          <w:rFonts w:ascii="Times New Roman" w:hAnsi="Times New Roman" w:eastAsia="Times New Roman" w:cs="Times New Roman"/>
          <w:color w:val="auto"/>
          <w:sz w:val="28"/>
          <w:szCs w:val="28"/>
          <w:highlight w:val="none"/>
          <w:lang w:eastAsia="zh-CN"/>
        </w:rPr>
        <w:t>m</w:t>
      </w:r>
      <w:r>
        <w:rPr>
          <w:rFonts w:ascii="宋体" w:hAnsi="宋体" w:eastAsia="宋体" w:cs="宋体"/>
          <w:color w:val="auto"/>
          <w:sz w:val="28"/>
          <w:szCs w:val="28"/>
          <w:highlight w:val="none"/>
          <w:lang w:eastAsia="zh-CN"/>
        </w:rPr>
        <w:t>，尾矿库已堆存约</w:t>
      </w:r>
      <w:r>
        <w:rPr>
          <w:rFonts w:hint="eastAsia" w:ascii="Times New Roman" w:hAnsi="Times New Roman" w:eastAsia="宋体" w:cs="Times New Roman"/>
          <w:color w:val="auto"/>
          <w:sz w:val="28"/>
          <w:szCs w:val="28"/>
          <w:highlight w:val="none"/>
          <w:lang w:eastAsia="zh-CN"/>
        </w:rPr>
        <w:t>26</w:t>
      </w:r>
      <w:r>
        <w:rPr>
          <w:rFonts w:ascii="宋体" w:hAnsi="宋体" w:eastAsia="宋体" w:cs="宋体"/>
          <w:color w:val="auto"/>
          <w:sz w:val="28"/>
          <w:szCs w:val="28"/>
          <w:highlight w:val="none"/>
          <w:lang w:eastAsia="zh-CN"/>
        </w:rPr>
        <w:t>万</w:t>
      </w:r>
      <w:r>
        <w:rPr>
          <w:rFonts w:ascii="Times New Roman" w:hAnsi="Times New Roman" w:eastAsia="Times New Roman" w:cs="Times New Roman"/>
          <w:color w:val="auto"/>
          <w:sz w:val="28"/>
          <w:szCs w:val="28"/>
          <w:highlight w:val="none"/>
          <w:lang w:eastAsia="zh-CN"/>
        </w:rPr>
        <w:t>m</w:t>
      </w:r>
      <w:r>
        <w:rPr>
          <w:rFonts w:ascii="Times New Roman" w:hAnsi="Times New Roman" w:eastAsia="Times New Roman" w:cs="Times New Roman"/>
          <w:color w:val="auto"/>
          <w:position w:val="9"/>
          <w:sz w:val="18"/>
          <w:szCs w:val="18"/>
          <w:highlight w:val="none"/>
          <w:lang w:eastAsia="zh-CN"/>
        </w:rPr>
        <w:t>3</w:t>
      </w:r>
      <w:r>
        <w:rPr>
          <w:rFonts w:ascii="宋体" w:hAnsi="宋体" w:eastAsia="宋体" w:cs="宋体"/>
          <w:color w:val="auto"/>
          <w:sz w:val="28"/>
          <w:szCs w:val="28"/>
          <w:highlight w:val="none"/>
          <w:lang w:eastAsia="zh-CN"/>
        </w:rPr>
        <w:t>，本次计算采</w:t>
      </w:r>
      <w:r>
        <w:rPr>
          <w:rFonts w:ascii="Times New Roman" w:hAnsi="Times New Roman" w:eastAsia="宋体" w:cs="Times New Roman"/>
          <w:color w:val="auto"/>
          <w:sz w:val="28"/>
          <w:szCs w:val="28"/>
          <w:highlight w:val="none"/>
          <w:lang w:eastAsia="zh-CN"/>
        </w:rPr>
        <w:t>用</w:t>
      </w:r>
      <w:r>
        <w:rPr>
          <w:rFonts w:hint="eastAsia" w:ascii="Times New Roman" w:hAnsi="Times New Roman" w:eastAsia="宋体" w:cs="Times New Roman"/>
          <w:color w:val="auto"/>
          <w:sz w:val="28"/>
          <w:szCs w:val="28"/>
          <w:highlight w:val="none"/>
          <w:lang w:eastAsia="zh-CN"/>
        </w:rPr>
        <w:t>1</w:t>
      </w:r>
      <w:r>
        <w:rPr>
          <w:rFonts w:ascii="Times New Roman" w:hAnsi="Times New Roman" w:eastAsia="宋体" w:cs="Times New Roman"/>
          <w:color w:val="auto"/>
          <w:sz w:val="28"/>
          <w:szCs w:val="28"/>
          <w:highlight w:val="none"/>
          <w:lang w:eastAsia="zh-CN"/>
        </w:rPr>
        <w:t>00年</w:t>
      </w:r>
      <w:r>
        <w:rPr>
          <w:rFonts w:ascii="宋体" w:hAnsi="宋体" w:eastAsia="宋体" w:cs="宋体"/>
          <w:color w:val="auto"/>
          <w:sz w:val="28"/>
          <w:szCs w:val="28"/>
          <w:highlight w:val="none"/>
          <w:lang w:eastAsia="zh-CN"/>
        </w:rPr>
        <w:t>一遇洪水设防标准。</w:t>
      </w:r>
    </w:p>
    <w:p w14:paraId="656D48F2">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snapToGrid/>
          <w:color w:val="auto"/>
          <w:kern w:val="2"/>
          <w:szCs w:val="28"/>
          <w:highlight w:val="none"/>
          <w:lang w:eastAsia="zh-CN"/>
        </w:rPr>
      </w:pPr>
      <w:r>
        <w:rPr>
          <w:rFonts w:hint="eastAsia" w:ascii="Times New Roman Regular" w:hAnsi="Times New Roman Regular" w:eastAsia="宋体" w:cs="Times New Roman Regular"/>
          <w:snapToGrid/>
          <w:color w:val="auto"/>
          <w:kern w:val="2"/>
          <w:szCs w:val="28"/>
          <w:highlight w:val="none"/>
          <w:lang w:eastAsia="zh-CN"/>
        </w:rPr>
        <w:t>5.3.2.2</w:t>
      </w:r>
      <w:r>
        <w:rPr>
          <w:rFonts w:ascii="Times New Roman Regular" w:hAnsi="Times New Roman Regular" w:eastAsia="宋体" w:cs="Times New Roman Regular"/>
          <w:snapToGrid/>
          <w:color w:val="auto"/>
          <w:kern w:val="2"/>
          <w:szCs w:val="28"/>
          <w:highlight w:val="none"/>
          <w:lang w:eastAsia="zh-CN"/>
        </w:rPr>
        <w:t>水文计算</w:t>
      </w:r>
    </w:p>
    <w:p w14:paraId="2C9445E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ascii="Times New Roman" w:hAnsi="Times New Roman" w:eastAsia="宋体" w:cs="Times New Roman"/>
          <w:color w:val="auto"/>
          <w:sz w:val="28"/>
          <w:szCs w:val="28"/>
          <w:highlight w:val="none"/>
          <w:lang w:eastAsia="zh-CN"/>
        </w:rPr>
      </w:pPr>
      <w:r>
        <w:rPr>
          <w:rFonts w:ascii="Times New Roman" w:hAnsi="Times New Roman" w:eastAsia="宋体" w:cs="Times New Roman"/>
          <w:color w:val="auto"/>
          <w:sz w:val="28"/>
          <w:szCs w:val="28"/>
          <w:highlight w:val="none"/>
          <w:lang w:eastAsia="zh-CN"/>
        </w:rPr>
        <w:t>水文计算按</w:t>
      </w:r>
      <w:r>
        <w:rPr>
          <w:rFonts w:hint="eastAsia" w:ascii="宋体" w:hAnsi="宋体" w:eastAsia="宋体" w:cs="宋体"/>
          <w:color w:val="auto"/>
          <w:sz w:val="28"/>
          <w:szCs w:val="28"/>
          <w:highlight w:val="none"/>
          <w:lang w:eastAsia="zh-CN"/>
        </w:rPr>
        <w:t>《辽宁省中小河流（无资料地区）设计暴雨洪水计算方法》（</w:t>
      </w:r>
      <w:r>
        <w:rPr>
          <w:rFonts w:ascii="Times New Roman" w:hAnsi="Times New Roman" w:eastAsia="宋体" w:cs="Times New Roman"/>
          <w:color w:val="auto"/>
          <w:sz w:val="28"/>
          <w:szCs w:val="28"/>
          <w:highlight w:val="none"/>
          <w:lang w:eastAsia="zh-CN"/>
        </w:rPr>
        <w:t>1998</w:t>
      </w:r>
      <w:r>
        <w:rPr>
          <w:rFonts w:hint="eastAsia" w:ascii="宋体" w:hAnsi="宋体" w:eastAsia="宋体" w:cs="宋体"/>
          <w:color w:val="auto"/>
          <w:sz w:val="28"/>
          <w:szCs w:val="28"/>
          <w:highlight w:val="none"/>
          <w:lang w:eastAsia="zh-CN"/>
        </w:rPr>
        <w:t>年版）给出的相关水文参数进行计算，计</w:t>
      </w:r>
      <w:r>
        <w:rPr>
          <w:rFonts w:ascii="Times New Roman" w:hAnsi="Times New Roman" w:eastAsia="宋体" w:cs="Times New Roman"/>
          <w:color w:val="auto"/>
          <w:sz w:val="28"/>
          <w:szCs w:val="28"/>
          <w:highlight w:val="none"/>
          <w:lang w:eastAsia="zh-CN"/>
        </w:rPr>
        <w:t>算公式采用推理公式辽宁法。</w:t>
      </w:r>
    </w:p>
    <w:p w14:paraId="0C237A9E">
      <w:pPr>
        <w:pStyle w:val="5"/>
        <w:widowControl w:val="0"/>
        <w:tabs>
          <w:tab w:val="left" w:pos="0"/>
        </w:tabs>
        <w:kinsoku/>
        <w:autoSpaceDE/>
        <w:autoSpaceDN/>
        <w:adjustRightInd/>
        <w:snapToGrid/>
        <w:spacing w:before="60" w:after="60"/>
        <w:jc w:val="both"/>
        <w:textAlignment w:val="auto"/>
        <w:rPr>
          <w:rFonts w:ascii="Times New Roman Regular" w:hAnsi="Times New Roman Regular" w:eastAsia="宋体" w:cs="Times New Roman Regular"/>
          <w:snapToGrid/>
          <w:color w:val="auto"/>
          <w:kern w:val="2"/>
          <w:szCs w:val="28"/>
          <w:highlight w:val="none"/>
          <w:lang w:eastAsia="zh-CN"/>
        </w:rPr>
      </w:pPr>
      <w:r>
        <w:rPr>
          <w:rFonts w:ascii="Times New Roman Regular" w:hAnsi="Times New Roman Regular" w:eastAsia="宋体" w:cs="Times New Roman Regular"/>
          <w:snapToGrid/>
          <w:color w:val="auto"/>
          <w:kern w:val="2"/>
          <w:szCs w:val="28"/>
          <w:highlight w:val="none"/>
          <w:lang w:eastAsia="zh-CN"/>
        </w:rPr>
        <w:t>5.3.2.</w:t>
      </w:r>
      <w:r>
        <w:rPr>
          <w:rFonts w:hint="eastAsia" w:ascii="Times New Roman Regular" w:hAnsi="Times New Roman Regular" w:eastAsia="宋体" w:cs="Times New Roman Regular"/>
          <w:snapToGrid/>
          <w:color w:val="auto"/>
          <w:kern w:val="2"/>
          <w:szCs w:val="28"/>
          <w:highlight w:val="none"/>
          <w:lang w:eastAsia="zh-CN"/>
        </w:rPr>
        <w:t xml:space="preserve">3 </w:t>
      </w:r>
      <w:r>
        <w:rPr>
          <w:rFonts w:hint="eastAsia" w:ascii="宋体" w:hAnsi="宋体" w:eastAsia="宋体" w:cs="宋体"/>
          <w:color w:val="auto"/>
          <w:szCs w:val="28"/>
          <w:highlight w:val="none"/>
          <w:lang w:eastAsia="zh-CN"/>
        </w:rPr>
        <w:t>排水系统能力校核</w:t>
      </w:r>
    </w:p>
    <w:p w14:paraId="1A14A522">
      <w:pPr>
        <w:jc w:val="center"/>
        <w:rPr>
          <w:color w:val="auto"/>
          <w:highlight w:val="none"/>
          <w:lang w:eastAsia="zh-CN"/>
        </w:rPr>
      </w:pPr>
    </w:p>
    <w:p w14:paraId="250FD1CF">
      <w:pPr>
        <w:rPr>
          <w:color w:val="auto"/>
          <w:highlight w:val="none"/>
          <w:lang w:eastAsia="zh-CN"/>
        </w:rPr>
      </w:pPr>
    </w:p>
    <w:p w14:paraId="6AF0BE79">
      <w:pPr>
        <w:pStyle w:val="4"/>
        <w:widowControl w:val="0"/>
        <w:kinsoku/>
        <w:autoSpaceDE/>
        <w:autoSpaceDN/>
        <w:adjustRightInd/>
        <w:snapToGrid/>
        <w:spacing w:before="60" w:after="60" w:line="360" w:lineRule="auto"/>
        <w:jc w:val="both"/>
        <w:textAlignment w:val="auto"/>
        <w:rPr>
          <w:rFonts w:ascii="Times New Roman" w:hAnsi="Times New Roman" w:eastAsia="宋体" w:cs="Times New Roman"/>
          <w:bCs/>
          <w:color w:val="auto"/>
          <w:sz w:val="28"/>
          <w:szCs w:val="28"/>
          <w:highlight w:val="none"/>
          <w:lang w:eastAsia="zh-CN"/>
        </w:rPr>
      </w:pPr>
      <w:r>
        <w:rPr>
          <w:rFonts w:ascii="Times New Roman" w:hAnsi="Times New Roman" w:cs="Times New Roman"/>
          <w:bCs/>
          <w:color w:val="auto"/>
          <w:sz w:val="28"/>
          <w:szCs w:val="28"/>
          <w:highlight w:val="none"/>
          <w:lang w:eastAsia="zh-CN"/>
        </w:rPr>
        <w:t>5.3.3</w:t>
      </w:r>
      <w:r>
        <w:rPr>
          <w:rFonts w:ascii="Times New Roman" w:hAnsi="Times New Roman" w:eastAsia="宋体" w:cs="Times New Roman"/>
          <w:bCs/>
          <w:color w:val="auto"/>
          <w:sz w:val="28"/>
          <w:szCs w:val="28"/>
          <w:highlight w:val="none"/>
          <w:lang w:eastAsia="zh-CN"/>
        </w:rPr>
        <w:t>调洪演算</w:t>
      </w:r>
    </w:p>
    <w:p w14:paraId="2D14459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ascii="Times New Roman" w:hAnsi="Times New Roman" w:eastAsia="宋体" w:cs="Times New Roman"/>
          <w:color w:val="auto"/>
          <w:sz w:val="28"/>
          <w:szCs w:val="32"/>
          <w:highlight w:val="none"/>
          <w:lang w:eastAsia="zh-CN"/>
        </w:rPr>
      </w:pPr>
    </w:p>
    <w:p w14:paraId="7DBEC16A">
      <w:pPr>
        <w:pStyle w:val="4"/>
        <w:widowControl w:val="0"/>
        <w:kinsoku/>
        <w:autoSpaceDE/>
        <w:autoSpaceDN/>
        <w:adjustRightInd/>
        <w:snapToGrid/>
        <w:spacing w:before="60" w:after="60" w:line="360" w:lineRule="auto"/>
        <w:jc w:val="both"/>
        <w:textAlignment w:val="auto"/>
        <w:rPr>
          <w:rFonts w:hint="eastAsia" w:ascii="宋体" w:hAnsi="宋体" w:eastAsia="宋体" w:cs="宋体"/>
          <w:bCs/>
          <w:color w:val="auto"/>
          <w:sz w:val="28"/>
          <w:szCs w:val="28"/>
          <w:highlight w:val="none"/>
          <w:lang w:eastAsia="zh-CN"/>
        </w:rPr>
      </w:pPr>
      <w:r>
        <w:rPr>
          <w:rFonts w:ascii="Times New Roman" w:hAnsi="Times New Roman" w:eastAsia="Times New Roman" w:cs="Times New Roman"/>
          <w:bCs/>
          <w:color w:val="auto"/>
          <w:spacing w:val="-3"/>
          <w:sz w:val="28"/>
          <w:szCs w:val="28"/>
          <w:highlight w:val="none"/>
          <w:lang w:eastAsia="zh-CN"/>
        </w:rPr>
        <w:t>5.3.</w:t>
      </w:r>
      <w:r>
        <w:rPr>
          <w:rFonts w:hint="eastAsia" w:ascii="Times New Roman" w:hAnsi="Times New Roman" w:eastAsia="宋体" w:cs="Times New Roman"/>
          <w:bCs/>
          <w:color w:val="auto"/>
          <w:spacing w:val="-3"/>
          <w:sz w:val="28"/>
          <w:szCs w:val="28"/>
          <w:highlight w:val="none"/>
          <w:lang w:eastAsia="zh-CN"/>
        </w:rPr>
        <w:t>4</w:t>
      </w:r>
      <w:r>
        <w:rPr>
          <w:rFonts w:ascii="Times New Roman" w:hAnsi="Times New Roman" w:eastAsia="Times New Roman" w:cs="Times New Roman"/>
          <w:bCs/>
          <w:color w:val="auto"/>
          <w:spacing w:val="-3"/>
          <w:sz w:val="28"/>
          <w:szCs w:val="28"/>
          <w:highlight w:val="none"/>
          <w:lang w:eastAsia="zh-CN"/>
        </w:rPr>
        <w:t xml:space="preserve"> </w:t>
      </w:r>
      <w:r>
        <w:rPr>
          <w:rFonts w:ascii="宋体" w:hAnsi="宋体" w:eastAsia="宋体" w:cs="宋体"/>
          <w:bCs/>
          <w:color w:val="auto"/>
          <w:spacing w:val="-3"/>
          <w:sz w:val="28"/>
          <w:szCs w:val="28"/>
          <w:highlight w:val="none"/>
          <w:lang w:eastAsia="zh-CN"/>
        </w:rPr>
        <w:t>评价单元小结</w:t>
      </w:r>
    </w:p>
    <w:p w14:paraId="1A0F009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ascii="Times New Roman" w:hAnsi="Times New Roman" w:eastAsia="宋体" w:cs="Times New Roman"/>
          <w:color w:val="auto"/>
          <w:sz w:val="28"/>
          <w:szCs w:val="32"/>
          <w:highlight w:val="none"/>
          <w:lang w:eastAsia="zh-CN"/>
        </w:rPr>
      </w:pPr>
      <w:r>
        <w:rPr>
          <w:rFonts w:ascii="Times New Roman" w:hAnsi="Times New Roman" w:eastAsia="宋体" w:cs="Times New Roman"/>
          <w:color w:val="auto"/>
          <w:sz w:val="28"/>
          <w:szCs w:val="32"/>
          <w:highlight w:val="none"/>
          <w:lang w:eastAsia="zh-CN"/>
        </w:rPr>
        <w:t>评价组通过查阅相关报告及现场踏勘分析，对排洪系统单元进行定性、定量评价：该尾矿库排洪系统结构完好，断面尺寸符合设计要求，排洪构筑物运行正常，无淤堵、破损、剥蚀等现象。尾矿库现状的防洪能力均符合设计及规范要求。排洪系统符合有关安全生产法律法规、规章、规范性文件和标准的规定，具备安全生产条件。</w:t>
      </w:r>
    </w:p>
    <w:p w14:paraId="4C973950">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85" w:name="bookmark46"/>
      <w:bookmarkEnd w:id="185"/>
      <w:bookmarkStart w:id="186" w:name="_Toc9450"/>
      <w:bookmarkStart w:id="187" w:name="_Toc1051531389"/>
      <w:r>
        <w:rPr>
          <w:rFonts w:ascii="Times New Roman Regular" w:hAnsi="Times New Roman Regular" w:eastAsia="黑体" w:cs="Times New Roman Regular"/>
          <w:snapToGrid/>
          <w:color w:val="auto"/>
          <w:kern w:val="2"/>
          <w:highlight w:val="none"/>
          <w:lang w:eastAsia="zh-CN"/>
        </w:rPr>
        <w:t>5.4 安全监测设施单元</w:t>
      </w:r>
      <w:bookmarkEnd w:id="186"/>
      <w:bookmarkEnd w:id="187"/>
    </w:p>
    <w:p w14:paraId="607E8754">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88" w:name="_Toc28367"/>
      <w:bookmarkStart w:id="189" w:name="_Toc29553"/>
      <w:bookmarkStart w:id="190" w:name="_Toc26452"/>
      <w:r>
        <w:rPr>
          <w:rFonts w:ascii="Times New Roman" w:hAnsi="Times New Roman" w:eastAsia="Times New Roman" w:cs="Times New Roman"/>
          <w:bCs/>
          <w:color w:val="auto"/>
          <w:spacing w:val="-3"/>
          <w:sz w:val="28"/>
          <w:szCs w:val="28"/>
          <w:highlight w:val="none"/>
          <w:lang w:eastAsia="zh-CN"/>
        </w:rPr>
        <w:t xml:space="preserve">5.4.1 </w:t>
      </w:r>
      <w:r>
        <w:rPr>
          <w:rFonts w:ascii="宋体" w:hAnsi="宋体" w:eastAsia="宋体" w:cs="宋体"/>
          <w:bCs/>
          <w:color w:val="auto"/>
          <w:spacing w:val="-3"/>
          <w:sz w:val="28"/>
          <w:szCs w:val="28"/>
          <w:highlight w:val="none"/>
          <w:lang w:eastAsia="zh-CN"/>
        </w:rPr>
        <w:t>安全检查表法评价</w:t>
      </w:r>
      <w:bookmarkEnd w:id="188"/>
      <w:bookmarkEnd w:id="189"/>
      <w:bookmarkEnd w:id="190"/>
    </w:p>
    <w:p w14:paraId="711A967A">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宋体" w:hAnsi="宋体" w:eastAsia="宋体" w:cs="宋体"/>
          <w:color w:val="auto"/>
          <w:sz w:val="28"/>
          <w:szCs w:val="28"/>
          <w:highlight w:val="none"/>
          <w:lang w:eastAsia="zh-CN"/>
        </w:rPr>
      </w:pPr>
      <w:r>
        <w:rPr>
          <w:rFonts w:ascii="宋体" w:hAnsi="宋体" w:eastAsia="宋体" w:cs="宋体"/>
          <w:color w:val="auto"/>
          <w:spacing w:val="7"/>
          <w:sz w:val="28"/>
          <w:szCs w:val="28"/>
          <w:highlight w:val="none"/>
          <w:lang w:eastAsia="zh-CN"/>
        </w:rPr>
        <w:t>根据</w:t>
      </w:r>
      <w:r>
        <w:rPr>
          <w:rFonts w:hint="eastAsia" w:ascii="宋体" w:hAnsi="宋体" w:eastAsia="宋体" w:cs="宋体"/>
          <w:color w:val="auto"/>
          <w:spacing w:val="7"/>
          <w:sz w:val="28"/>
          <w:szCs w:val="28"/>
          <w:highlight w:val="none"/>
          <w:lang w:eastAsia="zh-CN"/>
        </w:rPr>
        <w:t>相关</w:t>
      </w:r>
      <w:r>
        <w:rPr>
          <w:rFonts w:ascii="宋体" w:hAnsi="宋体" w:eastAsia="宋体" w:cs="宋体"/>
          <w:color w:val="auto"/>
          <w:spacing w:val="7"/>
          <w:sz w:val="28"/>
          <w:szCs w:val="28"/>
          <w:highlight w:val="none"/>
          <w:lang w:eastAsia="zh-CN"/>
        </w:rPr>
        <w:t>法律法规、技术标准及</w:t>
      </w:r>
      <w:r>
        <w:rPr>
          <w:rFonts w:hint="eastAsia" w:ascii="Times New Roman" w:hAnsi="Times New Roman" w:eastAsia="宋体" w:cs="Times New Roman"/>
          <w:color w:val="auto"/>
          <w:sz w:val="28"/>
          <w:szCs w:val="28"/>
          <w:highlight w:val="none"/>
          <w:lang w:val="zh-CN" w:eastAsia="zh-CN"/>
        </w:rPr>
        <w:t>《葫芦岛岳强矿业有限责任公司干堆尾矿库在线安全监测系统工程方案设计》</w:t>
      </w:r>
      <w:r>
        <w:rPr>
          <w:rFonts w:ascii="宋体" w:hAnsi="宋体" w:eastAsia="宋体" w:cs="宋体"/>
          <w:color w:val="auto"/>
          <w:spacing w:val="7"/>
          <w:sz w:val="28"/>
          <w:szCs w:val="28"/>
          <w:highlight w:val="none"/>
          <w:lang w:eastAsia="zh-CN"/>
        </w:rPr>
        <w:t>的相关规定，运用</w:t>
      </w:r>
      <w:r>
        <w:rPr>
          <w:rFonts w:ascii="宋体" w:hAnsi="宋体" w:eastAsia="宋体" w:cs="宋体"/>
          <w:color w:val="auto"/>
          <w:spacing w:val="6"/>
          <w:sz w:val="28"/>
          <w:szCs w:val="28"/>
          <w:highlight w:val="none"/>
          <w:lang w:eastAsia="zh-CN"/>
        </w:rPr>
        <w:t>安全检查表的评价方法</w:t>
      </w:r>
      <w:r>
        <w:rPr>
          <w:rFonts w:ascii="宋体" w:hAnsi="宋体" w:eastAsia="宋体" w:cs="宋体"/>
          <w:color w:val="auto"/>
          <w:spacing w:val="-1"/>
          <w:sz w:val="28"/>
          <w:szCs w:val="28"/>
          <w:highlight w:val="none"/>
          <w:lang w:eastAsia="zh-CN"/>
        </w:rPr>
        <w:t>对该尾矿库安全监测设施单元进行评价，详见表</w:t>
      </w:r>
      <w:r>
        <w:rPr>
          <w:rFonts w:ascii="Times New Roman" w:hAnsi="Times New Roman" w:eastAsia="Times New Roman" w:cs="Times New Roman"/>
          <w:color w:val="auto"/>
          <w:spacing w:val="-1"/>
          <w:sz w:val="28"/>
          <w:szCs w:val="28"/>
          <w:highlight w:val="none"/>
          <w:lang w:eastAsia="zh-CN"/>
        </w:rPr>
        <w:t>5.4-1</w:t>
      </w:r>
      <w:r>
        <w:rPr>
          <w:rFonts w:ascii="宋体" w:hAnsi="宋体" w:eastAsia="宋体" w:cs="宋体"/>
          <w:color w:val="auto"/>
          <w:spacing w:val="-1"/>
          <w:sz w:val="28"/>
          <w:szCs w:val="28"/>
          <w:highlight w:val="none"/>
          <w:lang w:eastAsia="zh-CN"/>
        </w:rPr>
        <w:t>。</w:t>
      </w:r>
    </w:p>
    <w:p w14:paraId="240BB4EB">
      <w:pPr>
        <w:spacing w:line="400" w:lineRule="exact"/>
        <w:jc w:val="center"/>
        <w:rPr>
          <w:rFonts w:hint="eastAsia" w:ascii="黑体" w:hAnsi="黑体" w:eastAsia="黑体" w:cs="黑体"/>
          <w:bCs/>
          <w:color w:val="auto"/>
          <w:sz w:val="24"/>
          <w:highlight w:val="none"/>
          <w:lang w:eastAsia="zh-CN"/>
        </w:rPr>
      </w:pPr>
      <w:r>
        <w:rPr>
          <w:rFonts w:ascii="黑体" w:hAnsi="黑体" w:eastAsia="黑体" w:cs="黑体"/>
          <w:bCs/>
          <w:color w:val="auto"/>
          <w:sz w:val="24"/>
          <w:highlight w:val="none"/>
          <w:lang w:eastAsia="zh-CN"/>
        </w:rPr>
        <w:t xml:space="preserve">表5.4-1 </w:t>
      </w:r>
      <w:r>
        <w:rPr>
          <w:rFonts w:hint="eastAsia" w:ascii="黑体" w:hAnsi="黑体" w:eastAsia="黑体" w:cs="黑体"/>
          <w:bCs/>
          <w:color w:val="auto"/>
          <w:sz w:val="24"/>
          <w:highlight w:val="none"/>
          <w:lang w:eastAsia="zh-CN"/>
        </w:rPr>
        <w:t xml:space="preserve"> </w:t>
      </w:r>
      <w:r>
        <w:rPr>
          <w:rFonts w:ascii="黑体" w:hAnsi="黑体" w:eastAsia="黑体" w:cs="黑体"/>
          <w:bCs/>
          <w:color w:val="auto"/>
          <w:sz w:val="24"/>
          <w:highlight w:val="none"/>
          <w:lang w:eastAsia="zh-CN"/>
        </w:rPr>
        <w:t>安全监测设施单元安全检查表</w:t>
      </w:r>
    </w:p>
    <w:tbl>
      <w:tblPr>
        <w:tblStyle w:val="24"/>
        <w:tblW w:w="90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28" w:type="dxa"/>
          <w:left w:w="28" w:type="dxa"/>
          <w:bottom w:w="28" w:type="dxa"/>
          <w:right w:w="28" w:type="dxa"/>
        </w:tblCellMar>
      </w:tblPr>
      <w:tblGrid>
        <w:gridCol w:w="606"/>
        <w:gridCol w:w="3008"/>
        <w:gridCol w:w="1836"/>
        <w:gridCol w:w="2717"/>
        <w:gridCol w:w="836"/>
      </w:tblGrid>
      <w:tr w14:paraId="38708771">
        <w:trPr>
          <w:trHeight w:val="442" w:hRule="atLeast"/>
          <w:tblHeader/>
          <w:jc w:val="center"/>
        </w:trPr>
        <w:tc>
          <w:tcPr>
            <w:tcW w:w="606" w:type="dxa"/>
            <w:vAlign w:val="center"/>
          </w:tcPr>
          <w:p w14:paraId="702852BE">
            <w:pPr>
              <w:jc w:val="center"/>
              <w:rPr>
                <w:rFonts w:hint="eastAsia" w:ascii="宋体" w:hAnsi="宋体" w:eastAsia="宋体" w:cs="宋体"/>
                <w:color w:val="auto"/>
                <w:highlight w:val="none"/>
              </w:rPr>
            </w:pPr>
            <w:r>
              <w:rPr>
                <w:rFonts w:ascii="宋体" w:hAnsi="宋体" w:eastAsia="宋体" w:cs="宋体"/>
                <w:color w:val="auto"/>
                <w:spacing w:val="5"/>
                <w:highlight w:val="none"/>
              </w:rPr>
              <w:t>序号</w:t>
            </w:r>
          </w:p>
        </w:tc>
        <w:tc>
          <w:tcPr>
            <w:tcW w:w="3008" w:type="dxa"/>
            <w:vAlign w:val="center"/>
          </w:tcPr>
          <w:p w14:paraId="55FB25C7">
            <w:pPr>
              <w:jc w:val="center"/>
              <w:rPr>
                <w:rFonts w:hint="eastAsia" w:ascii="宋体" w:hAnsi="宋体" w:eastAsia="宋体" w:cs="宋体"/>
                <w:color w:val="auto"/>
                <w:highlight w:val="none"/>
              </w:rPr>
            </w:pPr>
            <w:r>
              <w:rPr>
                <w:rFonts w:ascii="宋体" w:hAnsi="宋体" w:eastAsia="宋体" w:cs="宋体"/>
                <w:color w:val="auto"/>
                <w:spacing w:val="7"/>
                <w:highlight w:val="none"/>
              </w:rPr>
              <w:t>检查项目</w:t>
            </w:r>
          </w:p>
        </w:tc>
        <w:tc>
          <w:tcPr>
            <w:tcW w:w="1836" w:type="dxa"/>
            <w:vAlign w:val="center"/>
          </w:tcPr>
          <w:p w14:paraId="1EE52CB8">
            <w:pPr>
              <w:jc w:val="center"/>
              <w:rPr>
                <w:rFonts w:hint="eastAsia" w:ascii="宋体" w:hAnsi="宋体" w:eastAsia="宋体" w:cs="宋体"/>
                <w:color w:val="auto"/>
                <w:highlight w:val="none"/>
              </w:rPr>
            </w:pPr>
            <w:r>
              <w:rPr>
                <w:rFonts w:ascii="宋体" w:hAnsi="宋体" w:eastAsia="宋体" w:cs="宋体"/>
                <w:color w:val="auto"/>
                <w:spacing w:val="7"/>
                <w:highlight w:val="none"/>
              </w:rPr>
              <w:t>检查依据</w:t>
            </w:r>
          </w:p>
        </w:tc>
        <w:tc>
          <w:tcPr>
            <w:tcW w:w="2717" w:type="dxa"/>
            <w:vAlign w:val="center"/>
          </w:tcPr>
          <w:p w14:paraId="58F1581F">
            <w:pPr>
              <w:jc w:val="center"/>
              <w:rPr>
                <w:rFonts w:hint="eastAsia" w:ascii="宋体" w:hAnsi="宋体" w:eastAsia="宋体" w:cs="宋体"/>
                <w:color w:val="auto"/>
                <w:highlight w:val="none"/>
              </w:rPr>
            </w:pPr>
            <w:r>
              <w:rPr>
                <w:rFonts w:ascii="宋体" w:hAnsi="宋体" w:eastAsia="宋体" w:cs="宋体"/>
                <w:color w:val="auto"/>
                <w:spacing w:val="6"/>
                <w:highlight w:val="none"/>
              </w:rPr>
              <w:t>实际情况</w:t>
            </w:r>
          </w:p>
        </w:tc>
        <w:tc>
          <w:tcPr>
            <w:tcW w:w="836" w:type="dxa"/>
            <w:vAlign w:val="center"/>
          </w:tcPr>
          <w:p w14:paraId="3DCE8FD4">
            <w:pPr>
              <w:jc w:val="center"/>
              <w:rPr>
                <w:rFonts w:hint="eastAsia" w:ascii="宋体" w:hAnsi="宋体" w:eastAsia="宋体" w:cs="宋体"/>
                <w:color w:val="auto"/>
                <w:highlight w:val="none"/>
              </w:rPr>
            </w:pPr>
            <w:r>
              <w:rPr>
                <w:rFonts w:ascii="宋体" w:hAnsi="宋体" w:eastAsia="宋体" w:cs="宋体"/>
                <w:color w:val="auto"/>
                <w:spacing w:val="2"/>
                <w:highlight w:val="none"/>
              </w:rPr>
              <w:t>结论</w:t>
            </w:r>
          </w:p>
        </w:tc>
      </w:tr>
      <w:tr w14:paraId="0A1C4B0F">
        <w:trPr>
          <w:trHeight w:val="1366" w:hRule="atLeast"/>
          <w:jc w:val="center"/>
        </w:trPr>
        <w:tc>
          <w:tcPr>
            <w:tcW w:w="606" w:type="dxa"/>
            <w:vAlign w:val="center"/>
          </w:tcPr>
          <w:p w14:paraId="5008C235">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7B0F4205">
            <w:pPr>
              <w:rPr>
                <w:rFonts w:ascii="Times New Roman" w:hAnsi="Times New Roman" w:eastAsia="宋体" w:cs="Times New Roman"/>
                <w:color w:val="auto"/>
                <w:spacing w:val="9"/>
                <w:highlight w:val="none"/>
                <w:lang w:eastAsia="zh-CN"/>
              </w:rPr>
            </w:pPr>
            <w:r>
              <w:rPr>
                <w:rFonts w:hint="eastAsia" w:ascii="Times New Roman" w:hAnsi="Times New Roman" w:eastAsia="宋体" w:cs="Times New Roman"/>
                <w:color w:val="auto"/>
                <w:spacing w:val="9"/>
                <w:highlight w:val="none"/>
                <w:lang w:eastAsia="zh-CN"/>
              </w:rPr>
              <w:t>在坝体设置2个人工监测纵剖面，分别在197m初期坝顶（2个监测点），205m堆积子坝（2个监测点），同时配备专门人员进行定期观测。</w:t>
            </w:r>
          </w:p>
        </w:tc>
        <w:tc>
          <w:tcPr>
            <w:tcW w:w="1836" w:type="dxa"/>
            <w:vAlign w:val="center"/>
          </w:tcPr>
          <w:p w14:paraId="1364A0B2">
            <w:pPr>
              <w:pStyle w:val="25"/>
              <w:ind w:firstLine="4"/>
              <w:rPr>
                <w:rFonts w:eastAsia="宋体"/>
                <w:color w:val="auto"/>
                <w:spacing w:val="20"/>
                <w:sz w:val="21"/>
                <w:szCs w:val="21"/>
                <w:highlight w:val="none"/>
                <w:lang w:eastAsia="zh-CN"/>
              </w:rPr>
            </w:pPr>
            <w:r>
              <w:rPr>
                <w:rFonts w:hint="eastAsia" w:eastAsia="宋体"/>
                <w:color w:val="auto"/>
                <w:spacing w:val="20"/>
                <w:sz w:val="21"/>
                <w:szCs w:val="21"/>
                <w:highlight w:val="none"/>
                <w:lang w:eastAsia="zh-CN"/>
              </w:rPr>
              <w:t>《葫芦岛岳强矿业有限责任公司干堆尾矿库安全专篇》</w:t>
            </w:r>
          </w:p>
        </w:tc>
        <w:tc>
          <w:tcPr>
            <w:tcW w:w="2717" w:type="dxa"/>
            <w:vAlign w:val="center"/>
          </w:tcPr>
          <w:p w14:paraId="16758F47">
            <w:pPr>
              <w:rPr>
                <w:rFonts w:ascii="Times New Roman" w:hAnsi="Times New Roman" w:eastAsia="宋体" w:cs="Times New Roman"/>
                <w:color w:val="auto"/>
                <w:spacing w:val="9"/>
                <w:highlight w:val="none"/>
                <w:lang w:eastAsia="zh-CN"/>
              </w:rPr>
            </w:pPr>
          </w:p>
        </w:tc>
        <w:tc>
          <w:tcPr>
            <w:tcW w:w="836" w:type="dxa"/>
            <w:vAlign w:val="center"/>
          </w:tcPr>
          <w:p w14:paraId="37065CA1">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4572C852">
        <w:trPr>
          <w:trHeight w:val="1366" w:hRule="atLeast"/>
          <w:jc w:val="center"/>
        </w:trPr>
        <w:tc>
          <w:tcPr>
            <w:tcW w:w="606" w:type="dxa"/>
            <w:vAlign w:val="center"/>
          </w:tcPr>
          <w:p w14:paraId="7A782542">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6E3A58A0">
            <w:pPr>
              <w:rPr>
                <w:rFonts w:ascii="Times New Roman" w:hAnsi="Times New Roman" w:eastAsia="宋体" w:cs="Times New Roman"/>
                <w:color w:val="auto"/>
                <w:spacing w:val="9"/>
                <w:highlight w:val="none"/>
                <w:lang w:eastAsia="zh-CN"/>
              </w:rPr>
            </w:pPr>
            <w:r>
              <w:rPr>
                <w:rFonts w:hint="eastAsia" w:ascii="Times New Roman" w:hAnsi="Times New Roman" w:eastAsia="宋体" w:cs="Times New Roman"/>
                <w:color w:val="auto"/>
                <w:spacing w:val="9"/>
                <w:highlight w:val="none"/>
                <w:lang w:eastAsia="zh-CN"/>
              </w:rPr>
              <w:t>库内排水井上设置水位观测标尺（钢筋砼桩－水尺）</w:t>
            </w:r>
          </w:p>
        </w:tc>
        <w:tc>
          <w:tcPr>
            <w:tcW w:w="1836" w:type="dxa"/>
            <w:vAlign w:val="center"/>
          </w:tcPr>
          <w:p w14:paraId="4F66D182">
            <w:pPr>
              <w:pStyle w:val="25"/>
              <w:ind w:firstLine="4"/>
              <w:rPr>
                <w:rFonts w:eastAsia="宋体"/>
                <w:color w:val="auto"/>
                <w:spacing w:val="20"/>
                <w:sz w:val="21"/>
                <w:szCs w:val="21"/>
                <w:highlight w:val="none"/>
                <w:lang w:eastAsia="zh-CN"/>
              </w:rPr>
            </w:pPr>
            <w:r>
              <w:rPr>
                <w:rFonts w:hint="eastAsia" w:eastAsia="宋体"/>
                <w:color w:val="auto"/>
                <w:spacing w:val="20"/>
                <w:sz w:val="21"/>
                <w:szCs w:val="21"/>
                <w:highlight w:val="none"/>
                <w:lang w:eastAsia="zh-CN"/>
              </w:rPr>
              <w:t>《葫芦岛岳强矿业有限责任公司干堆尾矿库安全专篇》</w:t>
            </w:r>
          </w:p>
        </w:tc>
        <w:tc>
          <w:tcPr>
            <w:tcW w:w="2717" w:type="dxa"/>
            <w:vAlign w:val="center"/>
          </w:tcPr>
          <w:p w14:paraId="36804AE8">
            <w:pPr>
              <w:ind w:hanging="3"/>
              <w:rPr>
                <w:rFonts w:ascii="Times New Roman" w:hAnsi="Times New Roman" w:eastAsia="宋体" w:cs="Times New Roman"/>
                <w:color w:val="auto"/>
                <w:spacing w:val="9"/>
                <w:highlight w:val="none"/>
                <w:lang w:eastAsia="zh-CN"/>
              </w:rPr>
            </w:pPr>
          </w:p>
        </w:tc>
        <w:tc>
          <w:tcPr>
            <w:tcW w:w="836" w:type="dxa"/>
            <w:vAlign w:val="center"/>
          </w:tcPr>
          <w:p w14:paraId="72C68896">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7693D82A">
        <w:trPr>
          <w:trHeight w:val="1366" w:hRule="atLeast"/>
          <w:jc w:val="center"/>
        </w:trPr>
        <w:tc>
          <w:tcPr>
            <w:tcW w:w="606" w:type="dxa"/>
            <w:vAlign w:val="center"/>
          </w:tcPr>
          <w:p w14:paraId="5F7BC5EF">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2A653AFE">
            <w:pPr>
              <w:rPr>
                <w:rFonts w:ascii="Times New Roman" w:hAnsi="Times New Roman" w:eastAsia="宋体" w:cs="Times New Roman"/>
                <w:color w:val="auto"/>
                <w:spacing w:val="9"/>
                <w:highlight w:val="none"/>
                <w:lang w:eastAsia="zh-CN"/>
              </w:rPr>
            </w:pPr>
            <w:r>
              <w:rPr>
                <w:rFonts w:hint="eastAsia" w:ascii="Times New Roman" w:hAnsi="Times New Roman" w:eastAsia="宋体" w:cs="Times New Roman"/>
                <w:color w:val="auto"/>
                <w:spacing w:val="9"/>
                <w:highlight w:val="none"/>
                <w:lang w:eastAsia="zh-CN"/>
              </w:rPr>
              <w:t>坝体表面位移在线监测系统采用监测型GNSS接收机。坝体设置3个监测纵剖面，分别在197m初期坝顶（2个监测点），205m堆积子坝（2个监测点），210m终期坝顶（2个监测点）。</w:t>
            </w:r>
          </w:p>
        </w:tc>
        <w:tc>
          <w:tcPr>
            <w:tcW w:w="1836" w:type="dxa"/>
            <w:vAlign w:val="center"/>
          </w:tcPr>
          <w:p w14:paraId="0894DB99">
            <w:pPr>
              <w:pStyle w:val="25"/>
              <w:ind w:firstLine="4"/>
              <w:rPr>
                <w:rFonts w:eastAsia="宋体"/>
                <w:color w:val="auto"/>
                <w:spacing w:val="20"/>
                <w:sz w:val="21"/>
                <w:szCs w:val="21"/>
                <w:highlight w:val="none"/>
                <w:lang w:eastAsia="zh-CN"/>
              </w:rPr>
            </w:pPr>
            <w:r>
              <w:rPr>
                <w:rFonts w:hint="eastAsia" w:eastAsia="宋体"/>
                <w:color w:val="auto"/>
                <w:spacing w:val="20"/>
                <w:sz w:val="21"/>
                <w:szCs w:val="21"/>
                <w:highlight w:val="none"/>
                <w:lang w:eastAsia="zh-CN"/>
              </w:rPr>
              <w:t>《葫芦岛岳强矿业有限责任公司干堆尾矿库在线安全监测系统工程方案设计》</w:t>
            </w:r>
          </w:p>
        </w:tc>
        <w:tc>
          <w:tcPr>
            <w:tcW w:w="2717" w:type="dxa"/>
            <w:vAlign w:val="center"/>
          </w:tcPr>
          <w:p w14:paraId="51B92E55">
            <w:pPr>
              <w:ind w:hanging="3"/>
              <w:rPr>
                <w:rFonts w:ascii="Times New Roman" w:hAnsi="Times New Roman" w:eastAsia="宋体" w:cs="Times New Roman"/>
                <w:color w:val="auto"/>
                <w:spacing w:val="9"/>
                <w:highlight w:val="none"/>
                <w:lang w:eastAsia="zh-CN"/>
              </w:rPr>
            </w:pPr>
          </w:p>
        </w:tc>
        <w:tc>
          <w:tcPr>
            <w:tcW w:w="836" w:type="dxa"/>
            <w:vAlign w:val="center"/>
          </w:tcPr>
          <w:p w14:paraId="48336418">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7090B7BF">
        <w:trPr>
          <w:trHeight w:val="1366" w:hRule="atLeast"/>
          <w:jc w:val="center"/>
        </w:trPr>
        <w:tc>
          <w:tcPr>
            <w:tcW w:w="606" w:type="dxa"/>
            <w:vAlign w:val="center"/>
          </w:tcPr>
          <w:p w14:paraId="20D8AF3B">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33C73A88">
            <w:pPr>
              <w:rPr>
                <w:rFonts w:ascii="Times New Roman" w:hAnsi="Times New Roman" w:eastAsia="宋体" w:cs="Times New Roman"/>
                <w:color w:val="auto"/>
                <w:spacing w:val="9"/>
                <w:highlight w:val="none"/>
                <w:lang w:eastAsia="zh-CN"/>
              </w:rPr>
            </w:pPr>
            <w:r>
              <w:rPr>
                <w:rFonts w:hint="eastAsia" w:ascii="Times New Roman" w:hAnsi="Times New Roman" w:eastAsia="宋体" w:cs="Times New Roman"/>
                <w:color w:val="auto"/>
                <w:spacing w:val="9"/>
                <w:highlight w:val="none"/>
                <w:lang w:eastAsia="zh-CN"/>
              </w:rPr>
              <w:t>库区在堆积坝坝顶一侧排洪系统布设视频监控点。</w:t>
            </w:r>
          </w:p>
        </w:tc>
        <w:tc>
          <w:tcPr>
            <w:tcW w:w="1836" w:type="dxa"/>
            <w:vAlign w:val="center"/>
          </w:tcPr>
          <w:p w14:paraId="7D1D53E9">
            <w:pPr>
              <w:ind w:firstLine="4"/>
              <w:rPr>
                <w:rFonts w:eastAsia="宋体"/>
                <w:color w:val="auto"/>
                <w:spacing w:val="20"/>
                <w:highlight w:val="none"/>
                <w:lang w:eastAsia="zh-CN"/>
              </w:rPr>
            </w:pPr>
            <w:r>
              <w:rPr>
                <w:rFonts w:hint="eastAsia" w:eastAsia="宋体"/>
                <w:color w:val="auto"/>
                <w:spacing w:val="20"/>
                <w:highlight w:val="none"/>
                <w:lang w:eastAsia="zh-CN"/>
              </w:rPr>
              <w:t>《葫芦岛岳强矿业有限责任公司干堆尾矿库在线安全监测系统工程方案设计》</w:t>
            </w:r>
          </w:p>
        </w:tc>
        <w:tc>
          <w:tcPr>
            <w:tcW w:w="2717" w:type="dxa"/>
            <w:vAlign w:val="center"/>
          </w:tcPr>
          <w:p w14:paraId="6929100C">
            <w:pPr>
              <w:ind w:hanging="3"/>
              <w:rPr>
                <w:rFonts w:ascii="Times New Roman" w:hAnsi="Times New Roman" w:eastAsia="宋体" w:cs="Times New Roman"/>
                <w:color w:val="auto"/>
                <w:spacing w:val="9"/>
                <w:highlight w:val="none"/>
                <w:lang w:eastAsia="zh-CN"/>
              </w:rPr>
            </w:pPr>
          </w:p>
        </w:tc>
        <w:tc>
          <w:tcPr>
            <w:tcW w:w="836" w:type="dxa"/>
            <w:vAlign w:val="center"/>
          </w:tcPr>
          <w:p w14:paraId="675986AE">
            <w:pPr>
              <w:kinsoku/>
              <w:autoSpaceDE/>
              <w:autoSpaceDN/>
              <w:adjustRightInd/>
              <w:snapToGrid/>
              <w:spacing w:line="280" w:lineRule="exact"/>
              <w:jc w:val="center"/>
              <w:textAlignment w:val="auto"/>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3FA65F3F">
        <w:trPr>
          <w:trHeight w:val="1366" w:hRule="atLeast"/>
          <w:jc w:val="center"/>
        </w:trPr>
        <w:tc>
          <w:tcPr>
            <w:tcW w:w="606" w:type="dxa"/>
            <w:vAlign w:val="center"/>
          </w:tcPr>
          <w:p w14:paraId="7AE601DC">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64E24F47">
            <w:pPr>
              <w:rPr>
                <w:rFonts w:ascii="Times New Roman" w:hAnsi="Times New Roman" w:eastAsia="宋体" w:cs="Times New Roman"/>
                <w:color w:val="auto"/>
                <w:spacing w:val="9"/>
                <w:highlight w:val="none"/>
                <w:lang w:eastAsia="zh-CN"/>
              </w:rPr>
            </w:pPr>
            <w:r>
              <w:rPr>
                <w:rFonts w:hint="eastAsia" w:ascii="Times New Roman" w:hAnsi="Times New Roman" w:eastAsia="宋体" w:cs="Times New Roman"/>
                <w:color w:val="auto"/>
                <w:spacing w:val="9"/>
                <w:highlight w:val="none"/>
                <w:lang w:eastAsia="zh-CN"/>
              </w:rPr>
              <w:t>库区降雨量监测点布设在堆积坝上，共设1个监测点。</w:t>
            </w:r>
          </w:p>
        </w:tc>
        <w:tc>
          <w:tcPr>
            <w:tcW w:w="1836" w:type="dxa"/>
            <w:vAlign w:val="center"/>
          </w:tcPr>
          <w:p w14:paraId="59084875">
            <w:pPr>
              <w:ind w:firstLine="4"/>
              <w:rPr>
                <w:rFonts w:eastAsia="宋体"/>
                <w:color w:val="auto"/>
                <w:spacing w:val="20"/>
                <w:highlight w:val="none"/>
                <w:lang w:eastAsia="zh-CN"/>
              </w:rPr>
            </w:pPr>
            <w:r>
              <w:rPr>
                <w:rFonts w:hint="eastAsia" w:eastAsia="宋体"/>
                <w:color w:val="auto"/>
                <w:spacing w:val="20"/>
                <w:highlight w:val="none"/>
                <w:lang w:eastAsia="zh-CN"/>
              </w:rPr>
              <w:t>《葫芦岛岳强矿业有限责任公司干堆尾矿库在线安全监测系统工程方案设计》</w:t>
            </w:r>
          </w:p>
        </w:tc>
        <w:tc>
          <w:tcPr>
            <w:tcW w:w="2717" w:type="dxa"/>
            <w:vAlign w:val="center"/>
          </w:tcPr>
          <w:p w14:paraId="2DD09F66">
            <w:pPr>
              <w:ind w:hanging="3"/>
              <w:rPr>
                <w:rFonts w:ascii="Times New Roman" w:hAnsi="Times New Roman" w:eastAsia="宋体" w:cs="Times New Roman"/>
                <w:color w:val="auto"/>
                <w:spacing w:val="9"/>
                <w:highlight w:val="none"/>
                <w:lang w:eastAsia="zh-CN"/>
              </w:rPr>
            </w:pPr>
          </w:p>
        </w:tc>
        <w:tc>
          <w:tcPr>
            <w:tcW w:w="836" w:type="dxa"/>
            <w:vAlign w:val="center"/>
          </w:tcPr>
          <w:p w14:paraId="377FDF4D">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1FC2ACDA">
        <w:trPr>
          <w:trHeight w:val="1366" w:hRule="atLeast"/>
          <w:jc w:val="center"/>
        </w:trPr>
        <w:tc>
          <w:tcPr>
            <w:tcW w:w="606" w:type="dxa"/>
            <w:vAlign w:val="center"/>
          </w:tcPr>
          <w:p w14:paraId="6CA0B84B">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6CCB0F3A">
            <w:pPr>
              <w:rPr>
                <w:rFonts w:ascii="Times New Roman" w:hAnsi="Times New Roman" w:eastAsia="宋体" w:cs="Times New Roman"/>
                <w:color w:val="auto"/>
                <w:spacing w:val="9"/>
                <w:highlight w:val="none"/>
                <w:lang w:eastAsia="zh-CN"/>
              </w:rPr>
            </w:pPr>
            <w:r>
              <w:rPr>
                <w:rFonts w:hint="eastAsia" w:ascii="Times New Roman" w:hAnsi="Times New Roman" w:eastAsia="宋体" w:cs="Times New Roman"/>
                <w:color w:val="auto"/>
                <w:spacing w:val="9"/>
                <w:highlight w:val="none"/>
                <w:lang w:eastAsia="zh-CN"/>
              </w:rPr>
              <w:t>将尾矿库在线安全监测系统所监测的坝体位移、视频数据远程传输至选厂或厂部中心控制室机房的服务器并实现局域网访问功能，实现系统远程实时在线监测目的。</w:t>
            </w:r>
          </w:p>
        </w:tc>
        <w:tc>
          <w:tcPr>
            <w:tcW w:w="1836" w:type="dxa"/>
            <w:vAlign w:val="center"/>
          </w:tcPr>
          <w:p w14:paraId="4514192F">
            <w:pPr>
              <w:ind w:firstLine="4"/>
              <w:rPr>
                <w:rFonts w:eastAsia="宋体"/>
                <w:color w:val="auto"/>
                <w:spacing w:val="20"/>
                <w:highlight w:val="none"/>
                <w:lang w:eastAsia="zh-CN"/>
              </w:rPr>
            </w:pPr>
            <w:r>
              <w:rPr>
                <w:rFonts w:hint="eastAsia" w:eastAsia="宋体"/>
                <w:color w:val="auto"/>
                <w:spacing w:val="20"/>
                <w:highlight w:val="none"/>
                <w:lang w:eastAsia="zh-CN"/>
              </w:rPr>
              <w:t>《葫芦岛岳强矿业有限责任公司干堆尾矿库在线安全监测系统工程方案设计》</w:t>
            </w:r>
          </w:p>
        </w:tc>
        <w:tc>
          <w:tcPr>
            <w:tcW w:w="2717" w:type="dxa"/>
            <w:vAlign w:val="center"/>
          </w:tcPr>
          <w:p w14:paraId="2F16F651">
            <w:pPr>
              <w:ind w:hanging="3"/>
              <w:rPr>
                <w:color w:val="auto"/>
                <w:highlight w:val="none"/>
                <w:lang w:eastAsia="zh-CN"/>
              </w:rPr>
            </w:pPr>
          </w:p>
        </w:tc>
        <w:tc>
          <w:tcPr>
            <w:tcW w:w="836" w:type="dxa"/>
            <w:vAlign w:val="center"/>
          </w:tcPr>
          <w:p w14:paraId="1EF45DE4">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154A4A4C">
        <w:trPr>
          <w:trHeight w:val="1366" w:hRule="atLeast"/>
          <w:jc w:val="center"/>
        </w:trPr>
        <w:tc>
          <w:tcPr>
            <w:tcW w:w="606" w:type="dxa"/>
            <w:vAlign w:val="center"/>
          </w:tcPr>
          <w:p w14:paraId="0A6DE371">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34BB1B07">
            <w:pP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尾矿库安全监测，应与人工巡查和尾矿</w:t>
            </w:r>
            <w:r>
              <w:rPr>
                <w:rFonts w:ascii="Times New Roman" w:hAnsi="Times New Roman" w:eastAsia="宋体" w:cs="Times New Roman"/>
                <w:color w:val="auto"/>
                <w:spacing w:val="7"/>
                <w:highlight w:val="none"/>
                <w:lang w:eastAsia="zh-CN"/>
              </w:rPr>
              <w:t>库安全检查相结合。</w:t>
            </w:r>
          </w:p>
        </w:tc>
        <w:tc>
          <w:tcPr>
            <w:tcW w:w="1836" w:type="dxa"/>
            <w:vAlign w:val="center"/>
          </w:tcPr>
          <w:p w14:paraId="09089F22">
            <w:pPr>
              <w:pStyle w:val="25"/>
              <w:ind w:firstLine="4"/>
              <w:rPr>
                <w:rFonts w:eastAsia="宋体"/>
                <w:color w:val="auto"/>
                <w:sz w:val="21"/>
                <w:szCs w:val="21"/>
                <w:highlight w:val="none"/>
                <w:lang w:val="zh-CN" w:eastAsia="zh-CN"/>
              </w:rPr>
            </w:pPr>
            <w:r>
              <w:rPr>
                <w:rFonts w:eastAsia="宋体"/>
                <w:color w:val="auto"/>
                <w:spacing w:val="20"/>
                <w:sz w:val="21"/>
                <w:szCs w:val="21"/>
                <w:highlight w:val="none"/>
                <w:lang w:eastAsia="zh-CN"/>
              </w:rPr>
              <w:t>《尾矿库安全监测</w:t>
            </w:r>
            <w:r>
              <w:rPr>
                <w:rFonts w:eastAsia="宋体"/>
                <w:color w:val="auto"/>
                <w:spacing w:val="9"/>
                <w:sz w:val="21"/>
                <w:szCs w:val="21"/>
                <w:highlight w:val="none"/>
                <w:lang w:eastAsia="zh-CN"/>
              </w:rPr>
              <w:t>技术规范》第4.4.2</w:t>
            </w:r>
            <w:r>
              <w:rPr>
                <w:rFonts w:eastAsia="宋体"/>
                <w:color w:val="auto"/>
                <w:sz w:val="21"/>
                <w:szCs w:val="21"/>
                <w:highlight w:val="none"/>
                <w:lang w:eastAsia="zh-CN"/>
              </w:rPr>
              <w:t>条</w:t>
            </w:r>
          </w:p>
        </w:tc>
        <w:tc>
          <w:tcPr>
            <w:tcW w:w="2717" w:type="dxa"/>
            <w:vAlign w:val="center"/>
          </w:tcPr>
          <w:p w14:paraId="2ACD88AF">
            <w:pPr>
              <w:ind w:hanging="3"/>
              <w:rPr>
                <w:rFonts w:ascii="Times New Roman" w:hAnsi="Times New Roman" w:eastAsia="宋体" w:cs="Times New Roman"/>
                <w:color w:val="auto"/>
                <w:highlight w:val="none"/>
                <w:lang w:eastAsia="zh-CN"/>
              </w:rPr>
            </w:pPr>
          </w:p>
        </w:tc>
        <w:tc>
          <w:tcPr>
            <w:tcW w:w="836" w:type="dxa"/>
            <w:vAlign w:val="center"/>
          </w:tcPr>
          <w:p w14:paraId="2A01774B">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4FC6DC54">
        <w:trPr>
          <w:trHeight w:val="1366" w:hRule="atLeast"/>
          <w:jc w:val="center"/>
        </w:trPr>
        <w:tc>
          <w:tcPr>
            <w:tcW w:w="606" w:type="dxa"/>
            <w:vAlign w:val="center"/>
          </w:tcPr>
          <w:p w14:paraId="5E10F51D">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4B983985">
            <w:pP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运行期间应做好监测系统和全部监测设施的检查、维护、校正、监测资料的整编、监测报告的编写以及监测技术档案</w:t>
            </w:r>
            <w:r>
              <w:rPr>
                <w:rFonts w:ascii="Times New Roman" w:hAnsi="Times New Roman" w:eastAsia="宋体" w:cs="Times New Roman"/>
                <w:color w:val="auto"/>
                <w:spacing w:val="5"/>
                <w:highlight w:val="none"/>
                <w:lang w:eastAsia="zh-CN"/>
              </w:rPr>
              <w:t>的建立。</w:t>
            </w:r>
          </w:p>
        </w:tc>
        <w:tc>
          <w:tcPr>
            <w:tcW w:w="1836" w:type="dxa"/>
            <w:vAlign w:val="center"/>
          </w:tcPr>
          <w:p w14:paraId="29E370F2">
            <w:pPr>
              <w:ind w:firstLine="4"/>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20"/>
                <w:highlight w:val="none"/>
                <w:lang w:eastAsia="zh-CN"/>
              </w:rPr>
              <w:t>《尾矿库安全监测</w:t>
            </w:r>
            <w:r>
              <w:rPr>
                <w:rFonts w:ascii="Times New Roman" w:hAnsi="Times New Roman" w:eastAsia="宋体" w:cs="Times New Roman"/>
                <w:color w:val="auto"/>
                <w:spacing w:val="5"/>
                <w:highlight w:val="none"/>
                <w:lang w:eastAsia="zh-CN"/>
              </w:rPr>
              <w:t>技术规范》</w:t>
            </w:r>
          </w:p>
        </w:tc>
        <w:tc>
          <w:tcPr>
            <w:tcW w:w="2717" w:type="dxa"/>
            <w:vAlign w:val="center"/>
          </w:tcPr>
          <w:p w14:paraId="1570AE49">
            <w:pPr>
              <w:ind w:firstLine="4"/>
              <w:rPr>
                <w:rFonts w:ascii="Times New Roman" w:hAnsi="Times New Roman" w:eastAsia="宋体" w:cs="Times New Roman"/>
                <w:color w:val="auto"/>
                <w:highlight w:val="none"/>
                <w:lang w:eastAsia="zh-CN"/>
              </w:rPr>
            </w:pPr>
          </w:p>
        </w:tc>
        <w:tc>
          <w:tcPr>
            <w:tcW w:w="836" w:type="dxa"/>
            <w:vAlign w:val="center"/>
          </w:tcPr>
          <w:p w14:paraId="1EDAED1B">
            <w:pPr>
              <w:kinsoku/>
              <w:autoSpaceDE/>
              <w:autoSpaceDN/>
              <w:adjustRightInd/>
              <w:snapToGrid/>
              <w:spacing w:line="280" w:lineRule="exact"/>
              <w:jc w:val="center"/>
              <w:textAlignment w:val="auto"/>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0646FFB8">
        <w:trPr>
          <w:trHeight w:val="1366" w:hRule="atLeast"/>
          <w:jc w:val="center"/>
        </w:trPr>
        <w:tc>
          <w:tcPr>
            <w:tcW w:w="606" w:type="dxa"/>
            <w:vAlign w:val="center"/>
          </w:tcPr>
          <w:p w14:paraId="1AFF7336">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54F39949">
            <w:pPr>
              <w:ind w:hanging="4"/>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尾矿库运行时，应按设计及时设置人工安全监测设施和在线监测系统，并应按</w:t>
            </w:r>
            <w:r>
              <w:rPr>
                <w:rFonts w:ascii="Times New Roman" w:hAnsi="Times New Roman" w:eastAsia="宋体" w:cs="Times New Roman"/>
                <w:color w:val="auto"/>
                <w:spacing w:val="8"/>
                <w:highlight w:val="none"/>
                <w:lang w:eastAsia="zh-CN"/>
              </w:rPr>
              <w:t>照设计定期进行各项监测。</w:t>
            </w:r>
          </w:p>
        </w:tc>
        <w:tc>
          <w:tcPr>
            <w:tcW w:w="1836" w:type="dxa"/>
            <w:vAlign w:val="center"/>
          </w:tcPr>
          <w:p w14:paraId="204C67FA">
            <w:pPr>
              <w:pStyle w:val="25"/>
              <w:ind w:firstLine="6"/>
              <w:rPr>
                <w:rFonts w:eastAsia="宋体"/>
                <w:color w:val="auto"/>
                <w:sz w:val="21"/>
                <w:szCs w:val="21"/>
                <w:highlight w:val="none"/>
                <w:lang w:eastAsia="zh-CN"/>
              </w:rPr>
            </w:pPr>
            <w:r>
              <w:rPr>
                <w:rFonts w:eastAsia="宋体"/>
                <w:color w:val="auto"/>
                <w:spacing w:val="-4"/>
                <w:sz w:val="21"/>
                <w:szCs w:val="21"/>
                <w:highlight w:val="none"/>
                <w:lang w:eastAsia="zh-CN"/>
              </w:rPr>
              <w:t>《尾矿库安全规</w:t>
            </w:r>
            <w:r>
              <w:rPr>
                <w:rFonts w:eastAsia="宋体"/>
                <w:color w:val="auto"/>
                <w:sz w:val="21"/>
                <w:szCs w:val="21"/>
                <w:highlight w:val="none"/>
                <w:lang w:eastAsia="zh-CN"/>
              </w:rPr>
              <w:t>程》第6.7.1条</w:t>
            </w:r>
          </w:p>
        </w:tc>
        <w:tc>
          <w:tcPr>
            <w:tcW w:w="2717" w:type="dxa"/>
            <w:vAlign w:val="center"/>
          </w:tcPr>
          <w:p w14:paraId="2E3DAF39">
            <w:pPr>
              <w:pStyle w:val="25"/>
              <w:ind w:firstLine="7"/>
              <w:rPr>
                <w:rFonts w:eastAsia="宋体"/>
                <w:color w:val="auto"/>
                <w:sz w:val="21"/>
                <w:szCs w:val="21"/>
                <w:highlight w:val="none"/>
                <w:lang w:eastAsia="zh-CN"/>
              </w:rPr>
            </w:pPr>
          </w:p>
        </w:tc>
        <w:tc>
          <w:tcPr>
            <w:tcW w:w="836" w:type="dxa"/>
            <w:vAlign w:val="center"/>
          </w:tcPr>
          <w:p w14:paraId="0F77E98A">
            <w:pPr>
              <w:kinsoku/>
              <w:autoSpaceDE/>
              <w:autoSpaceDN/>
              <w:adjustRightInd/>
              <w:snapToGrid/>
              <w:spacing w:line="280" w:lineRule="exact"/>
              <w:jc w:val="center"/>
              <w:textAlignment w:val="auto"/>
              <w:rPr>
                <w:rFonts w:hint="eastAsia" w:ascii="宋体" w:hAnsi="宋体" w:eastAsia="宋体" w:cs="宋体"/>
                <w:color w:val="auto"/>
                <w:highlight w:val="none"/>
              </w:rPr>
            </w:pPr>
            <w:r>
              <w:rPr>
                <w:rFonts w:ascii="Times New Roman" w:hAnsi="Times New Roman" w:eastAsia="宋体" w:cs="Times New Roman"/>
                <w:color w:val="auto"/>
                <w:spacing w:val="3"/>
                <w:highlight w:val="none"/>
              </w:rPr>
              <w:t>符合</w:t>
            </w:r>
          </w:p>
        </w:tc>
      </w:tr>
      <w:tr w14:paraId="0504AF7A">
        <w:trPr>
          <w:trHeight w:val="1366" w:hRule="atLeast"/>
          <w:jc w:val="center"/>
        </w:trPr>
        <w:tc>
          <w:tcPr>
            <w:tcW w:w="606" w:type="dxa"/>
            <w:vAlign w:val="center"/>
          </w:tcPr>
          <w:p w14:paraId="6CCCEC3D">
            <w:pPr>
              <w:numPr>
                <w:ilvl w:val="0"/>
                <w:numId w:val="12"/>
              </w:numPr>
              <w:tabs>
                <w:tab w:val="clear" w:pos="0"/>
              </w:tabs>
              <w:spacing w:line="240" w:lineRule="exact"/>
              <w:jc w:val="center"/>
              <w:rPr>
                <w:rFonts w:eastAsia="仿宋"/>
                <w:color w:val="auto"/>
                <w:highlight w:val="none"/>
                <w:lang w:eastAsia="zh-CN"/>
              </w:rPr>
            </w:pPr>
          </w:p>
        </w:tc>
        <w:tc>
          <w:tcPr>
            <w:tcW w:w="3008" w:type="dxa"/>
            <w:vAlign w:val="center"/>
          </w:tcPr>
          <w:p w14:paraId="0C8FDB6C">
            <w:pPr>
              <w:rPr>
                <w:rFonts w:ascii="Times New Roman" w:hAnsi="Times New Roman" w:eastAsia="宋体" w:cs="Times New Roman"/>
                <w:color w:val="auto"/>
                <w:spacing w:val="9"/>
                <w:highlight w:val="none"/>
                <w:lang w:eastAsia="zh-CN"/>
              </w:rPr>
            </w:pPr>
            <w:r>
              <w:rPr>
                <w:rFonts w:ascii="Times New Roman" w:hAnsi="Times New Roman" w:eastAsia="宋体" w:cs="Times New Roman"/>
                <w:color w:val="auto"/>
                <w:spacing w:val="16"/>
                <w:highlight w:val="none"/>
                <w:lang w:eastAsia="zh-CN"/>
              </w:rPr>
              <w:t>监测设施的设置是否满足设计要求，监</w:t>
            </w:r>
            <w:r>
              <w:rPr>
                <w:rFonts w:ascii="Times New Roman" w:hAnsi="Times New Roman" w:eastAsia="宋体" w:cs="Times New Roman"/>
                <w:color w:val="auto"/>
                <w:spacing w:val="8"/>
                <w:highlight w:val="none"/>
                <w:lang w:eastAsia="zh-CN"/>
              </w:rPr>
              <w:t>测设施是否有损坏，是否运行正常。</w:t>
            </w:r>
          </w:p>
        </w:tc>
        <w:tc>
          <w:tcPr>
            <w:tcW w:w="1836" w:type="dxa"/>
            <w:vAlign w:val="center"/>
          </w:tcPr>
          <w:p w14:paraId="05E16A12">
            <w:pPr>
              <w:pStyle w:val="25"/>
              <w:ind w:firstLine="6"/>
              <w:rPr>
                <w:rFonts w:eastAsia="宋体"/>
                <w:color w:val="auto"/>
                <w:spacing w:val="8"/>
                <w:sz w:val="21"/>
                <w:szCs w:val="21"/>
                <w:highlight w:val="none"/>
                <w:lang w:eastAsia="zh-CN"/>
              </w:rPr>
            </w:pPr>
            <w:r>
              <w:rPr>
                <w:rFonts w:eastAsia="宋体"/>
                <w:color w:val="auto"/>
                <w:spacing w:val="-4"/>
                <w:sz w:val="21"/>
                <w:szCs w:val="21"/>
                <w:highlight w:val="none"/>
                <w:lang w:eastAsia="zh-CN"/>
              </w:rPr>
              <w:t>《尾矿库安全规</w:t>
            </w:r>
            <w:r>
              <w:rPr>
                <w:rFonts w:eastAsia="宋体"/>
                <w:color w:val="auto"/>
                <w:spacing w:val="3"/>
                <w:sz w:val="21"/>
                <w:szCs w:val="21"/>
                <w:highlight w:val="none"/>
                <w:lang w:eastAsia="zh-CN"/>
              </w:rPr>
              <w:t>程》第9.6.2条</w:t>
            </w:r>
          </w:p>
        </w:tc>
        <w:tc>
          <w:tcPr>
            <w:tcW w:w="2717" w:type="dxa"/>
            <w:vAlign w:val="center"/>
          </w:tcPr>
          <w:p w14:paraId="33AEF1FB">
            <w:pPr>
              <w:ind w:firstLine="1"/>
              <w:rPr>
                <w:rFonts w:ascii="Times New Roman" w:hAnsi="Times New Roman" w:eastAsia="宋体" w:cs="Times New Roman"/>
                <w:color w:val="auto"/>
                <w:spacing w:val="13"/>
                <w:highlight w:val="none"/>
                <w:lang w:eastAsia="zh-CN"/>
              </w:rPr>
            </w:pPr>
          </w:p>
        </w:tc>
        <w:tc>
          <w:tcPr>
            <w:tcW w:w="836" w:type="dxa"/>
            <w:vAlign w:val="center"/>
          </w:tcPr>
          <w:p w14:paraId="598601EC">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bl>
    <w:p w14:paraId="1FCC8EA6">
      <w:pPr>
        <w:rPr>
          <w:color w:val="auto"/>
          <w:highlight w:val="none"/>
          <w:lang w:eastAsia="zh-CN"/>
        </w:rPr>
      </w:pPr>
    </w:p>
    <w:p w14:paraId="05893A0B">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rPr>
      </w:pPr>
      <w:bookmarkStart w:id="191" w:name="_Toc20808"/>
      <w:bookmarkStart w:id="192" w:name="_Toc31135"/>
      <w:bookmarkStart w:id="193" w:name="_Toc32021"/>
      <w:r>
        <w:rPr>
          <w:rFonts w:ascii="Times New Roman" w:hAnsi="Times New Roman" w:eastAsia="Times New Roman" w:cs="Times New Roman"/>
          <w:bCs/>
          <w:color w:val="auto"/>
          <w:spacing w:val="-3"/>
          <w:sz w:val="28"/>
          <w:szCs w:val="28"/>
          <w:highlight w:val="none"/>
        </w:rPr>
        <w:t xml:space="preserve">5.4.2 </w:t>
      </w:r>
      <w:r>
        <w:rPr>
          <w:rFonts w:ascii="宋体" w:hAnsi="宋体" w:eastAsia="宋体" w:cs="宋体"/>
          <w:bCs/>
          <w:color w:val="auto"/>
          <w:spacing w:val="-3"/>
          <w:sz w:val="28"/>
          <w:szCs w:val="28"/>
          <w:highlight w:val="none"/>
        </w:rPr>
        <w:t>评价单元小结</w:t>
      </w:r>
      <w:bookmarkEnd w:id="191"/>
      <w:bookmarkEnd w:id="192"/>
      <w:bookmarkEnd w:id="193"/>
    </w:p>
    <w:p w14:paraId="7C847343">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eastAsia" w:ascii="宋体" w:hAnsi="宋体" w:eastAsia="宋体" w:cs="宋体"/>
          <w:color w:val="auto"/>
          <w:sz w:val="28"/>
          <w:szCs w:val="28"/>
          <w:highlight w:val="none"/>
          <w:lang w:eastAsia="zh-CN"/>
        </w:rPr>
      </w:pPr>
      <w:r>
        <w:rPr>
          <w:rFonts w:ascii="宋体" w:hAnsi="宋体" w:eastAsia="宋体" w:cs="宋体"/>
          <w:color w:val="auto"/>
          <w:spacing w:val="2"/>
          <w:sz w:val="28"/>
          <w:szCs w:val="28"/>
          <w:highlight w:val="none"/>
          <w:lang w:eastAsia="zh-CN"/>
        </w:rPr>
        <w:t>评价组通过现场查阅监测记录及相关设计报告对安全监测设施单</w:t>
      </w:r>
      <w:r>
        <w:rPr>
          <w:rFonts w:ascii="宋体" w:hAnsi="宋体" w:eastAsia="宋体" w:cs="宋体"/>
          <w:color w:val="auto"/>
          <w:spacing w:val="1"/>
          <w:sz w:val="28"/>
          <w:szCs w:val="28"/>
          <w:highlight w:val="none"/>
          <w:lang w:eastAsia="zh-CN"/>
        </w:rPr>
        <w:t>元进</w:t>
      </w:r>
      <w:r>
        <w:rPr>
          <w:rFonts w:ascii="宋体" w:hAnsi="宋体" w:eastAsia="宋体" w:cs="宋体"/>
          <w:color w:val="auto"/>
          <w:spacing w:val="2"/>
          <w:sz w:val="28"/>
          <w:szCs w:val="28"/>
          <w:highlight w:val="none"/>
          <w:lang w:eastAsia="zh-CN"/>
        </w:rPr>
        <w:t>行定性评价：该尾矿库安全监测系统运行正常，监测设施无损</w:t>
      </w:r>
      <w:r>
        <w:rPr>
          <w:rFonts w:ascii="宋体" w:hAnsi="宋体" w:eastAsia="宋体" w:cs="宋体"/>
          <w:color w:val="auto"/>
          <w:spacing w:val="1"/>
          <w:sz w:val="28"/>
          <w:szCs w:val="28"/>
          <w:highlight w:val="none"/>
          <w:lang w:eastAsia="zh-CN"/>
        </w:rPr>
        <w:t>坏，监测点</w:t>
      </w:r>
      <w:r>
        <w:rPr>
          <w:rFonts w:ascii="宋体" w:hAnsi="宋体" w:eastAsia="宋体" w:cs="宋体"/>
          <w:color w:val="auto"/>
          <w:spacing w:val="2"/>
          <w:sz w:val="28"/>
          <w:szCs w:val="28"/>
          <w:highlight w:val="none"/>
          <w:lang w:eastAsia="zh-CN"/>
        </w:rPr>
        <w:t>布置、监测内容符合设计及规范要求。坝体无突变现象，逐渐</w:t>
      </w:r>
      <w:r>
        <w:rPr>
          <w:rFonts w:ascii="宋体" w:hAnsi="宋体" w:eastAsia="宋体" w:cs="宋体"/>
          <w:color w:val="auto"/>
          <w:spacing w:val="1"/>
          <w:sz w:val="28"/>
          <w:szCs w:val="28"/>
          <w:highlight w:val="none"/>
          <w:lang w:eastAsia="zh-CN"/>
        </w:rPr>
        <w:t>趋于稳定。</w:t>
      </w:r>
      <w:r>
        <w:rPr>
          <w:rFonts w:ascii="宋体" w:hAnsi="宋体" w:eastAsia="宋体" w:cs="宋体"/>
          <w:color w:val="auto"/>
          <w:spacing w:val="2"/>
          <w:sz w:val="28"/>
          <w:szCs w:val="28"/>
          <w:highlight w:val="none"/>
          <w:lang w:eastAsia="zh-CN"/>
        </w:rPr>
        <w:t>安全监测设施符合</w:t>
      </w:r>
      <w:r>
        <w:rPr>
          <w:rFonts w:hint="eastAsia" w:ascii="宋体" w:hAnsi="宋体" w:eastAsia="宋体" w:cs="宋体"/>
          <w:color w:val="auto"/>
          <w:spacing w:val="2"/>
          <w:sz w:val="28"/>
          <w:szCs w:val="28"/>
          <w:highlight w:val="none"/>
          <w:lang w:eastAsia="zh-CN"/>
        </w:rPr>
        <w:t>相关</w:t>
      </w:r>
      <w:r>
        <w:rPr>
          <w:rFonts w:ascii="宋体" w:hAnsi="宋体" w:eastAsia="宋体" w:cs="宋体"/>
          <w:color w:val="auto"/>
          <w:spacing w:val="2"/>
          <w:sz w:val="28"/>
          <w:szCs w:val="28"/>
          <w:highlight w:val="none"/>
          <w:lang w:eastAsia="zh-CN"/>
        </w:rPr>
        <w:t>安全生产法律法</w:t>
      </w:r>
      <w:r>
        <w:rPr>
          <w:rFonts w:hint="eastAsia" w:ascii="宋体" w:hAnsi="宋体" w:eastAsia="宋体" w:cs="宋体"/>
          <w:color w:val="auto"/>
          <w:spacing w:val="2"/>
          <w:sz w:val="28"/>
          <w:szCs w:val="28"/>
          <w:highlight w:val="none"/>
          <w:lang w:eastAsia="zh-CN"/>
        </w:rPr>
        <w:t>规和</w:t>
      </w:r>
      <w:r>
        <w:rPr>
          <w:rFonts w:ascii="宋体" w:hAnsi="宋体" w:eastAsia="宋体" w:cs="宋体"/>
          <w:color w:val="auto"/>
          <w:spacing w:val="2"/>
          <w:sz w:val="28"/>
          <w:szCs w:val="28"/>
          <w:highlight w:val="none"/>
          <w:lang w:eastAsia="zh-CN"/>
        </w:rPr>
        <w:t>规章、规范性文</w:t>
      </w:r>
      <w:r>
        <w:rPr>
          <w:rFonts w:ascii="宋体" w:hAnsi="宋体" w:eastAsia="宋体" w:cs="宋体"/>
          <w:color w:val="auto"/>
          <w:spacing w:val="1"/>
          <w:sz w:val="28"/>
          <w:szCs w:val="28"/>
          <w:highlight w:val="none"/>
          <w:lang w:eastAsia="zh-CN"/>
        </w:rPr>
        <w:t>件、标准及设计</w:t>
      </w:r>
      <w:r>
        <w:rPr>
          <w:rFonts w:ascii="宋体" w:hAnsi="宋体" w:eastAsia="宋体" w:cs="宋体"/>
          <w:color w:val="auto"/>
          <w:spacing w:val="-1"/>
          <w:sz w:val="28"/>
          <w:szCs w:val="28"/>
          <w:highlight w:val="none"/>
          <w:lang w:eastAsia="zh-CN"/>
        </w:rPr>
        <w:t>的规定，具备安全生产条件。</w:t>
      </w:r>
    </w:p>
    <w:p w14:paraId="0046C52F">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194" w:name="bookmark48"/>
      <w:bookmarkEnd w:id="194"/>
      <w:bookmarkStart w:id="195" w:name="_Toc12014"/>
      <w:bookmarkStart w:id="196" w:name="_Toc1445123760"/>
      <w:r>
        <w:rPr>
          <w:rFonts w:ascii="Times New Roman Regular" w:hAnsi="Times New Roman Regular" w:eastAsia="黑体" w:cs="Times New Roman Regular"/>
          <w:snapToGrid/>
          <w:color w:val="auto"/>
          <w:kern w:val="2"/>
          <w:highlight w:val="none"/>
          <w:lang w:eastAsia="zh-CN"/>
        </w:rPr>
        <w:t>5.5 辅助设施单元</w:t>
      </w:r>
      <w:bookmarkEnd w:id="195"/>
      <w:bookmarkEnd w:id="196"/>
    </w:p>
    <w:p w14:paraId="360748A8">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197" w:name="_Toc23016"/>
      <w:bookmarkStart w:id="198" w:name="_Toc25028"/>
      <w:bookmarkStart w:id="199" w:name="_Toc30789"/>
      <w:r>
        <w:rPr>
          <w:rFonts w:ascii="Times New Roman" w:hAnsi="Times New Roman" w:eastAsia="Times New Roman" w:cs="Times New Roman"/>
          <w:bCs/>
          <w:color w:val="auto"/>
          <w:spacing w:val="-3"/>
          <w:sz w:val="28"/>
          <w:szCs w:val="28"/>
          <w:highlight w:val="none"/>
          <w:lang w:eastAsia="zh-CN"/>
        </w:rPr>
        <w:t xml:space="preserve">5.5.1 </w:t>
      </w:r>
      <w:r>
        <w:rPr>
          <w:rFonts w:ascii="宋体" w:hAnsi="宋体" w:eastAsia="宋体" w:cs="宋体"/>
          <w:bCs/>
          <w:color w:val="auto"/>
          <w:spacing w:val="-3"/>
          <w:sz w:val="28"/>
          <w:szCs w:val="28"/>
          <w:highlight w:val="none"/>
          <w:lang w:eastAsia="zh-CN"/>
        </w:rPr>
        <w:t>安全检查表法评价</w:t>
      </w:r>
      <w:bookmarkEnd w:id="197"/>
      <w:bookmarkEnd w:id="198"/>
      <w:bookmarkEnd w:id="199"/>
    </w:p>
    <w:p w14:paraId="507B31CB">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textAlignment w:val="baseline"/>
        <w:rPr>
          <w:rFonts w:hint="eastAsia" w:ascii="宋体" w:hAnsi="宋体" w:eastAsia="宋体" w:cs="宋体"/>
          <w:color w:val="auto"/>
          <w:sz w:val="28"/>
          <w:szCs w:val="28"/>
          <w:highlight w:val="none"/>
          <w:lang w:eastAsia="zh-CN"/>
        </w:rPr>
      </w:pPr>
      <w:r>
        <w:rPr>
          <w:rFonts w:ascii="宋体" w:hAnsi="宋体" w:eastAsia="宋体" w:cs="宋体"/>
          <w:color w:val="auto"/>
          <w:spacing w:val="7"/>
          <w:sz w:val="28"/>
          <w:szCs w:val="28"/>
          <w:highlight w:val="none"/>
          <w:lang w:eastAsia="zh-CN"/>
        </w:rPr>
        <w:t>根据</w:t>
      </w:r>
      <w:r>
        <w:rPr>
          <w:rFonts w:hint="eastAsia" w:ascii="宋体" w:hAnsi="宋体" w:eastAsia="宋体" w:cs="宋体"/>
          <w:color w:val="auto"/>
          <w:spacing w:val="7"/>
          <w:sz w:val="28"/>
          <w:szCs w:val="28"/>
          <w:highlight w:val="none"/>
          <w:lang w:eastAsia="zh-CN"/>
        </w:rPr>
        <w:t>相关</w:t>
      </w:r>
      <w:r>
        <w:rPr>
          <w:rFonts w:ascii="宋体" w:hAnsi="宋体" w:eastAsia="宋体" w:cs="宋体"/>
          <w:color w:val="auto"/>
          <w:spacing w:val="7"/>
          <w:sz w:val="28"/>
          <w:szCs w:val="28"/>
          <w:highlight w:val="none"/>
          <w:lang w:eastAsia="zh-CN"/>
        </w:rPr>
        <w:t>法律法规、技术标准</w:t>
      </w:r>
      <w:r>
        <w:rPr>
          <w:rFonts w:hint="eastAsia" w:ascii="宋体" w:hAnsi="宋体" w:eastAsia="宋体" w:cs="宋体"/>
          <w:color w:val="auto"/>
          <w:spacing w:val="7"/>
          <w:sz w:val="28"/>
          <w:szCs w:val="28"/>
          <w:highlight w:val="none"/>
          <w:lang w:eastAsia="zh-CN"/>
        </w:rPr>
        <w:t>要求</w:t>
      </w:r>
      <w:r>
        <w:rPr>
          <w:rFonts w:ascii="宋体" w:hAnsi="宋体" w:eastAsia="宋体" w:cs="宋体"/>
          <w:color w:val="auto"/>
          <w:spacing w:val="7"/>
          <w:sz w:val="28"/>
          <w:szCs w:val="28"/>
          <w:highlight w:val="none"/>
          <w:lang w:eastAsia="zh-CN"/>
        </w:rPr>
        <w:t>，借鉴同类尾矿库经验，</w:t>
      </w:r>
      <w:r>
        <w:rPr>
          <w:rFonts w:ascii="宋体" w:hAnsi="宋体" w:eastAsia="宋体" w:cs="宋体"/>
          <w:color w:val="auto"/>
          <w:spacing w:val="16"/>
          <w:sz w:val="28"/>
          <w:szCs w:val="28"/>
          <w:highlight w:val="none"/>
          <w:lang w:eastAsia="zh-CN"/>
        </w:rPr>
        <w:t>运用安全检查表的评价方法对该尾矿库辅助设施单元进行</w:t>
      </w:r>
      <w:r>
        <w:rPr>
          <w:rFonts w:ascii="宋体" w:hAnsi="宋体" w:eastAsia="宋体" w:cs="宋体"/>
          <w:color w:val="auto"/>
          <w:spacing w:val="15"/>
          <w:sz w:val="28"/>
          <w:szCs w:val="28"/>
          <w:highlight w:val="none"/>
          <w:lang w:eastAsia="zh-CN"/>
        </w:rPr>
        <w:t>评价，详见表</w:t>
      </w:r>
      <w:r>
        <w:rPr>
          <w:rFonts w:ascii="Times New Roman" w:hAnsi="Times New Roman" w:eastAsia="Times New Roman" w:cs="Times New Roman"/>
          <w:color w:val="auto"/>
          <w:spacing w:val="-3"/>
          <w:sz w:val="28"/>
          <w:szCs w:val="28"/>
          <w:highlight w:val="none"/>
          <w:lang w:eastAsia="zh-CN"/>
        </w:rPr>
        <w:t>5.5-1</w:t>
      </w:r>
      <w:r>
        <w:rPr>
          <w:rFonts w:ascii="宋体" w:hAnsi="宋体" w:eastAsia="宋体" w:cs="宋体"/>
          <w:color w:val="auto"/>
          <w:spacing w:val="-3"/>
          <w:sz w:val="28"/>
          <w:szCs w:val="28"/>
          <w:highlight w:val="none"/>
          <w:lang w:eastAsia="zh-CN"/>
        </w:rPr>
        <w:t>。</w:t>
      </w:r>
    </w:p>
    <w:p w14:paraId="21321C07">
      <w:pPr>
        <w:spacing w:line="400" w:lineRule="exact"/>
        <w:jc w:val="center"/>
        <w:rPr>
          <w:rFonts w:hint="eastAsia" w:ascii="黑体" w:hAnsi="黑体" w:eastAsia="黑体" w:cs="黑体"/>
          <w:bCs/>
          <w:color w:val="auto"/>
          <w:sz w:val="24"/>
          <w:highlight w:val="none"/>
          <w:lang w:eastAsia="zh-CN"/>
        </w:rPr>
      </w:pPr>
      <w:r>
        <w:rPr>
          <w:rFonts w:ascii="黑体" w:hAnsi="黑体" w:eastAsia="黑体" w:cs="黑体"/>
          <w:bCs/>
          <w:color w:val="auto"/>
          <w:sz w:val="24"/>
          <w:highlight w:val="none"/>
          <w:lang w:eastAsia="zh-CN"/>
        </w:rPr>
        <w:t>表5.5-1 辅助设施单元安全检查表</w:t>
      </w:r>
    </w:p>
    <w:tbl>
      <w:tblPr>
        <w:tblStyle w:val="24"/>
        <w:tblW w:w="90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28" w:type="dxa"/>
          <w:left w:w="28" w:type="dxa"/>
          <w:bottom w:w="28" w:type="dxa"/>
          <w:right w:w="28" w:type="dxa"/>
        </w:tblCellMar>
      </w:tblPr>
      <w:tblGrid>
        <w:gridCol w:w="606"/>
        <w:gridCol w:w="3008"/>
        <w:gridCol w:w="1836"/>
        <w:gridCol w:w="2717"/>
        <w:gridCol w:w="836"/>
      </w:tblGrid>
      <w:tr w14:paraId="39822023">
        <w:trPr>
          <w:trHeight w:val="442" w:hRule="atLeast"/>
          <w:tblHeader/>
          <w:jc w:val="center"/>
        </w:trPr>
        <w:tc>
          <w:tcPr>
            <w:tcW w:w="606" w:type="dxa"/>
            <w:vAlign w:val="center"/>
          </w:tcPr>
          <w:p w14:paraId="1A6A05DF">
            <w:pPr>
              <w:jc w:val="center"/>
              <w:rPr>
                <w:rFonts w:hint="eastAsia" w:ascii="宋体" w:hAnsi="宋体" w:eastAsia="宋体" w:cs="宋体"/>
                <w:color w:val="auto"/>
                <w:highlight w:val="none"/>
              </w:rPr>
            </w:pPr>
            <w:r>
              <w:rPr>
                <w:rFonts w:ascii="宋体" w:hAnsi="宋体" w:eastAsia="宋体" w:cs="宋体"/>
                <w:color w:val="auto"/>
                <w:spacing w:val="5"/>
                <w:highlight w:val="none"/>
              </w:rPr>
              <w:t>序号</w:t>
            </w:r>
          </w:p>
        </w:tc>
        <w:tc>
          <w:tcPr>
            <w:tcW w:w="3008" w:type="dxa"/>
            <w:vAlign w:val="center"/>
          </w:tcPr>
          <w:p w14:paraId="707000DE">
            <w:pPr>
              <w:jc w:val="center"/>
              <w:rPr>
                <w:rFonts w:hint="eastAsia" w:ascii="宋体" w:hAnsi="宋体" w:eastAsia="宋体" w:cs="宋体"/>
                <w:color w:val="auto"/>
                <w:highlight w:val="none"/>
              </w:rPr>
            </w:pPr>
            <w:r>
              <w:rPr>
                <w:rFonts w:ascii="宋体" w:hAnsi="宋体" w:eastAsia="宋体" w:cs="宋体"/>
                <w:color w:val="auto"/>
                <w:spacing w:val="7"/>
                <w:highlight w:val="none"/>
              </w:rPr>
              <w:t>检查项目</w:t>
            </w:r>
          </w:p>
        </w:tc>
        <w:tc>
          <w:tcPr>
            <w:tcW w:w="1836" w:type="dxa"/>
            <w:vAlign w:val="center"/>
          </w:tcPr>
          <w:p w14:paraId="13DE4215">
            <w:pPr>
              <w:jc w:val="center"/>
              <w:rPr>
                <w:rFonts w:hint="eastAsia" w:ascii="宋体" w:hAnsi="宋体" w:eastAsia="宋体" w:cs="宋体"/>
                <w:color w:val="auto"/>
                <w:highlight w:val="none"/>
              </w:rPr>
            </w:pPr>
            <w:r>
              <w:rPr>
                <w:rFonts w:ascii="宋体" w:hAnsi="宋体" w:eastAsia="宋体" w:cs="宋体"/>
                <w:color w:val="auto"/>
                <w:spacing w:val="7"/>
                <w:highlight w:val="none"/>
              </w:rPr>
              <w:t>检查依据</w:t>
            </w:r>
          </w:p>
        </w:tc>
        <w:tc>
          <w:tcPr>
            <w:tcW w:w="2717" w:type="dxa"/>
            <w:vAlign w:val="center"/>
          </w:tcPr>
          <w:p w14:paraId="5099D5CD">
            <w:pPr>
              <w:jc w:val="center"/>
              <w:rPr>
                <w:rFonts w:hint="eastAsia" w:ascii="宋体" w:hAnsi="宋体" w:eastAsia="宋体" w:cs="宋体"/>
                <w:color w:val="auto"/>
                <w:highlight w:val="none"/>
              </w:rPr>
            </w:pPr>
            <w:r>
              <w:rPr>
                <w:rFonts w:ascii="宋体" w:hAnsi="宋体" w:eastAsia="宋体" w:cs="宋体"/>
                <w:color w:val="auto"/>
                <w:spacing w:val="6"/>
                <w:highlight w:val="none"/>
              </w:rPr>
              <w:t>实际情况</w:t>
            </w:r>
          </w:p>
        </w:tc>
        <w:tc>
          <w:tcPr>
            <w:tcW w:w="836" w:type="dxa"/>
            <w:vAlign w:val="center"/>
          </w:tcPr>
          <w:p w14:paraId="38ABFFD3">
            <w:pPr>
              <w:jc w:val="center"/>
              <w:rPr>
                <w:rFonts w:hint="eastAsia" w:ascii="宋体" w:hAnsi="宋体" w:eastAsia="宋体" w:cs="宋体"/>
                <w:color w:val="auto"/>
                <w:highlight w:val="none"/>
              </w:rPr>
            </w:pPr>
            <w:r>
              <w:rPr>
                <w:rFonts w:ascii="宋体" w:hAnsi="宋体" w:eastAsia="宋体" w:cs="宋体"/>
                <w:color w:val="auto"/>
                <w:spacing w:val="2"/>
                <w:highlight w:val="none"/>
              </w:rPr>
              <w:t>结论</w:t>
            </w:r>
          </w:p>
        </w:tc>
      </w:tr>
      <w:tr w14:paraId="7F5D80FE">
        <w:trPr>
          <w:trHeight w:val="1366" w:hRule="atLeast"/>
          <w:jc w:val="center"/>
        </w:trPr>
        <w:tc>
          <w:tcPr>
            <w:tcW w:w="606" w:type="dxa"/>
            <w:vAlign w:val="center"/>
          </w:tcPr>
          <w:p w14:paraId="5017BA6D">
            <w:pPr>
              <w:numPr>
                <w:ilvl w:val="0"/>
                <w:numId w:val="13"/>
              </w:numPr>
              <w:tabs>
                <w:tab w:val="clear" w:pos="0"/>
              </w:tabs>
              <w:spacing w:line="240" w:lineRule="exact"/>
              <w:jc w:val="center"/>
              <w:rPr>
                <w:rFonts w:eastAsia="仿宋"/>
                <w:color w:val="auto"/>
                <w:highlight w:val="none"/>
              </w:rPr>
            </w:pPr>
          </w:p>
        </w:tc>
        <w:tc>
          <w:tcPr>
            <w:tcW w:w="3008" w:type="dxa"/>
            <w:vAlign w:val="center"/>
          </w:tcPr>
          <w:p w14:paraId="3957CE06">
            <w:pPr>
              <w:pStyle w:val="25"/>
              <w:jc w:val="both"/>
              <w:rPr>
                <w:rFonts w:hint="default" w:ascii="Times New Roman Regular" w:hAnsi="Times New Roman Regular" w:eastAsia="宋体" w:cs="Times New Roman Regular"/>
                <w:color w:val="auto"/>
                <w:sz w:val="21"/>
                <w:szCs w:val="21"/>
                <w:highlight w:val="none"/>
                <w:lang w:eastAsia="zh-CN"/>
              </w:rPr>
            </w:pPr>
            <w:r>
              <w:rPr>
                <w:rFonts w:hint="default" w:ascii="Times New Roman Regular" w:hAnsi="Times New Roman Regular" w:eastAsia="宋体" w:cs="Times New Roman Regular"/>
                <w:color w:val="auto"/>
                <w:sz w:val="21"/>
                <w:szCs w:val="21"/>
                <w:highlight w:val="none"/>
                <w:lang w:eastAsia="zh-CN"/>
              </w:rPr>
              <w:t>道路主要位于尾矿库右岸，道路最小宽度5m，碎石路面，路面坡度小于8%。库区巡查道路，尾矿坝、排洪系统与值班室及外部道路的连通道路和尾矿坝应急上坝道路均满足要求。</w:t>
            </w:r>
          </w:p>
        </w:tc>
        <w:tc>
          <w:tcPr>
            <w:tcW w:w="1836" w:type="dxa"/>
            <w:vAlign w:val="center"/>
          </w:tcPr>
          <w:p w14:paraId="7887A1A1">
            <w:pPr>
              <w:ind w:firstLine="5"/>
              <w:jc w:val="center"/>
              <w:rPr>
                <w:rFonts w:ascii="Times New Roman" w:hAnsi="Times New Roman" w:eastAsia="宋体" w:cs="Times New Roman"/>
                <w:color w:val="auto"/>
                <w:highlight w:val="none"/>
                <w:lang w:val="zh-CN" w:eastAsia="zh-CN"/>
              </w:rPr>
            </w:pPr>
            <w:r>
              <w:rPr>
                <w:rFonts w:hint="eastAsia"/>
                <w:color w:val="auto"/>
                <w:highlight w:val="none"/>
                <w:lang w:eastAsia="zh-CN"/>
              </w:rPr>
              <w:t>《葫芦岛岳强矿业有限责任公司干堆尾矿库安全专篇》</w:t>
            </w:r>
          </w:p>
        </w:tc>
        <w:tc>
          <w:tcPr>
            <w:tcW w:w="2717" w:type="dxa"/>
            <w:vAlign w:val="center"/>
          </w:tcPr>
          <w:p w14:paraId="06509B72">
            <w:pPr>
              <w:pStyle w:val="25"/>
              <w:ind w:firstLine="1"/>
              <w:jc w:val="both"/>
              <w:rPr>
                <w:rFonts w:eastAsia="宋体"/>
                <w:color w:val="auto"/>
                <w:sz w:val="21"/>
                <w:szCs w:val="21"/>
                <w:highlight w:val="none"/>
                <w:lang w:eastAsia="zh-CN"/>
              </w:rPr>
            </w:pPr>
          </w:p>
        </w:tc>
        <w:tc>
          <w:tcPr>
            <w:tcW w:w="836" w:type="dxa"/>
            <w:vAlign w:val="center"/>
          </w:tcPr>
          <w:p w14:paraId="5D6824ED">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2421DF1A">
        <w:trPr>
          <w:trHeight w:val="1366" w:hRule="atLeast"/>
          <w:jc w:val="center"/>
        </w:trPr>
        <w:tc>
          <w:tcPr>
            <w:tcW w:w="606" w:type="dxa"/>
            <w:vAlign w:val="center"/>
          </w:tcPr>
          <w:p w14:paraId="412A9BDD">
            <w:pPr>
              <w:numPr>
                <w:ilvl w:val="0"/>
                <w:numId w:val="13"/>
              </w:numPr>
              <w:tabs>
                <w:tab w:val="clear" w:pos="0"/>
              </w:tabs>
              <w:spacing w:line="240" w:lineRule="exact"/>
              <w:jc w:val="center"/>
              <w:rPr>
                <w:rFonts w:eastAsia="仿宋"/>
                <w:color w:val="auto"/>
                <w:highlight w:val="none"/>
              </w:rPr>
            </w:pPr>
          </w:p>
        </w:tc>
        <w:tc>
          <w:tcPr>
            <w:tcW w:w="3008" w:type="dxa"/>
            <w:vAlign w:val="center"/>
          </w:tcPr>
          <w:p w14:paraId="1AAA566A">
            <w:pPr>
              <w:ind w:firstLine="1"/>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eastAsia="宋体" w:cs="Times New Roman Regular"/>
                <w:color w:val="auto"/>
                <w:highlight w:val="none"/>
                <w:lang w:eastAsia="zh-CN"/>
              </w:rPr>
              <w:t>根据尾矿库管理需要在值班室配备调度电话一部，对讲机12对。</w:t>
            </w:r>
          </w:p>
        </w:tc>
        <w:tc>
          <w:tcPr>
            <w:tcW w:w="1836" w:type="dxa"/>
            <w:vAlign w:val="center"/>
          </w:tcPr>
          <w:p w14:paraId="13C1CDEB">
            <w:pPr>
              <w:ind w:firstLine="5"/>
              <w:jc w:val="center"/>
              <w:rPr>
                <w:rFonts w:hint="eastAsia" w:ascii="宋体" w:hAnsi="宋体" w:eastAsia="宋体" w:cs="宋体"/>
                <w:color w:val="auto"/>
                <w:highlight w:val="none"/>
                <w:lang w:val="zh-CN" w:eastAsia="zh-CN"/>
              </w:rPr>
            </w:pPr>
            <w:r>
              <w:rPr>
                <w:rFonts w:hint="eastAsia" w:ascii="宋体" w:hAnsi="宋体" w:eastAsia="宋体" w:cs="宋体"/>
                <w:color w:val="auto"/>
                <w:highlight w:val="none"/>
                <w:lang w:eastAsia="zh-CN"/>
              </w:rPr>
              <w:t>《葫芦岛岳强矿业有限责任公司干堆尾矿库安全专篇》</w:t>
            </w:r>
          </w:p>
        </w:tc>
        <w:tc>
          <w:tcPr>
            <w:tcW w:w="2717" w:type="dxa"/>
            <w:vAlign w:val="center"/>
          </w:tcPr>
          <w:p w14:paraId="0D0566B3">
            <w:pPr>
              <w:pStyle w:val="25"/>
              <w:ind w:firstLine="1"/>
              <w:jc w:val="both"/>
              <w:rPr>
                <w:rFonts w:hint="default" w:ascii="Times New Roman Regular" w:hAnsi="Times New Roman Regular" w:eastAsia="宋体" w:cs="Times New Roman Regular"/>
                <w:color w:val="auto"/>
                <w:sz w:val="21"/>
                <w:szCs w:val="21"/>
                <w:highlight w:val="none"/>
                <w:lang w:eastAsia="zh-CN"/>
              </w:rPr>
            </w:pPr>
          </w:p>
        </w:tc>
        <w:tc>
          <w:tcPr>
            <w:tcW w:w="836" w:type="dxa"/>
            <w:vAlign w:val="center"/>
          </w:tcPr>
          <w:p w14:paraId="23418897">
            <w:pPr>
              <w:jc w:val="center"/>
              <w:rPr>
                <w:rFonts w:hint="eastAsia" w:ascii="宋体" w:hAnsi="宋体" w:eastAsia="宋体" w:cs="宋体"/>
                <w:color w:val="auto"/>
                <w:spacing w:val="3"/>
                <w:highlight w:val="none"/>
              </w:rPr>
            </w:pPr>
            <w:r>
              <w:rPr>
                <w:rFonts w:hint="eastAsia" w:ascii="宋体" w:hAnsi="宋体" w:eastAsia="宋体" w:cs="宋体"/>
                <w:color w:val="auto"/>
                <w:spacing w:val="3"/>
                <w:highlight w:val="none"/>
              </w:rPr>
              <w:t>符合</w:t>
            </w:r>
          </w:p>
        </w:tc>
      </w:tr>
      <w:tr w14:paraId="45E8C437">
        <w:trPr>
          <w:trHeight w:val="1366" w:hRule="atLeast"/>
          <w:jc w:val="center"/>
        </w:trPr>
        <w:tc>
          <w:tcPr>
            <w:tcW w:w="606" w:type="dxa"/>
            <w:vAlign w:val="center"/>
          </w:tcPr>
          <w:p w14:paraId="42789E8B">
            <w:pPr>
              <w:numPr>
                <w:ilvl w:val="0"/>
                <w:numId w:val="13"/>
              </w:numPr>
              <w:tabs>
                <w:tab w:val="clear" w:pos="0"/>
              </w:tabs>
              <w:spacing w:line="240" w:lineRule="exact"/>
              <w:jc w:val="center"/>
              <w:rPr>
                <w:rFonts w:eastAsia="仿宋"/>
                <w:color w:val="auto"/>
                <w:highlight w:val="none"/>
              </w:rPr>
            </w:pPr>
          </w:p>
        </w:tc>
        <w:tc>
          <w:tcPr>
            <w:tcW w:w="3008" w:type="dxa"/>
            <w:vAlign w:val="center"/>
          </w:tcPr>
          <w:p w14:paraId="286719E2">
            <w:pPr>
              <w:ind w:hanging="4"/>
              <w:jc w:val="center"/>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eastAsia="宋体" w:cs="Times New Roman Regular"/>
                <w:color w:val="auto"/>
                <w:spacing w:val="13"/>
                <w:highlight w:val="none"/>
                <w:lang w:eastAsia="zh-CN"/>
              </w:rPr>
              <w:t>在拦挡坝上设置照明灯。</w:t>
            </w:r>
          </w:p>
        </w:tc>
        <w:tc>
          <w:tcPr>
            <w:tcW w:w="1836" w:type="dxa"/>
            <w:vAlign w:val="center"/>
          </w:tcPr>
          <w:p w14:paraId="1658AF59">
            <w:pPr>
              <w:ind w:firstLine="5"/>
              <w:jc w:val="center"/>
              <w:rPr>
                <w:rFonts w:hint="eastAsia" w:ascii="宋体" w:hAnsi="宋体" w:eastAsia="宋体" w:cs="宋体"/>
                <w:color w:val="auto"/>
                <w:highlight w:val="none"/>
                <w:lang w:val="zh-CN" w:eastAsia="zh-CN"/>
              </w:rPr>
            </w:pPr>
            <w:r>
              <w:rPr>
                <w:rFonts w:hint="eastAsia" w:ascii="宋体" w:hAnsi="宋体" w:eastAsia="宋体" w:cs="宋体"/>
                <w:color w:val="auto"/>
                <w:highlight w:val="none"/>
                <w:lang w:eastAsia="zh-CN"/>
              </w:rPr>
              <w:t>《葫芦岛岳强矿业有限责任公司干堆尾矿库安全专篇》</w:t>
            </w:r>
          </w:p>
        </w:tc>
        <w:tc>
          <w:tcPr>
            <w:tcW w:w="2717" w:type="dxa"/>
            <w:vAlign w:val="center"/>
          </w:tcPr>
          <w:p w14:paraId="634B9E4E">
            <w:pPr>
              <w:pStyle w:val="25"/>
              <w:ind w:firstLine="1"/>
              <w:jc w:val="center"/>
              <w:rPr>
                <w:rFonts w:hint="default" w:ascii="Times New Roman Regular" w:hAnsi="Times New Roman Regular" w:eastAsia="宋体" w:cs="Times New Roman Regular"/>
                <w:color w:val="auto"/>
                <w:sz w:val="21"/>
                <w:szCs w:val="21"/>
                <w:highlight w:val="none"/>
                <w:lang w:eastAsia="zh-CN"/>
              </w:rPr>
            </w:pPr>
          </w:p>
        </w:tc>
        <w:tc>
          <w:tcPr>
            <w:tcW w:w="836" w:type="dxa"/>
            <w:vAlign w:val="center"/>
          </w:tcPr>
          <w:p w14:paraId="67050048">
            <w:pPr>
              <w:kinsoku/>
              <w:autoSpaceDE/>
              <w:autoSpaceDN/>
              <w:adjustRightInd/>
              <w:snapToGrid/>
              <w:spacing w:line="280" w:lineRule="exact"/>
              <w:jc w:val="center"/>
              <w:textAlignment w:val="auto"/>
              <w:rPr>
                <w:rFonts w:hint="eastAsia" w:ascii="宋体" w:hAnsi="宋体" w:eastAsia="宋体" w:cs="宋体"/>
                <w:color w:val="auto"/>
                <w:spacing w:val="3"/>
                <w:highlight w:val="none"/>
              </w:rPr>
            </w:pPr>
            <w:r>
              <w:rPr>
                <w:rFonts w:hint="eastAsia" w:ascii="宋体" w:hAnsi="宋体" w:eastAsia="宋体" w:cs="宋体"/>
                <w:color w:val="auto"/>
                <w:spacing w:val="3"/>
                <w:highlight w:val="none"/>
              </w:rPr>
              <w:t>符合</w:t>
            </w:r>
          </w:p>
        </w:tc>
      </w:tr>
      <w:tr w14:paraId="291FFE91">
        <w:trPr>
          <w:trHeight w:val="1366" w:hRule="atLeast"/>
          <w:jc w:val="center"/>
        </w:trPr>
        <w:tc>
          <w:tcPr>
            <w:tcW w:w="606" w:type="dxa"/>
            <w:vAlign w:val="center"/>
          </w:tcPr>
          <w:p w14:paraId="0DBC47B4">
            <w:pPr>
              <w:numPr>
                <w:ilvl w:val="0"/>
                <w:numId w:val="13"/>
              </w:numPr>
              <w:tabs>
                <w:tab w:val="clear" w:pos="0"/>
              </w:tabs>
              <w:spacing w:line="240" w:lineRule="exact"/>
              <w:jc w:val="center"/>
              <w:rPr>
                <w:rFonts w:eastAsia="仿宋"/>
                <w:color w:val="auto"/>
                <w:highlight w:val="none"/>
                <w:lang w:eastAsia="zh-CN"/>
              </w:rPr>
            </w:pPr>
          </w:p>
        </w:tc>
        <w:tc>
          <w:tcPr>
            <w:tcW w:w="3008" w:type="dxa"/>
            <w:vAlign w:val="center"/>
          </w:tcPr>
          <w:p w14:paraId="0B177014">
            <w:pPr>
              <w:ind w:hanging="4"/>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eastAsia="宋体" w:cs="Times New Roman Regular"/>
                <w:color w:val="auto"/>
                <w:spacing w:val="13"/>
                <w:highlight w:val="none"/>
                <w:lang w:eastAsia="zh-CN"/>
              </w:rPr>
              <w:t>在尾矿库周边显著位置设安全</w:t>
            </w:r>
            <w:r>
              <w:rPr>
                <w:rFonts w:hint="default" w:ascii="Times New Roman Regular" w:hAnsi="Times New Roman Regular" w:eastAsia="宋体" w:cs="Times New Roman Regular"/>
                <w:color w:val="auto"/>
                <w:spacing w:val="8"/>
                <w:highlight w:val="none"/>
                <w:lang w:eastAsia="zh-CN"/>
              </w:rPr>
              <w:t>警示语牌，概况安全标示牌。</w:t>
            </w:r>
          </w:p>
        </w:tc>
        <w:tc>
          <w:tcPr>
            <w:tcW w:w="1836" w:type="dxa"/>
            <w:vAlign w:val="center"/>
          </w:tcPr>
          <w:p w14:paraId="1D335EC6">
            <w:pPr>
              <w:ind w:firstLine="5"/>
              <w:jc w:val="both"/>
              <w:rPr>
                <w:rFonts w:hint="eastAsia" w:ascii="宋体" w:hAnsi="宋体" w:eastAsia="宋体" w:cs="宋体"/>
                <w:color w:val="auto"/>
                <w:highlight w:val="none"/>
                <w:lang w:val="zh-CN" w:eastAsia="zh-CN"/>
              </w:rPr>
            </w:pPr>
            <w:r>
              <w:rPr>
                <w:rFonts w:hint="eastAsia" w:ascii="宋体" w:hAnsi="宋体" w:eastAsia="宋体" w:cs="宋体"/>
                <w:color w:val="auto"/>
                <w:highlight w:val="none"/>
                <w:lang w:eastAsia="zh-CN"/>
              </w:rPr>
              <w:t>《葫芦岛岳强矿业有限责任公司干堆尾矿库安全专篇》</w:t>
            </w:r>
          </w:p>
        </w:tc>
        <w:tc>
          <w:tcPr>
            <w:tcW w:w="2717" w:type="dxa"/>
            <w:vAlign w:val="center"/>
          </w:tcPr>
          <w:p w14:paraId="56C78B8C">
            <w:pPr>
              <w:ind w:firstLine="3"/>
              <w:jc w:val="both"/>
              <w:rPr>
                <w:rFonts w:hint="default" w:ascii="Times New Roman Regular" w:hAnsi="Times New Roman Regular" w:eastAsia="宋体" w:cs="Times New Roman Regular"/>
                <w:color w:val="auto"/>
                <w:highlight w:val="none"/>
                <w:lang w:eastAsia="zh-CN"/>
              </w:rPr>
            </w:pPr>
          </w:p>
        </w:tc>
        <w:tc>
          <w:tcPr>
            <w:tcW w:w="836" w:type="dxa"/>
            <w:vAlign w:val="center"/>
          </w:tcPr>
          <w:p w14:paraId="40416DD9">
            <w:pPr>
              <w:kinsoku/>
              <w:autoSpaceDE/>
              <w:autoSpaceDN/>
              <w:adjustRightInd/>
              <w:snapToGrid/>
              <w:spacing w:line="280" w:lineRule="exact"/>
              <w:jc w:val="center"/>
              <w:textAlignment w:val="auto"/>
              <w:rPr>
                <w:rFonts w:hint="eastAsia" w:ascii="宋体" w:hAnsi="宋体" w:eastAsia="宋体" w:cs="宋体"/>
                <w:color w:val="auto"/>
                <w:spacing w:val="3"/>
                <w:highlight w:val="none"/>
              </w:rPr>
            </w:pPr>
            <w:r>
              <w:rPr>
                <w:rFonts w:hint="eastAsia" w:ascii="宋体" w:hAnsi="宋体" w:eastAsia="宋体" w:cs="宋体"/>
                <w:color w:val="auto"/>
                <w:spacing w:val="3"/>
                <w:highlight w:val="none"/>
              </w:rPr>
              <w:t>符合</w:t>
            </w:r>
          </w:p>
        </w:tc>
      </w:tr>
    </w:tbl>
    <w:p w14:paraId="4B75C742">
      <w:pPr>
        <w:rPr>
          <w:color w:val="auto"/>
          <w:highlight w:val="none"/>
          <w:lang w:eastAsia="zh-CN"/>
        </w:rPr>
      </w:pPr>
    </w:p>
    <w:p w14:paraId="006A0CDE">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rPr>
      </w:pPr>
      <w:bookmarkStart w:id="200" w:name="_Toc22781"/>
      <w:bookmarkStart w:id="201" w:name="_Toc11985"/>
      <w:bookmarkStart w:id="202" w:name="_Toc4628"/>
      <w:r>
        <w:rPr>
          <w:rFonts w:ascii="Times New Roman" w:hAnsi="Times New Roman" w:eastAsia="Times New Roman" w:cs="Times New Roman"/>
          <w:bCs/>
          <w:color w:val="auto"/>
          <w:spacing w:val="-3"/>
          <w:sz w:val="28"/>
          <w:szCs w:val="28"/>
          <w:highlight w:val="none"/>
        </w:rPr>
        <w:t xml:space="preserve">5.5.2 </w:t>
      </w:r>
      <w:r>
        <w:rPr>
          <w:rFonts w:ascii="宋体" w:hAnsi="宋体" w:eastAsia="宋体" w:cs="宋体"/>
          <w:bCs/>
          <w:color w:val="auto"/>
          <w:spacing w:val="-3"/>
          <w:sz w:val="28"/>
          <w:szCs w:val="28"/>
          <w:highlight w:val="none"/>
        </w:rPr>
        <w:t>评价单元小结</w:t>
      </w:r>
      <w:bookmarkEnd w:id="200"/>
      <w:bookmarkEnd w:id="201"/>
      <w:bookmarkEnd w:id="202"/>
    </w:p>
    <w:p w14:paraId="7F7C449C">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宋体" w:hAnsi="宋体" w:eastAsia="宋体" w:cs="宋体"/>
          <w:color w:val="auto"/>
          <w:spacing w:val="7"/>
          <w:sz w:val="28"/>
          <w:szCs w:val="28"/>
          <w:highlight w:val="none"/>
          <w:lang w:eastAsia="zh-CN"/>
        </w:rPr>
      </w:pPr>
      <w:r>
        <w:rPr>
          <w:rFonts w:hint="eastAsia" w:ascii="宋体" w:hAnsi="宋体" w:eastAsia="宋体" w:cs="宋体"/>
          <w:color w:val="auto"/>
          <w:spacing w:val="7"/>
          <w:sz w:val="28"/>
          <w:szCs w:val="28"/>
          <w:highlight w:val="none"/>
          <w:lang w:eastAsia="zh-CN"/>
        </w:rPr>
        <w:t>该</w:t>
      </w:r>
      <w:r>
        <w:rPr>
          <w:rFonts w:ascii="宋体" w:hAnsi="宋体" w:eastAsia="宋体" w:cs="宋体"/>
          <w:color w:val="auto"/>
          <w:spacing w:val="7"/>
          <w:sz w:val="28"/>
          <w:szCs w:val="28"/>
          <w:highlight w:val="none"/>
          <w:lang w:eastAsia="zh-CN"/>
        </w:rPr>
        <w:t>尾矿库建设上坝道路、照明、通讯</w:t>
      </w:r>
      <w:r>
        <w:rPr>
          <w:rFonts w:hint="eastAsia" w:ascii="宋体" w:hAnsi="宋体" w:eastAsia="宋体" w:cs="宋体"/>
          <w:color w:val="auto"/>
          <w:spacing w:val="7"/>
          <w:sz w:val="28"/>
          <w:szCs w:val="28"/>
          <w:highlight w:val="none"/>
          <w:lang w:eastAsia="zh-CN"/>
        </w:rPr>
        <w:t>、</w:t>
      </w:r>
      <w:r>
        <w:rPr>
          <w:rFonts w:ascii="宋体" w:hAnsi="宋体" w:eastAsia="宋体" w:cs="宋体"/>
          <w:color w:val="auto"/>
          <w:spacing w:val="7"/>
          <w:sz w:val="28"/>
          <w:szCs w:val="28"/>
          <w:highlight w:val="none"/>
          <w:lang w:eastAsia="zh-CN"/>
        </w:rPr>
        <w:t>警示标语等辅助设施，各辅助设施安全有效，符合规范及设计要求，具备安全生产条件。</w:t>
      </w:r>
    </w:p>
    <w:p w14:paraId="5D611C11">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03" w:name="bookmark50"/>
      <w:bookmarkEnd w:id="203"/>
      <w:bookmarkStart w:id="204" w:name="_Toc154986750"/>
      <w:bookmarkStart w:id="205" w:name="_Toc225"/>
      <w:r>
        <w:rPr>
          <w:rFonts w:ascii="Times New Roman Regular" w:hAnsi="Times New Roman Regular" w:eastAsia="黑体" w:cs="Times New Roman Regular"/>
          <w:snapToGrid/>
          <w:color w:val="auto"/>
          <w:kern w:val="2"/>
          <w:highlight w:val="none"/>
          <w:lang w:eastAsia="zh-CN"/>
        </w:rPr>
        <w:t>5.6 安全管理单元</w:t>
      </w:r>
      <w:bookmarkEnd w:id="204"/>
      <w:bookmarkEnd w:id="205"/>
    </w:p>
    <w:p w14:paraId="717EA917">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206" w:name="_Toc26289"/>
      <w:bookmarkStart w:id="207" w:name="_Toc17625"/>
      <w:bookmarkStart w:id="208" w:name="_Toc25278"/>
      <w:r>
        <w:rPr>
          <w:rFonts w:ascii="Times New Roman" w:hAnsi="Times New Roman" w:eastAsia="Times New Roman" w:cs="Times New Roman"/>
          <w:bCs/>
          <w:color w:val="auto"/>
          <w:spacing w:val="-3"/>
          <w:sz w:val="28"/>
          <w:szCs w:val="28"/>
          <w:highlight w:val="none"/>
          <w:lang w:eastAsia="zh-CN"/>
        </w:rPr>
        <w:t xml:space="preserve">5.6.1 </w:t>
      </w:r>
      <w:r>
        <w:rPr>
          <w:rFonts w:ascii="宋体" w:hAnsi="宋体" w:eastAsia="宋体" w:cs="宋体"/>
          <w:bCs/>
          <w:color w:val="auto"/>
          <w:spacing w:val="-3"/>
          <w:sz w:val="28"/>
          <w:szCs w:val="28"/>
          <w:highlight w:val="none"/>
          <w:lang w:eastAsia="zh-CN"/>
        </w:rPr>
        <w:t>安全检查表法评价</w:t>
      </w:r>
      <w:bookmarkEnd w:id="206"/>
      <w:bookmarkEnd w:id="207"/>
      <w:bookmarkEnd w:id="208"/>
    </w:p>
    <w:p w14:paraId="2329CD4B">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pacing w:val="7"/>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根据相关法律法规、技术标准规定，借鉴同类尾矿库经验，运用安全检查表的评价方法对该尾矿库安全管理单元进行符合性评价，详见表5.6-1。</w:t>
      </w:r>
    </w:p>
    <w:p w14:paraId="15B58C7E">
      <w:pPr>
        <w:spacing w:line="400" w:lineRule="exact"/>
        <w:jc w:val="center"/>
        <w:rPr>
          <w:rFonts w:hint="eastAsia" w:ascii="黑体" w:hAnsi="黑体" w:eastAsia="黑体" w:cs="黑体"/>
          <w:bCs/>
          <w:color w:val="auto"/>
          <w:sz w:val="24"/>
          <w:highlight w:val="none"/>
          <w:lang w:eastAsia="zh-CN"/>
        </w:rPr>
      </w:pPr>
      <w:r>
        <w:rPr>
          <w:rFonts w:ascii="黑体" w:hAnsi="黑体" w:eastAsia="黑体" w:cs="黑体"/>
          <w:bCs/>
          <w:color w:val="auto"/>
          <w:sz w:val="24"/>
          <w:highlight w:val="none"/>
          <w:lang w:eastAsia="zh-CN"/>
        </w:rPr>
        <w:t xml:space="preserve">表5.6-1 </w:t>
      </w:r>
      <w:r>
        <w:rPr>
          <w:rFonts w:hint="eastAsia" w:ascii="黑体" w:hAnsi="黑体" w:eastAsia="黑体" w:cs="黑体"/>
          <w:bCs/>
          <w:color w:val="auto"/>
          <w:sz w:val="24"/>
          <w:highlight w:val="none"/>
          <w:lang w:eastAsia="zh-CN"/>
        </w:rPr>
        <w:t xml:space="preserve"> </w:t>
      </w:r>
      <w:r>
        <w:rPr>
          <w:rFonts w:ascii="黑体" w:hAnsi="黑体" w:eastAsia="黑体" w:cs="黑体"/>
          <w:bCs/>
          <w:color w:val="auto"/>
          <w:sz w:val="24"/>
          <w:highlight w:val="none"/>
          <w:lang w:eastAsia="zh-CN"/>
        </w:rPr>
        <w:t>安全管理单元安全检查表</w:t>
      </w:r>
    </w:p>
    <w:tbl>
      <w:tblPr>
        <w:tblStyle w:val="24"/>
        <w:tblW w:w="90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28" w:type="dxa"/>
          <w:left w:w="28" w:type="dxa"/>
          <w:bottom w:w="28" w:type="dxa"/>
          <w:right w:w="28" w:type="dxa"/>
        </w:tblCellMar>
      </w:tblPr>
      <w:tblGrid>
        <w:gridCol w:w="606"/>
        <w:gridCol w:w="3008"/>
        <w:gridCol w:w="1836"/>
        <w:gridCol w:w="2717"/>
        <w:gridCol w:w="836"/>
      </w:tblGrid>
      <w:tr w14:paraId="2276432F">
        <w:trPr>
          <w:trHeight w:val="442" w:hRule="atLeast"/>
          <w:tblHeader/>
          <w:jc w:val="center"/>
        </w:trPr>
        <w:tc>
          <w:tcPr>
            <w:tcW w:w="606" w:type="dxa"/>
            <w:vAlign w:val="center"/>
          </w:tcPr>
          <w:p w14:paraId="70DB73DE">
            <w:pPr>
              <w:jc w:val="center"/>
              <w:rPr>
                <w:rFonts w:hint="eastAsia" w:ascii="宋体" w:hAnsi="宋体" w:eastAsia="宋体" w:cs="宋体"/>
                <w:color w:val="auto"/>
                <w:highlight w:val="none"/>
              </w:rPr>
            </w:pPr>
            <w:r>
              <w:rPr>
                <w:rFonts w:ascii="宋体" w:hAnsi="宋体" w:eastAsia="宋体" w:cs="宋体"/>
                <w:color w:val="auto"/>
                <w:spacing w:val="5"/>
                <w:highlight w:val="none"/>
              </w:rPr>
              <w:t>序号</w:t>
            </w:r>
          </w:p>
        </w:tc>
        <w:tc>
          <w:tcPr>
            <w:tcW w:w="3008" w:type="dxa"/>
            <w:vAlign w:val="center"/>
          </w:tcPr>
          <w:p w14:paraId="2DF91166">
            <w:pPr>
              <w:jc w:val="center"/>
              <w:rPr>
                <w:rFonts w:hint="eastAsia" w:ascii="宋体" w:hAnsi="宋体" w:eastAsia="宋体" w:cs="宋体"/>
                <w:color w:val="auto"/>
                <w:highlight w:val="none"/>
                <w:lang w:eastAsia="zh-CN"/>
              </w:rPr>
            </w:pPr>
            <w:r>
              <w:rPr>
                <w:rFonts w:ascii="宋体" w:hAnsi="宋体" w:eastAsia="宋体" w:cs="宋体"/>
                <w:color w:val="auto"/>
                <w:spacing w:val="7"/>
                <w:highlight w:val="none"/>
              </w:rPr>
              <w:t>检查</w:t>
            </w:r>
            <w:r>
              <w:rPr>
                <w:rFonts w:hint="eastAsia" w:ascii="宋体" w:hAnsi="宋体" w:eastAsia="宋体" w:cs="宋体"/>
                <w:color w:val="auto"/>
                <w:spacing w:val="7"/>
                <w:highlight w:val="none"/>
                <w:lang w:eastAsia="zh-CN"/>
              </w:rPr>
              <w:t>内容</w:t>
            </w:r>
          </w:p>
        </w:tc>
        <w:tc>
          <w:tcPr>
            <w:tcW w:w="1836" w:type="dxa"/>
            <w:vAlign w:val="center"/>
          </w:tcPr>
          <w:p w14:paraId="471D325F">
            <w:pPr>
              <w:jc w:val="center"/>
              <w:rPr>
                <w:rFonts w:hint="eastAsia" w:ascii="宋体" w:hAnsi="宋体" w:eastAsia="宋体" w:cs="宋体"/>
                <w:color w:val="auto"/>
                <w:highlight w:val="none"/>
              </w:rPr>
            </w:pPr>
            <w:r>
              <w:rPr>
                <w:rFonts w:ascii="宋体" w:hAnsi="宋体" w:eastAsia="宋体" w:cs="宋体"/>
                <w:color w:val="auto"/>
                <w:spacing w:val="7"/>
                <w:highlight w:val="none"/>
              </w:rPr>
              <w:t>检查依据</w:t>
            </w:r>
          </w:p>
        </w:tc>
        <w:tc>
          <w:tcPr>
            <w:tcW w:w="2717" w:type="dxa"/>
            <w:vAlign w:val="center"/>
          </w:tcPr>
          <w:p w14:paraId="462248D1">
            <w:pPr>
              <w:jc w:val="center"/>
              <w:rPr>
                <w:rFonts w:hint="eastAsia" w:ascii="宋体" w:hAnsi="宋体" w:eastAsia="宋体" w:cs="宋体"/>
                <w:color w:val="auto"/>
                <w:highlight w:val="none"/>
              </w:rPr>
            </w:pPr>
            <w:r>
              <w:rPr>
                <w:rFonts w:ascii="Times New Roman" w:hAnsi="Times New Roman" w:eastAsia="宋体" w:cs="Times New Roman"/>
                <w:color w:val="auto"/>
                <w:spacing w:val="7"/>
                <w:highlight w:val="none"/>
              </w:rPr>
              <w:t>检查结果</w:t>
            </w:r>
          </w:p>
        </w:tc>
        <w:tc>
          <w:tcPr>
            <w:tcW w:w="836" w:type="dxa"/>
            <w:vAlign w:val="center"/>
          </w:tcPr>
          <w:p w14:paraId="2C505FC1">
            <w:pPr>
              <w:jc w:val="center"/>
              <w:rPr>
                <w:rFonts w:hint="eastAsia" w:ascii="宋体" w:hAnsi="宋体" w:eastAsia="宋体" w:cs="宋体"/>
                <w:color w:val="auto"/>
                <w:highlight w:val="none"/>
              </w:rPr>
            </w:pPr>
            <w:r>
              <w:rPr>
                <w:rFonts w:ascii="宋体" w:hAnsi="宋体" w:eastAsia="宋体" w:cs="宋体"/>
                <w:color w:val="auto"/>
                <w:spacing w:val="2"/>
                <w:highlight w:val="none"/>
              </w:rPr>
              <w:t>结论</w:t>
            </w:r>
          </w:p>
        </w:tc>
      </w:tr>
      <w:tr w14:paraId="76325BEB">
        <w:trPr>
          <w:trHeight w:val="1366" w:hRule="atLeast"/>
          <w:jc w:val="center"/>
        </w:trPr>
        <w:tc>
          <w:tcPr>
            <w:tcW w:w="606" w:type="dxa"/>
            <w:vMerge w:val="restart"/>
            <w:textDirection w:val="tbRlV"/>
            <w:vAlign w:val="center"/>
          </w:tcPr>
          <w:p w14:paraId="2DFC3446">
            <w:pPr>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spacing w:val="9"/>
                <w:highlight w:val="none"/>
                <w:lang w:eastAsia="zh-CN"/>
              </w:rPr>
              <w:t>一、</w:t>
            </w:r>
            <w:r>
              <w:rPr>
                <w:rFonts w:ascii="Times New Roman" w:hAnsi="Times New Roman" w:eastAsia="宋体" w:cs="Times New Roman"/>
                <w:color w:val="auto"/>
                <w:spacing w:val="9"/>
                <w:highlight w:val="none"/>
              </w:rPr>
              <w:t>证照及人员资格</w:t>
            </w:r>
          </w:p>
        </w:tc>
        <w:tc>
          <w:tcPr>
            <w:tcW w:w="3008" w:type="dxa"/>
            <w:vAlign w:val="center"/>
          </w:tcPr>
          <w:p w14:paraId="3F6E1EDF">
            <w:pPr>
              <w:pStyle w:val="25"/>
              <w:ind w:firstLine="13"/>
              <w:jc w:val="both"/>
              <w:rPr>
                <w:rFonts w:eastAsia="宋体"/>
                <w:color w:val="auto"/>
                <w:sz w:val="21"/>
                <w:szCs w:val="21"/>
                <w:highlight w:val="none"/>
                <w:lang w:eastAsia="zh-CN"/>
              </w:rPr>
            </w:pPr>
            <w:r>
              <w:rPr>
                <w:rFonts w:eastAsia="宋体"/>
                <w:color w:val="auto"/>
                <w:spacing w:val="7"/>
                <w:sz w:val="21"/>
                <w:szCs w:val="21"/>
                <w:highlight w:val="none"/>
                <w:lang w:eastAsia="zh-CN"/>
              </w:rPr>
              <w:t>1.营业执照、安全生产许可证的具</w:t>
            </w:r>
            <w:r>
              <w:rPr>
                <w:rFonts w:eastAsia="宋体"/>
                <w:color w:val="auto"/>
                <w:spacing w:val="6"/>
                <w:sz w:val="21"/>
                <w:szCs w:val="21"/>
                <w:highlight w:val="none"/>
                <w:lang w:eastAsia="zh-CN"/>
              </w:rPr>
              <w:t>备和有效性。</w:t>
            </w:r>
          </w:p>
        </w:tc>
        <w:tc>
          <w:tcPr>
            <w:tcW w:w="1836" w:type="dxa"/>
            <w:vAlign w:val="center"/>
          </w:tcPr>
          <w:p w14:paraId="7EA328C0">
            <w:pPr>
              <w:jc w:val="both"/>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3"/>
                <w:highlight w:val="none"/>
                <w:lang w:eastAsia="zh-CN"/>
              </w:rPr>
              <w:t>《</w:t>
            </w:r>
            <w:r>
              <w:rPr>
                <w:rFonts w:hint="eastAsia" w:ascii="Times New Roman" w:hAnsi="Times New Roman" w:eastAsia="宋体" w:cs="Times New Roman"/>
                <w:color w:val="auto"/>
                <w:spacing w:val="3"/>
                <w:highlight w:val="none"/>
                <w:lang w:eastAsia="zh-CN"/>
              </w:rPr>
              <w:t>中华人民共和国矿山安全法</w:t>
            </w:r>
            <w:r>
              <w:rPr>
                <w:rFonts w:ascii="Times New Roman" w:hAnsi="Times New Roman" w:eastAsia="宋体" w:cs="Times New Roman"/>
                <w:color w:val="auto"/>
                <w:spacing w:val="3"/>
                <w:highlight w:val="none"/>
                <w:lang w:eastAsia="zh-CN"/>
              </w:rPr>
              <w:t>》、</w:t>
            </w:r>
            <w:r>
              <w:rPr>
                <w:rFonts w:hint="eastAsia" w:ascii="Times New Roman" w:hAnsi="Times New Roman" w:eastAsia="宋体" w:cs="Times New Roman"/>
                <w:color w:val="auto"/>
                <w:spacing w:val="3"/>
                <w:highlight w:val="none"/>
                <w:lang w:eastAsia="zh-CN"/>
              </w:rPr>
              <w:t>《中华人民共和国安全生产法》</w:t>
            </w:r>
          </w:p>
        </w:tc>
        <w:tc>
          <w:tcPr>
            <w:tcW w:w="2717" w:type="dxa"/>
            <w:vAlign w:val="center"/>
          </w:tcPr>
          <w:p w14:paraId="545F427D">
            <w:pPr>
              <w:ind w:firstLine="2"/>
              <w:rPr>
                <w:rFonts w:ascii="Times New Roman" w:hAnsi="Times New Roman" w:eastAsia="宋体" w:cs="Times New Roman"/>
                <w:color w:val="auto"/>
                <w:highlight w:val="none"/>
                <w:lang w:eastAsia="zh-CN"/>
              </w:rPr>
            </w:pPr>
          </w:p>
        </w:tc>
        <w:tc>
          <w:tcPr>
            <w:tcW w:w="836" w:type="dxa"/>
            <w:vAlign w:val="center"/>
          </w:tcPr>
          <w:p w14:paraId="65868F3F">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1ACF8507">
        <w:trPr>
          <w:trHeight w:val="1366" w:hRule="atLeast"/>
          <w:jc w:val="center"/>
        </w:trPr>
        <w:tc>
          <w:tcPr>
            <w:tcW w:w="606" w:type="dxa"/>
            <w:vMerge w:val="continue"/>
            <w:vAlign w:val="center"/>
          </w:tcPr>
          <w:p w14:paraId="04FD4621">
            <w:pPr>
              <w:spacing w:line="240" w:lineRule="exact"/>
              <w:jc w:val="both"/>
              <w:rPr>
                <w:rFonts w:eastAsia="仿宋"/>
                <w:color w:val="auto"/>
                <w:highlight w:val="none"/>
              </w:rPr>
            </w:pPr>
          </w:p>
        </w:tc>
        <w:tc>
          <w:tcPr>
            <w:tcW w:w="3008" w:type="dxa"/>
            <w:vAlign w:val="center"/>
          </w:tcPr>
          <w:p w14:paraId="037807EE">
            <w:pPr>
              <w:pStyle w:val="25"/>
              <w:ind w:hanging="3"/>
              <w:jc w:val="both"/>
              <w:rPr>
                <w:rFonts w:eastAsia="宋体"/>
                <w:color w:val="auto"/>
                <w:sz w:val="21"/>
                <w:szCs w:val="21"/>
                <w:highlight w:val="none"/>
                <w:lang w:eastAsia="zh-CN"/>
              </w:rPr>
            </w:pPr>
            <w:r>
              <w:rPr>
                <w:rFonts w:eastAsia="宋体"/>
                <w:color w:val="auto"/>
                <w:spacing w:val="8"/>
                <w:sz w:val="21"/>
                <w:szCs w:val="21"/>
                <w:highlight w:val="none"/>
                <w:lang w:eastAsia="zh-CN"/>
              </w:rPr>
              <w:t>2.生产经营单位主要负责人和安全</w:t>
            </w:r>
            <w:r>
              <w:rPr>
                <w:rFonts w:eastAsia="宋体"/>
                <w:color w:val="auto"/>
                <w:spacing w:val="9"/>
                <w:sz w:val="21"/>
                <w:szCs w:val="21"/>
                <w:highlight w:val="none"/>
                <w:lang w:eastAsia="zh-CN"/>
              </w:rPr>
              <w:t>管理人员应当依照有关规定经培训考核合格并取得安全资格证书后，</w:t>
            </w:r>
            <w:r>
              <w:rPr>
                <w:rFonts w:eastAsia="宋体"/>
                <w:color w:val="auto"/>
                <w:spacing w:val="5"/>
                <w:sz w:val="21"/>
                <w:szCs w:val="21"/>
                <w:highlight w:val="none"/>
                <w:lang w:eastAsia="zh-CN"/>
              </w:rPr>
              <w:t>方可任职</w:t>
            </w:r>
          </w:p>
        </w:tc>
        <w:tc>
          <w:tcPr>
            <w:tcW w:w="1836" w:type="dxa"/>
            <w:vAlign w:val="center"/>
          </w:tcPr>
          <w:p w14:paraId="2ED4E1D2">
            <w:pPr>
              <w:pStyle w:val="25"/>
              <w:jc w:val="center"/>
              <w:rPr>
                <w:rFonts w:eastAsia="宋体"/>
                <w:color w:val="auto"/>
                <w:sz w:val="21"/>
                <w:szCs w:val="21"/>
                <w:highlight w:val="none"/>
                <w:lang w:val="zh-CN" w:eastAsia="zh-CN"/>
              </w:rPr>
            </w:pPr>
            <w:r>
              <w:rPr>
                <w:rFonts w:eastAsia="宋体"/>
                <w:color w:val="auto"/>
                <w:spacing w:val="8"/>
                <w:sz w:val="21"/>
                <w:szCs w:val="21"/>
                <w:highlight w:val="none"/>
                <w:lang w:eastAsia="zh-CN"/>
              </w:rPr>
              <w:t>《尾矿库安全监督</w:t>
            </w:r>
            <w:r>
              <w:rPr>
                <w:rFonts w:eastAsia="宋体"/>
                <w:color w:val="auto"/>
                <w:sz w:val="21"/>
                <w:szCs w:val="21"/>
                <w:highlight w:val="none"/>
                <w:lang w:eastAsia="zh-CN"/>
              </w:rPr>
              <w:t xml:space="preserve"> </w:t>
            </w:r>
            <w:r>
              <w:rPr>
                <w:rFonts w:eastAsia="宋体"/>
                <w:color w:val="auto"/>
                <w:spacing w:val="4"/>
                <w:sz w:val="21"/>
                <w:szCs w:val="21"/>
                <w:highlight w:val="none"/>
                <w:lang w:eastAsia="zh-CN"/>
              </w:rPr>
              <w:t>管理规定》</w:t>
            </w:r>
            <w:r>
              <w:rPr>
                <w:rFonts w:hint="eastAsia" w:eastAsia="宋体"/>
                <w:color w:val="auto"/>
                <w:spacing w:val="4"/>
                <w:sz w:val="21"/>
                <w:szCs w:val="21"/>
                <w:highlight w:val="none"/>
                <w:lang w:eastAsia="zh-CN"/>
              </w:rPr>
              <w:t>第六条</w:t>
            </w:r>
          </w:p>
        </w:tc>
        <w:tc>
          <w:tcPr>
            <w:tcW w:w="2717" w:type="dxa"/>
            <w:vAlign w:val="center"/>
          </w:tcPr>
          <w:p w14:paraId="37E7FD25">
            <w:pPr>
              <w:ind w:hanging="4"/>
              <w:rPr>
                <w:rFonts w:ascii="Times New Roman" w:hAnsi="Times New Roman" w:eastAsia="宋体" w:cs="Times New Roman"/>
                <w:color w:val="auto"/>
                <w:highlight w:val="none"/>
                <w:lang w:eastAsia="zh-CN"/>
              </w:rPr>
            </w:pPr>
          </w:p>
        </w:tc>
        <w:tc>
          <w:tcPr>
            <w:tcW w:w="836" w:type="dxa"/>
            <w:vAlign w:val="center"/>
          </w:tcPr>
          <w:p w14:paraId="59E755B2">
            <w:pPr>
              <w:jc w:val="center"/>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2AAE84A2">
        <w:trPr>
          <w:trHeight w:val="1366" w:hRule="atLeast"/>
          <w:jc w:val="center"/>
        </w:trPr>
        <w:tc>
          <w:tcPr>
            <w:tcW w:w="606" w:type="dxa"/>
            <w:vMerge w:val="continue"/>
            <w:vAlign w:val="center"/>
          </w:tcPr>
          <w:p w14:paraId="262F1E95">
            <w:pPr>
              <w:spacing w:line="240" w:lineRule="exact"/>
              <w:jc w:val="both"/>
              <w:rPr>
                <w:rFonts w:eastAsia="仿宋"/>
                <w:color w:val="auto"/>
                <w:highlight w:val="none"/>
              </w:rPr>
            </w:pPr>
          </w:p>
        </w:tc>
        <w:tc>
          <w:tcPr>
            <w:tcW w:w="3008" w:type="dxa"/>
            <w:vAlign w:val="center"/>
          </w:tcPr>
          <w:p w14:paraId="78B50714">
            <w:pPr>
              <w:pStyle w:val="25"/>
              <w:ind w:firstLine="1"/>
              <w:jc w:val="both"/>
              <w:rPr>
                <w:rFonts w:eastAsia="宋体"/>
                <w:color w:val="auto"/>
                <w:sz w:val="21"/>
                <w:szCs w:val="21"/>
                <w:highlight w:val="none"/>
                <w:lang w:eastAsia="zh-CN"/>
              </w:rPr>
            </w:pPr>
            <w:r>
              <w:rPr>
                <w:rFonts w:eastAsia="宋体"/>
                <w:color w:val="auto"/>
                <w:spacing w:val="13"/>
                <w:sz w:val="21"/>
                <w:szCs w:val="21"/>
                <w:highlight w:val="none"/>
                <w:lang w:eastAsia="zh-CN"/>
              </w:rPr>
              <w:t>3.直接从事尾矿库放矿、筑坝、巡</w:t>
            </w:r>
            <w:r>
              <w:rPr>
                <w:rFonts w:eastAsia="宋体"/>
                <w:color w:val="auto"/>
                <w:spacing w:val="10"/>
                <w:sz w:val="21"/>
                <w:szCs w:val="21"/>
                <w:highlight w:val="none"/>
                <w:lang w:eastAsia="zh-CN"/>
              </w:rPr>
              <w:t>坝、排洪和排渗设施操作的作业人员必须取得特种作业操作证书，方</w:t>
            </w:r>
            <w:r>
              <w:rPr>
                <w:rFonts w:eastAsia="宋体"/>
                <w:color w:val="auto"/>
                <w:spacing w:val="6"/>
                <w:sz w:val="21"/>
                <w:szCs w:val="21"/>
                <w:highlight w:val="none"/>
                <w:lang w:eastAsia="zh-CN"/>
              </w:rPr>
              <w:t>可上岗作业。</w:t>
            </w:r>
          </w:p>
        </w:tc>
        <w:tc>
          <w:tcPr>
            <w:tcW w:w="1836" w:type="dxa"/>
            <w:vAlign w:val="center"/>
          </w:tcPr>
          <w:p w14:paraId="53DD7902">
            <w:pPr>
              <w:pStyle w:val="25"/>
              <w:jc w:val="center"/>
              <w:rPr>
                <w:rFonts w:eastAsia="宋体"/>
                <w:color w:val="auto"/>
                <w:sz w:val="21"/>
                <w:szCs w:val="21"/>
                <w:highlight w:val="none"/>
                <w:lang w:val="zh-CN" w:eastAsia="zh-CN"/>
              </w:rPr>
            </w:pPr>
            <w:r>
              <w:rPr>
                <w:rFonts w:eastAsia="宋体"/>
                <w:color w:val="auto"/>
                <w:spacing w:val="8"/>
                <w:sz w:val="21"/>
                <w:szCs w:val="21"/>
                <w:highlight w:val="none"/>
                <w:lang w:eastAsia="zh-CN"/>
              </w:rPr>
              <w:t>《尾矿库安全监督</w:t>
            </w:r>
            <w:r>
              <w:rPr>
                <w:rFonts w:eastAsia="宋体"/>
                <w:color w:val="auto"/>
                <w:spacing w:val="4"/>
                <w:sz w:val="21"/>
                <w:szCs w:val="21"/>
                <w:highlight w:val="none"/>
                <w:lang w:eastAsia="zh-CN"/>
              </w:rPr>
              <w:t>管理规定》</w:t>
            </w:r>
            <w:r>
              <w:rPr>
                <w:rFonts w:hint="eastAsia" w:eastAsia="宋体"/>
                <w:color w:val="auto"/>
                <w:spacing w:val="4"/>
                <w:sz w:val="21"/>
                <w:szCs w:val="21"/>
                <w:highlight w:val="none"/>
                <w:lang w:eastAsia="zh-CN"/>
              </w:rPr>
              <w:t>第六条</w:t>
            </w:r>
          </w:p>
        </w:tc>
        <w:tc>
          <w:tcPr>
            <w:tcW w:w="2717" w:type="dxa"/>
            <w:vAlign w:val="center"/>
          </w:tcPr>
          <w:p w14:paraId="72782D8C">
            <w:pPr>
              <w:rPr>
                <w:rFonts w:ascii="Times New Roman" w:hAnsi="Times New Roman" w:eastAsia="宋体" w:cs="Times New Roman"/>
                <w:color w:val="auto"/>
                <w:highlight w:val="none"/>
                <w:lang w:eastAsia="zh-CN"/>
              </w:rPr>
            </w:pPr>
          </w:p>
        </w:tc>
        <w:tc>
          <w:tcPr>
            <w:tcW w:w="836" w:type="dxa"/>
            <w:vAlign w:val="center"/>
          </w:tcPr>
          <w:p w14:paraId="07783C50">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34834246">
        <w:trPr>
          <w:trHeight w:val="1366" w:hRule="atLeast"/>
          <w:jc w:val="center"/>
        </w:trPr>
        <w:tc>
          <w:tcPr>
            <w:tcW w:w="606" w:type="dxa"/>
            <w:vMerge w:val="continue"/>
            <w:vAlign w:val="center"/>
          </w:tcPr>
          <w:p w14:paraId="0422FDD7">
            <w:pPr>
              <w:spacing w:line="240" w:lineRule="exact"/>
              <w:jc w:val="both"/>
              <w:rPr>
                <w:rFonts w:eastAsia="仿宋"/>
                <w:color w:val="auto"/>
                <w:highlight w:val="none"/>
              </w:rPr>
            </w:pPr>
          </w:p>
        </w:tc>
        <w:tc>
          <w:tcPr>
            <w:tcW w:w="3008" w:type="dxa"/>
            <w:vAlign w:val="center"/>
          </w:tcPr>
          <w:p w14:paraId="4D70E36B">
            <w:pPr>
              <w:pStyle w:val="25"/>
              <w:ind w:hanging="3"/>
              <w:jc w:val="both"/>
              <w:rPr>
                <w:rFonts w:eastAsia="宋体"/>
                <w:color w:val="auto"/>
                <w:sz w:val="21"/>
                <w:szCs w:val="21"/>
                <w:highlight w:val="none"/>
                <w:lang w:eastAsia="zh-CN"/>
              </w:rPr>
            </w:pPr>
            <w:r>
              <w:rPr>
                <w:rFonts w:eastAsia="宋体"/>
                <w:color w:val="auto"/>
                <w:spacing w:val="8"/>
                <w:sz w:val="21"/>
                <w:szCs w:val="21"/>
                <w:highlight w:val="none"/>
                <w:lang w:eastAsia="zh-CN"/>
              </w:rPr>
              <w:t>4.生产经营单位应当对从业人员进</w:t>
            </w:r>
            <w:r>
              <w:rPr>
                <w:rFonts w:eastAsia="宋体"/>
                <w:color w:val="auto"/>
                <w:spacing w:val="9"/>
                <w:sz w:val="21"/>
                <w:szCs w:val="21"/>
                <w:highlight w:val="none"/>
                <w:lang w:eastAsia="zh-CN"/>
              </w:rPr>
              <w:t>行安全生产教育和培训，保证从业人员具备必要的安全生产知识，熟悉有关的安全生产规章制度和安全操作规程，掌握本岗位的安全操作技能，了解事故应急处置措施，知悉自身在安全生产方面的权利和义务。未经安全生产教育和培训合格</w:t>
            </w:r>
            <w:r>
              <w:rPr>
                <w:rFonts w:eastAsia="宋体"/>
                <w:color w:val="auto"/>
                <w:spacing w:val="8"/>
                <w:sz w:val="21"/>
                <w:szCs w:val="21"/>
                <w:highlight w:val="none"/>
                <w:lang w:eastAsia="zh-CN"/>
              </w:rPr>
              <w:t>的从业人员，不得上岗作业。</w:t>
            </w:r>
          </w:p>
        </w:tc>
        <w:tc>
          <w:tcPr>
            <w:tcW w:w="1836" w:type="dxa"/>
            <w:vAlign w:val="center"/>
          </w:tcPr>
          <w:p w14:paraId="7ED15031">
            <w:pPr>
              <w:pStyle w:val="25"/>
              <w:jc w:val="both"/>
              <w:rPr>
                <w:rFonts w:eastAsia="宋体"/>
                <w:color w:val="auto"/>
                <w:sz w:val="21"/>
                <w:szCs w:val="21"/>
                <w:highlight w:val="none"/>
                <w:lang w:val="zh-CN" w:eastAsia="zh-CN"/>
              </w:rPr>
            </w:pPr>
            <w:r>
              <w:rPr>
                <w:rFonts w:hint="eastAsia" w:eastAsia="宋体"/>
                <w:color w:val="auto"/>
                <w:spacing w:val="8"/>
                <w:sz w:val="21"/>
                <w:szCs w:val="21"/>
                <w:highlight w:val="none"/>
                <w:lang w:eastAsia="zh-CN"/>
              </w:rPr>
              <w:t>《中华人民共和国安全生产法》第二十八条</w:t>
            </w:r>
          </w:p>
        </w:tc>
        <w:tc>
          <w:tcPr>
            <w:tcW w:w="2717" w:type="dxa"/>
            <w:vAlign w:val="center"/>
          </w:tcPr>
          <w:p w14:paraId="3EFE5D37">
            <w:pPr>
              <w:jc w:val="both"/>
              <w:rPr>
                <w:rFonts w:ascii="Times New Roman" w:hAnsi="Times New Roman" w:eastAsia="宋体" w:cs="Times New Roman"/>
                <w:color w:val="auto"/>
                <w:highlight w:val="none"/>
                <w:lang w:eastAsia="zh-CN"/>
              </w:rPr>
            </w:pPr>
          </w:p>
        </w:tc>
        <w:tc>
          <w:tcPr>
            <w:tcW w:w="836" w:type="dxa"/>
            <w:vAlign w:val="center"/>
          </w:tcPr>
          <w:p w14:paraId="3F4AD2BC">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11F26F18">
        <w:trPr>
          <w:trHeight w:val="1366" w:hRule="atLeast"/>
          <w:jc w:val="center"/>
        </w:trPr>
        <w:tc>
          <w:tcPr>
            <w:tcW w:w="606" w:type="dxa"/>
            <w:vMerge w:val="restart"/>
            <w:textDirection w:val="tbRlV"/>
            <w:vAlign w:val="center"/>
          </w:tcPr>
          <w:p w14:paraId="2A925850">
            <w:pPr>
              <w:jc w:val="cente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
                <w:highlight w:val="none"/>
                <w:lang w:eastAsia="zh-CN"/>
              </w:rPr>
              <w:t>二</w:t>
            </w:r>
            <w:r>
              <w:rPr>
                <w:rFonts w:ascii="Times New Roman" w:hAnsi="Times New Roman" w:eastAsia="宋体" w:cs="Times New Roman"/>
                <w:color w:val="auto"/>
                <w:spacing w:val="1"/>
                <w:position w:val="-6"/>
                <w:highlight w:val="none"/>
                <w:lang w:eastAsia="zh-CN"/>
              </w:rPr>
              <w:t>、</w:t>
            </w:r>
            <w:r>
              <w:rPr>
                <w:rFonts w:ascii="Times New Roman" w:hAnsi="Times New Roman" w:eastAsia="宋体" w:cs="Times New Roman"/>
                <w:color w:val="auto"/>
                <w:spacing w:val="-31"/>
                <w:position w:val="-6"/>
                <w:highlight w:val="none"/>
                <w:lang w:eastAsia="zh-CN"/>
              </w:rPr>
              <w:t xml:space="preserve"> </w:t>
            </w:r>
            <w:r>
              <w:rPr>
                <w:rFonts w:ascii="Times New Roman" w:hAnsi="Times New Roman" w:eastAsia="宋体" w:cs="Times New Roman"/>
                <w:color w:val="auto"/>
                <w:spacing w:val="1"/>
                <w:highlight w:val="none"/>
                <w:lang w:eastAsia="zh-CN"/>
              </w:rPr>
              <w:t>安</w:t>
            </w:r>
            <w:r>
              <w:rPr>
                <w:rFonts w:ascii="Times New Roman" w:hAnsi="Times New Roman" w:eastAsia="宋体" w:cs="Times New Roman"/>
                <w:color w:val="auto"/>
                <w:spacing w:val="-35"/>
                <w:highlight w:val="none"/>
                <w:lang w:eastAsia="zh-CN"/>
              </w:rPr>
              <w:t xml:space="preserve"> </w:t>
            </w:r>
            <w:r>
              <w:rPr>
                <w:rFonts w:ascii="Times New Roman" w:hAnsi="Times New Roman" w:eastAsia="宋体" w:cs="Times New Roman"/>
                <w:color w:val="auto"/>
                <w:spacing w:val="1"/>
                <w:highlight w:val="none"/>
                <w:lang w:eastAsia="zh-CN"/>
              </w:rPr>
              <w:t>全</w:t>
            </w:r>
            <w:r>
              <w:rPr>
                <w:rFonts w:ascii="Times New Roman" w:hAnsi="Times New Roman" w:eastAsia="宋体" w:cs="Times New Roman"/>
                <w:color w:val="auto"/>
                <w:spacing w:val="-37"/>
                <w:highlight w:val="none"/>
                <w:lang w:eastAsia="zh-CN"/>
              </w:rPr>
              <w:t xml:space="preserve"> </w:t>
            </w:r>
            <w:r>
              <w:rPr>
                <w:rFonts w:ascii="Times New Roman" w:hAnsi="Times New Roman" w:eastAsia="宋体" w:cs="Times New Roman"/>
                <w:color w:val="auto"/>
                <w:spacing w:val="1"/>
                <w:highlight w:val="none"/>
                <w:lang w:eastAsia="zh-CN"/>
              </w:rPr>
              <w:t>组织</w:t>
            </w:r>
            <w:r>
              <w:rPr>
                <w:rFonts w:ascii="Times New Roman" w:hAnsi="Times New Roman" w:eastAsia="宋体" w:cs="Times New Roman"/>
                <w:color w:val="auto"/>
                <w:spacing w:val="-37"/>
                <w:highlight w:val="none"/>
                <w:lang w:eastAsia="zh-CN"/>
              </w:rPr>
              <w:t xml:space="preserve"> </w:t>
            </w:r>
            <w:r>
              <w:rPr>
                <w:rFonts w:ascii="Times New Roman" w:hAnsi="Times New Roman" w:eastAsia="宋体" w:cs="Times New Roman"/>
                <w:color w:val="auto"/>
                <w:spacing w:val="1"/>
                <w:highlight w:val="none"/>
                <w:lang w:eastAsia="zh-CN"/>
              </w:rPr>
              <w:t>及</w:t>
            </w:r>
            <w:r>
              <w:rPr>
                <w:rFonts w:ascii="Times New Roman" w:hAnsi="Times New Roman" w:eastAsia="宋体" w:cs="Times New Roman"/>
                <w:color w:val="auto"/>
                <w:spacing w:val="-35"/>
                <w:highlight w:val="none"/>
                <w:lang w:eastAsia="zh-CN"/>
              </w:rPr>
              <w:t xml:space="preserve"> </w:t>
            </w:r>
            <w:r>
              <w:rPr>
                <w:rFonts w:ascii="Times New Roman" w:hAnsi="Times New Roman" w:eastAsia="宋体" w:cs="Times New Roman"/>
                <w:color w:val="auto"/>
                <w:spacing w:val="1"/>
                <w:highlight w:val="none"/>
                <w:lang w:eastAsia="zh-CN"/>
              </w:rPr>
              <w:t>管</w:t>
            </w:r>
            <w:r>
              <w:rPr>
                <w:rFonts w:ascii="Times New Roman" w:hAnsi="Times New Roman" w:eastAsia="宋体" w:cs="Times New Roman"/>
                <w:color w:val="auto"/>
                <w:spacing w:val="-38"/>
                <w:highlight w:val="none"/>
                <w:lang w:eastAsia="zh-CN"/>
              </w:rPr>
              <w:t xml:space="preserve"> </w:t>
            </w:r>
            <w:r>
              <w:rPr>
                <w:rFonts w:ascii="Times New Roman" w:hAnsi="Times New Roman" w:eastAsia="宋体" w:cs="Times New Roman"/>
                <w:color w:val="auto"/>
                <w:spacing w:val="1"/>
                <w:highlight w:val="none"/>
                <w:lang w:eastAsia="zh-CN"/>
              </w:rPr>
              <w:t>理</w:t>
            </w:r>
            <w:r>
              <w:rPr>
                <w:rFonts w:ascii="Times New Roman" w:hAnsi="Times New Roman" w:eastAsia="宋体" w:cs="Times New Roman"/>
                <w:color w:val="auto"/>
                <w:spacing w:val="-35"/>
                <w:highlight w:val="none"/>
                <w:lang w:eastAsia="zh-CN"/>
              </w:rPr>
              <w:t xml:space="preserve"> </w:t>
            </w:r>
            <w:r>
              <w:rPr>
                <w:rFonts w:ascii="Times New Roman" w:hAnsi="Times New Roman" w:eastAsia="宋体" w:cs="Times New Roman"/>
                <w:color w:val="auto"/>
                <w:spacing w:val="1"/>
                <w:highlight w:val="none"/>
                <w:lang w:eastAsia="zh-CN"/>
              </w:rPr>
              <w:t>制</w:t>
            </w:r>
            <w:r>
              <w:rPr>
                <w:rFonts w:ascii="Times New Roman" w:hAnsi="Times New Roman" w:eastAsia="宋体" w:cs="Times New Roman"/>
                <w:color w:val="auto"/>
                <w:spacing w:val="-38"/>
                <w:highlight w:val="none"/>
                <w:lang w:eastAsia="zh-CN"/>
              </w:rPr>
              <w:t xml:space="preserve"> </w:t>
            </w:r>
            <w:r>
              <w:rPr>
                <w:rFonts w:ascii="Times New Roman" w:hAnsi="Times New Roman" w:eastAsia="宋体" w:cs="Times New Roman"/>
                <w:color w:val="auto"/>
                <w:spacing w:val="1"/>
                <w:highlight w:val="none"/>
                <w:lang w:eastAsia="zh-CN"/>
              </w:rPr>
              <w:t>度</w:t>
            </w:r>
          </w:p>
        </w:tc>
        <w:tc>
          <w:tcPr>
            <w:tcW w:w="3008" w:type="dxa"/>
            <w:vAlign w:val="center"/>
          </w:tcPr>
          <w:p w14:paraId="4B52C995">
            <w:pPr>
              <w:pStyle w:val="25"/>
              <w:ind w:firstLine="17"/>
              <w:jc w:val="both"/>
              <w:rPr>
                <w:rFonts w:eastAsia="宋体"/>
                <w:color w:val="auto"/>
                <w:sz w:val="21"/>
                <w:szCs w:val="21"/>
                <w:highlight w:val="none"/>
                <w:lang w:eastAsia="zh-CN"/>
              </w:rPr>
            </w:pPr>
            <w:r>
              <w:rPr>
                <w:rFonts w:eastAsia="宋体"/>
                <w:color w:val="auto"/>
                <w:spacing w:val="12"/>
                <w:sz w:val="21"/>
                <w:szCs w:val="21"/>
                <w:highlight w:val="none"/>
                <w:lang w:eastAsia="zh-CN"/>
              </w:rPr>
              <w:t>1.矿山、金属冶炼、建筑施工、运</w:t>
            </w:r>
            <w:r>
              <w:rPr>
                <w:rFonts w:eastAsia="宋体"/>
                <w:color w:val="auto"/>
                <w:spacing w:val="10"/>
                <w:sz w:val="21"/>
                <w:szCs w:val="21"/>
                <w:highlight w:val="none"/>
                <w:lang w:eastAsia="zh-CN"/>
              </w:rPr>
              <w:t>输单位和危险物品的生产、经营、储存、装卸单位，应当设置安全生</w:t>
            </w:r>
            <w:r>
              <w:rPr>
                <w:rFonts w:eastAsia="宋体"/>
                <w:color w:val="auto"/>
                <w:spacing w:val="12"/>
                <w:sz w:val="21"/>
                <w:szCs w:val="21"/>
                <w:highlight w:val="none"/>
                <w:lang w:eastAsia="zh-CN"/>
              </w:rPr>
              <w:t xml:space="preserve"> </w:t>
            </w:r>
            <w:r>
              <w:rPr>
                <w:rFonts w:eastAsia="宋体"/>
                <w:color w:val="auto"/>
                <w:spacing w:val="10"/>
                <w:sz w:val="21"/>
                <w:szCs w:val="21"/>
                <w:highlight w:val="none"/>
                <w:lang w:eastAsia="zh-CN"/>
              </w:rPr>
              <w:t>产管理机构或者配备专职安全生产</w:t>
            </w:r>
            <w:r>
              <w:rPr>
                <w:rFonts w:eastAsia="宋体"/>
                <w:color w:val="auto"/>
                <w:spacing w:val="6"/>
                <w:sz w:val="21"/>
                <w:szCs w:val="21"/>
                <w:highlight w:val="none"/>
                <w:lang w:eastAsia="zh-CN"/>
              </w:rPr>
              <w:t>管理人员。</w:t>
            </w:r>
          </w:p>
        </w:tc>
        <w:tc>
          <w:tcPr>
            <w:tcW w:w="1836" w:type="dxa"/>
            <w:vAlign w:val="center"/>
          </w:tcPr>
          <w:p w14:paraId="420C2EC6">
            <w:pPr>
              <w:pStyle w:val="25"/>
              <w:jc w:val="both"/>
              <w:rPr>
                <w:rFonts w:eastAsia="宋体"/>
                <w:color w:val="auto"/>
                <w:sz w:val="21"/>
                <w:szCs w:val="21"/>
                <w:highlight w:val="none"/>
                <w:lang w:val="zh-CN" w:eastAsia="zh-CN"/>
              </w:rPr>
            </w:pPr>
            <w:r>
              <w:rPr>
                <w:rFonts w:hint="eastAsia" w:eastAsia="宋体"/>
                <w:color w:val="auto"/>
                <w:spacing w:val="8"/>
                <w:sz w:val="21"/>
                <w:szCs w:val="21"/>
                <w:highlight w:val="none"/>
                <w:lang w:eastAsia="zh-CN"/>
              </w:rPr>
              <w:t>《中华人民共和国安全生产法》第二十四条</w:t>
            </w:r>
          </w:p>
        </w:tc>
        <w:tc>
          <w:tcPr>
            <w:tcW w:w="2717" w:type="dxa"/>
            <w:vAlign w:val="center"/>
          </w:tcPr>
          <w:p w14:paraId="686B2D01">
            <w:pPr>
              <w:ind w:hanging="4"/>
              <w:jc w:val="both"/>
              <w:rPr>
                <w:rFonts w:ascii="Times New Roman" w:hAnsi="Times New Roman" w:eastAsia="宋体" w:cs="Times New Roman"/>
                <w:color w:val="auto"/>
                <w:highlight w:val="none"/>
                <w:lang w:eastAsia="zh-CN"/>
              </w:rPr>
            </w:pPr>
          </w:p>
        </w:tc>
        <w:tc>
          <w:tcPr>
            <w:tcW w:w="836" w:type="dxa"/>
            <w:vAlign w:val="center"/>
          </w:tcPr>
          <w:p w14:paraId="72AA7FB6">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76E9BD25">
        <w:trPr>
          <w:trHeight w:val="1366" w:hRule="atLeast"/>
          <w:jc w:val="center"/>
        </w:trPr>
        <w:tc>
          <w:tcPr>
            <w:tcW w:w="606" w:type="dxa"/>
            <w:vMerge w:val="continue"/>
            <w:vAlign w:val="center"/>
          </w:tcPr>
          <w:p w14:paraId="1C9C9681">
            <w:pPr>
              <w:spacing w:line="240" w:lineRule="exact"/>
              <w:jc w:val="both"/>
              <w:rPr>
                <w:rFonts w:eastAsia="仿宋"/>
                <w:color w:val="auto"/>
                <w:highlight w:val="none"/>
              </w:rPr>
            </w:pPr>
          </w:p>
        </w:tc>
        <w:tc>
          <w:tcPr>
            <w:tcW w:w="3008" w:type="dxa"/>
            <w:vAlign w:val="center"/>
          </w:tcPr>
          <w:p w14:paraId="3E46A1D7">
            <w:pPr>
              <w:pStyle w:val="25"/>
              <w:ind w:hanging="2"/>
              <w:jc w:val="both"/>
              <w:rPr>
                <w:rFonts w:eastAsia="宋体"/>
                <w:color w:val="auto"/>
                <w:sz w:val="21"/>
                <w:szCs w:val="21"/>
                <w:highlight w:val="none"/>
                <w:lang w:eastAsia="zh-CN"/>
              </w:rPr>
            </w:pPr>
            <w:r>
              <w:rPr>
                <w:rFonts w:eastAsia="宋体"/>
                <w:color w:val="auto"/>
                <w:spacing w:val="13"/>
                <w:sz w:val="21"/>
                <w:szCs w:val="21"/>
                <w:highlight w:val="none"/>
                <w:lang w:eastAsia="zh-CN"/>
              </w:rPr>
              <w:t>2.生产经营单位应建立、健全尾矿</w:t>
            </w:r>
            <w:r>
              <w:rPr>
                <w:rFonts w:eastAsia="宋体"/>
                <w:color w:val="auto"/>
                <w:spacing w:val="10"/>
                <w:sz w:val="21"/>
                <w:szCs w:val="21"/>
                <w:highlight w:val="none"/>
                <w:lang w:eastAsia="zh-CN"/>
              </w:rPr>
              <w:t>库全员安全生产责任制，建立健全</w:t>
            </w:r>
            <w:r>
              <w:rPr>
                <w:rFonts w:eastAsia="宋体"/>
                <w:color w:val="auto"/>
                <w:spacing w:val="25"/>
                <w:sz w:val="21"/>
                <w:szCs w:val="21"/>
                <w:highlight w:val="none"/>
                <w:lang w:eastAsia="zh-CN"/>
              </w:rPr>
              <w:t>安全生产规章制度和安全技术规</w:t>
            </w:r>
            <w:r>
              <w:rPr>
                <w:rFonts w:eastAsia="宋体"/>
                <w:color w:val="auto"/>
                <w:spacing w:val="22"/>
                <w:sz w:val="21"/>
                <w:szCs w:val="21"/>
                <w:highlight w:val="none"/>
                <w:lang w:eastAsia="zh-CN"/>
              </w:rPr>
              <w:t>程，对尾矿库实施有效的安全管</w:t>
            </w:r>
            <w:r>
              <w:rPr>
                <w:rFonts w:eastAsia="宋体"/>
                <w:color w:val="auto"/>
                <w:sz w:val="21"/>
                <w:szCs w:val="21"/>
                <w:highlight w:val="none"/>
                <w:lang w:eastAsia="zh-CN"/>
              </w:rPr>
              <w:t>理</w:t>
            </w:r>
          </w:p>
        </w:tc>
        <w:tc>
          <w:tcPr>
            <w:tcW w:w="1836" w:type="dxa"/>
            <w:vAlign w:val="center"/>
          </w:tcPr>
          <w:p w14:paraId="36BB79D1">
            <w:pPr>
              <w:pStyle w:val="25"/>
              <w:ind w:hanging="51"/>
              <w:jc w:val="both"/>
              <w:rPr>
                <w:rFonts w:eastAsia="宋体"/>
                <w:color w:val="auto"/>
                <w:sz w:val="21"/>
                <w:szCs w:val="21"/>
                <w:highlight w:val="none"/>
                <w:lang w:val="zh-CN" w:eastAsia="zh-CN"/>
              </w:rPr>
            </w:pPr>
            <w:r>
              <w:rPr>
                <w:rFonts w:eastAsia="宋体"/>
                <w:color w:val="auto"/>
                <w:spacing w:val="7"/>
                <w:sz w:val="21"/>
                <w:szCs w:val="21"/>
                <w:highlight w:val="none"/>
                <w:lang w:eastAsia="zh-CN"/>
              </w:rPr>
              <w:t>《尾矿库安全规</w:t>
            </w:r>
            <w:r>
              <w:rPr>
                <w:rFonts w:eastAsia="宋体"/>
                <w:color w:val="auto"/>
                <w:spacing w:val="-2"/>
                <w:sz w:val="21"/>
                <w:szCs w:val="21"/>
                <w:highlight w:val="none"/>
                <w:lang w:eastAsia="zh-CN"/>
              </w:rPr>
              <w:t>程》第6.1.1条</w:t>
            </w:r>
          </w:p>
        </w:tc>
        <w:tc>
          <w:tcPr>
            <w:tcW w:w="2717" w:type="dxa"/>
            <w:vAlign w:val="center"/>
          </w:tcPr>
          <w:p w14:paraId="513D100E">
            <w:pPr>
              <w:jc w:val="both"/>
              <w:rPr>
                <w:rFonts w:ascii="Times New Roman" w:hAnsi="Times New Roman" w:eastAsia="宋体" w:cs="Times New Roman"/>
                <w:color w:val="auto"/>
                <w:highlight w:val="none"/>
                <w:lang w:eastAsia="zh-CN"/>
              </w:rPr>
            </w:pPr>
          </w:p>
        </w:tc>
        <w:tc>
          <w:tcPr>
            <w:tcW w:w="836" w:type="dxa"/>
            <w:vAlign w:val="center"/>
          </w:tcPr>
          <w:p w14:paraId="2E9DCDB7">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6D0C921D">
        <w:trPr>
          <w:trHeight w:val="1366" w:hRule="atLeast"/>
          <w:jc w:val="center"/>
        </w:trPr>
        <w:tc>
          <w:tcPr>
            <w:tcW w:w="606" w:type="dxa"/>
            <w:vMerge w:val="continue"/>
            <w:vAlign w:val="center"/>
          </w:tcPr>
          <w:p w14:paraId="000A2237">
            <w:pPr>
              <w:spacing w:line="240" w:lineRule="exact"/>
              <w:jc w:val="both"/>
              <w:rPr>
                <w:rFonts w:eastAsia="仿宋"/>
                <w:color w:val="auto"/>
                <w:highlight w:val="none"/>
              </w:rPr>
            </w:pPr>
          </w:p>
        </w:tc>
        <w:tc>
          <w:tcPr>
            <w:tcW w:w="3008" w:type="dxa"/>
            <w:vAlign w:val="center"/>
          </w:tcPr>
          <w:p w14:paraId="1FCF4F81">
            <w:pPr>
              <w:pStyle w:val="25"/>
              <w:ind w:firstLine="1"/>
              <w:jc w:val="both"/>
              <w:rPr>
                <w:rFonts w:eastAsia="宋体"/>
                <w:color w:val="auto"/>
                <w:sz w:val="21"/>
                <w:szCs w:val="21"/>
                <w:highlight w:val="none"/>
                <w:lang w:eastAsia="zh-CN"/>
              </w:rPr>
            </w:pPr>
            <w:r>
              <w:rPr>
                <w:rFonts w:eastAsia="宋体"/>
                <w:color w:val="auto"/>
                <w:spacing w:val="13"/>
                <w:sz w:val="21"/>
                <w:szCs w:val="21"/>
                <w:highlight w:val="none"/>
                <w:lang w:eastAsia="zh-CN"/>
              </w:rPr>
              <w:t>3.生产经营单位应当建立健全防汛</w:t>
            </w:r>
            <w:r>
              <w:rPr>
                <w:rFonts w:eastAsia="宋体"/>
                <w:color w:val="auto"/>
                <w:spacing w:val="15"/>
                <w:sz w:val="21"/>
                <w:szCs w:val="21"/>
                <w:highlight w:val="none"/>
                <w:lang w:eastAsia="zh-CN"/>
              </w:rPr>
              <w:t>责任制，实施24小时监测监控和</w:t>
            </w:r>
            <w:r>
              <w:rPr>
                <w:rFonts w:eastAsia="宋体"/>
                <w:color w:val="auto"/>
                <w:spacing w:val="22"/>
                <w:sz w:val="21"/>
                <w:szCs w:val="21"/>
                <w:highlight w:val="none"/>
                <w:lang w:eastAsia="zh-CN"/>
              </w:rPr>
              <w:t>值班值守，并针对可能发生的垮</w:t>
            </w:r>
            <w:r>
              <w:rPr>
                <w:rFonts w:eastAsia="宋体"/>
                <w:color w:val="auto"/>
                <w:spacing w:val="10"/>
                <w:sz w:val="21"/>
                <w:szCs w:val="21"/>
                <w:highlight w:val="none"/>
                <w:lang w:eastAsia="zh-CN"/>
              </w:rPr>
              <w:t>坝、漫顶、排洪设施损毁等生产安全事故和影响尾矿库运行的洪水、泥石流、山体滑坡、地震等重大险情制定并及时修订应急救援预案，配备必要的应急救援器材、设备，放置在便于应急时使用的地方。应急预案应当按照规定报相应的应急管理部门备案，并每半年至少进行</w:t>
            </w:r>
            <w:r>
              <w:rPr>
                <w:rFonts w:eastAsia="宋体"/>
                <w:color w:val="auto"/>
                <w:spacing w:val="6"/>
                <w:sz w:val="21"/>
                <w:szCs w:val="21"/>
                <w:highlight w:val="none"/>
                <w:lang w:eastAsia="zh-CN"/>
              </w:rPr>
              <w:t>一次演练。</w:t>
            </w:r>
          </w:p>
        </w:tc>
        <w:tc>
          <w:tcPr>
            <w:tcW w:w="1836" w:type="dxa"/>
            <w:vAlign w:val="center"/>
          </w:tcPr>
          <w:p w14:paraId="6F29D231">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8"/>
                <w:highlight w:val="none"/>
                <w:lang w:eastAsia="zh-CN"/>
              </w:rPr>
              <w:t>《尾矿库安全监督</w:t>
            </w:r>
            <w:r>
              <w:rPr>
                <w:rFonts w:eastAsia="宋体"/>
                <w:color w:val="auto"/>
                <w:spacing w:val="6"/>
                <w:highlight w:val="none"/>
                <w:lang w:eastAsia="zh-CN"/>
              </w:rPr>
              <w:t>管理规定》</w:t>
            </w:r>
            <w:r>
              <w:rPr>
                <w:rFonts w:hint="eastAsia" w:eastAsia="宋体"/>
                <w:color w:val="auto"/>
                <w:spacing w:val="6"/>
                <w:highlight w:val="none"/>
                <w:lang w:eastAsia="zh-CN"/>
              </w:rPr>
              <w:t>第二十一条</w:t>
            </w:r>
          </w:p>
        </w:tc>
        <w:tc>
          <w:tcPr>
            <w:tcW w:w="2717" w:type="dxa"/>
            <w:vAlign w:val="center"/>
          </w:tcPr>
          <w:p w14:paraId="32719079">
            <w:pPr>
              <w:jc w:val="both"/>
              <w:rPr>
                <w:rFonts w:ascii="Times New Roman" w:hAnsi="Times New Roman" w:eastAsia="宋体" w:cs="Times New Roman"/>
                <w:color w:val="auto"/>
                <w:highlight w:val="none"/>
                <w:lang w:eastAsia="zh-CN"/>
              </w:rPr>
            </w:pPr>
          </w:p>
        </w:tc>
        <w:tc>
          <w:tcPr>
            <w:tcW w:w="836" w:type="dxa"/>
            <w:vAlign w:val="center"/>
          </w:tcPr>
          <w:p w14:paraId="49C0305F">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0651F6A8">
        <w:trPr>
          <w:trHeight w:val="1366" w:hRule="atLeast"/>
          <w:jc w:val="center"/>
        </w:trPr>
        <w:tc>
          <w:tcPr>
            <w:tcW w:w="606" w:type="dxa"/>
            <w:vMerge w:val="continue"/>
            <w:vAlign w:val="center"/>
          </w:tcPr>
          <w:p w14:paraId="164E4811">
            <w:pPr>
              <w:spacing w:line="240" w:lineRule="exact"/>
              <w:jc w:val="both"/>
              <w:rPr>
                <w:rFonts w:eastAsia="仿宋"/>
                <w:color w:val="auto"/>
                <w:highlight w:val="none"/>
              </w:rPr>
            </w:pPr>
          </w:p>
        </w:tc>
        <w:tc>
          <w:tcPr>
            <w:tcW w:w="3008" w:type="dxa"/>
            <w:vAlign w:val="center"/>
          </w:tcPr>
          <w:p w14:paraId="542F6C72">
            <w:pPr>
              <w:pStyle w:val="25"/>
              <w:ind w:hanging="4"/>
              <w:jc w:val="both"/>
              <w:rPr>
                <w:rFonts w:eastAsia="宋体"/>
                <w:color w:val="auto"/>
                <w:sz w:val="21"/>
                <w:szCs w:val="21"/>
                <w:highlight w:val="none"/>
                <w:lang w:eastAsia="zh-CN"/>
              </w:rPr>
            </w:pPr>
            <w:r>
              <w:rPr>
                <w:rFonts w:eastAsia="宋体"/>
                <w:color w:val="auto"/>
                <w:spacing w:val="13"/>
                <w:sz w:val="21"/>
                <w:szCs w:val="21"/>
                <w:highlight w:val="none"/>
                <w:lang w:eastAsia="zh-CN"/>
              </w:rPr>
              <w:t>4.专职安全生产管理人员应按照岗</w:t>
            </w:r>
            <w:r>
              <w:rPr>
                <w:rFonts w:eastAsia="宋体"/>
                <w:color w:val="auto"/>
                <w:spacing w:val="8"/>
                <w:sz w:val="21"/>
                <w:szCs w:val="21"/>
                <w:highlight w:val="none"/>
                <w:lang w:eastAsia="zh-CN"/>
              </w:rPr>
              <w:t>位职责组织本矿山应急救援演练。</w:t>
            </w:r>
          </w:p>
        </w:tc>
        <w:tc>
          <w:tcPr>
            <w:tcW w:w="1836" w:type="dxa"/>
            <w:vAlign w:val="center"/>
          </w:tcPr>
          <w:p w14:paraId="3A603B10">
            <w:pPr>
              <w:pStyle w:val="25"/>
              <w:jc w:val="both"/>
              <w:rPr>
                <w:rFonts w:eastAsia="宋体"/>
                <w:color w:val="auto"/>
                <w:sz w:val="21"/>
                <w:szCs w:val="21"/>
                <w:highlight w:val="none"/>
                <w:lang w:val="zh-CN" w:eastAsia="zh-CN"/>
              </w:rPr>
            </w:pPr>
            <w:r>
              <w:rPr>
                <w:rFonts w:eastAsia="宋体"/>
                <w:color w:val="auto"/>
                <w:spacing w:val="8"/>
                <w:sz w:val="21"/>
                <w:szCs w:val="21"/>
                <w:highlight w:val="none"/>
                <w:lang w:eastAsia="zh-CN"/>
              </w:rPr>
              <w:t>《金属非金属矿山</w:t>
            </w:r>
            <w:r>
              <w:rPr>
                <w:rFonts w:eastAsia="宋体"/>
                <w:color w:val="auto"/>
                <w:spacing w:val="10"/>
                <w:sz w:val="21"/>
                <w:szCs w:val="21"/>
                <w:highlight w:val="none"/>
                <w:lang w:eastAsia="zh-CN"/>
              </w:rPr>
              <w:t>安全规程》</w:t>
            </w:r>
            <w:r>
              <w:rPr>
                <w:rFonts w:hint="eastAsia" w:eastAsia="宋体"/>
                <w:color w:val="auto"/>
                <w:spacing w:val="10"/>
                <w:sz w:val="21"/>
                <w:szCs w:val="21"/>
                <w:highlight w:val="none"/>
                <w:lang w:eastAsia="zh-CN"/>
              </w:rPr>
              <w:t>（</w:t>
            </w:r>
            <w:r>
              <w:rPr>
                <w:rFonts w:eastAsia="宋体"/>
                <w:color w:val="auto"/>
                <w:sz w:val="21"/>
                <w:szCs w:val="21"/>
                <w:highlight w:val="none"/>
                <w:lang w:eastAsia="zh-CN"/>
              </w:rPr>
              <w:t>GB</w:t>
            </w:r>
            <w:r>
              <w:rPr>
                <w:rFonts w:eastAsia="宋体"/>
                <w:color w:val="auto"/>
                <w:spacing w:val="4"/>
                <w:sz w:val="21"/>
                <w:szCs w:val="21"/>
                <w:highlight w:val="none"/>
                <w:lang w:eastAsia="zh-CN"/>
              </w:rPr>
              <w:t>16423-2020</w:t>
            </w:r>
            <w:r>
              <w:rPr>
                <w:rFonts w:hint="eastAsia" w:eastAsia="宋体"/>
                <w:color w:val="auto"/>
                <w:spacing w:val="10"/>
                <w:sz w:val="21"/>
                <w:szCs w:val="21"/>
                <w:highlight w:val="none"/>
                <w:lang w:eastAsia="zh-CN"/>
              </w:rPr>
              <w:t>）</w:t>
            </w:r>
            <w:r>
              <w:rPr>
                <w:rFonts w:hint="eastAsia" w:eastAsia="宋体"/>
                <w:color w:val="auto"/>
                <w:spacing w:val="4"/>
                <w:sz w:val="21"/>
                <w:szCs w:val="21"/>
                <w:highlight w:val="none"/>
                <w:lang w:eastAsia="zh-CN"/>
              </w:rPr>
              <w:t>第</w:t>
            </w:r>
            <w:r>
              <w:rPr>
                <w:rFonts w:eastAsia="宋体"/>
                <w:color w:val="auto"/>
                <w:spacing w:val="2"/>
                <w:sz w:val="21"/>
                <w:szCs w:val="21"/>
                <w:highlight w:val="none"/>
                <w:lang w:eastAsia="zh-CN"/>
              </w:rPr>
              <w:t>4.3.4条</w:t>
            </w:r>
          </w:p>
        </w:tc>
        <w:tc>
          <w:tcPr>
            <w:tcW w:w="2717" w:type="dxa"/>
            <w:vAlign w:val="center"/>
          </w:tcPr>
          <w:p w14:paraId="18C6B300">
            <w:pPr>
              <w:ind w:hanging="5"/>
              <w:jc w:val="both"/>
              <w:rPr>
                <w:rFonts w:ascii="Times New Roman" w:hAnsi="Times New Roman" w:eastAsia="宋体" w:cs="Times New Roman"/>
                <w:color w:val="auto"/>
                <w:highlight w:val="none"/>
                <w:lang w:eastAsia="zh-CN"/>
              </w:rPr>
            </w:pPr>
          </w:p>
        </w:tc>
        <w:tc>
          <w:tcPr>
            <w:tcW w:w="836" w:type="dxa"/>
            <w:vAlign w:val="center"/>
          </w:tcPr>
          <w:p w14:paraId="19CDC6D7">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1C7693BA">
        <w:trPr>
          <w:trHeight w:val="1366" w:hRule="atLeast"/>
          <w:jc w:val="center"/>
        </w:trPr>
        <w:tc>
          <w:tcPr>
            <w:tcW w:w="606" w:type="dxa"/>
            <w:vMerge w:val="continue"/>
            <w:vAlign w:val="center"/>
          </w:tcPr>
          <w:p w14:paraId="117048A0">
            <w:pPr>
              <w:spacing w:line="240" w:lineRule="exact"/>
              <w:jc w:val="both"/>
              <w:rPr>
                <w:rFonts w:eastAsia="仿宋"/>
                <w:color w:val="auto"/>
                <w:highlight w:val="none"/>
              </w:rPr>
            </w:pPr>
          </w:p>
        </w:tc>
        <w:tc>
          <w:tcPr>
            <w:tcW w:w="3008" w:type="dxa"/>
            <w:vAlign w:val="center"/>
          </w:tcPr>
          <w:p w14:paraId="1B9EE171">
            <w:pPr>
              <w:pStyle w:val="25"/>
              <w:ind w:firstLine="2"/>
              <w:jc w:val="both"/>
              <w:rPr>
                <w:rFonts w:eastAsia="宋体"/>
                <w:color w:val="auto"/>
                <w:sz w:val="21"/>
                <w:szCs w:val="21"/>
                <w:highlight w:val="none"/>
                <w:lang w:eastAsia="zh-CN"/>
              </w:rPr>
            </w:pPr>
            <w:r>
              <w:rPr>
                <w:rFonts w:eastAsia="宋体"/>
                <w:color w:val="auto"/>
                <w:spacing w:val="13"/>
                <w:sz w:val="21"/>
                <w:szCs w:val="21"/>
                <w:highlight w:val="none"/>
                <w:lang w:eastAsia="zh-CN"/>
              </w:rPr>
              <w:t>5.建立事故应急救援组织，配备必</w:t>
            </w:r>
            <w:r>
              <w:rPr>
                <w:rFonts w:eastAsia="宋体"/>
                <w:color w:val="auto"/>
                <w:spacing w:val="10"/>
                <w:sz w:val="21"/>
                <w:szCs w:val="21"/>
                <w:highlight w:val="none"/>
                <w:lang w:eastAsia="zh-CN"/>
              </w:rPr>
              <w:t>要的应急救援器材、设备；生产规模较小可以不建立事故应急救援组织的，应当指定兼职的应急救援人员，并与邻近的事故应急救援组织</w:t>
            </w:r>
            <w:r>
              <w:rPr>
                <w:rFonts w:eastAsia="宋体"/>
                <w:color w:val="auto"/>
                <w:spacing w:val="8"/>
                <w:sz w:val="21"/>
                <w:szCs w:val="21"/>
                <w:highlight w:val="none"/>
                <w:lang w:eastAsia="zh-CN"/>
              </w:rPr>
              <w:t>签订救护协议；并有急救物资。</w:t>
            </w:r>
          </w:p>
        </w:tc>
        <w:tc>
          <w:tcPr>
            <w:tcW w:w="1836" w:type="dxa"/>
            <w:vAlign w:val="center"/>
          </w:tcPr>
          <w:p w14:paraId="393B722F">
            <w:pPr>
              <w:pStyle w:val="25"/>
              <w:jc w:val="both"/>
              <w:rPr>
                <w:rFonts w:eastAsia="宋体"/>
                <w:color w:val="auto"/>
                <w:sz w:val="21"/>
                <w:szCs w:val="21"/>
                <w:highlight w:val="none"/>
                <w:lang w:val="zh-CN" w:eastAsia="zh-CN"/>
              </w:rPr>
            </w:pPr>
            <w:r>
              <w:rPr>
                <w:rFonts w:eastAsia="宋体"/>
                <w:color w:val="auto"/>
                <w:spacing w:val="5"/>
                <w:sz w:val="21"/>
                <w:szCs w:val="21"/>
                <w:highlight w:val="none"/>
              </w:rPr>
              <w:t>辽安监非</w:t>
            </w:r>
            <w:r>
              <w:rPr>
                <w:rFonts w:hint="eastAsia" w:eastAsia="宋体"/>
                <w:color w:val="auto"/>
                <w:spacing w:val="5"/>
                <w:sz w:val="21"/>
                <w:szCs w:val="21"/>
                <w:highlight w:val="none"/>
                <w:lang w:eastAsia="zh-CN"/>
              </w:rPr>
              <w:t>〔2018〕29号</w:t>
            </w:r>
          </w:p>
        </w:tc>
        <w:tc>
          <w:tcPr>
            <w:tcW w:w="2717" w:type="dxa"/>
            <w:vAlign w:val="center"/>
          </w:tcPr>
          <w:p w14:paraId="38984F83">
            <w:pPr>
              <w:pStyle w:val="25"/>
              <w:jc w:val="both"/>
              <w:rPr>
                <w:color w:val="auto"/>
                <w:szCs w:val="21"/>
                <w:highlight w:val="none"/>
                <w:lang w:eastAsia="zh-CN"/>
              </w:rPr>
            </w:pPr>
          </w:p>
        </w:tc>
        <w:tc>
          <w:tcPr>
            <w:tcW w:w="836" w:type="dxa"/>
            <w:vAlign w:val="center"/>
          </w:tcPr>
          <w:p w14:paraId="462F37A5">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10ADE3D8">
        <w:trPr>
          <w:trHeight w:val="1366" w:hRule="atLeast"/>
          <w:jc w:val="center"/>
        </w:trPr>
        <w:tc>
          <w:tcPr>
            <w:tcW w:w="606" w:type="dxa"/>
            <w:vMerge w:val="restart"/>
            <w:textDirection w:val="tbRlV"/>
            <w:vAlign w:val="center"/>
          </w:tcPr>
          <w:p w14:paraId="0C0E17CC">
            <w:pPr>
              <w:jc w:val="center"/>
              <w:rPr>
                <w:rFonts w:ascii="Times New Roman" w:hAnsi="Times New Roman" w:eastAsia="宋体" w:cs="Times New Roman"/>
                <w:color w:val="auto"/>
                <w:spacing w:val="8"/>
                <w:highlight w:val="none"/>
              </w:rPr>
            </w:pPr>
            <w:r>
              <w:rPr>
                <w:rFonts w:ascii="Times New Roman" w:hAnsi="Times New Roman" w:eastAsia="宋体" w:cs="Times New Roman"/>
                <w:color w:val="auto"/>
                <w:spacing w:val="8"/>
                <w:highlight w:val="none"/>
              </w:rPr>
              <w:t>三、其他</w:t>
            </w:r>
          </w:p>
        </w:tc>
        <w:tc>
          <w:tcPr>
            <w:tcW w:w="3008" w:type="dxa"/>
            <w:vAlign w:val="center"/>
          </w:tcPr>
          <w:p w14:paraId="13B39CB1">
            <w:pPr>
              <w:pStyle w:val="25"/>
              <w:jc w:val="both"/>
              <w:rPr>
                <w:rFonts w:eastAsia="宋体"/>
                <w:color w:val="auto"/>
                <w:spacing w:val="8"/>
                <w:sz w:val="21"/>
                <w:szCs w:val="21"/>
                <w:highlight w:val="none"/>
                <w:lang w:eastAsia="zh-CN"/>
              </w:rPr>
            </w:pPr>
            <w:r>
              <w:rPr>
                <w:rFonts w:eastAsia="宋体"/>
                <w:color w:val="auto"/>
                <w:spacing w:val="8"/>
                <w:sz w:val="21"/>
                <w:szCs w:val="21"/>
                <w:highlight w:val="none"/>
                <w:lang w:eastAsia="zh-CN"/>
              </w:rPr>
              <w:t>1.生产经营单位必须为从业人员提 供符合国家标准或者行业标准的劳动防护用品，并监督、教育从业人员按照使用规则佩戴、使用。</w:t>
            </w:r>
          </w:p>
        </w:tc>
        <w:tc>
          <w:tcPr>
            <w:tcW w:w="1836" w:type="dxa"/>
            <w:vAlign w:val="center"/>
          </w:tcPr>
          <w:p w14:paraId="6C8EF2E3">
            <w:pPr>
              <w:pStyle w:val="25"/>
              <w:jc w:val="both"/>
              <w:rPr>
                <w:rFonts w:eastAsia="宋体"/>
                <w:color w:val="auto"/>
                <w:sz w:val="21"/>
                <w:szCs w:val="21"/>
                <w:highlight w:val="none"/>
                <w:lang w:val="zh-CN" w:eastAsia="zh-CN"/>
              </w:rPr>
            </w:pPr>
            <w:r>
              <w:rPr>
                <w:rFonts w:hint="eastAsia" w:eastAsia="宋体"/>
                <w:color w:val="auto"/>
                <w:spacing w:val="6"/>
                <w:sz w:val="21"/>
                <w:szCs w:val="21"/>
                <w:highlight w:val="none"/>
                <w:lang w:eastAsia="zh-CN"/>
              </w:rPr>
              <w:t>《中华人民共和国安全生产法》第四十五条</w:t>
            </w:r>
          </w:p>
        </w:tc>
        <w:tc>
          <w:tcPr>
            <w:tcW w:w="2717" w:type="dxa"/>
            <w:vAlign w:val="center"/>
          </w:tcPr>
          <w:p w14:paraId="4308DE55">
            <w:pPr>
              <w:jc w:val="both"/>
              <w:rPr>
                <w:rFonts w:ascii="Times New Roman" w:hAnsi="Times New Roman" w:eastAsia="宋体" w:cs="Times New Roman"/>
                <w:color w:val="auto"/>
                <w:highlight w:val="none"/>
                <w:lang w:eastAsia="zh-CN"/>
              </w:rPr>
            </w:pPr>
          </w:p>
        </w:tc>
        <w:tc>
          <w:tcPr>
            <w:tcW w:w="836" w:type="dxa"/>
            <w:vAlign w:val="center"/>
          </w:tcPr>
          <w:p w14:paraId="46464410">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610E831C">
        <w:trPr>
          <w:trHeight w:val="1366" w:hRule="atLeast"/>
          <w:jc w:val="center"/>
        </w:trPr>
        <w:tc>
          <w:tcPr>
            <w:tcW w:w="606" w:type="dxa"/>
            <w:vMerge w:val="continue"/>
            <w:vAlign w:val="center"/>
          </w:tcPr>
          <w:p w14:paraId="7A0A9AA0">
            <w:pPr>
              <w:spacing w:line="240" w:lineRule="exact"/>
              <w:jc w:val="both"/>
              <w:rPr>
                <w:rFonts w:eastAsia="仿宋"/>
                <w:color w:val="auto"/>
                <w:highlight w:val="none"/>
              </w:rPr>
            </w:pPr>
          </w:p>
        </w:tc>
        <w:tc>
          <w:tcPr>
            <w:tcW w:w="3008" w:type="dxa"/>
            <w:vAlign w:val="center"/>
          </w:tcPr>
          <w:p w14:paraId="03DADF12">
            <w:pPr>
              <w:pStyle w:val="25"/>
              <w:jc w:val="both"/>
              <w:rPr>
                <w:rFonts w:eastAsia="宋体"/>
                <w:color w:val="auto"/>
                <w:spacing w:val="8"/>
                <w:sz w:val="21"/>
                <w:szCs w:val="21"/>
                <w:highlight w:val="none"/>
                <w:lang w:eastAsia="zh-CN"/>
              </w:rPr>
            </w:pPr>
            <w:r>
              <w:rPr>
                <w:rFonts w:eastAsia="宋体"/>
                <w:color w:val="auto"/>
                <w:spacing w:val="8"/>
                <w:sz w:val="21"/>
                <w:szCs w:val="21"/>
                <w:highlight w:val="none"/>
                <w:lang w:eastAsia="zh-CN"/>
              </w:rPr>
              <w:t>2.安全生产投入符合安全生产要求，按照有关规定提取安全技术措 施专项经费</w:t>
            </w:r>
          </w:p>
        </w:tc>
        <w:tc>
          <w:tcPr>
            <w:tcW w:w="1836" w:type="dxa"/>
            <w:vAlign w:val="center"/>
          </w:tcPr>
          <w:p w14:paraId="7EAC5B39">
            <w:pPr>
              <w:jc w:val="both"/>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7"/>
                <w:highlight w:val="none"/>
                <w:lang w:eastAsia="zh-CN"/>
              </w:rPr>
              <w:t>《许可证实施办</w:t>
            </w:r>
            <w:r>
              <w:rPr>
                <w:rFonts w:ascii="Times New Roman" w:hAnsi="Times New Roman" w:eastAsia="宋体" w:cs="Times New Roman"/>
                <w:color w:val="auto"/>
                <w:spacing w:val="8"/>
                <w:highlight w:val="none"/>
                <w:lang w:eastAsia="zh-CN"/>
              </w:rPr>
              <w:t>法》第二章第五条</w:t>
            </w:r>
            <w:r>
              <w:rPr>
                <w:rFonts w:ascii="Times New Roman" w:hAnsi="Times New Roman" w:eastAsia="宋体" w:cs="Times New Roman"/>
                <w:color w:val="auto"/>
                <w:spacing w:val="6"/>
                <w:highlight w:val="none"/>
                <w:lang w:eastAsia="zh-CN"/>
              </w:rPr>
              <w:t>第二款</w:t>
            </w:r>
          </w:p>
        </w:tc>
        <w:tc>
          <w:tcPr>
            <w:tcW w:w="2717" w:type="dxa"/>
            <w:vAlign w:val="center"/>
          </w:tcPr>
          <w:p w14:paraId="3534A7EC">
            <w:pPr>
              <w:pStyle w:val="25"/>
              <w:jc w:val="both"/>
              <w:rPr>
                <w:rFonts w:eastAsia="宋体"/>
                <w:color w:val="auto"/>
                <w:sz w:val="21"/>
                <w:szCs w:val="21"/>
                <w:highlight w:val="none"/>
                <w:lang w:eastAsia="zh-CN"/>
              </w:rPr>
            </w:pPr>
          </w:p>
        </w:tc>
        <w:tc>
          <w:tcPr>
            <w:tcW w:w="836" w:type="dxa"/>
            <w:vAlign w:val="center"/>
          </w:tcPr>
          <w:p w14:paraId="401AD948">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60FE1DBD">
        <w:trPr>
          <w:trHeight w:val="1366" w:hRule="atLeast"/>
          <w:jc w:val="center"/>
        </w:trPr>
        <w:tc>
          <w:tcPr>
            <w:tcW w:w="606" w:type="dxa"/>
            <w:vMerge w:val="continue"/>
            <w:vAlign w:val="center"/>
          </w:tcPr>
          <w:p w14:paraId="04C8AEDA">
            <w:pPr>
              <w:spacing w:line="240" w:lineRule="exact"/>
              <w:jc w:val="both"/>
              <w:rPr>
                <w:rFonts w:eastAsia="仿宋"/>
                <w:color w:val="auto"/>
                <w:highlight w:val="none"/>
              </w:rPr>
            </w:pPr>
          </w:p>
        </w:tc>
        <w:tc>
          <w:tcPr>
            <w:tcW w:w="3008" w:type="dxa"/>
            <w:vAlign w:val="center"/>
          </w:tcPr>
          <w:p w14:paraId="21E8A755">
            <w:pPr>
              <w:pStyle w:val="25"/>
              <w:ind w:firstLine="1"/>
              <w:jc w:val="both"/>
              <w:rPr>
                <w:rFonts w:eastAsia="宋体"/>
                <w:color w:val="auto"/>
                <w:spacing w:val="8"/>
                <w:sz w:val="21"/>
                <w:szCs w:val="21"/>
                <w:highlight w:val="none"/>
                <w:lang w:eastAsia="zh-CN"/>
              </w:rPr>
            </w:pPr>
            <w:r>
              <w:rPr>
                <w:rFonts w:eastAsia="宋体"/>
                <w:color w:val="auto"/>
                <w:spacing w:val="8"/>
                <w:sz w:val="21"/>
                <w:szCs w:val="21"/>
                <w:highlight w:val="none"/>
                <w:lang w:eastAsia="zh-CN"/>
              </w:rPr>
              <w:t>3.为从业人员缴纳工伤保险费的证明材料；因特殊情况不能办理工伤保险的，可以出具办理安全生产责任保险的证明材料；</w:t>
            </w:r>
          </w:p>
        </w:tc>
        <w:tc>
          <w:tcPr>
            <w:tcW w:w="1836" w:type="dxa"/>
            <w:vAlign w:val="center"/>
          </w:tcPr>
          <w:p w14:paraId="75681BF3">
            <w:pPr>
              <w:pStyle w:val="25"/>
              <w:jc w:val="both"/>
              <w:rPr>
                <w:rFonts w:eastAsia="宋体"/>
                <w:color w:val="auto"/>
                <w:sz w:val="21"/>
                <w:szCs w:val="21"/>
                <w:highlight w:val="none"/>
                <w:lang w:val="zh-CN" w:eastAsia="zh-CN"/>
              </w:rPr>
            </w:pPr>
            <w:r>
              <w:rPr>
                <w:rFonts w:eastAsia="宋体"/>
                <w:color w:val="auto"/>
                <w:spacing w:val="5"/>
                <w:sz w:val="21"/>
                <w:szCs w:val="21"/>
                <w:highlight w:val="none"/>
              </w:rPr>
              <w:t>辽安监非</w:t>
            </w:r>
            <w:r>
              <w:rPr>
                <w:rFonts w:hint="eastAsia" w:eastAsia="宋体"/>
                <w:color w:val="auto"/>
                <w:spacing w:val="5"/>
                <w:sz w:val="21"/>
                <w:szCs w:val="21"/>
                <w:highlight w:val="none"/>
                <w:lang w:eastAsia="zh-CN"/>
              </w:rPr>
              <w:t>〔2018〕29号</w:t>
            </w:r>
          </w:p>
        </w:tc>
        <w:tc>
          <w:tcPr>
            <w:tcW w:w="2717" w:type="dxa"/>
            <w:vAlign w:val="center"/>
          </w:tcPr>
          <w:p w14:paraId="360542B2">
            <w:pPr>
              <w:pStyle w:val="25"/>
              <w:ind w:firstLine="3"/>
              <w:jc w:val="both"/>
              <w:rPr>
                <w:rFonts w:eastAsia="宋体"/>
                <w:color w:val="auto"/>
                <w:sz w:val="21"/>
                <w:szCs w:val="21"/>
                <w:highlight w:val="none"/>
                <w:lang w:eastAsia="zh-CN"/>
              </w:rPr>
            </w:pPr>
          </w:p>
        </w:tc>
        <w:tc>
          <w:tcPr>
            <w:tcW w:w="836" w:type="dxa"/>
            <w:vAlign w:val="center"/>
          </w:tcPr>
          <w:p w14:paraId="02DC859A">
            <w:pPr>
              <w:kinsoku/>
              <w:autoSpaceDE/>
              <w:autoSpaceDN/>
              <w:adjustRightInd/>
              <w:snapToGrid/>
              <w:spacing w:line="280" w:lineRule="exact"/>
              <w:jc w:val="center"/>
              <w:textAlignment w:val="auto"/>
              <w:rPr>
                <w:rFonts w:ascii="Times New Roman" w:hAnsi="Times New Roman" w:eastAsia="宋体" w:cs="Times New Roman"/>
                <w:color w:val="auto"/>
                <w:spacing w:val="3"/>
                <w:highlight w:val="none"/>
              </w:rPr>
            </w:pPr>
            <w:r>
              <w:rPr>
                <w:rFonts w:ascii="Times New Roman" w:hAnsi="Times New Roman" w:eastAsia="宋体" w:cs="Times New Roman"/>
                <w:color w:val="auto"/>
                <w:spacing w:val="3"/>
                <w:highlight w:val="none"/>
              </w:rPr>
              <w:t>符合</w:t>
            </w:r>
          </w:p>
        </w:tc>
      </w:tr>
      <w:tr w14:paraId="4AC78FD2">
        <w:trPr>
          <w:trHeight w:val="1366" w:hRule="atLeast"/>
          <w:jc w:val="center"/>
        </w:trPr>
        <w:tc>
          <w:tcPr>
            <w:tcW w:w="606" w:type="dxa"/>
            <w:vMerge w:val="continue"/>
            <w:vAlign w:val="center"/>
          </w:tcPr>
          <w:p w14:paraId="0FC7CFBB">
            <w:pPr>
              <w:spacing w:line="240" w:lineRule="exact"/>
              <w:jc w:val="both"/>
              <w:rPr>
                <w:rFonts w:eastAsia="仿宋"/>
                <w:color w:val="auto"/>
                <w:highlight w:val="none"/>
              </w:rPr>
            </w:pPr>
          </w:p>
        </w:tc>
        <w:tc>
          <w:tcPr>
            <w:tcW w:w="3008" w:type="dxa"/>
            <w:vAlign w:val="center"/>
          </w:tcPr>
          <w:p w14:paraId="7F78EAE8">
            <w:pPr>
              <w:pStyle w:val="25"/>
              <w:ind w:hanging="12"/>
              <w:jc w:val="both"/>
              <w:rPr>
                <w:rFonts w:eastAsia="宋体"/>
                <w:color w:val="auto"/>
                <w:spacing w:val="8"/>
                <w:sz w:val="21"/>
                <w:szCs w:val="21"/>
                <w:highlight w:val="none"/>
                <w:lang w:eastAsia="zh-CN"/>
              </w:rPr>
            </w:pPr>
            <w:r>
              <w:rPr>
                <w:rFonts w:eastAsia="宋体"/>
                <w:color w:val="auto"/>
                <w:spacing w:val="8"/>
                <w:sz w:val="21"/>
                <w:szCs w:val="21"/>
                <w:highlight w:val="none"/>
                <w:lang w:eastAsia="zh-CN"/>
              </w:rPr>
              <w:t>4.不良天气影响正常生产时，应立即停止作业；威胁人身安全时，人员应转移到安全地点。</w:t>
            </w:r>
          </w:p>
        </w:tc>
        <w:tc>
          <w:tcPr>
            <w:tcW w:w="1836" w:type="dxa"/>
            <w:vAlign w:val="center"/>
          </w:tcPr>
          <w:p w14:paraId="5CD8CC67">
            <w:pPr>
              <w:pStyle w:val="25"/>
              <w:jc w:val="both"/>
              <w:rPr>
                <w:rFonts w:eastAsia="宋体"/>
                <w:color w:val="auto"/>
                <w:spacing w:val="5"/>
                <w:sz w:val="21"/>
                <w:szCs w:val="21"/>
                <w:highlight w:val="none"/>
                <w:lang w:eastAsia="zh-CN"/>
              </w:rPr>
            </w:pPr>
            <w:r>
              <w:rPr>
                <w:rFonts w:eastAsia="宋体"/>
                <w:color w:val="auto"/>
                <w:spacing w:val="-1"/>
                <w:sz w:val="21"/>
                <w:szCs w:val="21"/>
                <w:highlight w:val="none"/>
                <w:lang w:eastAsia="zh-CN"/>
              </w:rPr>
              <w:t>《金属非金属矿山安全规程》</w:t>
            </w:r>
            <w:r>
              <w:rPr>
                <w:rFonts w:hint="eastAsia" w:eastAsia="宋体"/>
                <w:color w:val="auto"/>
                <w:spacing w:val="-1"/>
                <w:sz w:val="21"/>
                <w:szCs w:val="21"/>
                <w:highlight w:val="none"/>
                <w:lang w:eastAsia="zh-CN"/>
              </w:rPr>
              <w:t>（</w:t>
            </w:r>
            <w:r>
              <w:rPr>
                <w:rFonts w:eastAsia="宋体"/>
                <w:color w:val="auto"/>
                <w:spacing w:val="-1"/>
                <w:sz w:val="21"/>
                <w:szCs w:val="21"/>
                <w:highlight w:val="none"/>
                <w:lang w:eastAsia="zh-CN"/>
              </w:rPr>
              <w:t>GB16423-2020</w:t>
            </w:r>
            <w:r>
              <w:rPr>
                <w:rFonts w:hint="eastAsia" w:eastAsia="宋体"/>
                <w:color w:val="auto"/>
                <w:spacing w:val="-1"/>
                <w:sz w:val="21"/>
                <w:szCs w:val="21"/>
                <w:highlight w:val="none"/>
                <w:lang w:eastAsia="zh-CN"/>
              </w:rPr>
              <w:t>）第</w:t>
            </w:r>
            <w:r>
              <w:rPr>
                <w:rFonts w:eastAsia="宋体"/>
                <w:color w:val="auto"/>
                <w:spacing w:val="-1"/>
                <w:sz w:val="21"/>
                <w:szCs w:val="21"/>
                <w:highlight w:val="none"/>
                <w:lang w:eastAsia="zh-CN"/>
              </w:rPr>
              <w:t>5.1.14条</w:t>
            </w:r>
          </w:p>
        </w:tc>
        <w:tc>
          <w:tcPr>
            <w:tcW w:w="2717" w:type="dxa"/>
            <w:vAlign w:val="center"/>
          </w:tcPr>
          <w:p w14:paraId="04266AA8">
            <w:pPr>
              <w:jc w:val="both"/>
              <w:rPr>
                <w:rFonts w:ascii="Times New Roman" w:hAnsi="Times New Roman" w:eastAsia="宋体" w:cs="Times New Roman"/>
                <w:color w:val="auto"/>
                <w:spacing w:val="9"/>
                <w:highlight w:val="none"/>
                <w:lang w:eastAsia="zh-CN"/>
              </w:rPr>
            </w:pPr>
          </w:p>
        </w:tc>
        <w:tc>
          <w:tcPr>
            <w:tcW w:w="836" w:type="dxa"/>
            <w:vAlign w:val="center"/>
          </w:tcPr>
          <w:p w14:paraId="50D65D56">
            <w:pPr>
              <w:kinsoku/>
              <w:autoSpaceDE/>
              <w:autoSpaceDN/>
              <w:adjustRightInd/>
              <w:snapToGrid/>
              <w:spacing w:line="280" w:lineRule="exact"/>
              <w:jc w:val="center"/>
              <w:textAlignment w:val="auto"/>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bl>
    <w:p w14:paraId="64E5547D">
      <w:pPr>
        <w:rPr>
          <w:color w:val="auto"/>
          <w:highlight w:val="none"/>
          <w:lang w:eastAsia="zh-CN"/>
        </w:rPr>
      </w:pPr>
    </w:p>
    <w:p w14:paraId="4CE71A26">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rPr>
      </w:pPr>
      <w:bookmarkStart w:id="209" w:name="_Toc19018"/>
      <w:bookmarkStart w:id="210" w:name="_Toc30070"/>
      <w:bookmarkStart w:id="211" w:name="_Toc10601"/>
      <w:r>
        <w:rPr>
          <w:rFonts w:ascii="Times New Roman" w:hAnsi="Times New Roman" w:eastAsia="Times New Roman" w:cs="Times New Roman"/>
          <w:bCs/>
          <w:color w:val="auto"/>
          <w:spacing w:val="-3"/>
          <w:sz w:val="28"/>
          <w:szCs w:val="28"/>
          <w:highlight w:val="none"/>
        </w:rPr>
        <w:t xml:space="preserve">5.6.2 </w:t>
      </w:r>
      <w:r>
        <w:rPr>
          <w:rFonts w:ascii="宋体" w:hAnsi="宋体" w:eastAsia="宋体" w:cs="宋体"/>
          <w:bCs/>
          <w:color w:val="auto"/>
          <w:spacing w:val="-3"/>
          <w:sz w:val="28"/>
          <w:szCs w:val="28"/>
          <w:highlight w:val="none"/>
        </w:rPr>
        <w:t>评价单元小结</w:t>
      </w:r>
      <w:bookmarkEnd w:id="209"/>
      <w:bookmarkEnd w:id="210"/>
      <w:bookmarkEnd w:id="211"/>
    </w:p>
    <w:p w14:paraId="58E2FC5E">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hint="eastAsia" w:ascii="Times New Roman Regular" w:hAnsi="Times New Roman Regular" w:eastAsia="宋体" w:cs="Times New Roman Regular"/>
          <w:color w:val="auto"/>
          <w:spacing w:val="7"/>
          <w:sz w:val="28"/>
          <w:szCs w:val="28"/>
          <w:highlight w:val="none"/>
          <w:lang w:eastAsia="zh-CN"/>
        </w:rPr>
        <w:t>葫芦岛岳强矿业有限责任公司建立了安全科，</w:t>
      </w:r>
      <w:r>
        <w:rPr>
          <w:rFonts w:hint="default" w:ascii="Times New Roman Regular" w:hAnsi="Times New Roman Regular" w:eastAsia="宋体" w:cs="Times New Roman Regular"/>
          <w:color w:val="auto"/>
          <w:spacing w:val="7"/>
          <w:sz w:val="28"/>
          <w:szCs w:val="28"/>
          <w:highlight w:val="none"/>
          <w:lang w:eastAsia="zh-CN"/>
        </w:rPr>
        <w:t>配备了尾矿库专职安全管理人员；建立</w:t>
      </w:r>
      <w:r>
        <w:rPr>
          <w:rFonts w:hint="eastAsia" w:ascii="Times New Roman Regular" w:hAnsi="Times New Roman Regular" w:eastAsia="宋体" w:cs="Times New Roman Regular"/>
          <w:color w:val="auto"/>
          <w:spacing w:val="7"/>
          <w:sz w:val="28"/>
          <w:szCs w:val="28"/>
          <w:highlight w:val="none"/>
          <w:lang w:eastAsia="zh-CN"/>
        </w:rPr>
        <w:t>了</w:t>
      </w:r>
      <w:r>
        <w:rPr>
          <w:rFonts w:hint="default" w:ascii="Times New Roman Regular" w:hAnsi="Times New Roman Regular" w:eastAsia="宋体" w:cs="Times New Roman Regular"/>
          <w:color w:val="auto"/>
          <w:spacing w:val="7"/>
          <w:sz w:val="28"/>
          <w:szCs w:val="28"/>
          <w:highlight w:val="none"/>
          <w:lang w:eastAsia="zh-CN"/>
        </w:rPr>
        <w:t>全员安全生产责任制、安全生产</w:t>
      </w:r>
      <w:r>
        <w:rPr>
          <w:rFonts w:hint="eastAsia" w:ascii="Times New Roman Regular" w:hAnsi="Times New Roman Regular" w:eastAsia="宋体" w:cs="Times New Roman Regular"/>
          <w:color w:val="auto"/>
          <w:spacing w:val="7"/>
          <w:sz w:val="28"/>
          <w:szCs w:val="28"/>
          <w:highlight w:val="none"/>
          <w:lang w:eastAsia="zh-CN"/>
        </w:rPr>
        <w:t>规章</w:t>
      </w:r>
      <w:r>
        <w:rPr>
          <w:rFonts w:hint="default" w:ascii="Times New Roman Regular" w:hAnsi="Times New Roman Regular" w:eastAsia="宋体" w:cs="Times New Roman Regular"/>
          <w:color w:val="auto"/>
          <w:spacing w:val="7"/>
          <w:sz w:val="28"/>
          <w:szCs w:val="28"/>
          <w:highlight w:val="none"/>
          <w:lang w:eastAsia="zh-CN"/>
        </w:rPr>
        <w:t>制度和岗位安全操作规程；编制了生产安全事故应急预案并在应急管理部门备案，</w:t>
      </w:r>
      <w:r>
        <w:rPr>
          <w:rFonts w:hint="eastAsia" w:ascii="Times New Roman Regular" w:hAnsi="Times New Roman Regular" w:eastAsia="宋体" w:cs="Times New Roman Regular"/>
          <w:color w:val="auto"/>
          <w:spacing w:val="7"/>
          <w:sz w:val="28"/>
          <w:szCs w:val="28"/>
          <w:highlight w:val="none"/>
          <w:lang w:eastAsia="zh-CN"/>
        </w:rPr>
        <w:t>并</w:t>
      </w:r>
      <w:r>
        <w:rPr>
          <w:rFonts w:hint="default" w:ascii="Times New Roman Regular" w:hAnsi="Times New Roman Regular" w:eastAsia="宋体" w:cs="Times New Roman Regular"/>
          <w:color w:val="auto"/>
          <w:spacing w:val="7"/>
          <w:sz w:val="28"/>
          <w:szCs w:val="28"/>
          <w:highlight w:val="none"/>
          <w:lang w:eastAsia="zh-CN"/>
        </w:rPr>
        <w:t>定期组织</w:t>
      </w:r>
      <w:r>
        <w:rPr>
          <w:rFonts w:hint="eastAsia" w:ascii="Times New Roman Regular" w:hAnsi="Times New Roman Regular" w:eastAsia="宋体" w:cs="Times New Roman Regular"/>
          <w:color w:val="auto"/>
          <w:spacing w:val="7"/>
          <w:sz w:val="28"/>
          <w:szCs w:val="28"/>
          <w:highlight w:val="none"/>
          <w:lang w:eastAsia="zh-CN"/>
        </w:rPr>
        <w:t>了</w:t>
      </w:r>
      <w:r>
        <w:rPr>
          <w:rFonts w:hint="default" w:ascii="Times New Roman Regular" w:hAnsi="Times New Roman Regular" w:eastAsia="宋体" w:cs="Times New Roman Regular"/>
          <w:color w:val="auto"/>
          <w:spacing w:val="7"/>
          <w:sz w:val="28"/>
          <w:szCs w:val="28"/>
          <w:highlight w:val="none"/>
          <w:lang w:eastAsia="zh-CN"/>
        </w:rPr>
        <w:t>应急演练；职工上岗前经过</w:t>
      </w:r>
      <w:r>
        <w:rPr>
          <w:rFonts w:hint="eastAsia" w:ascii="Times New Roman Regular" w:hAnsi="Times New Roman Regular" w:eastAsia="宋体" w:cs="Times New Roman Regular"/>
          <w:color w:val="auto"/>
          <w:spacing w:val="7"/>
          <w:sz w:val="28"/>
          <w:szCs w:val="28"/>
          <w:highlight w:val="none"/>
          <w:lang w:eastAsia="zh-CN"/>
        </w:rPr>
        <w:t>了</w:t>
      </w:r>
      <w:r>
        <w:rPr>
          <w:rFonts w:hint="default" w:ascii="Times New Roman Regular" w:hAnsi="Times New Roman Regular" w:eastAsia="宋体" w:cs="Times New Roman Regular"/>
          <w:color w:val="auto"/>
          <w:spacing w:val="7"/>
          <w:sz w:val="28"/>
          <w:szCs w:val="28"/>
          <w:highlight w:val="none"/>
          <w:lang w:eastAsia="zh-CN"/>
        </w:rPr>
        <w:t>安全教育培训，尾矿库特种作业人员均持证上岗，安全管理人员</w:t>
      </w:r>
      <w:r>
        <w:rPr>
          <w:rFonts w:hint="eastAsia" w:ascii="Times New Roman Regular" w:hAnsi="Times New Roman Regular" w:eastAsia="宋体" w:cs="Times New Roman Regular"/>
          <w:color w:val="auto"/>
          <w:spacing w:val="7"/>
          <w:sz w:val="28"/>
          <w:szCs w:val="28"/>
          <w:highlight w:val="none"/>
          <w:lang w:eastAsia="zh-CN"/>
        </w:rPr>
        <w:t>、</w:t>
      </w:r>
      <w:r>
        <w:rPr>
          <w:rFonts w:hint="default" w:ascii="Times New Roman Regular" w:hAnsi="Times New Roman Regular" w:eastAsia="宋体" w:cs="Times New Roman Regular"/>
          <w:color w:val="auto"/>
          <w:spacing w:val="7"/>
          <w:sz w:val="28"/>
          <w:szCs w:val="28"/>
          <w:highlight w:val="none"/>
          <w:lang w:eastAsia="zh-CN"/>
        </w:rPr>
        <w:t>技术人员</w:t>
      </w:r>
      <w:r>
        <w:rPr>
          <w:rFonts w:hint="eastAsia" w:ascii="Times New Roman Regular" w:hAnsi="Times New Roman Regular" w:eastAsia="宋体" w:cs="Times New Roman Regular"/>
          <w:color w:val="auto"/>
          <w:spacing w:val="7"/>
          <w:sz w:val="28"/>
          <w:szCs w:val="28"/>
          <w:highlight w:val="none"/>
          <w:lang w:eastAsia="zh-CN"/>
        </w:rPr>
        <w:t>及注安人员均</w:t>
      </w:r>
      <w:r>
        <w:rPr>
          <w:rFonts w:hint="default" w:ascii="Times New Roman Regular" w:hAnsi="Times New Roman Regular" w:eastAsia="宋体" w:cs="Times New Roman Regular"/>
          <w:color w:val="auto"/>
          <w:spacing w:val="7"/>
          <w:sz w:val="28"/>
          <w:szCs w:val="28"/>
          <w:highlight w:val="none"/>
          <w:lang w:eastAsia="zh-CN"/>
        </w:rPr>
        <w:t>持证上岗且具有丰富的实践经验；企业为从业人员缴纳了安全生产责任险。安全生产管理体系比较健全，符合规范要求，具备安全生产条件。</w:t>
      </w:r>
    </w:p>
    <w:p w14:paraId="16F896D1">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12" w:name="bookmark52"/>
      <w:bookmarkEnd w:id="212"/>
      <w:bookmarkStart w:id="213" w:name="_Toc2112127086"/>
      <w:bookmarkStart w:id="214" w:name="_Toc7503"/>
      <w:r>
        <w:rPr>
          <w:rFonts w:ascii="Times New Roman Regular" w:hAnsi="Times New Roman Regular" w:eastAsia="黑体" w:cs="Times New Roman Regular"/>
          <w:snapToGrid/>
          <w:color w:val="auto"/>
          <w:kern w:val="2"/>
          <w:highlight w:val="none"/>
          <w:lang w:eastAsia="zh-CN"/>
        </w:rPr>
        <w:t>5.7 重大事故隐患判定单元</w:t>
      </w:r>
      <w:bookmarkEnd w:id="213"/>
      <w:bookmarkEnd w:id="214"/>
    </w:p>
    <w:p w14:paraId="59BE7C48">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215" w:name="_Toc28222"/>
      <w:bookmarkStart w:id="216" w:name="_Toc13311"/>
      <w:bookmarkStart w:id="217" w:name="_Toc1075"/>
      <w:r>
        <w:rPr>
          <w:rFonts w:ascii="Times New Roman" w:hAnsi="Times New Roman" w:eastAsia="Times New Roman" w:cs="Times New Roman"/>
          <w:bCs/>
          <w:color w:val="auto"/>
          <w:spacing w:val="-3"/>
          <w:sz w:val="28"/>
          <w:szCs w:val="28"/>
          <w:highlight w:val="none"/>
          <w:lang w:eastAsia="zh-CN"/>
        </w:rPr>
        <w:t xml:space="preserve">5.7.1 </w:t>
      </w:r>
      <w:r>
        <w:rPr>
          <w:rFonts w:ascii="宋体" w:hAnsi="宋体" w:eastAsia="宋体" w:cs="宋体"/>
          <w:bCs/>
          <w:color w:val="auto"/>
          <w:spacing w:val="-3"/>
          <w:sz w:val="28"/>
          <w:szCs w:val="28"/>
          <w:highlight w:val="none"/>
          <w:lang w:eastAsia="zh-CN"/>
        </w:rPr>
        <w:t>安全检查表法评价</w:t>
      </w:r>
      <w:bookmarkEnd w:id="215"/>
      <w:bookmarkEnd w:id="216"/>
      <w:bookmarkEnd w:id="217"/>
    </w:p>
    <w:p w14:paraId="7BB2C45F">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hint="eastAsia" w:ascii="Times New Roman Regular" w:hAnsi="Times New Roman Regular" w:eastAsia="宋体" w:cs="Times New Roman Regular"/>
          <w:color w:val="auto"/>
          <w:spacing w:val="7"/>
          <w:sz w:val="28"/>
          <w:szCs w:val="28"/>
          <w:highlight w:val="none"/>
          <w:lang w:eastAsia="zh-CN"/>
        </w:rPr>
        <w:t>根据《国家矿山安全监察局关于印发〈金属非金属矿山重大事故隐患判定标准〉的通知》（矿安〔2022〕88号）、《国家矿山安全监察局关于印发〈金属非金属矿山重大事故隐患判定标准补充情形〉的通知》（矿安〔2024〕41号）的规定，运用安全检查表的评价方法对该尾矿库重大事故隐患判定单元进行评价，详见表5.7-1。</w:t>
      </w:r>
    </w:p>
    <w:p w14:paraId="51CDD9D3">
      <w:pPr>
        <w:spacing w:line="400" w:lineRule="exact"/>
        <w:jc w:val="center"/>
        <w:rPr>
          <w:rFonts w:ascii="黑体" w:hAnsi="黑体" w:eastAsia="黑体" w:cs="黑体"/>
          <w:bCs/>
          <w:color w:val="auto"/>
          <w:sz w:val="24"/>
          <w:highlight w:val="none"/>
          <w:lang w:eastAsia="zh-CN"/>
        </w:rPr>
      </w:pPr>
    </w:p>
    <w:p w14:paraId="14247823">
      <w:pPr>
        <w:spacing w:line="400" w:lineRule="exact"/>
        <w:jc w:val="center"/>
        <w:rPr>
          <w:rFonts w:hint="eastAsia" w:ascii="黑体" w:hAnsi="黑体" w:eastAsia="黑体" w:cs="黑体"/>
          <w:bCs/>
          <w:color w:val="auto"/>
          <w:sz w:val="24"/>
          <w:highlight w:val="none"/>
          <w:lang w:eastAsia="zh-CN"/>
        </w:rPr>
      </w:pPr>
      <w:r>
        <w:rPr>
          <w:rFonts w:ascii="黑体" w:hAnsi="黑体" w:eastAsia="黑体" w:cs="黑体"/>
          <w:bCs/>
          <w:color w:val="auto"/>
          <w:sz w:val="24"/>
          <w:highlight w:val="none"/>
          <w:lang w:eastAsia="zh-CN"/>
        </w:rPr>
        <w:t xml:space="preserve">表5.7-1 </w:t>
      </w:r>
      <w:r>
        <w:rPr>
          <w:rFonts w:hint="eastAsia" w:ascii="黑体" w:hAnsi="黑体" w:eastAsia="黑体" w:cs="黑体"/>
          <w:bCs/>
          <w:color w:val="auto"/>
          <w:sz w:val="24"/>
          <w:highlight w:val="none"/>
          <w:lang w:eastAsia="zh-CN"/>
        </w:rPr>
        <w:t xml:space="preserve"> </w:t>
      </w:r>
      <w:r>
        <w:rPr>
          <w:rFonts w:ascii="黑体" w:hAnsi="黑体" w:eastAsia="黑体" w:cs="黑体"/>
          <w:bCs/>
          <w:color w:val="auto"/>
          <w:sz w:val="24"/>
          <w:highlight w:val="none"/>
          <w:lang w:eastAsia="zh-CN"/>
        </w:rPr>
        <w:t>重大事故隐患判定单元安全检查表</w:t>
      </w:r>
    </w:p>
    <w:tbl>
      <w:tblPr>
        <w:tblStyle w:val="24"/>
        <w:tblW w:w="90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28" w:type="dxa"/>
          <w:left w:w="28" w:type="dxa"/>
          <w:bottom w:w="28" w:type="dxa"/>
          <w:right w:w="28" w:type="dxa"/>
        </w:tblCellMar>
      </w:tblPr>
      <w:tblGrid>
        <w:gridCol w:w="606"/>
        <w:gridCol w:w="3008"/>
        <w:gridCol w:w="1836"/>
        <w:gridCol w:w="2717"/>
        <w:gridCol w:w="836"/>
      </w:tblGrid>
      <w:tr w14:paraId="677224FB">
        <w:trPr>
          <w:trHeight w:val="442" w:hRule="atLeast"/>
          <w:tblHeader/>
          <w:jc w:val="center"/>
        </w:trPr>
        <w:tc>
          <w:tcPr>
            <w:tcW w:w="606" w:type="dxa"/>
            <w:vAlign w:val="center"/>
          </w:tcPr>
          <w:p w14:paraId="5621817F">
            <w:pPr>
              <w:jc w:val="center"/>
              <w:rPr>
                <w:rFonts w:hint="eastAsia" w:ascii="宋体" w:hAnsi="宋体" w:eastAsia="宋体" w:cs="宋体"/>
                <w:color w:val="auto"/>
                <w:highlight w:val="none"/>
              </w:rPr>
            </w:pPr>
            <w:r>
              <w:rPr>
                <w:rFonts w:ascii="宋体" w:hAnsi="宋体" w:eastAsia="宋体" w:cs="宋体"/>
                <w:color w:val="auto"/>
                <w:spacing w:val="5"/>
                <w:highlight w:val="none"/>
              </w:rPr>
              <w:t>序号</w:t>
            </w:r>
          </w:p>
        </w:tc>
        <w:tc>
          <w:tcPr>
            <w:tcW w:w="3008" w:type="dxa"/>
            <w:vAlign w:val="center"/>
          </w:tcPr>
          <w:p w14:paraId="5E71DA79">
            <w:pPr>
              <w:jc w:val="center"/>
              <w:rPr>
                <w:rFonts w:hint="eastAsia" w:ascii="宋体" w:hAnsi="宋体" w:eastAsia="宋体" w:cs="宋体"/>
                <w:color w:val="auto"/>
                <w:highlight w:val="none"/>
              </w:rPr>
            </w:pPr>
            <w:r>
              <w:rPr>
                <w:rFonts w:ascii="Times New Roman" w:hAnsi="Times New Roman" w:eastAsia="宋体" w:cs="Times New Roman"/>
                <w:color w:val="auto"/>
                <w:spacing w:val="8"/>
                <w:highlight w:val="none"/>
              </w:rPr>
              <w:t>检查项目及内容</w:t>
            </w:r>
          </w:p>
        </w:tc>
        <w:tc>
          <w:tcPr>
            <w:tcW w:w="1836" w:type="dxa"/>
            <w:vAlign w:val="center"/>
          </w:tcPr>
          <w:p w14:paraId="50D73F07">
            <w:pPr>
              <w:jc w:val="center"/>
              <w:rPr>
                <w:rFonts w:hint="eastAsia" w:ascii="宋体" w:hAnsi="宋体" w:eastAsia="宋体" w:cs="宋体"/>
                <w:color w:val="auto"/>
                <w:highlight w:val="none"/>
              </w:rPr>
            </w:pPr>
            <w:r>
              <w:rPr>
                <w:rFonts w:ascii="Times New Roman" w:hAnsi="Times New Roman" w:eastAsia="宋体" w:cs="Times New Roman"/>
                <w:color w:val="auto"/>
                <w:spacing w:val="7"/>
                <w:highlight w:val="none"/>
              </w:rPr>
              <w:t>检查依据</w:t>
            </w:r>
          </w:p>
        </w:tc>
        <w:tc>
          <w:tcPr>
            <w:tcW w:w="2717" w:type="dxa"/>
            <w:vAlign w:val="center"/>
          </w:tcPr>
          <w:p w14:paraId="6C99DF09">
            <w:pPr>
              <w:jc w:val="center"/>
              <w:rPr>
                <w:rFonts w:hint="eastAsia" w:ascii="宋体" w:hAnsi="宋体" w:eastAsia="宋体" w:cs="宋体"/>
                <w:color w:val="auto"/>
                <w:highlight w:val="none"/>
              </w:rPr>
            </w:pPr>
            <w:r>
              <w:rPr>
                <w:rFonts w:ascii="Times New Roman" w:hAnsi="Times New Roman" w:eastAsia="宋体" w:cs="Times New Roman"/>
                <w:color w:val="auto"/>
                <w:spacing w:val="6"/>
                <w:highlight w:val="none"/>
              </w:rPr>
              <w:t>实际情况</w:t>
            </w:r>
          </w:p>
        </w:tc>
        <w:tc>
          <w:tcPr>
            <w:tcW w:w="836" w:type="dxa"/>
            <w:vAlign w:val="center"/>
          </w:tcPr>
          <w:p w14:paraId="660E40E5">
            <w:pPr>
              <w:jc w:val="center"/>
              <w:rPr>
                <w:rFonts w:ascii="Times New Roman" w:hAnsi="Times New Roman" w:eastAsia="宋体" w:cs="Times New Roman"/>
                <w:color w:val="auto"/>
                <w:spacing w:val="7"/>
                <w:highlight w:val="none"/>
              </w:rPr>
            </w:pPr>
            <w:r>
              <w:rPr>
                <w:rFonts w:ascii="Times New Roman" w:hAnsi="Times New Roman" w:eastAsia="宋体" w:cs="Times New Roman"/>
                <w:color w:val="auto"/>
                <w:spacing w:val="7"/>
                <w:highlight w:val="none"/>
              </w:rPr>
              <w:t>检查</w:t>
            </w:r>
          </w:p>
          <w:p w14:paraId="4BDC8F4C">
            <w:pPr>
              <w:jc w:val="center"/>
              <w:rPr>
                <w:rFonts w:hint="eastAsia" w:ascii="宋体" w:hAnsi="宋体" w:eastAsia="宋体" w:cs="宋体"/>
                <w:color w:val="auto"/>
                <w:highlight w:val="none"/>
              </w:rPr>
            </w:pPr>
            <w:r>
              <w:rPr>
                <w:rFonts w:ascii="Times New Roman" w:hAnsi="Times New Roman" w:eastAsia="宋体" w:cs="Times New Roman"/>
                <w:color w:val="auto"/>
                <w:spacing w:val="7"/>
                <w:highlight w:val="none"/>
              </w:rPr>
              <w:t>结果</w:t>
            </w:r>
          </w:p>
        </w:tc>
      </w:tr>
      <w:tr w14:paraId="4DB51B96">
        <w:trPr>
          <w:trHeight w:val="1232" w:hRule="atLeast"/>
          <w:jc w:val="center"/>
        </w:trPr>
        <w:tc>
          <w:tcPr>
            <w:tcW w:w="606" w:type="dxa"/>
            <w:vAlign w:val="center"/>
          </w:tcPr>
          <w:p w14:paraId="2101B13D">
            <w:pPr>
              <w:numPr>
                <w:ilvl w:val="0"/>
                <w:numId w:val="14"/>
              </w:numPr>
              <w:tabs>
                <w:tab w:val="clear" w:pos="0"/>
              </w:tabs>
              <w:spacing w:line="240" w:lineRule="exact"/>
              <w:jc w:val="center"/>
              <w:rPr>
                <w:rFonts w:eastAsia="仿宋"/>
                <w:color w:val="auto"/>
                <w:highlight w:val="none"/>
              </w:rPr>
            </w:pPr>
          </w:p>
        </w:tc>
        <w:tc>
          <w:tcPr>
            <w:tcW w:w="3008" w:type="dxa"/>
            <w:vAlign w:val="center"/>
          </w:tcPr>
          <w:p w14:paraId="58F934E5">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库区或者尾矿坝上存在未按设计进行开采、挖掘、爆破等危及尾矿库安全</w:t>
            </w:r>
            <w:r>
              <w:rPr>
                <w:rFonts w:ascii="Times New Roman" w:hAnsi="Times New Roman" w:eastAsia="宋体" w:cs="Times New Roman"/>
                <w:color w:val="auto"/>
                <w:spacing w:val="4"/>
                <w:highlight w:val="none"/>
                <w:lang w:eastAsia="zh-CN"/>
              </w:rPr>
              <w:t>的活动。</w:t>
            </w:r>
          </w:p>
        </w:tc>
        <w:tc>
          <w:tcPr>
            <w:tcW w:w="1836" w:type="dxa"/>
            <w:vAlign w:val="center"/>
          </w:tcPr>
          <w:p w14:paraId="6B6F16D2">
            <w:pPr>
              <w:pStyle w:val="25"/>
              <w:jc w:val="center"/>
              <w:rPr>
                <w:rFonts w:eastAsia="宋体"/>
                <w:color w:val="auto"/>
                <w:sz w:val="21"/>
                <w:szCs w:val="21"/>
                <w:highlight w:val="none"/>
                <w:lang w:val="zh-CN" w:eastAsia="zh-CN"/>
              </w:rPr>
            </w:pPr>
            <w:r>
              <w:rPr>
                <w:rFonts w:eastAsia="宋体"/>
                <w:color w:val="auto"/>
                <w:spacing w:val="4"/>
                <w:sz w:val="21"/>
                <w:szCs w:val="21"/>
                <w:highlight w:val="none"/>
              </w:rPr>
              <w:t>矿安</w:t>
            </w:r>
            <w:r>
              <w:rPr>
                <w:rFonts w:hint="eastAsia" w:eastAsia="宋体"/>
                <w:color w:val="auto"/>
                <w:spacing w:val="4"/>
                <w:sz w:val="21"/>
                <w:szCs w:val="21"/>
                <w:highlight w:val="none"/>
                <w:lang w:eastAsia="zh-CN"/>
              </w:rPr>
              <w:t>〔2022〕88号</w:t>
            </w:r>
          </w:p>
        </w:tc>
        <w:tc>
          <w:tcPr>
            <w:tcW w:w="2717" w:type="dxa"/>
            <w:vAlign w:val="center"/>
          </w:tcPr>
          <w:p w14:paraId="1FCB6A21">
            <w:pPr>
              <w:jc w:val="both"/>
              <w:rPr>
                <w:rFonts w:ascii="Times New Roman" w:hAnsi="Times New Roman" w:eastAsia="宋体" w:cs="Times New Roman"/>
                <w:color w:val="auto"/>
                <w:highlight w:val="none"/>
                <w:lang w:eastAsia="zh-CN"/>
              </w:rPr>
            </w:pPr>
          </w:p>
        </w:tc>
        <w:tc>
          <w:tcPr>
            <w:tcW w:w="836" w:type="dxa"/>
            <w:vAlign w:val="center"/>
          </w:tcPr>
          <w:p w14:paraId="59B346EF">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057D5619">
        <w:trPr>
          <w:trHeight w:val="2459" w:hRule="atLeast"/>
          <w:jc w:val="center"/>
        </w:trPr>
        <w:tc>
          <w:tcPr>
            <w:tcW w:w="606" w:type="dxa"/>
            <w:vAlign w:val="center"/>
          </w:tcPr>
          <w:p w14:paraId="37F01E63">
            <w:pPr>
              <w:numPr>
                <w:ilvl w:val="0"/>
                <w:numId w:val="14"/>
              </w:numPr>
              <w:tabs>
                <w:tab w:val="clear" w:pos="0"/>
              </w:tabs>
              <w:spacing w:line="240" w:lineRule="exact"/>
              <w:jc w:val="center"/>
              <w:rPr>
                <w:rFonts w:eastAsia="仿宋"/>
                <w:color w:val="auto"/>
                <w:highlight w:val="none"/>
              </w:rPr>
            </w:pPr>
          </w:p>
        </w:tc>
        <w:tc>
          <w:tcPr>
            <w:tcW w:w="3008" w:type="dxa"/>
            <w:vAlign w:val="center"/>
          </w:tcPr>
          <w:p w14:paraId="11CA8E17">
            <w:pPr>
              <w:pStyle w:val="25"/>
              <w:jc w:val="both"/>
              <w:rPr>
                <w:rFonts w:eastAsia="宋体"/>
                <w:color w:val="auto"/>
                <w:spacing w:val="-6"/>
                <w:sz w:val="21"/>
                <w:szCs w:val="21"/>
                <w:highlight w:val="none"/>
                <w:lang w:eastAsia="zh-CN"/>
              </w:rPr>
            </w:pPr>
            <w:r>
              <w:rPr>
                <w:rFonts w:eastAsia="宋体"/>
                <w:color w:val="auto"/>
                <w:spacing w:val="11"/>
                <w:sz w:val="21"/>
                <w:szCs w:val="21"/>
                <w:highlight w:val="none"/>
                <w:lang w:eastAsia="zh-CN"/>
              </w:rPr>
              <w:t>坝体存在下列情形之一的</w:t>
            </w:r>
            <w:r>
              <w:rPr>
                <w:rFonts w:eastAsia="宋体"/>
                <w:color w:val="auto"/>
                <w:spacing w:val="-6"/>
                <w:sz w:val="21"/>
                <w:szCs w:val="21"/>
                <w:highlight w:val="none"/>
                <w:lang w:eastAsia="zh-CN"/>
              </w:rPr>
              <w:t>：</w:t>
            </w:r>
          </w:p>
          <w:p w14:paraId="22B9BED5">
            <w:pPr>
              <w:pStyle w:val="25"/>
              <w:jc w:val="both"/>
              <w:rPr>
                <w:rFonts w:eastAsia="宋体"/>
                <w:color w:val="auto"/>
                <w:spacing w:val="-3"/>
                <w:sz w:val="21"/>
                <w:szCs w:val="21"/>
                <w:highlight w:val="none"/>
                <w:lang w:eastAsia="zh-CN"/>
              </w:rPr>
            </w:pPr>
            <w:r>
              <w:rPr>
                <w:rFonts w:eastAsia="宋体"/>
                <w:color w:val="auto"/>
                <w:spacing w:val="-6"/>
                <w:sz w:val="21"/>
                <w:szCs w:val="21"/>
                <w:highlight w:val="none"/>
                <w:lang w:eastAsia="zh-CN"/>
              </w:rPr>
              <w:t>（</w:t>
            </w:r>
            <w:r>
              <w:rPr>
                <w:rFonts w:eastAsia="宋体"/>
                <w:color w:val="auto"/>
                <w:spacing w:val="11"/>
                <w:sz w:val="21"/>
                <w:szCs w:val="21"/>
                <w:highlight w:val="none"/>
                <w:lang w:eastAsia="zh-CN"/>
              </w:rPr>
              <w:t>1）坝</w:t>
            </w:r>
            <w:r>
              <w:rPr>
                <w:rFonts w:eastAsia="宋体"/>
                <w:color w:val="auto"/>
                <w:spacing w:val="9"/>
                <w:sz w:val="21"/>
                <w:szCs w:val="21"/>
                <w:highlight w:val="none"/>
                <w:lang w:eastAsia="zh-CN"/>
              </w:rPr>
              <w:t>体出现严重的管涌、流土变形等现</w:t>
            </w:r>
            <w:r>
              <w:rPr>
                <w:rFonts w:eastAsia="宋体"/>
                <w:color w:val="auto"/>
                <w:spacing w:val="10"/>
                <w:sz w:val="21"/>
                <w:szCs w:val="21"/>
                <w:highlight w:val="none"/>
                <w:lang w:eastAsia="zh-CN"/>
              </w:rPr>
              <w:t>象</w:t>
            </w:r>
            <w:r>
              <w:rPr>
                <w:rFonts w:eastAsia="宋体"/>
                <w:color w:val="auto"/>
                <w:spacing w:val="-3"/>
                <w:sz w:val="21"/>
                <w:szCs w:val="21"/>
                <w:highlight w:val="none"/>
                <w:lang w:eastAsia="zh-CN"/>
              </w:rPr>
              <w:t>；</w:t>
            </w:r>
          </w:p>
          <w:p w14:paraId="4ADAA6E1">
            <w:pPr>
              <w:pStyle w:val="25"/>
              <w:jc w:val="both"/>
              <w:rPr>
                <w:rFonts w:eastAsia="宋体"/>
                <w:color w:val="auto"/>
                <w:spacing w:val="-5"/>
                <w:sz w:val="21"/>
                <w:szCs w:val="21"/>
                <w:highlight w:val="none"/>
                <w:lang w:eastAsia="zh-CN"/>
              </w:rPr>
            </w:pPr>
            <w:r>
              <w:rPr>
                <w:rFonts w:eastAsia="宋体"/>
                <w:color w:val="auto"/>
                <w:spacing w:val="-3"/>
                <w:sz w:val="21"/>
                <w:szCs w:val="21"/>
                <w:highlight w:val="none"/>
                <w:lang w:eastAsia="zh-CN"/>
              </w:rPr>
              <w:t>（</w:t>
            </w:r>
            <w:r>
              <w:rPr>
                <w:rFonts w:eastAsia="宋体"/>
                <w:color w:val="auto"/>
                <w:spacing w:val="10"/>
                <w:sz w:val="21"/>
                <w:szCs w:val="21"/>
                <w:highlight w:val="none"/>
                <w:lang w:eastAsia="zh-CN"/>
              </w:rPr>
              <w:t>2）坝体出现贯穿性裂缝、坍</w:t>
            </w:r>
            <w:r>
              <w:rPr>
                <w:rFonts w:eastAsia="宋体"/>
                <w:color w:val="auto"/>
                <w:spacing w:val="11"/>
                <w:sz w:val="21"/>
                <w:szCs w:val="21"/>
                <w:highlight w:val="none"/>
                <w:lang w:eastAsia="zh-CN"/>
              </w:rPr>
              <w:t>塌、滑动迹象</w:t>
            </w:r>
            <w:r>
              <w:rPr>
                <w:rFonts w:eastAsia="宋体"/>
                <w:color w:val="auto"/>
                <w:spacing w:val="-5"/>
                <w:sz w:val="21"/>
                <w:szCs w:val="21"/>
                <w:highlight w:val="none"/>
                <w:lang w:eastAsia="zh-CN"/>
              </w:rPr>
              <w:t>；</w:t>
            </w:r>
          </w:p>
          <w:p w14:paraId="4140D3BD">
            <w:pPr>
              <w:pStyle w:val="25"/>
              <w:jc w:val="both"/>
              <w:rPr>
                <w:rFonts w:eastAsia="宋体"/>
                <w:color w:val="auto"/>
                <w:sz w:val="21"/>
                <w:szCs w:val="21"/>
                <w:highlight w:val="none"/>
                <w:lang w:eastAsia="zh-CN"/>
              </w:rPr>
            </w:pPr>
            <w:r>
              <w:rPr>
                <w:rFonts w:eastAsia="宋体"/>
                <w:color w:val="auto"/>
                <w:spacing w:val="-5"/>
                <w:sz w:val="21"/>
                <w:szCs w:val="21"/>
                <w:highlight w:val="none"/>
                <w:lang w:eastAsia="zh-CN"/>
              </w:rPr>
              <w:t>（</w:t>
            </w:r>
            <w:r>
              <w:rPr>
                <w:rFonts w:eastAsia="宋体"/>
                <w:color w:val="auto"/>
                <w:spacing w:val="11"/>
                <w:sz w:val="21"/>
                <w:szCs w:val="21"/>
                <w:highlight w:val="none"/>
                <w:lang w:eastAsia="zh-CN"/>
              </w:rPr>
              <w:t>3）坝体出现大面</w:t>
            </w:r>
            <w:r>
              <w:rPr>
                <w:rFonts w:eastAsia="宋体"/>
                <w:color w:val="auto"/>
                <w:spacing w:val="9"/>
                <w:sz w:val="21"/>
                <w:szCs w:val="21"/>
                <w:highlight w:val="none"/>
                <w:lang w:eastAsia="zh-CN"/>
              </w:rPr>
              <w:t>积纵向裂缝，且出现较大范围渗透水</w:t>
            </w:r>
            <w:r>
              <w:rPr>
                <w:rFonts w:eastAsia="宋体"/>
                <w:color w:val="auto"/>
                <w:spacing w:val="8"/>
                <w:sz w:val="21"/>
                <w:szCs w:val="21"/>
                <w:highlight w:val="none"/>
                <w:lang w:eastAsia="zh-CN"/>
              </w:rPr>
              <w:t>高位出逸或者大面积沼泽化</w:t>
            </w:r>
            <w:r>
              <w:rPr>
                <w:rFonts w:hint="eastAsia" w:eastAsia="宋体"/>
                <w:color w:val="auto"/>
                <w:spacing w:val="8"/>
                <w:sz w:val="21"/>
                <w:szCs w:val="21"/>
                <w:highlight w:val="none"/>
                <w:lang w:eastAsia="zh-CN"/>
              </w:rPr>
              <w:t>。</w:t>
            </w:r>
          </w:p>
        </w:tc>
        <w:tc>
          <w:tcPr>
            <w:tcW w:w="1836" w:type="dxa"/>
            <w:vAlign w:val="center"/>
          </w:tcPr>
          <w:p w14:paraId="6F07D6DE">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1ACB015B">
            <w:pPr>
              <w:pStyle w:val="25"/>
              <w:ind w:firstLine="8"/>
              <w:jc w:val="both"/>
              <w:rPr>
                <w:rFonts w:eastAsia="宋体"/>
                <w:color w:val="auto"/>
                <w:sz w:val="21"/>
                <w:szCs w:val="21"/>
                <w:highlight w:val="none"/>
                <w:lang w:eastAsia="zh-CN"/>
              </w:rPr>
            </w:pPr>
          </w:p>
        </w:tc>
        <w:tc>
          <w:tcPr>
            <w:tcW w:w="836" w:type="dxa"/>
            <w:vAlign w:val="center"/>
          </w:tcPr>
          <w:p w14:paraId="78FFB987">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6A83BE4E">
        <w:trPr>
          <w:trHeight w:val="976" w:hRule="atLeast"/>
          <w:jc w:val="center"/>
        </w:trPr>
        <w:tc>
          <w:tcPr>
            <w:tcW w:w="606" w:type="dxa"/>
            <w:vAlign w:val="center"/>
          </w:tcPr>
          <w:p w14:paraId="345CBFD8">
            <w:pPr>
              <w:numPr>
                <w:ilvl w:val="0"/>
                <w:numId w:val="14"/>
              </w:numPr>
              <w:tabs>
                <w:tab w:val="clear" w:pos="0"/>
              </w:tabs>
              <w:spacing w:line="240" w:lineRule="exact"/>
              <w:jc w:val="center"/>
              <w:rPr>
                <w:rFonts w:eastAsia="仿宋"/>
                <w:color w:val="auto"/>
                <w:highlight w:val="none"/>
              </w:rPr>
            </w:pPr>
          </w:p>
        </w:tc>
        <w:tc>
          <w:tcPr>
            <w:tcW w:w="3008" w:type="dxa"/>
            <w:vAlign w:val="center"/>
          </w:tcPr>
          <w:p w14:paraId="6538953D">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坝体的平均外坡比或者堆积子坝的外</w:t>
            </w:r>
            <w:r>
              <w:rPr>
                <w:rFonts w:ascii="Times New Roman" w:hAnsi="Times New Roman" w:eastAsia="宋体" w:cs="Times New Roman"/>
                <w:color w:val="auto"/>
                <w:spacing w:val="7"/>
                <w:highlight w:val="none"/>
                <w:lang w:eastAsia="zh-CN"/>
              </w:rPr>
              <w:t>坡比陡于设计坡比。</w:t>
            </w:r>
          </w:p>
        </w:tc>
        <w:tc>
          <w:tcPr>
            <w:tcW w:w="1836" w:type="dxa"/>
            <w:vAlign w:val="center"/>
          </w:tcPr>
          <w:p w14:paraId="46C221D9">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20994FC2">
            <w:pPr>
              <w:pStyle w:val="25"/>
              <w:ind w:hanging="1"/>
              <w:jc w:val="both"/>
              <w:rPr>
                <w:rFonts w:eastAsia="宋体"/>
                <w:color w:val="auto"/>
                <w:sz w:val="21"/>
                <w:szCs w:val="21"/>
                <w:highlight w:val="none"/>
                <w:lang w:eastAsia="zh-CN"/>
              </w:rPr>
            </w:pPr>
          </w:p>
        </w:tc>
        <w:tc>
          <w:tcPr>
            <w:tcW w:w="836" w:type="dxa"/>
            <w:vAlign w:val="center"/>
          </w:tcPr>
          <w:p w14:paraId="34959BB8">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64EFD1BD">
        <w:trPr>
          <w:trHeight w:val="1809" w:hRule="atLeast"/>
          <w:jc w:val="center"/>
        </w:trPr>
        <w:tc>
          <w:tcPr>
            <w:tcW w:w="606" w:type="dxa"/>
            <w:vAlign w:val="center"/>
          </w:tcPr>
          <w:p w14:paraId="5B2895B8">
            <w:pPr>
              <w:numPr>
                <w:ilvl w:val="0"/>
                <w:numId w:val="14"/>
              </w:numPr>
              <w:tabs>
                <w:tab w:val="clear" w:pos="0"/>
              </w:tabs>
              <w:spacing w:line="240" w:lineRule="exact"/>
              <w:jc w:val="center"/>
              <w:rPr>
                <w:rFonts w:eastAsia="仿宋"/>
                <w:color w:val="auto"/>
                <w:highlight w:val="none"/>
              </w:rPr>
            </w:pPr>
          </w:p>
        </w:tc>
        <w:tc>
          <w:tcPr>
            <w:tcW w:w="3008" w:type="dxa"/>
            <w:vAlign w:val="center"/>
          </w:tcPr>
          <w:p w14:paraId="3F049673">
            <w:pPr>
              <w:ind w:hanging="1"/>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坝体高度超过设计总坝高，或者尾矿</w:t>
            </w:r>
            <w:r>
              <w:rPr>
                <w:rFonts w:ascii="Times New Roman" w:hAnsi="Times New Roman" w:eastAsia="宋体" w:cs="Times New Roman"/>
                <w:color w:val="auto"/>
                <w:spacing w:val="8"/>
                <w:highlight w:val="none"/>
                <w:lang w:eastAsia="zh-CN"/>
              </w:rPr>
              <w:t>库超过设计库容贮存尾矿。</w:t>
            </w:r>
          </w:p>
        </w:tc>
        <w:tc>
          <w:tcPr>
            <w:tcW w:w="1836" w:type="dxa"/>
            <w:vAlign w:val="center"/>
          </w:tcPr>
          <w:p w14:paraId="2E0C951E">
            <w:pPr>
              <w:jc w:val="cente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33C1637C">
            <w:pPr>
              <w:pStyle w:val="25"/>
              <w:rPr>
                <w:rFonts w:eastAsia="宋体"/>
                <w:color w:val="auto"/>
                <w:sz w:val="21"/>
                <w:szCs w:val="21"/>
                <w:highlight w:val="none"/>
                <w:lang w:eastAsia="zh-CN"/>
              </w:rPr>
            </w:pPr>
          </w:p>
        </w:tc>
        <w:tc>
          <w:tcPr>
            <w:tcW w:w="836" w:type="dxa"/>
            <w:vAlign w:val="center"/>
          </w:tcPr>
          <w:p w14:paraId="1D125FBF">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2B5E3269">
        <w:trPr>
          <w:trHeight w:val="966" w:hRule="atLeast"/>
          <w:jc w:val="center"/>
        </w:trPr>
        <w:tc>
          <w:tcPr>
            <w:tcW w:w="606" w:type="dxa"/>
            <w:vAlign w:val="center"/>
          </w:tcPr>
          <w:p w14:paraId="5F4E3811">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56C9E068">
            <w:pPr>
              <w:ind w:hanging="1"/>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尾矿堆积坝上升速率大于设计堆积上</w:t>
            </w:r>
            <w:r>
              <w:rPr>
                <w:rFonts w:ascii="Times New Roman" w:hAnsi="Times New Roman" w:eastAsia="宋体" w:cs="Times New Roman"/>
                <w:color w:val="auto"/>
                <w:spacing w:val="4"/>
                <w:highlight w:val="none"/>
                <w:lang w:eastAsia="zh-CN"/>
              </w:rPr>
              <w:t>升速率。</w:t>
            </w:r>
          </w:p>
        </w:tc>
        <w:tc>
          <w:tcPr>
            <w:tcW w:w="1836" w:type="dxa"/>
            <w:vAlign w:val="center"/>
          </w:tcPr>
          <w:p w14:paraId="19B2D5C4">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7CBF8DD3">
            <w:pPr>
              <w:rPr>
                <w:rFonts w:ascii="Times New Roman" w:hAnsi="Times New Roman" w:eastAsia="宋体" w:cs="Times New Roman"/>
                <w:color w:val="auto"/>
                <w:highlight w:val="none"/>
                <w:lang w:eastAsia="zh-CN"/>
              </w:rPr>
            </w:pPr>
          </w:p>
        </w:tc>
        <w:tc>
          <w:tcPr>
            <w:tcW w:w="836" w:type="dxa"/>
            <w:vAlign w:val="center"/>
          </w:tcPr>
          <w:p w14:paraId="5BB0DEBF">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67483C65">
        <w:trPr>
          <w:trHeight w:val="1305" w:hRule="atLeast"/>
          <w:jc w:val="center"/>
        </w:trPr>
        <w:tc>
          <w:tcPr>
            <w:tcW w:w="606" w:type="dxa"/>
            <w:vAlign w:val="center"/>
          </w:tcPr>
          <w:p w14:paraId="57C0A4A2">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1478C76D">
            <w:pPr>
              <w:pStyle w:val="25"/>
              <w:ind w:hanging="1"/>
              <w:rPr>
                <w:rFonts w:eastAsia="宋体"/>
                <w:color w:val="auto"/>
                <w:sz w:val="21"/>
                <w:szCs w:val="21"/>
                <w:highlight w:val="none"/>
                <w:lang w:eastAsia="zh-CN"/>
              </w:rPr>
            </w:pPr>
            <w:r>
              <w:rPr>
                <w:rFonts w:eastAsia="宋体"/>
                <w:color w:val="auto"/>
                <w:spacing w:val="9"/>
                <w:sz w:val="21"/>
                <w:szCs w:val="21"/>
                <w:highlight w:val="none"/>
                <w:lang w:eastAsia="zh-CN"/>
              </w:rPr>
              <w:t>采用尾矿堆坝的尾矿库，未按《尾矿</w:t>
            </w:r>
            <w:r>
              <w:rPr>
                <w:rFonts w:eastAsia="宋体"/>
                <w:color w:val="auto"/>
                <w:spacing w:val="7"/>
                <w:sz w:val="21"/>
                <w:szCs w:val="21"/>
                <w:highlight w:val="none"/>
                <w:lang w:eastAsia="zh-CN"/>
              </w:rPr>
              <w:t>库安全规程》（</w:t>
            </w:r>
            <w:r>
              <w:rPr>
                <w:rFonts w:eastAsia="宋体"/>
                <w:color w:val="auto"/>
                <w:sz w:val="21"/>
                <w:szCs w:val="21"/>
                <w:highlight w:val="none"/>
                <w:lang w:eastAsia="zh-CN"/>
              </w:rPr>
              <w:t>GB</w:t>
            </w:r>
            <w:r>
              <w:rPr>
                <w:rFonts w:eastAsia="宋体"/>
                <w:color w:val="auto"/>
                <w:spacing w:val="7"/>
                <w:sz w:val="21"/>
                <w:szCs w:val="21"/>
                <w:highlight w:val="none"/>
                <w:lang w:eastAsia="zh-CN"/>
              </w:rPr>
              <w:t>39496-2020）第</w:t>
            </w:r>
            <w:r>
              <w:rPr>
                <w:rFonts w:eastAsia="宋体"/>
                <w:color w:val="auto"/>
                <w:spacing w:val="5"/>
                <w:sz w:val="21"/>
                <w:szCs w:val="21"/>
                <w:highlight w:val="none"/>
                <w:lang w:eastAsia="zh-CN"/>
              </w:rPr>
              <w:t>6.1.9条规定对尾矿坝做全面的安全性</w:t>
            </w:r>
            <w:r>
              <w:rPr>
                <w:rFonts w:eastAsia="宋体"/>
                <w:color w:val="auto"/>
                <w:spacing w:val="1"/>
                <w:sz w:val="21"/>
                <w:szCs w:val="21"/>
                <w:highlight w:val="none"/>
                <w:lang w:eastAsia="zh-CN"/>
              </w:rPr>
              <w:t>复核。</w:t>
            </w:r>
          </w:p>
        </w:tc>
        <w:tc>
          <w:tcPr>
            <w:tcW w:w="1836" w:type="dxa"/>
            <w:vAlign w:val="center"/>
          </w:tcPr>
          <w:p w14:paraId="78875BA3">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7BD38182">
            <w:pPr>
              <w:jc w:val="both"/>
              <w:rPr>
                <w:rFonts w:ascii="Times New Roman" w:hAnsi="Times New Roman" w:eastAsia="宋体" w:cs="Times New Roman"/>
                <w:color w:val="auto"/>
                <w:highlight w:val="none"/>
                <w:lang w:eastAsia="zh-CN"/>
              </w:rPr>
            </w:pPr>
          </w:p>
        </w:tc>
        <w:tc>
          <w:tcPr>
            <w:tcW w:w="836" w:type="dxa"/>
            <w:vAlign w:val="center"/>
          </w:tcPr>
          <w:p w14:paraId="7C1C5DD2">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7C7105F3">
        <w:trPr>
          <w:trHeight w:val="90" w:hRule="atLeast"/>
          <w:jc w:val="center"/>
        </w:trPr>
        <w:tc>
          <w:tcPr>
            <w:tcW w:w="606" w:type="dxa"/>
            <w:vAlign w:val="center"/>
          </w:tcPr>
          <w:p w14:paraId="5941D950">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4E3ABE1C">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8"/>
                <w:highlight w:val="none"/>
                <w:lang w:eastAsia="zh-CN"/>
              </w:rPr>
              <w:t>浸润线埋深小于控制浸润线埋深。</w:t>
            </w:r>
          </w:p>
        </w:tc>
        <w:tc>
          <w:tcPr>
            <w:tcW w:w="1836" w:type="dxa"/>
            <w:vAlign w:val="center"/>
          </w:tcPr>
          <w:p w14:paraId="3E9C0F2A">
            <w:pPr>
              <w:pStyle w:val="25"/>
              <w:jc w:val="center"/>
              <w:rPr>
                <w:rFonts w:eastAsia="宋体"/>
                <w:color w:val="auto"/>
                <w:sz w:val="21"/>
                <w:szCs w:val="21"/>
                <w:highlight w:val="none"/>
                <w:lang w:val="zh-CN" w:eastAsia="zh-CN"/>
              </w:rPr>
            </w:pPr>
            <w:r>
              <w:rPr>
                <w:rFonts w:eastAsia="宋体"/>
                <w:color w:val="auto"/>
                <w:spacing w:val="4"/>
                <w:sz w:val="21"/>
                <w:szCs w:val="21"/>
                <w:highlight w:val="none"/>
              </w:rPr>
              <w:t>矿安</w:t>
            </w:r>
            <w:r>
              <w:rPr>
                <w:rFonts w:hint="eastAsia" w:eastAsia="宋体"/>
                <w:color w:val="auto"/>
                <w:spacing w:val="4"/>
                <w:sz w:val="21"/>
                <w:szCs w:val="21"/>
                <w:highlight w:val="none"/>
                <w:lang w:eastAsia="zh-CN"/>
              </w:rPr>
              <w:t>〔2022〕88号</w:t>
            </w:r>
          </w:p>
        </w:tc>
        <w:tc>
          <w:tcPr>
            <w:tcW w:w="2717" w:type="dxa"/>
            <w:vAlign w:val="center"/>
          </w:tcPr>
          <w:p w14:paraId="03FE93AE">
            <w:pPr>
              <w:jc w:val="center"/>
              <w:rPr>
                <w:rFonts w:ascii="Times New Roman" w:hAnsi="Times New Roman" w:eastAsia="宋体" w:cs="Times New Roman"/>
                <w:color w:val="auto"/>
                <w:highlight w:val="none"/>
                <w:lang w:eastAsia="zh-CN"/>
              </w:rPr>
            </w:pPr>
          </w:p>
        </w:tc>
        <w:tc>
          <w:tcPr>
            <w:tcW w:w="836" w:type="dxa"/>
            <w:vAlign w:val="center"/>
          </w:tcPr>
          <w:p w14:paraId="58743062">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5"/>
                <w:highlight w:val="none"/>
              </w:rPr>
              <w:t>不涉及</w:t>
            </w:r>
          </w:p>
        </w:tc>
      </w:tr>
      <w:tr w14:paraId="12666599">
        <w:trPr>
          <w:trHeight w:val="1908" w:hRule="atLeast"/>
          <w:jc w:val="center"/>
        </w:trPr>
        <w:tc>
          <w:tcPr>
            <w:tcW w:w="606" w:type="dxa"/>
            <w:vAlign w:val="center"/>
          </w:tcPr>
          <w:p w14:paraId="16FE4021">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32EEE76A">
            <w:pPr>
              <w:ind w:firstLine="1"/>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5"/>
                <w:highlight w:val="none"/>
                <w:lang w:eastAsia="zh-CN"/>
              </w:rPr>
              <w:t>汛前未按国家有关规定对尾矿库进行调洪演算，或者湿式尾矿库防洪高度和干滩长度小于设计值，或者干式尾</w:t>
            </w:r>
            <w:r>
              <w:rPr>
                <w:rFonts w:ascii="Times New Roman" w:hAnsi="Times New Roman" w:eastAsia="宋体" w:cs="Times New Roman"/>
                <w:color w:val="auto"/>
                <w:spacing w:val="29"/>
                <w:highlight w:val="none"/>
                <w:lang w:eastAsia="zh-CN"/>
              </w:rPr>
              <w:t>矿库防洪高度和防洪宽度小于设计</w:t>
            </w:r>
            <w:r>
              <w:rPr>
                <w:rFonts w:ascii="Times New Roman" w:hAnsi="Times New Roman" w:eastAsia="宋体" w:cs="Times New Roman"/>
                <w:color w:val="auto"/>
                <w:highlight w:val="none"/>
                <w:lang w:eastAsia="zh-CN"/>
              </w:rPr>
              <w:t>值。</w:t>
            </w:r>
          </w:p>
        </w:tc>
        <w:tc>
          <w:tcPr>
            <w:tcW w:w="1836" w:type="dxa"/>
            <w:vAlign w:val="center"/>
          </w:tcPr>
          <w:p w14:paraId="1230948B">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6CBF5376">
            <w:pPr>
              <w:pStyle w:val="25"/>
              <w:ind w:firstLine="1"/>
              <w:jc w:val="both"/>
              <w:rPr>
                <w:rFonts w:eastAsia="宋体"/>
                <w:color w:val="auto"/>
                <w:sz w:val="21"/>
                <w:szCs w:val="21"/>
                <w:highlight w:val="none"/>
                <w:lang w:eastAsia="zh-CN"/>
              </w:rPr>
            </w:pPr>
          </w:p>
        </w:tc>
        <w:tc>
          <w:tcPr>
            <w:tcW w:w="836" w:type="dxa"/>
            <w:vAlign w:val="center"/>
          </w:tcPr>
          <w:p w14:paraId="02F1D433">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385A2E79">
        <w:trPr>
          <w:trHeight w:val="3251" w:hRule="atLeast"/>
          <w:jc w:val="center"/>
        </w:trPr>
        <w:tc>
          <w:tcPr>
            <w:tcW w:w="606" w:type="dxa"/>
            <w:vAlign w:val="center"/>
          </w:tcPr>
          <w:p w14:paraId="7D54537B">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27138FAB">
            <w:pPr>
              <w:pStyle w:val="25"/>
              <w:rPr>
                <w:rFonts w:eastAsia="宋体"/>
                <w:color w:val="auto"/>
                <w:sz w:val="21"/>
                <w:szCs w:val="21"/>
                <w:highlight w:val="none"/>
                <w:lang w:eastAsia="zh-CN"/>
              </w:rPr>
            </w:pPr>
            <w:r>
              <w:rPr>
                <w:rFonts w:eastAsia="宋体"/>
                <w:color w:val="auto"/>
                <w:spacing w:val="41"/>
                <w:sz w:val="21"/>
                <w:szCs w:val="21"/>
                <w:highlight w:val="none"/>
                <w:lang w:eastAsia="zh-CN"/>
              </w:rPr>
              <w:t>排洪系统存在下列情形之一的</w:t>
            </w:r>
            <w:r>
              <w:rPr>
                <w:rFonts w:eastAsia="宋体"/>
                <w:color w:val="auto"/>
                <w:spacing w:val="-32"/>
                <w:sz w:val="21"/>
                <w:szCs w:val="21"/>
                <w:highlight w:val="none"/>
                <w:lang w:eastAsia="zh-CN"/>
              </w:rPr>
              <w:t xml:space="preserve"> </w:t>
            </w:r>
            <w:r>
              <w:rPr>
                <w:rFonts w:eastAsia="宋体"/>
                <w:color w:val="auto"/>
                <w:spacing w:val="41"/>
                <w:sz w:val="21"/>
                <w:szCs w:val="21"/>
                <w:highlight w:val="none"/>
                <w:lang w:eastAsia="zh-CN"/>
              </w:rPr>
              <w:t>：</w:t>
            </w:r>
            <w:r>
              <w:rPr>
                <w:rFonts w:eastAsia="宋体"/>
                <w:color w:val="auto"/>
                <w:spacing w:val="14"/>
                <w:sz w:val="21"/>
                <w:szCs w:val="21"/>
                <w:highlight w:val="none"/>
                <w:lang w:eastAsia="zh-CN"/>
              </w:rPr>
              <w:t>（</w:t>
            </w:r>
            <w:r>
              <w:rPr>
                <w:rFonts w:eastAsia="宋体"/>
                <w:color w:val="auto"/>
                <w:spacing w:val="-26"/>
                <w:sz w:val="21"/>
                <w:szCs w:val="21"/>
                <w:highlight w:val="none"/>
                <w:lang w:eastAsia="zh-CN"/>
              </w:rPr>
              <w:t xml:space="preserve"> </w:t>
            </w:r>
            <w:r>
              <w:rPr>
                <w:rFonts w:eastAsia="宋体"/>
                <w:color w:val="auto"/>
                <w:spacing w:val="14"/>
                <w:sz w:val="21"/>
                <w:szCs w:val="21"/>
                <w:highlight w:val="none"/>
                <w:lang w:eastAsia="zh-CN"/>
              </w:rPr>
              <w:t>1</w:t>
            </w:r>
            <w:r>
              <w:rPr>
                <w:rFonts w:eastAsia="宋体"/>
                <w:color w:val="auto"/>
                <w:spacing w:val="-6"/>
                <w:sz w:val="21"/>
                <w:szCs w:val="21"/>
                <w:highlight w:val="none"/>
                <w:lang w:eastAsia="zh-CN"/>
              </w:rPr>
              <w:t xml:space="preserve"> </w:t>
            </w:r>
            <w:r>
              <w:rPr>
                <w:rFonts w:eastAsia="宋体"/>
                <w:color w:val="auto"/>
                <w:spacing w:val="14"/>
                <w:sz w:val="21"/>
                <w:szCs w:val="21"/>
                <w:highlight w:val="none"/>
                <w:lang w:eastAsia="zh-CN"/>
              </w:rPr>
              <w:t>）排水井、排水斜槽、排水管、</w:t>
            </w:r>
            <w:r>
              <w:rPr>
                <w:rFonts w:eastAsia="宋体"/>
                <w:color w:val="auto"/>
                <w:spacing w:val="15"/>
                <w:sz w:val="21"/>
                <w:szCs w:val="21"/>
                <w:highlight w:val="none"/>
                <w:lang w:eastAsia="zh-CN"/>
              </w:rPr>
              <w:t>排水隧洞、拱板、盖板等排洪建构筑物混凝土厚度、强度或者型式不满足</w:t>
            </w:r>
            <w:r>
              <w:rPr>
                <w:rFonts w:eastAsia="宋体"/>
                <w:color w:val="auto"/>
                <w:spacing w:val="20"/>
                <w:sz w:val="21"/>
                <w:szCs w:val="21"/>
                <w:highlight w:val="none"/>
                <w:lang w:eastAsia="zh-CN"/>
              </w:rPr>
              <w:t>设计要求</w:t>
            </w:r>
            <w:r>
              <w:rPr>
                <w:rFonts w:eastAsia="宋体"/>
                <w:color w:val="auto"/>
                <w:spacing w:val="-14"/>
                <w:sz w:val="21"/>
                <w:szCs w:val="21"/>
                <w:highlight w:val="none"/>
                <w:lang w:eastAsia="zh-CN"/>
              </w:rPr>
              <w:t>；（</w:t>
            </w:r>
            <w:r>
              <w:rPr>
                <w:rFonts w:eastAsia="宋体"/>
                <w:color w:val="auto"/>
                <w:spacing w:val="20"/>
                <w:sz w:val="21"/>
                <w:szCs w:val="21"/>
                <w:highlight w:val="none"/>
                <w:lang w:eastAsia="zh-CN"/>
              </w:rPr>
              <w:t>2）</w:t>
            </w:r>
            <w:r>
              <w:rPr>
                <w:rFonts w:eastAsia="宋体"/>
                <w:color w:val="auto"/>
                <w:spacing w:val="-53"/>
                <w:sz w:val="21"/>
                <w:szCs w:val="21"/>
                <w:highlight w:val="none"/>
                <w:lang w:eastAsia="zh-CN"/>
              </w:rPr>
              <w:t xml:space="preserve"> </w:t>
            </w:r>
            <w:r>
              <w:rPr>
                <w:rFonts w:eastAsia="宋体"/>
                <w:color w:val="auto"/>
                <w:spacing w:val="20"/>
                <w:sz w:val="21"/>
                <w:szCs w:val="21"/>
                <w:highlight w:val="none"/>
                <w:lang w:eastAsia="zh-CN"/>
              </w:rPr>
              <w:t>排洪设施部分堵塞</w:t>
            </w:r>
            <w:r>
              <w:rPr>
                <w:rFonts w:eastAsia="宋体"/>
                <w:color w:val="auto"/>
                <w:spacing w:val="15"/>
                <w:sz w:val="21"/>
                <w:szCs w:val="21"/>
                <w:highlight w:val="none"/>
                <w:lang w:eastAsia="zh-CN"/>
              </w:rPr>
              <w:t>或者坍塌、排水井有所倾斜，排水能</w:t>
            </w:r>
            <w:r>
              <w:rPr>
                <w:rFonts w:eastAsia="宋体"/>
                <w:color w:val="auto"/>
                <w:spacing w:val="32"/>
                <w:sz w:val="21"/>
                <w:szCs w:val="21"/>
                <w:highlight w:val="none"/>
                <w:lang w:eastAsia="zh-CN"/>
              </w:rPr>
              <w:t>力有所降低</w:t>
            </w:r>
            <w:r>
              <w:rPr>
                <w:rFonts w:hint="eastAsia" w:eastAsia="宋体"/>
                <w:color w:val="auto"/>
                <w:spacing w:val="-25"/>
                <w:sz w:val="21"/>
                <w:szCs w:val="21"/>
                <w:highlight w:val="none"/>
                <w:lang w:eastAsia="zh-CN"/>
              </w:rPr>
              <w:t>，</w:t>
            </w:r>
            <w:r>
              <w:rPr>
                <w:rFonts w:eastAsia="宋体"/>
                <w:color w:val="auto"/>
                <w:spacing w:val="32"/>
                <w:sz w:val="21"/>
                <w:szCs w:val="21"/>
                <w:highlight w:val="none"/>
                <w:lang w:eastAsia="zh-CN"/>
              </w:rPr>
              <w:t>达不到设计要求；</w:t>
            </w:r>
            <w:r>
              <w:rPr>
                <w:rFonts w:eastAsia="宋体"/>
                <w:color w:val="auto"/>
                <w:spacing w:val="18"/>
                <w:sz w:val="21"/>
                <w:szCs w:val="21"/>
                <w:highlight w:val="none"/>
                <w:lang w:eastAsia="zh-CN"/>
              </w:rPr>
              <w:t>（3）排洪构筑物终止使用时，封堵</w:t>
            </w:r>
            <w:r>
              <w:rPr>
                <w:rFonts w:eastAsia="宋体"/>
                <w:color w:val="auto"/>
                <w:spacing w:val="8"/>
                <w:sz w:val="21"/>
                <w:szCs w:val="21"/>
                <w:highlight w:val="none"/>
                <w:lang w:eastAsia="zh-CN"/>
              </w:rPr>
              <w:t>措施不满足设计要求。</w:t>
            </w:r>
          </w:p>
        </w:tc>
        <w:tc>
          <w:tcPr>
            <w:tcW w:w="1836" w:type="dxa"/>
            <w:vAlign w:val="center"/>
          </w:tcPr>
          <w:p w14:paraId="347B61DF">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7C667E2D">
            <w:pPr>
              <w:pStyle w:val="25"/>
              <w:jc w:val="both"/>
              <w:rPr>
                <w:rFonts w:eastAsia="宋体"/>
                <w:color w:val="auto"/>
                <w:sz w:val="21"/>
                <w:szCs w:val="21"/>
                <w:highlight w:val="none"/>
                <w:lang w:eastAsia="zh-CN"/>
              </w:rPr>
            </w:pPr>
          </w:p>
        </w:tc>
        <w:tc>
          <w:tcPr>
            <w:tcW w:w="836" w:type="dxa"/>
            <w:vAlign w:val="center"/>
          </w:tcPr>
          <w:p w14:paraId="03038035">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7DA40958">
        <w:trPr>
          <w:trHeight w:val="1081" w:hRule="atLeast"/>
          <w:jc w:val="center"/>
        </w:trPr>
        <w:tc>
          <w:tcPr>
            <w:tcW w:w="606" w:type="dxa"/>
            <w:vAlign w:val="center"/>
          </w:tcPr>
          <w:p w14:paraId="76B59ACB">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30004F7D">
            <w:pPr>
              <w:ind w:firstLine="2"/>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26"/>
                <w:highlight w:val="none"/>
                <w:lang w:eastAsia="zh-CN"/>
              </w:rPr>
              <w:t>设计以外的尾矿、废料或者废水进</w:t>
            </w:r>
            <w:r>
              <w:rPr>
                <w:rFonts w:ascii="Times New Roman" w:hAnsi="Times New Roman" w:eastAsia="宋体" w:cs="Times New Roman"/>
                <w:color w:val="auto"/>
                <w:highlight w:val="none"/>
                <w:lang w:eastAsia="zh-CN"/>
              </w:rPr>
              <w:t>库。</w:t>
            </w:r>
          </w:p>
        </w:tc>
        <w:tc>
          <w:tcPr>
            <w:tcW w:w="1836" w:type="dxa"/>
            <w:vAlign w:val="center"/>
          </w:tcPr>
          <w:p w14:paraId="16F63E10">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7FB7A282">
            <w:pPr>
              <w:rPr>
                <w:rFonts w:ascii="Times New Roman" w:hAnsi="Times New Roman" w:eastAsia="宋体" w:cs="Times New Roman"/>
                <w:color w:val="auto"/>
                <w:highlight w:val="none"/>
                <w:lang w:eastAsia="zh-CN"/>
              </w:rPr>
            </w:pPr>
          </w:p>
        </w:tc>
        <w:tc>
          <w:tcPr>
            <w:tcW w:w="836" w:type="dxa"/>
            <w:vAlign w:val="center"/>
          </w:tcPr>
          <w:p w14:paraId="42E245FE">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1855BB6D">
        <w:trPr>
          <w:trHeight w:val="1103" w:hRule="atLeast"/>
          <w:jc w:val="center"/>
        </w:trPr>
        <w:tc>
          <w:tcPr>
            <w:tcW w:w="606" w:type="dxa"/>
            <w:vAlign w:val="center"/>
          </w:tcPr>
          <w:p w14:paraId="190780A3">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4FDEB6DE">
            <w:pP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28"/>
                <w:highlight w:val="none"/>
                <w:lang w:eastAsia="zh-CN"/>
              </w:rPr>
              <w:t>多种矿石性质不同的尾砂混合排放</w:t>
            </w:r>
            <w:r>
              <w:rPr>
                <w:rFonts w:ascii="Times New Roman" w:hAnsi="Times New Roman" w:eastAsia="宋体" w:cs="Times New Roman"/>
                <w:color w:val="auto"/>
                <w:spacing w:val="7"/>
                <w:highlight w:val="none"/>
                <w:lang w:eastAsia="zh-CN"/>
              </w:rPr>
              <w:t>时，未按设计进行排放。</w:t>
            </w:r>
          </w:p>
        </w:tc>
        <w:tc>
          <w:tcPr>
            <w:tcW w:w="1836" w:type="dxa"/>
            <w:vAlign w:val="center"/>
          </w:tcPr>
          <w:p w14:paraId="2E1A51B2">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42BCD47C">
            <w:pPr>
              <w:jc w:val="center"/>
              <w:rPr>
                <w:rFonts w:ascii="Times New Roman" w:hAnsi="Times New Roman" w:eastAsia="宋体" w:cs="Times New Roman"/>
                <w:color w:val="auto"/>
                <w:highlight w:val="none"/>
                <w:lang w:eastAsia="zh-CN"/>
              </w:rPr>
            </w:pPr>
          </w:p>
        </w:tc>
        <w:tc>
          <w:tcPr>
            <w:tcW w:w="836" w:type="dxa"/>
            <w:vAlign w:val="center"/>
          </w:tcPr>
          <w:p w14:paraId="61306313">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5"/>
                <w:highlight w:val="none"/>
              </w:rPr>
              <w:t>不涉及</w:t>
            </w:r>
          </w:p>
        </w:tc>
      </w:tr>
      <w:tr w14:paraId="34F22067">
        <w:trPr>
          <w:trHeight w:val="937" w:hRule="atLeast"/>
          <w:jc w:val="center"/>
        </w:trPr>
        <w:tc>
          <w:tcPr>
            <w:tcW w:w="606" w:type="dxa"/>
            <w:vAlign w:val="center"/>
          </w:tcPr>
          <w:p w14:paraId="2C04112D">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3313B740">
            <w:pP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4"/>
                <w:highlight w:val="none"/>
                <w:lang w:eastAsia="zh-CN"/>
              </w:rPr>
              <w:t>冬季未按设计要求的冰下放矿方式进</w:t>
            </w:r>
            <w:r>
              <w:rPr>
                <w:rFonts w:ascii="Times New Roman" w:hAnsi="Times New Roman" w:eastAsia="宋体" w:cs="Times New Roman"/>
                <w:color w:val="auto"/>
                <w:spacing w:val="6"/>
                <w:highlight w:val="none"/>
                <w:lang w:eastAsia="zh-CN"/>
              </w:rPr>
              <w:t>行放矿作业。</w:t>
            </w:r>
          </w:p>
        </w:tc>
        <w:tc>
          <w:tcPr>
            <w:tcW w:w="1836" w:type="dxa"/>
            <w:vAlign w:val="center"/>
          </w:tcPr>
          <w:p w14:paraId="1669EC2B">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7895DFE5">
            <w:pPr>
              <w:ind w:firstLine="5"/>
              <w:jc w:val="center"/>
              <w:rPr>
                <w:rFonts w:ascii="Times New Roman" w:hAnsi="Times New Roman" w:eastAsia="宋体" w:cs="Times New Roman"/>
                <w:color w:val="auto"/>
                <w:highlight w:val="none"/>
                <w:lang w:eastAsia="zh-CN"/>
              </w:rPr>
            </w:pPr>
          </w:p>
        </w:tc>
        <w:tc>
          <w:tcPr>
            <w:tcW w:w="836" w:type="dxa"/>
            <w:vAlign w:val="center"/>
          </w:tcPr>
          <w:p w14:paraId="28BB4FD3">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5"/>
                <w:highlight w:val="none"/>
              </w:rPr>
              <w:t>不涉及</w:t>
            </w:r>
          </w:p>
        </w:tc>
      </w:tr>
      <w:tr w14:paraId="16EA1515">
        <w:trPr>
          <w:trHeight w:val="2887" w:hRule="atLeast"/>
          <w:jc w:val="center"/>
        </w:trPr>
        <w:tc>
          <w:tcPr>
            <w:tcW w:w="606" w:type="dxa"/>
            <w:vAlign w:val="center"/>
          </w:tcPr>
          <w:p w14:paraId="47D1E596">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5A6180FC">
            <w:pPr>
              <w:pStyle w:val="25"/>
              <w:ind w:firstLine="2"/>
              <w:rPr>
                <w:rFonts w:eastAsia="宋体"/>
                <w:color w:val="auto"/>
                <w:spacing w:val="13"/>
                <w:sz w:val="21"/>
                <w:szCs w:val="21"/>
                <w:highlight w:val="none"/>
                <w:lang w:eastAsia="zh-CN"/>
              </w:rPr>
            </w:pPr>
            <w:r>
              <w:rPr>
                <w:rFonts w:eastAsia="宋体"/>
                <w:color w:val="auto"/>
                <w:spacing w:val="13"/>
                <w:sz w:val="21"/>
                <w:szCs w:val="21"/>
                <w:highlight w:val="none"/>
                <w:lang w:eastAsia="zh-CN"/>
              </w:rPr>
              <w:t>安全监测系统存在下列情形之一的：</w:t>
            </w:r>
          </w:p>
          <w:p w14:paraId="699E270D">
            <w:pPr>
              <w:pStyle w:val="25"/>
              <w:ind w:firstLine="2"/>
              <w:rPr>
                <w:rFonts w:eastAsia="宋体"/>
                <w:color w:val="auto"/>
                <w:spacing w:val="14"/>
                <w:sz w:val="21"/>
                <w:szCs w:val="21"/>
                <w:highlight w:val="none"/>
                <w:lang w:eastAsia="zh-CN"/>
              </w:rPr>
            </w:pPr>
            <w:r>
              <w:rPr>
                <w:rFonts w:eastAsia="宋体"/>
                <w:color w:val="auto"/>
                <w:spacing w:val="14"/>
                <w:sz w:val="21"/>
                <w:szCs w:val="21"/>
                <w:highlight w:val="none"/>
                <w:lang w:eastAsia="zh-CN"/>
              </w:rPr>
              <w:t>（1）未按设计设置安全监测系统；</w:t>
            </w:r>
          </w:p>
          <w:p w14:paraId="734CFFF3">
            <w:pPr>
              <w:pStyle w:val="25"/>
              <w:ind w:firstLine="2"/>
              <w:rPr>
                <w:rFonts w:eastAsia="宋体"/>
                <w:color w:val="auto"/>
                <w:spacing w:val="-10"/>
                <w:sz w:val="21"/>
                <w:szCs w:val="21"/>
                <w:highlight w:val="none"/>
                <w:lang w:eastAsia="zh-CN"/>
              </w:rPr>
            </w:pPr>
            <w:r>
              <w:rPr>
                <w:rFonts w:eastAsia="宋体"/>
                <w:color w:val="auto"/>
                <w:spacing w:val="18"/>
                <w:sz w:val="21"/>
                <w:szCs w:val="21"/>
                <w:highlight w:val="none"/>
                <w:lang w:eastAsia="zh-CN"/>
              </w:rPr>
              <w:t>（2）安全监测系统运行不正常未及</w:t>
            </w:r>
            <w:r>
              <w:rPr>
                <w:rFonts w:eastAsia="宋体"/>
                <w:color w:val="auto"/>
                <w:spacing w:val="19"/>
                <w:sz w:val="21"/>
                <w:szCs w:val="21"/>
                <w:highlight w:val="none"/>
                <w:lang w:eastAsia="zh-CN"/>
              </w:rPr>
              <w:t>时修复</w:t>
            </w:r>
            <w:r>
              <w:rPr>
                <w:rFonts w:eastAsia="宋体"/>
                <w:color w:val="auto"/>
                <w:spacing w:val="-10"/>
                <w:sz w:val="21"/>
                <w:szCs w:val="21"/>
                <w:highlight w:val="none"/>
                <w:lang w:eastAsia="zh-CN"/>
              </w:rPr>
              <w:t>；</w:t>
            </w:r>
          </w:p>
          <w:p w14:paraId="6C04127F">
            <w:pPr>
              <w:pStyle w:val="25"/>
              <w:ind w:firstLine="2"/>
              <w:rPr>
                <w:rFonts w:eastAsia="宋体"/>
                <w:color w:val="auto"/>
                <w:sz w:val="21"/>
                <w:szCs w:val="21"/>
                <w:highlight w:val="none"/>
                <w:lang w:eastAsia="zh-CN"/>
              </w:rPr>
            </w:pPr>
            <w:r>
              <w:rPr>
                <w:rFonts w:eastAsia="宋体"/>
                <w:color w:val="auto"/>
                <w:spacing w:val="-10"/>
                <w:sz w:val="21"/>
                <w:szCs w:val="21"/>
                <w:highlight w:val="none"/>
                <w:lang w:eastAsia="zh-CN"/>
              </w:rPr>
              <w:t>（</w:t>
            </w:r>
            <w:r>
              <w:rPr>
                <w:rFonts w:eastAsia="宋体"/>
                <w:color w:val="auto"/>
                <w:spacing w:val="19"/>
                <w:sz w:val="21"/>
                <w:szCs w:val="21"/>
                <w:highlight w:val="none"/>
                <w:lang w:eastAsia="zh-CN"/>
              </w:rPr>
              <w:t>3）关闭、破坏安全监测</w:t>
            </w:r>
            <w:r>
              <w:rPr>
                <w:rFonts w:eastAsia="宋体"/>
                <w:color w:val="auto"/>
                <w:spacing w:val="14"/>
                <w:sz w:val="21"/>
                <w:szCs w:val="21"/>
                <w:highlight w:val="none"/>
                <w:lang w:eastAsia="zh-CN"/>
              </w:rPr>
              <w:t>系统，或者篡改、隐瞒、销毁其相关</w:t>
            </w:r>
            <w:r>
              <w:rPr>
                <w:rFonts w:eastAsia="宋体"/>
                <w:color w:val="auto"/>
                <w:spacing w:val="6"/>
                <w:sz w:val="21"/>
                <w:szCs w:val="21"/>
                <w:highlight w:val="none"/>
                <w:lang w:eastAsia="zh-CN"/>
              </w:rPr>
              <w:t>数据、信息。</w:t>
            </w:r>
          </w:p>
        </w:tc>
        <w:tc>
          <w:tcPr>
            <w:tcW w:w="1836" w:type="dxa"/>
            <w:vAlign w:val="center"/>
          </w:tcPr>
          <w:p w14:paraId="734690D6">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752F67F0">
            <w:pPr>
              <w:rPr>
                <w:rFonts w:ascii="Times New Roman" w:hAnsi="Times New Roman" w:eastAsia="宋体" w:cs="Times New Roman"/>
                <w:color w:val="auto"/>
                <w:highlight w:val="none"/>
                <w:lang w:eastAsia="zh-CN"/>
              </w:rPr>
            </w:pPr>
          </w:p>
        </w:tc>
        <w:tc>
          <w:tcPr>
            <w:tcW w:w="836" w:type="dxa"/>
            <w:vAlign w:val="center"/>
          </w:tcPr>
          <w:p w14:paraId="36B34851">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2D190667">
        <w:trPr>
          <w:trHeight w:val="3206" w:hRule="atLeast"/>
          <w:jc w:val="center"/>
        </w:trPr>
        <w:tc>
          <w:tcPr>
            <w:tcW w:w="606" w:type="dxa"/>
            <w:vAlign w:val="center"/>
          </w:tcPr>
          <w:p w14:paraId="2D378F50">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4781AAE2">
            <w:pPr>
              <w:pStyle w:val="25"/>
              <w:rPr>
                <w:rFonts w:eastAsia="宋体"/>
                <w:color w:val="auto"/>
                <w:spacing w:val="25"/>
                <w:sz w:val="21"/>
                <w:szCs w:val="21"/>
                <w:highlight w:val="none"/>
                <w:lang w:eastAsia="zh-CN"/>
              </w:rPr>
            </w:pPr>
            <w:r>
              <w:rPr>
                <w:rFonts w:eastAsia="宋体"/>
                <w:color w:val="auto"/>
                <w:spacing w:val="25"/>
                <w:sz w:val="21"/>
                <w:szCs w:val="21"/>
                <w:highlight w:val="none"/>
                <w:lang w:eastAsia="zh-CN"/>
              </w:rPr>
              <w:t>干式尾矿库存在下列情形之一的：</w:t>
            </w:r>
          </w:p>
          <w:p w14:paraId="54856A21">
            <w:pPr>
              <w:pStyle w:val="25"/>
              <w:rPr>
                <w:rFonts w:eastAsia="宋体"/>
                <w:color w:val="auto"/>
                <w:spacing w:val="-7"/>
                <w:sz w:val="21"/>
                <w:szCs w:val="21"/>
                <w:highlight w:val="none"/>
                <w:lang w:eastAsia="zh-CN"/>
              </w:rPr>
            </w:pPr>
            <w:r>
              <w:rPr>
                <w:rFonts w:eastAsia="宋体"/>
                <w:color w:val="auto"/>
                <w:spacing w:val="22"/>
                <w:sz w:val="21"/>
                <w:szCs w:val="21"/>
                <w:highlight w:val="none"/>
                <w:lang w:eastAsia="zh-CN"/>
              </w:rPr>
              <w:t>（1）入库尾矿的含水率大于设计</w:t>
            </w:r>
            <w:r>
              <w:rPr>
                <w:rFonts w:eastAsia="宋体"/>
                <w:color w:val="auto"/>
                <w:spacing w:val="15"/>
                <w:sz w:val="21"/>
                <w:szCs w:val="21"/>
                <w:highlight w:val="none"/>
                <w:lang w:eastAsia="zh-CN"/>
              </w:rPr>
              <w:t>值，无法进行正常碾压且未设置可靠</w:t>
            </w:r>
            <w:r>
              <w:rPr>
                <w:rFonts w:eastAsia="宋体"/>
                <w:color w:val="auto"/>
                <w:spacing w:val="19"/>
                <w:sz w:val="21"/>
                <w:szCs w:val="21"/>
                <w:highlight w:val="none"/>
                <w:lang w:eastAsia="zh-CN"/>
              </w:rPr>
              <w:t>的防范措施</w:t>
            </w:r>
            <w:r>
              <w:rPr>
                <w:rFonts w:eastAsia="宋体"/>
                <w:color w:val="auto"/>
                <w:spacing w:val="-7"/>
                <w:sz w:val="21"/>
                <w:szCs w:val="21"/>
                <w:highlight w:val="none"/>
                <w:lang w:eastAsia="zh-CN"/>
              </w:rPr>
              <w:t>；</w:t>
            </w:r>
          </w:p>
          <w:p w14:paraId="1D455F83">
            <w:pPr>
              <w:pStyle w:val="25"/>
              <w:rPr>
                <w:rFonts w:eastAsia="宋体"/>
                <w:color w:val="auto"/>
                <w:spacing w:val="-8"/>
                <w:sz w:val="21"/>
                <w:szCs w:val="21"/>
                <w:highlight w:val="none"/>
                <w:lang w:eastAsia="zh-CN"/>
              </w:rPr>
            </w:pPr>
            <w:r>
              <w:rPr>
                <w:rFonts w:eastAsia="宋体"/>
                <w:color w:val="auto"/>
                <w:spacing w:val="-7"/>
                <w:sz w:val="21"/>
                <w:szCs w:val="21"/>
                <w:highlight w:val="none"/>
                <w:lang w:eastAsia="zh-CN"/>
              </w:rPr>
              <w:t>（</w:t>
            </w:r>
            <w:r>
              <w:rPr>
                <w:rFonts w:eastAsia="宋体"/>
                <w:color w:val="auto"/>
                <w:spacing w:val="19"/>
                <w:sz w:val="21"/>
                <w:szCs w:val="21"/>
                <w:highlight w:val="none"/>
                <w:lang w:eastAsia="zh-CN"/>
              </w:rPr>
              <w:t>2）堆存推进方向与设计不一致</w:t>
            </w:r>
            <w:r>
              <w:rPr>
                <w:rFonts w:eastAsia="宋体"/>
                <w:color w:val="auto"/>
                <w:spacing w:val="-8"/>
                <w:sz w:val="21"/>
                <w:szCs w:val="21"/>
                <w:highlight w:val="none"/>
                <w:lang w:eastAsia="zh-CN"/>
              </w:rPr>
              <w:t>；</w:t>
            </w:r>
          </w:p>
          <w:p w14:paraId="096DF12C">
            <w:pPr>
              <w:pStyle w:val="25"/>
              <w:rPr>
                <w:rFonts w:eastAsia="宋体"/>
                <w:color w:val="auto"/>
                <w:spacing w:val="-7"/>
                <w:sz w:val="21"/>
                <w:szCs w:val="21"/>
                <w:highlight w:val="none"/>
                <w:lang w:eastAsia="zh-CN"/>
              </w:rPr>
            </w:pPr>
            <w:r>
              <w:rPr>
                <w:rFonts w:eastAsia="宋体"/>
                <w:color w:val="auto"/>
                <w:spacing w:val="-8"/>
                <w:sz w:val="21"/>
                <w:szCs w:val="21"/>
                <w:highlight w:val="none"/>
                <w:lang w:eastAsia="zh-CN"/>
              </w:rPr>
              <w:t>（</w:t>
            </w:r>
            <w:r>
              <w:rPr>
                <w:rFonts w:eastAsia="宋体"/>
                <w:color w:val="auto"/>
                <w:spacing w:val="19"/>
                <w:sz w:val="21"/>
                <w:szCs w:val="21"/>
                <w:highlight w:val="none"/>
                <w:lang w:eastAsia="zh-CN"/>
              </w:rPr>
              <w:t>3）分层厚度或者台阶高度大于设计值</w:t>
            </w:r>
            <w:r>
              <w:rPr>
                <w:rFonts w:eastAsia="宋体"/>
                <w:color w:val="auto"/>
                <w:spacing w:val="-7"/>
                <w:sz w:val="21"/>
                <w:szCs w:val="21"/>
                <w:highlight w:val="none"/>
                <w:lang w:eastAsia="zh-CN"/>
              </w:rPr>
              <w:t>；</w:t>
            </w:r>
          </w:p>
          <w:p w14:paraId="59C9CA86">
            <w:pPr>
              <w:pStyle w:val="25"/>
              <w:rPr>
                <w:rFonts w:eastAsia="宋体"/>
                <w:color w:val="auto"/>
                <w:sz w:val="21"/>
                <w:szCs w:val="21"/>
                <w:highlight w:val="none"/>
                <w:lang w:eastAsia="zh-CN"/>
              </w:rPr>
            </w:pPr>
            <w:r>
              <w:rPr>
                <w:rFonts w:eastAsia="宋体"/>
                <w:color w:val="auto"/>
                <w:spacing w:val="-7"/>
                <w:sz w:val="21"/>
                <w:szCs w:val="21"/>
                <w:highlight w:val="none"/>
                <w:lang w:eastAsia="zh-CN"/>
              </w:rPr>
              <w:t>（</w:t>
            </w:r>
            <w:r>
              <w:rPr>
                <w:rFonts w:eastAsia="宋体"/>
                <w:color w:val="auto"/>
                <w:spacing w:val="19"/>
                <w:sz w:val="21"/>
                <w:szCs w:val="21"/>
                <w:highlight w:val="none"/>
                <w:lang w:eastAsia="zh-CN"/>
              </w:rPr>
              <w:t>4）未按设计</w:t>
            </w:r>
            <w:r>
              <w:rPr>
                <w:rFonts w:eastAsia="宋体"/>
                <w:color w:val="auto"/>
                <w:spacing w:val="7"/>
                <w:sz w:val="21"/>
                <w:szCs w:val="21"/>
                <w:highlight w:val="none"/>
                <w:lang w:eastAsia="zh-CN"/>
              </w:rPr>
              <w:t>要求进行碾压。</w:t>
            </w:r>
          </w:p>
        </w:tc>
        <w:tc>
          <w:tcPr>
            <w:tcW w:w="1836" w:type="dxa"/>
            <w:vAlign w:val="center"/>
          </w:tcPr>
          <w:p w14:paraId="2D6B5098">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08FFAFDD">
            <w:pPr>
              <w:pStyle w:val="25"/>
              <w:ind w:firstLine="4"/>
              <w:rPr>
                <w:rFonts w:eastAsia="宋体"/>
                <w:color w:val="auto"/>
                <w:sz w:val="21"/>
                <w:szCs w:val="21"/>
                <w:highlight w:val="none"/>
                <w:lang w:eastAsia="zh-CN"/>
              </w:rPr>
            </w:pPr>
          </w:p>
        </w:tc>
        <w:tc>
          <w:tcPr>
            <w:tcW w:w="836" w:type="dxa"/>
            <w:vAlign w:val="center"/>
          </w:tcPr>
          <w:p w14:paraId="540A6030">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2F5FA63E">
        <w:trPr>
          <w:trHeight w:val="1241" w:hRule="atLeast"/>
          <w:jc w:val="center"/>
        </w:trPr>
        <w:tc>
          <w:tcPr>
            <w:tcW w:w="606" w:type="dxa"/>
            <w:vAlign w:val="center"/>
          </w:tcPr>
          <w:p w14:paraId="341765A6">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00A36F0B">
            <w:pPr>
              <w:pStyle w:val="25"/>
              <w:ind w:hanging="3"/>
              <w:rPr>
                <w:rFonts w:eastAsia="宋体"/>
                <w:color w:val="auto"/>
                <w:sz w:val="21"/>
                <w:szCs w:val="21"/>
                <w:highlight w:val="none"/>
                <w:lang w:eastAsia="zh-CN"/>
              </w:rPr>
            </w:pPr>
            <w:r>
              <w:rPr>
                <w:rFonts w:eastAsia="宋体"/>
                <w:color w:val="auto"/>
                <w:spacing w:val="14"/>
                <w:sz w:val="21"/>
                <w:szCs w:val="21"/>
                <w:highlight w:val="none"/>
                <w:lang w:eastAsia="zh-CN"/>
              </w:rPr>
              <w:t>经验算，坝体抗滑稳定最小安全系数</w:t>
            </w:r>
            <w:r>
              <w:rPr>
                <w:rFonts w:eastAsia="宋体"/>
                <w:color w:val="auto"/>
                <w:spacing w:val="5"/>
                <w:sz w:val="21"/>
                <w:szCs w:val="21"/>
                <w:highlight w:val="none"/>
                <w:lang w:eastAsia="zh-CN"/>
              </w:rPr>
              <w:t>小于国家标准规定值的0.98倍。</w:t>
            </w:r>
          </w:p>
        </w:tc>
        <w:tc>
          <w:tcPr>
            <w:tcW w:w="1836" w:type="dxa"/>
            <w:vAlign w:val="center"/>
          </w:tcPr>
          <w:p w14:paraId="18E7B564">
            <w:pPr>
              <w:pStyle w:val="25"/>
              <w:jc w:val="center"/>
              <w:rPr>
                <w:rFonts w:eastAsia="宋体"/>
                <w:color w:val="auto"/>
                <w:sz w:val="21"/>
                <w:szCs w:val="21"/>
                <w:highlight w:val="none"/>
                <w:lang w:val="zh-CN" w:eastAsia="zh-CN"/>
              </w:rPr>
            </w:pPr>
            <w:r>
              <w:rPr>
                <w:rFonts w:eastAsia="宋体"/>
                <w:color w:val="auto"/>
                <w:spacing w:val="4"/>
                <w:sz w:val="21"/>
                <w:szCs w:val="21"/>
                <w:highlight w:val="none"/>
              </w:rPr>
              <w:t>矿安</w:t>
            </w:r>
            <w:r>
              <w:rPr>
                <w:rFonts w:hint="eastAsia" w:eastAsia="宋体"/>
                <w:color w:val="auto"/>
                <w:spacing w:val="4"/>
                <w:sz w:val="21"/>
                <w:szCs w:val="21"/>
                <w:highlight w:val="none"/>
                <w:lang w:eastAsia="zh-CN"/>
              </w:rPr>
              <w:t>〔2022〕88号</w:t>
            </w:r>
          </w:p>
        </w:tc>
        <w:tc>
          <w:tcPr>
            <w:tcW w:w="2717" w:type="dxa"/>
            <w:vAlign w:val="center"/>
          </w:tcPr>
          <w:p w14:paraId="0C26803E">
            <w:pPr>
              <w:pStyle w:val="25"/>
              <w:ind w:firstLine="1"/>
              <w:rPr>
                <w:rFonts w:eastAsia="宋体"/>
                <w:color w:val="auto"/>
                <w:sz w:val="21"/>
                <w:szCs w:val="21"/>
                <w:highlight w:val="none"/>
                <w:lang w:eastAsia="zh-CN"/>
              </w:rPr>
            </w:pPr>
          </w:p>
        </w:tc>
        <w:tc>
          <w:tcPr>
            <w:tcW w:w="836" w:type="dxa"/>
            <w:vAlign w:val="center"/>
          </w:tcPr>
          <w:p w14:paraId="3C12915E">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2BDDC17C">
        <w:trPr>
          <w:trHeight w:val="1786" w:hRule="atLeast"/>
          <w:jc w:val="center"/>
        </w:trPr>
        <w:tc>
          <w:tcPr>
            <w:tcW w:w="606" w:type="dxa"/>
            <w:vAlign w:val="center"/>
          </w:tcPr>
          <w:p w14:paraId="037967A7">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638A1DF3">
            <w:pPr>
              <w:pStyle w:val="25"/>
              <w:jc w:val="both"/>
              <w:rPr>
                <w:rFonts w:eastAsia="宋体"/>
                <w:color w:val="auto"/>
                <w:sz w:val="21"/>
                <w:szCs w:val="21"/>
                <w:highlight w:val="none"/>
                <w:lang w:eastAsia="zh-CN"/>
              </w:rPr>
            </w:pPr>
            <w:r>
              <w:rPr>
                <w:rFonts w:eastAsia="宋体"/>
                <w:color w:val="auto"/>
                <w:spacing w:val="15"/>
                <w:sz w:val="21"/>
                <w:szCs w:val="21"/>
                <w:highlight w:val="none"/>
                <w:lang w:eastAsia="zh-CN"/>
              </w:rPr>
              <w:t>三等及以上尾矿库及“头顶库”未按设计设置通往坝顶、排洪系统附近的应急道路，或者应急道路无法满足应急</w:t>
            </w:r>
            <w:r>
              <w:rPr>
                <w:rFonts w:eastAsia="宋体"/>
                <w:color w:val="auto"/>
                <w:spacing w:val="8"/>
                <w:sz w:val="21"/>
                <w:szCs w:val="21"/>
                <w:highlight w:val="none"/>
                <w:lang w:eastAsia="zh-CN"/>
              </w:rPr>
              <w:t>抢险时通行和运送应急物资的需求。</w:t>
            </w:r>
          </w:p>
        </w:tc>
        <w:tc>
          <w:tcPr>
            <w:tcW w:w="1836" w:type="dxa"/>
            <w:vAlign w:val="center"/>
          </w:tcPr>
          <w:p w14:paraId="44ABDA87">
            <w:pPr>
              <w:pStyle w:val="25"/>
              <w:jc w:val="center"/>
              <w:rPr>
                <w:rFonts w:eastAsia="宋体"/>
                <w:color w:val="auto"/>
                <w:sz w:val="21"/>
                <w:szCs w:val="21"/>
                <w:highlight w:val="none"/>
                <w:lang w:val="zh-CN" w:eastAsia="zh-CN"/>
              </w:rPr>
            </w:pPr>
            <w:r>
              <w:rPr>
                <w:rFonts w:eastAsia="宋体"/>
                <w:color w:val="auto"/>
                <w:spacing w:val="4"/>
                <w:sz w:val="21"/>
                <w:szCs w:val="21"/>
                <w:highlight w:val="none"/>
              </w:rPr>
              <w:t>矿安</w:t>
            </w:r>
            <w:r>
              <w:rPr>
                <w:rFonts w:hint="eastAsia" w:eastAsia="宋体"/>
                <w:color w:val="auto"/>
                <w:spacing w:val="4"/>
                <w:sz w:val="21"/>
                <w:szCs w:val="21"/>
                <w:highlight w:val="none"/>
                <w:lang w:eastAsia="zh-CN"/>
              </w:rPr>
              <w:t>〔2022〕88号</w:t>
            </w:r>
          </w:p>
        </w:tc>
        <w:tc>
          <w:tcPr>
            <w:tcW w:w="2717" w:type="dxa"/>
            <w:vAlign w:val="center"/>
          </w:tcPr>
          <w:p w14:paraId="0FEB526D">
            <w:pPr>
              <w:ind w:firstLine="3"/>
              <w:rPr>
                <w:rFonts w:ascii="Times New Roman" w:hAnsi="Times New Roman" w:eastAsia="宋体" w:cs="Times New Roman"/>
                <w:color w:val="auto"/>
                <w:highlight w:val="none"/>
                <w:lang w:eastAsia="zh-CN"/>
              </w:rPr>
            </w:pPr>
          </w:p>
        </w:tc>
        <w:tc>
          <w:tcPr>
            <w:tcW w:w="836" w:type="dxa"/>
            <w:vAlign w:val="center"/>
          </w:tcPr>
          <w:p w14:paraId="51C5C9DB">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5"/>
                <w:highlight w:val="none"/>
              </w:rPr>
              <w:t>不涉及</w:t>
            </w:r>
          </w:p>
        </w:tc>
      </w:tr>
      <w:tr w14:paraId="185FB6D0">
        <w:trPr>
          <w:trHeight w:val="2204" w:hRule="atLeast"/>
          <w:jc w:val="center"/>
        </w:trPr>
        <w:tc>
          <w:tcPr>
            <w:tcW w:w="606" w:type="dxa"/>
            <w:vAlign w:val="center"/>
          </w:tcPr>
          <w:p w14:paraId="75546D3D">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42EFAA08">
            <w:pPr>
              <w:rPr>
                <w:rFonts w:ascii="Times New Roman" w:hAnsi="Times New Roman" w:eastAsia="宋体" w:cs="Times New Roman"/>
                <w:color w:val="auto"/>
                <w:spacing w:val="8"/>
                <w:highlight w:val="none"/>
                <w:lang w:eastAsia="zh-CN"/>
              </w:rPr>
            </w:pPr>
            <w:r>
              <w:rPr>
                <w:rFonts w:ascii="Times New Roman" w:hAnsi="Times New Roman" w:eastAsia="宋体" w:cs="Times New Roman"/>
                <w:color w:val="auto"/>
                <w:spacing w:val="8"/>
                <w:highlight w:val="none"/>
                <w:lang w:eastAsia="zh-CN"/>
              </w:rPr>
              <w:t>尾矿库回采存在下列情形之一的：</w:t>
            </w:r>
          </w:p>
          <w:p w14:paraId="7F5ACBE5">
            <w:pPr>
              <w:rPr>
                <w:rFonts w:ascii="Times New Roman" w:hAnsi="Times New Roman" w:eastAsia="宋体" w:cs="Times New Roman"/>
                <w:color w:val="auto"/>
                <w:spacing w:val="-7"/>
                <w:highlight w:val="none"/>
                <w:lang w:eastAsia="zh-CN"/>
              </w:rPr>
            </w:pPr>
            <w:r>
              <w:rPr>
                <w:rFonts w:ascii="Times New Roman" w:hAnsi="Times New Roman" w:eastAsia="宋体" w:cs="Times New Roman"/>
                <w:color w:val="auto"/>
                <w:spacing w:val="11"/>
                <w:highlight w:val="none"/>
                <w:lang w:eastAsia="zh-CN"/>
              </w:rPr>
              <w:t>（1）未经批准擅自回采</w:t>
            </w:r>
            <w:r>
              <w:rPr>
                <w:rFonts w:ascii="Times New Roman" w:hAnsi="Times New Roman" w:eastAsia="宋体" w:cs="Times New Roman"/>
                <w:color w:val="auto"/>
                <w:spacing w:val="-7"/>
                <w:highlight w:val="none"/>
                <w:lang w:eastAsia="zh-CN"/>
              </w:rPr>
              <w:t>；</w:t>
            </w:r>
          </w:p>
          <w:p w14:paraId="594D0BF9">
            <w:pPr>
              <w:rPr>
                <w:rFonts w:ascii="Times New Roman" w:hAnsi="Times New Roman" w:eastAsia="宋体" w:cs="Times New Roman"/>
                <w:color w:val="auto"/>
                <w:spacing w:val="-9"/>
                <w:highlight w:val="none"/>
                <w:lang w:eastAsia="zh-CN"/>
              </w:rPr>
            </w:pPr>
            <w:r>
              <w:rPr>
                <w:rFonts w:ascii="Times New Roman" w:hAnsi="Times New Roman" w:eastAsia="宋体" w:cs="Times New Roman"/>
                <w:color w:val="auto"/>
                <w:spacing w:val="-7"/>
                <w:highlight w:val="none"/>
                <w:lang w:eastAsia="zh-CN"/>
              </w:rPr>
              <w:t>（</w:t>
            </w:r>
            <w:r>
              <w:rPr>
                <w:rFonts w:ascii="Times New Roman" w:hAnsi="Times New Roman" w:eastAsia="宋体" w:cs="Times New Roman"/>
                <w:color w:val="auto"/>
                <w:spacing w:val="11"/>
                <w:highlight w:val="none"/>
                <w:lang w:eastAsia="zh-CN"/>
              </w:rPr>
              <w:t>2）回采</w:t>
            </w:r>
            <w:r>
              <w:rPr>
                <w:rFonts w:ascii="Times New Roman" w:hAnsi="Times New Roman" w:eastAsia="宋体" w:cs="Times New Roman"/>
                <w:color w:val="auto"/>
                <w:spacing w:val="15"/>
                <w:highlight w:val="none"/>
                <w:lang w:eastAsia="zh-CN"/>
              </w:rPr>
              <w:t>方式、顺序、单层开采高度、台阶坡</w:t>
            </w:r>
            <w:r>
              <w:rPr>
                <w:rFonts w:ascii="Times New Roman" w:hAnsi="Times New Roman" w:eastAsia="宋体" w:cs="Times New Roman"/>
                <w:color w:val="auto"/>
                <w:spacing w:val="18"/>
                <w:highlight w:val="none"/>
                <w:lang w:eastAsia="zh-CN"/>
              </w:rPr>
              <w:t>面角不符合设计要求</w:t>
            </w:r>
            <w:r>
              <w:rPr>
                <w:rFonts w:ascii="Times New Roman" w:hAnsi="Times New Roman" w:eastAsia="宋体" w:cs="Times New Roman"/>
                <w:color w:val="auto"/>
                <w:spacing w:val="-9"/>
                <w:highlight w:val="none"/>
                <w:lang w:eastAsia="zh-CN"/>
              </w:rPr>
              <w:t>；</w:t>
            </w:r>
          </w:p>
          <w:p w14:paraId="7BD12BFD">
            <w:pP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w:t>
            </w:r>
            <w:r>
              <w:rPr>
                <w:rFonts w:ascii="Times New Roman" w:hAnsi="Times New Roman" w:eastAsia="宋体" w:cs="Times New Roman"/>
                <w:color w:val="auto"/>
                <w:spacing w:val="18"/>
                <w:highlight w:val="none"/>
                <w:lang w:eastAsia="zh-CN"/>
              </w:rPr>
              <w:t>3）同时进</w:t>
            </w:r>
            <w:r>
              <w:rPr>
                <w:rFonts w:ascii="Times New Roman" w:hAnsi="Times New Roman" w:eastAsia="宋体" w:cs="Times New Roman"/>
                <w:color w:val="auto"/>
                <w:spacing w:val="6"/>
                <w:highlight w:val="none"/>
                <w:lang w:eastAsia="zh-CN"/>
              </w:rPr>
              <w:t>行回采和排放。</w:t>
            </w:r>
          </w:p>
        </w:tc>
        <w:tc>
          <w:tcPr>
            <w:tcW w:w="1836" w:type="dxa"/>
            <w:vAlign w:val="center"/>
          </w:tcPr>
          <w:p w14:paraId="229195A1">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4625F9C2">
            <w:pPr>
              <w:jc w:val="center"/>
              <w:rPr>
                <w:rFonts w:ascii="Times New Roman" w:hAnsi="Times New Roman" w:eastAsia="宋体" w:cs="Times New Roman"/>
                <w:color w:val="auto"/>
                <w:highlight w:val="none"/>
                <w:lang w:eastAsia="zh-CN"/>
              </w:rPr>
            </w:pPr>
          </w:p>
        </w:tc>
        <w:tc>
          <w:tcPr>
            <w:tcW w:w="836" w:type="dxa"/>
            <w:vAlign w:val="center"/>
          </w:tcPr>
          <w:p w14:paraId="39EB7120">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5"/>
                <w:highlight w:val="none"/>
              </w:rPr>
              <w:t>不涉及</w:t>
            </w:r>
          </w:p>
        </w:tc>
      </w:tr>
      <w:tr w14:paraId="3CB58EB2">
        <w:trPr>
          <w:trHeight w:val="1255" w:hRule="atLeast"/>
          <w:jc w:val="center"/>
        </w:trPr>
        <w:tc>
          <w:tcPr>
            <w:tcW w:w="606" w:type="dxa"/>
            <w:vAlign w:val="center"/>
          </w:tcPr>
          <w:p w14:paraId="2AF50967">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157684F8">
            <w:pPr>
              <w:ind w:firstLine="1"/>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4"/>
                <w:highlight w:val="none"/>
                <w:lang w:eastAsia="zh-CN"/>
              </w:rPr>
              <w:t>用以贮存独立选矿厂进行矿石选别后</w:t>
            </w:r>
            <w:r>
              <w:rPr>
                <w:rFonts w:ascii="Times New Roman" w:hAnsi="Times New Roman" w:eastAsia="宋体" w:cs="Times New Roman"/>
                <w:color w:val="auto"/>
                <w:spacing w:val="15"/>
                <w:highlight w:val="none"/>
                <w:lang w:eastAsia="zh-CN"/>
              </w:rPr>
              <w:t>排出尾矿的场所，未按尾矿库实施安</w:t>
            </w:r>
            <w:r>
              <w:rPr>
                <w:rFonts w:ascii="Times New Roman" w:hAnsi="Times New Roman" w:eastAsia="宋体" w:cs="Times New Roman"/>
                <w:color w:val="auto"/>
                <w:spacing w:val="5"/>
                <w:highlight w:val="none"/>
                <w:lang w:eastAsia="zh-CN"/>
              </w:rPr>
              <w:t>全管理的</w:t>
            </w:r>
          </w:p>
        </w:tc>
        <w:tc>
          <w:tcPr>
            <w:tcW w:w="1836" w:type="dxa"/>
            <w:vAlign w:val="center"/>
          </w:tcPr>
          <w:p w14:paraId="7ED7DBAE">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3A13AE41">
            <w:pPr>
              <w:ind w:firstLine="1"/>
              <w:jc w:val="both"/>
              <w:rPr>
                <w:rFonts w:ascii="Times New Roman" w:hAnsi="Times New Roman" w:eastAsia="宋体" w:cs="Times New Roman"/>
                <w:color w:val="auto"/>
                <w:highlight w:val="none"/>
                <w:lang w:eastAsia="zh-CN"/>
              </w:rPr>
            </w:pPr>
          </w:p>
        </w:tc>
        <w:tc>
          <w:tcPr>
            <w:tcW w:w="836" w:type="dxa"/>
            <w:vAlign w:val="center"/>
          </w:tcPr>
          <w:p w14:paraId="2010B9D3">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5"/>
                <w:highlight w:val="none"/>
              </w:rPr>
              <w:t>不涉及</w:t>
            </w:r>
          </w:p>
        </w:tc>
      </w:tr>
      <w:tr w14:paraId="14F343F6">
        <w:trPr>
          <w:trHeight w:val="1220" w:hRule="atLeast"/>
          <w:jc w:val="center"/>
        </w:trPr>
        <w:tc>
          <w:tcPr>
            <w:tcW w:w="606" w:type="dxa"/>
            <w:vAlign w:val="center"/>
          </w:tcPr>
          <w:p w14:paraId="1C30219A">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7D85C9BD">
            <w:pPr>
              <w:ind w:firstLine="1"/>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4"/>
                <w:highlight w:val="none"/>
                <w:lang w:eastAsia="zh-CN"/>
              </w:rPr>
              <w:t>未按国家规定配备专职安全生产管理</w:t>
            </w:r>
            <w:r>
              <w:rPr>
                <w:rFonts w:ascii="Times New Roman" w:hAnsi="Times New Roman" w:eastAsia="宋体" w:cs="Times New Roman"/>
                <w:color w:val="auto"/>
                <w:spacing w:val="9"/>
                <w:highlight w:val="none"/>
                <w:lang w:eastAsia="zh-CN"/>
              </w:rPr>
              <w:t>人员、专业技术人员和特种作业人员。</w:t>
            </w:r>
          </w:p>
        </w:tc>
        <w:tc>
          <w:tcPr>
            <w:tcW w:w="1836" w:type="dxa"/>
            <w:vAlign w:val="center"/>
          </w:tcPr>
          <w:p w14:paraId="10994BBA">
            <w:pPr>
              <w:jc w:val="center"/>
              <w:rPr>
                <w:rFonts w:ascii="Times New Roman" w:hAnsi="Times New Roman" w:eastAsia="宋体" w:cs="Times New Roman"/>
                <w:color w:val="auto"/>
                <w:highlight w:val="none"/>
                <w:lang w:val="zh-CN" w:eastAsia="zh-CN"/>
              </w:rPr>
            </w:pPr>
            <w:r>
              <w:rPr>
                <w:rFonts w:ascii="Times New Roman" w:hAnsi="Times New Roman" w:eastAsia="宋体" w:cs="Times New Roman"/>
                <w:color w:val="auto"/>
                <w:spacing w:val="4"/>
                <w:highlight w:val="none"/>
              </w:rPr>
              <w:t>矿安</w:t>
            </w:r>
            <w:r>
              <w:rPr>
                <w:rFonts w:hint="eastAsia" w:ascii="Times New Roman" w:hAnsi="Times New Roman" w:eastAsia="宋体" w:cs="Times New Roman"/>
                <w:color w:val="auto"/>
                <w:spacing w:val="4"/>
                <w:highlight w:val="none"/>
                <w:lang w:eastAsia="zh-CN"/>
              </w:rPr>
              <w:t>〔2022〕88号</w:t>
            </w:r>
          </w:p>
        </w:tc>
        <w:tc>
          <w:tcPr>
            <w:tcW w:w="2717" w:type="dxa"/>
            <w:vAlign w:val="center"/>
          </w:tcPr>
          <w:p w14:paraId="63FADFFB">
            <w:pPr>
              <w:pStyle w:val="25"/>
              <w:ind w:firstLine="3"/>
              <w:jc w:val="both"/>
              <w:rPr>
                <w:rFonts w:eastAsia="宋体"/>
                <w:color w:val="auto"/>
                <w:sz w:val="21"/>
                <w:szCs w:val="21"/>
                <w:highlight w:val="none"/>
                <w:lang w:eastAsia="zh-CN"/>
              </w:rPr>
            </w:pPr>
          </w:p>
        </w:tc>
        <w:tc>
          <w:tcPr>
            <w:tcW w:w="836" w:type="dxa"/>
            <w:vAlign w:val="center"/>
          </w:tcPr>
          <w:p w14:paraId="2A6F8FFA">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1DADF45F">
        <w:trPr>
          <w:trHeight w:val="1644" w:hRule="atLeast"/>
          <w:jc w:val="center"/>
        </w:trPr>
        <w:tc>
          <w:tcPr>
            <w:tcW w:w="606" w:type="dxa"/>
            <w:vAlign w:val="center"/>
          </w:tcPr>
          <w:p w14:paraId="5382FB8C">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62F91920">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15"/>
                <w:highlight w:val="none"/>
                <w:lang w:eastAsia="zh-CN"/>
              </w:rPr>
              <w:t>尾矿库排洪构筑物拱板（盖板）与周边结构缝隙未采用设计材料充满充实的，或封堵体设置在井顶、井身段或</w:t>
            </w:r>
            <w:r>
              <w:rPr>
                <w:rFonts w:ascii="Times New Roman" w:hAnsi="Times New Roman" w:eastAsia="宋体" w:cs="Times New Roman"/>
                <w:color w:val="auto"/>
                <w:spacing w:val="7"/>
                <w:highlight w:val="none"/>
                <w:lang w:eastAsia="zh-CN"/>
              </w:rPr>
              <w:t>斜槽顶、槽身段。</w:t>
            </w:r>
          </w:p>
        </w:tc>
        <w:tc>
          <w:tcPr>
            <w:tcW w:w="1836" w:type="dxa"/>
            <w:vAlign w:val="center"/>
          </w:tcPr>
          <w:p w14:paraId="0945D6B7">
            <w:pPr>
              <w:pStyle w:val="25"/>
              <w:jc w:val="center"/>
              <w:rPr>
                <w:rFonts w:eastAsia="宋体"/>
                <w:color w:val="auto"/>
                <w:sz w:val="21"/>
                <w:szCs w:val="21"/>
                <w:highlight w:val="none"/>
                <w:lang w:val="zh-CN" w:eastAsia="zh-CN"/>
              </w:rPr>
            </w:pPr>
            <w:r>
              <w:rPr>
                <w:rFonts w:eastAsia="宋体"/>
                <w:color w:val="auto"/>
                <w:spacing w:val="4"/>
                <w:sz w:val="21"/>
                <w:szCs w:val="21"/>
                <w:highlight w:val="none"/>
              </w:rPr>
              <w:t>矿安</w:t>
            </w:r>
            <w:r>
              <w:rPr>
                <w:rFonts w:hint="eastAsia" w:eastAsia="宋体"/>
                <w:color w:val="auto"/>
                <w:spacing w:val="4"/>
                <w:sz w:val="21"/>
                <w:szCs w:val="21"/>
                <w:highlight w:val="none"/>
                <w:lang w:eastAsia="zh-CN"/>
              </w:rPr>
              <w:t>〔2024〕41号</w:t>
            </w:r>
          </w:p>
        </w:tc>
        <w:tc>
          <w:tcPr>
            <w:tcW w:w="2717" w:type="dxa"/>
            <w:vAlign w:val="center"/>
          </w:tcPr>
          <w:p w14:paraId="574AE825">
            <w:pPr>
              <w:ind w:firstLine="3"/>
              <w:jc w:val="both"/>
              <w:rPr>
                <w:rFonts w:ascii="Times New Roman" w:hAnsi="Times New Roman" w:eastAsia="宋体" w:cs="Times New Roman"/>
                <w:color w:val="auto"/>
                <w:highlight w:val="none"/>
                <w:lang w:eastAsia="zh-CN"/>
              </w:rPr>
            </w:pPr>
          </w:p>
        </w:tc>
        <w:tc>
          <w:tcPr>
            <w:tcW w:w="836" w:type="dxa"/>
            <w:vAlign w:val="center"/>
          </w:tcPr>
          <w:p w14:paraId="6FB8C016">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5"/>
                <w:highlight w:val="none"/>
              </w:rPr>
              <w:t>不涉及</w:t>
            </w:r>
          </w:p>
        </w:tc>
      </w:tr>
      <w:tr w14:paraId="0E546AFF">
        <w:trPr>
          <w:trHeight w:val="1634" w:hRule="atLeast"/>
          <w:jc w:val="center"/>
        </w:trPr>
        <w:tc>
          <w:tcPr>
            <w:tcW w:w="606" w:type="dxa"/>
            <w:vAlign w:val="center"/>
          </w:tcPr>
          <w:p w14:paraId="3584950A">
            <w:pPr>
              <w:numPr>
                <w:ilvl w:val="0"/>
                <w:numId w:val="14"/>
              </w:numPr>
              <w:tabs>
                <w:tab w:val="clear" w:pos="0"/>
              </w:tabs>
              <w:spacing w:line="240" w:lineRule="exact"/>
              <w:jc w:val="center"/>
              <w:rPr>
                <w:rFonts w:eastAsia="仿宋"/>
                <w:color w:val="auto"/>
                <w:highlight w:val="none"/>
                <w:lang w:eastAsia="zh-CN"/>
              </w:rPr>
            </w:pPr>
          </w:p>
        </w:tc>
        <w:tc>
          <w:tcPr>
            <w:tcW w:w="3008" w:type="dxa"/>
            <w:vAlign w:val="center"/>
          </w:tcPr>
          <w:p w14:paraId="3A5660C6">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7"/>
                <w:highlight w:val="none"/>
                <w:lang w:eastAsia="zh-CN"/>
              </w:rPr>
              <w:t>遇极端天气尾矿库未及时停止作业、撤出现场作业人员。</w:t>
            </w:r>
          </w:p>
        </w:tc>
        <w:tc>
          <w:tcPr>
            <w:tcW w:w="1836" w:type="dxa"/>
            <w:vAlign w:val="center"/>
          </w:tcPr>
          <w:p w14:paraId="1ECB51FD">
            <w:pPr>
              <w:pStyle w:val="25"/>
              <w:jc w:val="center"/>
              <w:rPr>
                <w:rFonts w:eastAsia="宋体"/>
                <w:color w:val="auto"/>
                <w:sz w:val="21"/>
                <w:szCs w:val="21"/>
                <w:highlight w:val="none"/>
                <w:lang w:val="zh-CN" w:eastAsia="zh-CN"/>
              </w:rPr>
            </w:pPr>
            <w:r>
              <w:rPr>
                <w:rFonts w:eastAsia="宋体"/>
                <w:color w:val="auto"/>
                <w:spacing w:val="4"/>
                <w:sz w:val="21"/>
                <w:szCs w:val="21"/>
                <w:highlight w:val="none"/>
              </w:rPr>
              <w:t>矿安</w:t>
            </w:r>
            <w:r>
              <w:rPr>
                <w:rFonts w:hint="eastAsia" w:eastAsia="宋体"/>
                <w:color w:val="auto"/>
                <w:spacing w:val="4"/>
                <w:sz w:val="21"/>
                <w:szCs w:val="21"/>
                <w:highlight w:val="none"/>
                <w:lang w:eastAsia="zh-CN"/>
              </w:rPr>
              <w:t>〔2024〕41号</w:t>
            </w:r>
          </w:p>
        </w:tc>
        <w:tc>
          <w:tcPr>
            <w:tcW w:w="2717" w:type="dxa"/>
            <w:vAlign w:val="center"/>
          </w:tcPr>
          <w:p w14:paraId="79152A61">
            <w:pPr>
              <w:ind w:firstLine="4"/>
              <w:jc w:val="both"/>
              <w:rPr>
                <w:rFonts w:ascii="Times New Roman" w:hAnsi="Times New Roman" w:eastAsia="宋体" w:cs="Times New Roman"/>
                <w:color w:val="auto"/>
                <w:highlight w:val="none"/>
                <w:lang w:eastAsia="zh-CN"/>
              </w:rPr>
            </w:pPr>
          </w:p>
        </w:tc>
        <w:tc>
          <w:tcPr>
            <w:tcW w:w="836" w:type="dxa"/>
            <w:vAlign w:val="center"/>
          </w:tcPr>
          <w:p w14:paraId="3C07B26A">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bl>
    <w:p w14:paraId="57996DFC">
      <w:pPr>
        <w:rPr>
          <w:color w:val="auto"/>
          <w:highlight w:val="none"/>
          <w:lang w:eastAsia="zh-CN"/>
        </w:rPr>
      </w:pPr>
    </w:p>
    <w:p w14:paraId="341D42FA">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rPr>
      </w:pPr>
      <w:bookmarkStart w:id="218" w:name="_Toc25356"/>
      <w:bookmarkStart w:id="219" w:name="_Toc24312"/>
      <w:bookmarkStart w:id="220" w:name="_Toc25892"/>
      <w:r>
        <w:rPr>
          <w:rFonts w:ascii="Times New Roman" w:hAnsi="Times New Roman" w:eastAsia="Times New Roman" w:cs="Times New Roman"/>
          <w:bCs/>
          <w:color w:val="auto"/>
          <w:spacing w:val="-3"/>
          <w:sz w:val="28"/>
          <w:szCs w:val="28"/>
          <w:highlight w:val="none"/>
        </w:rPr>
        <w:t xml:space="preserve">5.7.2 </w:t>
      </w:r>
      <w:r>
        <w:rPr>
          <w:rFonts w:ascii="宋体" w:hAnsi="宋体" w:eastAsia="宋体" w:cs="宋体"/>
          <w:bCs/>
          <w:color w:val="auto"/>
          <w:spacing w:val="-3"/>
          <w:sz w:val="28"/>
          <w:szCs w:val="28"/>
          <w:highlight w:val="none"/>
        </w:rPr>
        <w:t>评价单元小结</w:t>
      </w:r>
      <w:bookmarkEnd w:id="218"/>
      <w:bookmarkEnd w:id="219"/>
      <w:bookmarkEnd w:id="220"/>
    </w:p>
    <w:p w14:paraId="619F2FE9">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hint="eastAsia" w:ascii="Times New Roman Regular" w:hAnsi="Times New Roman Regular" w:eastAsia="宋体" w:cs="Times New Roman Regular"/>
          <w:color w:val="auto"/>
          <w:spacing w:val="7"/>
          <w:sz w:val="28"/>
          <w:szCs w:val="28"/>
          <w:highlight w:val="none"/>
          <w:lang w:eastAsia="zh-CN"/>
        </w:rPr>
        <w:t>葫芦岛岳强矿业有限责任公司严格按照设计要求建设了初期坝、堆积坝、排洪系统、安全监测系统、辅助系统等设施；坝体没有出现严重的管涌、流土、坍塌、滑动等重大安全事故隐患的迹象；企业配备了尾矿库专职安全管理人员和专业技术人员；尾矿库符合《国家矿山安全监察局关于印发〈金属非金属矿山重大事故隐患判定标准〉的通知》（矿安〔2022〕88号）、《国家矿山安全监察局关于印发〈金属非金属矿山重大事故隐患判定标准补充情形〉的通知》（矿安〔2024〕41号）的规定，不存在重大隐患，具备安全生产条件。</w:t>
      </w:r>
    </w:p>
    <w:p w14:paraId="32FDD53D">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21" w:name="bookmark54"/>
      <w:bookmarkEnd w:id="221"/>
      <w:bookmarkStart w:id="222" w:name="_Toc615249492"/>
      <w:bookmarkStart w:id="223" w:name="_Toc17607"/>
      <w:r>
        <w:rPr>
          <w:rFonts w:ascii="Times New Roman Regular" w:hAnsi="Times New Roman Regular" w:eastAsia="黑体" w:cs="Times New Roman Regular"/>
          <w:snapToGrid/>
          <w:color w:val="auto"/>
          <w:kern w:val="2"/>
          <w:highlight w:val="none"/>
          <w:lang w:eastAsia="zh-CN"/>
        </w:rPr>
        <w:t>5.8</w:t>
      </w:r>
      <w:r>
        <w:rPr>
          <w:rFonts w:hint="eastAsia" w:ascii="Times New Roman Regular" w:hAnsi="Times New Roman Regular" w:eastAsia="黑体" w:cs="Times New Roman Regular"/>
          <w:snapToGrid/>
          <w:color w:val="auto"/>
          <w:kern w:val="2"/>
          <w:highlight w:val="none"/>
          <w:lang w:eastAsia="zh-CN"/>
        </w:rPr>
        <w:t xml:space="preserve"> </w:t>
      </w:r>
      <w:r>
        <w:rPr>
          <w:rFonts w:ascii="Times New Roman Regular" w:hAnsi="Times New Roman Regular" w:eastAsia="黑体" w:cs="Times New Roman Regular"/>
          <w:snapToGrid/>
          <w:color w:val="auto"/>
          <w:kern w:val="2"/>
          <w:highlight w:val="none"/>
          <w:lang w:eastAsia="zh-CN"/>
        </w:rPr>
        <w:t>“延期换证审核”单元</w:t>
      </w:r>
      <w:bookmarkEnd w:id="222"/>
      <w:bookmarkEnd w:id="223"/>
    </w:p>
    <w:p w14:paraId="4EEA4599">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lang w:eastAsia="zh-CN"/>
        </w:rPr>
      </w:pPr>
      <w:bookmarkStart w:id="224" w:name="_Toc16594"/>
      <w:bookmarkStart w:id="225" w:name="_Toc29374"/>
      <w:bookmarkStart w:id="226" w:name="_Toc5274"/>
      <w:r>
        <w:rPr>
          <w:rFonts w:ascii="Times New Roman" w:hAnsi="Times New Roman" w:eastAsia="Times New Roman" w:cs="Times New Roman"/>
          <w:bCs/>
          <w:color w:val="auto"/>
          <w:spacing w:val="-3"/>
          <w:sz w:val="28"/>
          <w:szCs w:val="28"/>
          <w:highlight w:val="none"/>
          <w:lang w:eastAsia="zh-CN"/>
        </w:rPr>
        <w:t xml:space="preserve">5.8.1 </w:t>
      </w:r>
      <w:r>
        <w:rPr>
          <w:rFonts w:ascii="宋体" w:hAnsi="宋体" w:eastAsia="宋体" w:cs="宋体"/>
          <w:bCs/>
          <w:color w:val="auto"/>
          <w:spacing w:val="-3"/>
          <w:sz w:val="28"/>
          <w:szCs w:val="28"/>
          <w:highlight w:val="none"/>
          <w:lang w:eastAsia="zh-CN"/>
        </w:rPr>
        <w:t>安全检查表法评价</w:t>
      </w:r>
      <w:bookmarkEnd w:id="224"/>
      <w:bookmarkEnd w:id="225"/>
      <w:bookmarkEnd w:id="226"/>
    </w:p>
    <w:p w14:paraId="0C7CE084">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hint="eastAsia" w:ascii="Times New Roman Regular" w:hAnsi="Times New Roman Regular" w:eastAsia="宋体" w:cs="Times New Roman Regular"/>
          <w:color w:val="auto"/>
          <w:spacing w:val="7"/>
          <w:sz w:val="28"/>
          <w:szCs w:val="28"/>
          <w:highlight w:val="none"/>
          <w:lang w:eastAsia="zh-CN"/>
        </w:rPr>
        <w:t>根据《辽宁省安全生产监督管理局关于进一步规范非煤矿矿山安全生产行政许可管理工作的通知》（辽安监非煤〔2018〕29号），采用安全检查表法对该尾矿库安全生产许可证相关延期内容进行符合性评价，详见表5.8-1。</w:t>
      </w:r>
    </w:p>
    <w:p w14:paraId="2DBDEAF1">
      <w:pPr>
        <w:spacing w:line="400" w:lineRule="exact"/>
        <w:jc w:val="center"/>
        <w:rPr>
          <w:rFonts w:hint="eastAsia" w:ascii="黑体" w:hAnsi="黑体" w:eastAsia="黑体" w:cs="黑体"/>
          <w:bCs/>
          <w:color w:val="auto"/>
          <w:sz w:val="24"/>
          <w:highlight w:val="none"/>
          <w:lang w:eastAsia="zh-CN"/>
        </w:rPr>
      </w:pPr>
      <w:r>
        <w:rPr>
          <w:rFonts w:ascii="黑体" w:hAnsi="黑体" w:eastAsia="黑体" w:cs="黑体"/>
          <w:bCs/>
          <w:color w:val="auto"/>
          <w:sz w:val="24"/>
          <w:highlight w:val="none"/>
          <w:lang w:eastAsia="zh-CN"/>
        </w:rPr>
        <w:t xml:space="preserve">表5.8-1 </w:t>
      </w:r>
      <w:r>
        <w:rPr>
          <w:rFonts w:hint="eastAsia" w:ascii="黑体" w:hAnsi="黑体" w:eastAsia="黑体" w:cs="黑体"/>
          <w:bCs/>
          <w:color w:val="auto"/>
          <w:sz w:val="24"/>
          <w:highlight w:val="none"/>
          <w:lang w:eastAsia="zh-CN"/>
        </w:rPr>
        <w:t xml:space="preserve"> </w:t>
      </w:r>
      <w:r>
        <w:rPr>
          <w:rFonts w:ascii="黑体" w:hAnsi="黑体" w:eastAsia="黑体" w:cs="黑体"/>
          <w:bCs/>
          <w:color w:val="auto"/>
          <w:sz w:val="24"/>
          <w:highlight w:val="none"/>
          <w:lang w:eastAsia="zh-CN"/>
        </w:rPr>
        <w:t>“延期换证审核”单元安全检查表</w:t>
      </w:r>
    </w:p>
    <w:tbl>
      <w:tblPr>
        <w:tblStyle w:val="24"/>
        <w:tblW w:w="90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28" w:type="dxa"/>
          <w:left w:w="28" w:type="dxa"/>
          <w:bottom w:w="28" w:type="dxa"/>
          <w:right w:w="28" w:type="dxa"/>
        </w:tblCellMar>
      </w:tblPr>
      <w:tblGrid>
        <w:gridCol w:w="606"/>
        <w:gridCol w:w="3008"/>
        <w:gridCol w:w="1836"/>
        <w:gridCol w:w="2717"/>
        <w:gridCol w:w="836"/>
      </w:tblGrid>
      <w:tr w14:paraId="3B3342B7">
        <w:trPr>
          <w:trHeight w:val="442" w:hRule="atLeast"/>
          <w:tblHeader/>
          <w:jc w:val="center"/>
        </w:trPr>
        <w:tc>
          <w:tcPr>
            <w:tcW w:w="606" w:type="dxa"/>
            <w:vAlign w:val="center"/>
          </w:tcPr>
          <w:p w14:paraId="69EAE1DC">
            <w:pPr>
              <w:jc w:val="center"/>
              <w:rPr>
                <w:rFonts w:hint="eastAsia" w:ascii="宋体" w:hAnsi="宋体" w:eastAsia="宋体" w:cs="宋体"/>
                <w:color w:val="auto"/>
                <w:highlight w:val="none"/>
              </w:rPr>
            </w:pPr>
            <w:r>
              <w:rPr>
                <w:rFonts w:ascii="宋体" w:hAnsi="宋体" w:eastAsia="宋体" w:cs="宋体"/>
                <w:color w:val="auto"/>
                <w:spacing w:val="5"/>
                <w:highlight w:val="none"/>
              </w:rPr>
              <w:t>序号</w:t>
            </w:r>
          </w:p>
        </w:tc>
        <w:tc>
          <w:tcPr>
            <w:tcW w:w="3008" w:type="dxa"/>
            <w:vAlign w:val="center"/>
          </w:tcPr>
          <w:p w14:paraId="72E7AB9B">
            <w:pPr>
              <w:jc w:val="center"/>
              <w:rPr>
                <w:rFonts w:hint="eastAsia" w:ascii="宋体" w:hAnsi="宋体" w:eastAsia="宋体" w:cs="宋体"/>
                <w:color w:val="auto"/>
                <w:highlight w:val="none"/>
              </w:rPr>
            </w:pPr>
            <w:r>
              <w:rPr>
                <w:rFonts w:ascii="Times New Roman" w:hAnsi="Times New Roman" w:eastAsia="宋体" w:cs="Times New Roman"/>
                <w:color w:val="auto"/>
                <w:spacing w:val="8"/>
                <w:highlight w:val="none"/>
              </w:rPr>
              <w:t>检查项目及内容</w:t>
            </w:r>
          </w:p>
        </w:tc>
        <w:tc>
          <w:tcPr>
            <w:tcW w:w="1836" w:type="dxa"/>
            <w:vAlign w:val="center"/>
          </w:tcPr>
          <w:p w14:paraId="3CAF4EB9">
            <w:pPr>
              <w:jc w:val="center"/>
              <w:rPr>
                <w:rFonts w:hint="eastAsia" w:ascii="宋体" w:hAnsi="宋体" w:eastAsia="宋体" w:cs="宋体"/>
                <w:color w:val="auto"/>
                <w:highlight w:val="none"/>
              </w:rPr>
            </w:pPr>
            <w:r>
              <w:rPr>
                <w:rFonts w:ascii="Times New Roman" w:hAnsi="Times New Roman" w:eastAsia="宋体" w:cs="Times New Roman"/>
                <w:color w:val="auto"/>
                <w:spacing w:val="7"/>
                <w:highlight w:val="none"/>
              </w:rPr>
              <w:t>检查依据</w:t>
            </w:r>
          </w:p>
        </w:tc>
        <w:tc>
          <w:tcPr>
            <w:tcW w:w="2717" w:type="dxa"/>
            <w:vAlign w:val="center"/>
          </w:tcPr>
          <w:p w14:paraId="2C6BDAF6">
            <w:pPr>
              <w:jc w:val="center"/>
              <w:rPr>
                <w:rFonts w:hint="eastAsia" w:ascii="宋体" w:hAnsi="宋体" w:eastAsia="宋体" w:cs="宋体"/>
                <w:color w:val="auto"/>
                <w:highlight w:val="none"/>
              </w:rPr>
            </w:pPr>
            <w:r>
              <w:rPr>
                <w:rFonts w:ascii="Times New Roman" w:hAnsi="Times New Roman" w:eastAsia="宋体" w:cs="Times New Roman"/>
                <w:color w:val="auto"/>
                <w:spacing w:val="6"/>
                <w:highlight w:val="none"/>
              </w:rPr>
              <w:t>实际情况</w:t>
            </w:r>
          </w:p>
        </w:tc>
        <w:tc>
          <w:tcPr>
            <w:tcW w:w="836" w:type="dxa"/>
            <w:vAlign w:val="center"/>
          </w:tcPr>
          <w:p w14:paraId="40BBDB58">
            <w:pPr>
              <w:jc w:val="center"/>
              <w:rPr>
                <w:rFonts w:ascii="Times New Roman" w:hAnsi="Times New Roman" w:eastAsia="宋体" w:cs="Times New Roman"/>
                <w:color w:val="auto"/>
                <w:spacing w:val="7"/>
                <w:highlight w:val="none"/>
              </w:rPr>
            </w:pPr>
            <w:r>
              <w:rPr>
                <w:rFonts w:ascii="Times New Roman" w:hAnsi="Times New Roman" w:eastAsia="宋体" w:cs="Times New Roman"/>
                <w:color w:val="auto"/>
                <w:spacing w:val="7"/>
                <w:highlight w:val="none"/>
              </w:rPr>
              <w:t>检查</w:t>
            </w:r>
          </w:p>
          <w:p w14:paraId="01DA9FDB">
            <w:pPr>
              <w:jc w:val="center"/>
              <w:rPr>
                <w:rFonts w:hint="eastAsia" w:ascii="宋体" w:hAnsi="宋体" w:eastAsia="宋体" w:cs="宋体"/>
                <w:color w:val="auto"/>
                <w:highlight w:val="none"/>
              </w:rPr>
            </w:pPr>
            <w:r>
              <w:rPr>
                <w:rFonts w:ascii="Times New Roman" w:hAnsi="Times New Roman" w:eastAsia="宋体" w:cs="Times New Roman"/>
                <w:color w:val="auto"/>
                <w:spacing w:val="7"/>
                <w:highlight w:val="none"/>
              </w:rPr>
              <w:t>结果</w:t>
            </w:r>
          </w:p>
        </w:tc>
      </w:tr>
      <w:tr w14:paraId="072D3C50">
        <w:trPr>
          <w:trHeight w:val="961" w:hRule="atLeast"/>
          <w:jc w:val="center"/>
        </w:trPr>
        <w:tc>
          <w:tcPr>
            <w:tcW w:w="606" w:type="dxa"/>
            <w:vAlign w:val="center"/>
          </w:tcPr>
          <w:p w14:paraId="38933C20">
            <w:pPr>
              <w:numPr>
                <w:ilvl w:val="0"/>
                <w:numId w:val="15"/>
              </w:numPr>
              <w:tabs>
                <w:tab w:val="clear" w:pos="0"/>
              </w:tabs>
              <w:spacing w:line="240" w:lineRule="exact"/>
              <w:jc w:val="center"/>
              <w:rPr>
                <w:rFonts w:eastAsia="仿宋"/>
                <w:color w:val="auto"/>
                <w:highlight w:val="none"/>
              </w:rPr>
            </w:pPr>
          </w:p>
        </w:tc>
        <w:tc>
          <w:tcPr>
            <w:tcW w:w="3008" w:type="dxa"/>
            <w:vAlign w:val="center"/>
          </w:tcPr>
          <w:p w14:paraId="037679B6">
            <w:pPr>
              <w:jc w:val="cente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8"/>
                <w:highlight w:val="none"/>
                <w:lang w:eastAsia="zh-CN"/>
              </w:rPr>
              <w:t>安全生产许可证延期申请书</w:t>
            </w:r>
          </w:p>
        </w:tc>
        <w:tc>
          <w:tcPr>
            <w:tcW w:w="1836" w:type="dxa"/>
            <w:vAlign w:val="center"/>
          </w:tcPr>
          <w:p w14:paraId="7327E5AC">
            <w:pPr>
              <w:jc w:val="center"/>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5CA2FE47">
            <w:pPr>
              <w:jc w:val="both"/>
              <w:rPr>
                <w:rFonts w:ascii="Times New Roman" w:hAnsi="Times New Roman" w:eastAsia="宋体" w:cs="Times New Roman"/>
                <w:color w:val="auto"/>
                <w:highlight w:val="none"/>
                <w:lang w:eastAsia="zh-CN"/>
              </w:rPr>
            </w:pPr>
          </w:p>
        </w:tc>
        <w:tc>
          <w:tcPr>
            <w:tcW w:w="836" w:type="dxa"/>
            <w:vAlign w:val="center"/>
          </w:tcPr>
          <w:p w14:paraId="7401E14D">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4E5F455A">
        <w:trPr>
          <w:trHeight w:val="1301" w:hRule="atLeast"/>
          <w:jc w:val="center"/>
        </w:trPr>
        <w:tc>
          <w:tcPr>
            <w:tcW w:w="606" w:type="dxa"/>
            <w:vAlign w:val="center"/>
          </w:tcPr>
          <w:p w14:paraId="6D6F8DEB">
            <w:pPr>
              <w:numPr>
                <w:ilvl w:val="0"/>
                <w:numId w:val="15"/>
              </w:numPr>
              <w:tabs>
                <w:tab w:val="clear" w:pos="0"/>
              </w:tabs>
              <w:spacing w:line="240" w:lineRule="exact"/>
              <w:jc w:val="center"/>
              <w:rPr>
                <w:rFonts w:eastAsia="仿宋"/>
                <w:color w:val="auto"/>
                <w:highlight w:val="none"/>
              </w:rPr>
            </w:pPr>
          </w:p>
        </w:tc>
        <w:tc>
          <w:tcPr>
            <w:tcW w:w="3008" w:type="dxa"/>
            <w:vAlign w:val="center"/>
          </w:tcPr>
          <w:p w14:paraId="6BA46DCC">
            <w:pPr>
              <w:jc w:val="cente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8"/>
                <w:highlight w:val="none"/>
              </w:rPr>
              <w:t>工商营业执照复印件</w:t>
            </w:r>
          </w:p>
        </w:tc>
        <w:tc>
          <w:tcPr>
            <w:tcW w:w="1836" w:type="dxa"/>
            <w:vAlign w:val="center"/>
          </w:tcPr>
          <w:p w14:paraId="1E152E03">
            <w:pPr>
              <w:jc w:val="center"/>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2D92E928">
            <w:pPr>
              <w:jc w:val="both"/>
              <w:rPr>
                <w:rFonts w:ascii="Times New Roman" w:hAnsi="Times New Roman" w:eastAsia="宋体" w:cs="Times New Roman"/>
                <w:color w:val="auto"/>
                <w:highlight w:val="none"/>
                <w:lang w:eastAsia="zh-CN"/>
              </w:rPr>
            </w:pPr>
          </w:p>
        </w:tc>
        <w:tc>
          <w:tcPr>
            <w:tcW w:w="836" w:type="dxa"/>
            <w:vAlign w:val="center"/>
          </w:tcPr>
          <w:p w14:paraId="7807629E">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0447E490">
        <w:trPr>
          <w:trHeight w:val="1170" w:hRule="atLeast"/>
          <w:jc w:val="center"/>
        </w:trPr>
        <w:tc>
          <w:tcPr>
            <w:tcW w:w="606" w:type="dxa"/>
            <w:vAlign w:val="center"/>
          </w:tcPr>
          <w:p w14:paraId="37F47493">
            <w:pPr>
              <w:numPr>
                <w:ilvl w:val="0"/>
                <w:numId w:val="15"/>
              </w:numPr>
              <w:tabs>
                <w:tab w:val="clear" w:pos="0"/>
              </w:tabs>
              <w:spacing w:line="240" w:lineRule="exact"/>
              <w:jc w:val="center"/>
              <w:rPr>
                <w:rFonts w:eastAsia="仿宋"/>
                <w:color w:val="auto"/>
                <w:highlight w:val="none"/>
              </w:rPr>
            </w:pPr>
          </w:p>
        </w:tc>
        <w:tc>
          <w:tcPr>
            <w:tcW w:w="3008" w:type="dxa"/>
            <w:vAlign w:val="center"/>
          </w:tcPr>
          <w:p w14:paraId="3828EDF1">
            <w:pPr>
              <w:jc w:val="cente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8"/>
                <w:highlight w:val="none"/>
                <w:lang w:eastAsia="zh-CN"/>
              </w:rPr>
              <w:t>各种安全生产责任制复印件</w:t>
            </w:r>
          </w:p>
        </w:tc>
        <w:tc>
          <w:tcPr>
            <w:tcW w:w="1836" w:type="dxa"/>
            <w:vAlign w:val="center"/>
          </w:tcPr>
          <w:p w14:paraId="153CF56B">
            <w:pPr>
              <w:jc w:val="center"/>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5E9FCC8E">
            <w:pPr>
              <w:jc w:val="both"/>
              <w:rPr>
                <w:rFonts w:ascii="Times New Roman" w:hAnsi="Times New Roman" w:eastAsia="宋体" w:cs="Times New Roman"/>
                <w:color w:val="auto"/>
                <w:highlight w:val="none"/>
                <w:lang w:eastAsia="zh-CN"/>
              </w:rPr>
            </w:pPr>
          </w:p>
        </w:tc>
        <w:tc>
          <w:tcPr>
            <w:tcW w:w="836" w:type="dxa"/>
            <w:vAlign w:val="center"/>
          </w:tcPr>
          <w:p w14:paraId="337756C0">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24DF2A5C">
        <w:trPr>
          <w:trHeight w:val="1135" w:hRule="atLeast"/>
          <w:jc w:val="center"/>
        </w:trPr>
        <w:tc>
          <w:tcPr>
            <w:tcW w:w="606" w:type="dxa"/>
            <w:vAlign w:val="center"/>
          </w:tcPr>
          <w:p w14:paraId="55180F80">
            <w:pPr>
              <w:numPr>
                <w:ilvl w:val="0"/>
                <w:numId w:val="15"/>
              </w:numPr>
              <w:tabs>
                <w:tab w:val="clear" w:pos="0"/>
              </w:tabs>
              <w:spacing w:line="240" w:lineRule="exact"/>
              <w:jc w:val="center"/>
              <w:rPr>
                <w:rFonts w:eastAsia="仿宋"/>
                <w:color w:val="auto"/>
                <w:highlight w:val="none"/>
              </w:rPr>
            </w:pPr>
          </w:p>
        </w:tc>
        <w:tc>
          <w:tcPr>
            <w:tcW w:w="3008" w:type="dxa"/>
            <w:vAlign w:val="center"/>
          </w:tcPr>
          <w:p w14:paraId="17177B44">
            <w:pPr>
              <w:ind w:firstLine="3"/>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8"/>
                <w:highlight w:val="none"/>
                <w:lang w:eastAsia="zh-CN"/>
              </w:rPr>
              <w:t>安全生产规章制度和操作规程目</w:t>
            </w:r>
            <w:r>
              <w:rPr>
                <w:rFonts w:ascii="Times New Roman" w:hAnsi="Times New Roman" w:eastAsia="宋体" w:cs="Times New Roman"/>
                <w:color w:val="auto"/>
                <w:spacing w:val="6"/>
                <w:highlight w:val="none"/>
                <w:lang w:eastAsia="zh-CN"/>
              </w:rPr>
              <w:t>录清单</w:t>
            </w:r>
          </w:p>
        </w:tc>
        <w:tc>
          <w:tcPr>
            <w:tcW w:w="1836" w:type="dxa"/>
            <w:vAlign w:val="center"/>
          </w:tcPr>
          <w:p w14:paraId="7AE0AA67">
            <w:pPr>
              <w:jc w:val="center"/>
              <w:rPr>
                <w:rFonts w:ascii="Times New Roman" w:hAnsi="Times New Roman" w:eastAsia="宋体" w:cs="Times New Roman"/>
                <w:color w:val="auto"/>
                <w:highlight w:val="none"/>
                <w:lang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17F6354B">
            <w:pPr>
              <w:jc w:val="both"/>
              <w:rPr>
                <w:rFonts w:ascii="Times New Roman" w:hAnsi="Times New Roman" w:eastAsia="宋体" w:cs="Times New Roman"/>
                <w:color w:val="auto"/>
                <w:highlight w:val="none"/>
                <w:lang w:eastAsia="zh-CN"/>
              </w:rPr>
            </w:pPr>
          </w:p>
        </w:tc>
        <w:tc>
          <w:tcPr>
            <w:tcW w:w="836" w:type="dxa"/>
            <w:vAlign w:val="center"/>
          </w:tcPr>
          <w:p w14:paraId="5B674C18">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53138767">
        <w:trPr>
          <w:trHeight w:val="1111" w:hRule="atLeast"/>
          <w:jc w:val="center"/>
        </w:trPr>
        <w:tc>
          <w:tcPr>
            <w:tcW w:w="606" w:type="dxa"/>
            <w:vAlign w:val="center"/>
          </w:tcPr>
          <w:p w14:paraId="2068C5A5">
            <w:pPr>
              <w:numPr>
                <w:ilvl w:val="0"/>
                <w:numId w:val="15"/>
              </w:numPr>
              <w:tabs>
                <w:tab w:val="clear" w:pos="0"/>
              </w:tabs>
              <w:spacing w:line="240" w:lineRule="exact"/>
              <w:jc w:val="center"/>
              <w:rPr>
                <w:rFonts w:eastAsia="仿宋"/>
                <w:color w:val="auto"/>
                <w:highlight w:val="none"/>
                <w:lang w:eastAsia="zh-CN"/>
              </w:rPr>
            </w:pPr>
          </w:p>
        </w:tc>
        <w:tc>
          <w:tcPr>
            <w:tcW w:w="3008" w:type="dxa"/>
            <w:vAlign w:val="center"/>
          </w:tcPr>
          <w:p w14:paraId="6E730396">
            <w:pPr>
              <w:ind w:firstLine="2"/>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设置安全生产管理机构或者配备专职安全生产管理人员的文件复</w:t>
            </w:r>
            <w:r>
              <w:rPr>
                <w:rFonts w:ascii="Times New Roman" w:hAnsi="Times New Roman" w:eastAsia="宋体" w:cs="Times New Roman"/>
                <w:color w:val="auto"/>
                <w:spacing w:val="4"/>
                <w:highlight w:val="none"/>
                <w:lang w:eastAsia="zh-CN"/>
              </w:rPr>
              <w:t>印件</w:t>
            </w:r>
          </w:p>
        </w:tc>
        <w:tc>
          <w:tcPr>
            <w:tcW w:w="1836" w:type="dxa"/>
            <w:vAlign w:val="center"/>
          </w:tcPr>
          <w:p w14:paraId="4D5D779E">
            <w:pPr>
              <w:jc w:val="both"/>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15C2D86B">
            <w:pPr>
              <w:jc w:val="both"/>
              <w:rPr>
                <w:rFonts w:ascii="Times New Roman" w:hAnsi="Times New Roman" w:eastAsia="宋体" w:cs="Times New Roman"/>
                <w:color w:val="auto"/>
                <w:highlight w:val="none"/>
                <w:lang w:eastAsia="zh-CN"/>
              </w:rPr>
            </w:pPr>
          </w:p>
        </w:tc>
        <w:tc>
          <w:tcPr>
            <w:tcW w:w="836" w:type="dxa"/>
            <w:vAlign w:val="center"/>
          </w:tcPr>
          <w:p w14:paraId="6EF5498D">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4F6F5BDA">
        <w:trPr>
          <w:trHeight w:val="1346" w:hRule="atLeast"/>
          <w:jc w:val="center"/>
        </w:trPr>
        <w:tc>
          <w:tcPr>
            <w:tcW w:w="606" w:type="dxa"/>
            <w:vAlign w:val="center"/>
          </w:tcPr>
          <w:p w14:paraId="2F3E6AE3">
            <w:pPr>
              <w:numPr>
                <w:ilvl w:val="0"/>
                <w:numId w:val="15"/>
              </w:numPr>
              <w:tabs>
                <w:tab w:val="clear" w:pos="0"/>
              </w:tabs>
              <w:spacing w:line="240" w:lineRule="exact"/>
              <w:jc w:val="center"/>
              <w:rPr>
                <w:rFonts w:eastAsia="仿宋"/>
                <w:color w:val="auto"/>
                <w:highlight w:val="none"/>
                <w:lang w:eastAsia="zh-CN"/>
              </w:rPr>
            </w:pPr>
          </w:p>
        </w:tc>
        <w:tc>
          <w:tcPr>
            <w:tcW w:w="3008" w:type="dxa"/>
            <w:vAlign w:val="center"/>
          </w:tcPr>
          <w:p w14:paraId="08975298">
            <w:pPr>
              <w:ind w:firstLine="1"/>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主要负责人和安全生产管理人员安全生产知识和管理能力考核合</w:t>
            </w:r>
            <w:r>
              <w:rPr>
                <w:rFonts w:ascii="Times New Roman" w:hAnsi="Times New Roman" w:eastAsia="宋体" w:cs="Times New Roman"/>
                <w:color w:val="auto"/>
                <w:spacing w:val="8"/>
                <w:highlight w:val="none"/>
                <w:lang w:eastAsia="zh-CN"/>
              </w:rPr>
              <w:t>格证复印件</w:t>
            </w:r>
          </w:p>
        </w:tc>
        <w:tc>
          <w:tcPr>
            <w:tcW w:w="1836" w:type="dxa"/>
            <w:vAlign w:val="center"/>
          </w:tcPr>
          <w:p w14:paraId="304859AD">
            <w:pPr>
              <w:jc w:val="both"/>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62A50E1F">
            <w:pPr>
              <w:jc w:val="both"/>
              <w:rPr>
                <w:rFonts w:ascii="Times New Roman" w:hAnsi="Times New Roman" w:eastAsia="宋体" w:cs="Times New Roman"/>
                <w:color w:val="auto"/>
                <w:highlight w:val="none"/>
                <w:lang w:eastAsia="zh-CN"/>
              </w:rPr>
            </w:pPr>
          </w:p>
        </w:tc>
        <w:tc>
          <w:tcPr>
            <w:tcW w:w="836" w:type="dxa"/>
            <w:vAlign w:val="center"/>
          </w:tcPr>
          <w:p w14:paraId="711BB804">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0457D51D">
        <w:trPr>
          <w:trHeight w:val="1231" w:hRule="atLeast"/>
          <w:jc w:val="center"/>
        </w:trPr>
        <w:tc>
          <w:tcPr>
            <w:tcW w:w="606" w:type="dxa"/>
            <w:vAlign w:val="center"/>
          </w:tcPr>
          <w:p w14:paraId="7E239155">
            <w:pPr>
              <w:numPr>
                <w:ilvl w:val="0"/>
                <w:numId w:val="15"/>
              </w:numPr>
              <w:tabs>
                <w:tab w:val="clear" w:pos="0"/>
              </w:tabs>
              <w:spacing w:line="240" w:lineRule="exact"/>
              <w:jc w:val="center"/>
              <w:rPr>
                <w:rFonts w:eastAsia="仿宋"/>
                <w:color w:val="auto"/>
                <w:highlight w:val="none"/>
                <w:lang w:eastAsia="zh-CN"/>
              </w:rPr>
            </w:pPr>
          </w:p>
        </w:tc>
        <w:tc>
          <w:tcPr>
            <w:tcW w:w="3008" w:type="dxa"/>
            <w:vAlign w:val="center"/>
          </w:tcPr>
          <w:p w14:paraId="358B7399">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特种作业人员操作资格证书复印</w:t>
            </w:r>
            <w:r>
              <w:rPr>
                <w:rFonts w:ascii="Times New Roman" w:hAnsi="Times New Roman" w:eastAsia="宋体" w:cs="Times New Roman"/>
                <w:color w:val="auto"/>
                <w:spacing w:val="1"/>
                <w:highlight w:val="none"/>
                <w:lang w:eastAsia="zh-CN"/>
              </w:rPr>
              <w:t>件</w:t>
            </w:r>
          </w:p>
        </w:tc>
        <w:tc>
          <w:tcPr>
            <w:tcW w:w="1836" w:type="dxa"/>
            <w:vAlign w:val="center"/>
          </w:tcPr>
          <w:p w14:paraId="41DE8907">
            <w:pPr>
              <w:jc w:val="both"/>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113BA039">
            <w:pPr>
              <w:jc w:val="both"/>
              <w:rPr>
                <w:rFonts w:ascii="Times New Roman" w:hAnsi="Times New Roman" w:eastAsia="宋体" w:cs="Times New Roman"/>
                <w:color w:val="auto"/>
                <w:highlight w:val="none"/>
                <w:lang w:eastAsia="zh-CN"/>
              </w:rPr>
            </w:pPr>
          </w:p>
        </w:tc>
        <w:tc>
          <w:tcPr>
            <w:tcW w:w="836" w:type="dxa"/>
            <w:vAlign w:val="center"/>
          </w:tcPr>
          <w:p w14:paraId="377E538B">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622C7D2E">
        <w:trPr>
          <w:trHeight w:val="1584" w:hRule="atLeast"/>
          <w:jc w:val="center"/>
        </w:trPr>
        <w:tc>
          <w:tcPr>
            <w:tcW w:w="606" w:type="dxa"/>
            <w:vAlign w:val="center"/>
          </w:tcPr>
          <w:p w14:paraId="3897764E">
            <w:pPr>
              <w:numPr>
                <w:ilvl w:val="0"/>
                <w:numId w:val="15"/>
              </w:numPr>
              <w:tabs>
                <w:tab w:val="clear" w:pos="0"/>
              </w:tabs>
              <w:spacing w:line="240" w:lineRule="exact"/>
              <w:jc w:val="center"/>
              <w:rPr>
                <w:rFonts w:eastAsia="仿宋"/>
                <w:color w:val="auto"/>
                <w:highlight w:val="none"/>
                <w:lang w:eastAsia="zh-CN"/>
              </w:rPr>
            </w:pPr>
          </w:p>
        </w:tc>
        <w:tc>
          <w:tcPr>
            <w:tcW w:w="3008" w:type="dxa"/>
            <w:vAlign w:val="center"/>
          </w:tcPr>
          <w:p w14:paraId="25A24DBA">
            <w:pPr>
              <w:ind w:firstLine="4"/>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足额提取安全生产费用的证明材料（地质勘探单位、采掘施工企</w:t>
            </w:r>
            <w:r>
              <w:rPr>
                <w:rFonts w:ascii="Times New Roman" w:hAnsi="Times New Roman" w:eastAsia="宋体" w:cs="Times New Roman"/>
                <w:color w:val="auto"/>
                <w:spacing w:val="7"/>
                <w:highlight w:val="none"/>
                <w:lang w:eastAsia="zh-CN"/>
              </w:rPr>
              <w:t>业不需要提交）。</w:t>
            </w:r>
          </w:p>
        </w:tc>
        <w:tc>
          <w:tcPr>
            <w:tcW w:w="1836" w:type="dxa"/>
            <w:vAlign w:val="center"/>
          </w:tcPr>
          <w:p w14:paraId="5E8CA5AC">
            <w:pPr>
              <w:jc w:val="both"/>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54BC8DCD">
            <w:pPr>
              <w:pStyle w:val="25"/>
              <w:jc w:val="both"/>
              <w:rPr>
                <w:rFonts w:eastAsia="宋体"/>
                <w:color w:val="auto"/>
                <w:sz w:val="21"/>
                <w:szCs w:val="21"/>
                <w:highlight w:val="none"/>
                <w:lang w:eastAsia="zh-CN"/>
              </w:rPr>
            </w:pPr>
          </w:p>
        </w:tc>
        <w:tc>
          <w:tcPr>
            <w:tcW w:w="836" w:type="dxa"/>
            <w:vAlign w:val="center"/>
          </w:tcPr>
          <w:p w14:paraId="6098D4E7">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6D0D0120">
        <w:trPr>
          <w:trHeight w:val="1629" w:hRule="atLeast"/>
          <w:jc w:val="center"/>
        </w:trPr>
        <w:tc>
          <w:tcPr>
            <w:tcW w:w="606" w:type="dxa"/>
            <w:vAlign w:val="center"/>
          </w:tcPr>
          <w:p w14:paraId="5FCB30B1">
            <w:pPr>
              <w:numPr>
                <w:ilvl w:val="0"/>
                <w:numId w:val="15"/>
              </w:numPr>
              <w:tabs>
                <w:tab w:val="clear" w:pos="0"/>
              </w:tabs>
              <w:spacing w:line="240" w:lineRule="exact"/>
              <w:jc w:val="center"/>
              <w:rPr>
                <w:rFonts w:eastAsia="仿宋"/>
                <w:color w:val="auto"/>
                <w:highlight w:val="none"/>
                <w:lang w:eastAsia="zh-CN"/>
              </w:rPr>
            </w:pPr>
          </w:p>
        </w:tc>
        <w:tc>
          <w:tcPr>
            <w:tcW w:w="3008" w:type="dxa"/>
            <w:vAlign w:val="center"/>
          </w:tcPr>
          <w:p w14:paraId="1117CE1F">
            <w:pPr>
              <w:ind w:firstLine="2"/>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为从业人员缴纳工伤保险费的证明材料；因特殊情况不能办理工伤保险的，可以出具办理安全生</w:t>
            </w:r>
            <w:r>
              <w:rPr>
                <w:rFonts w:ascii="Times New Roman" w:hAnsi="Times New Roman" w:eastAsia="宋体" w:cs="Times New Roman"/>
                <w:color w:val="auto"/>
                <w:spacing w:val="8"/>
                <w:highlight w:val="none"/>
                <w:lang w:eastAsia="zh-CN"/>
              </w:rPr>
              <w:t>产责任保险的证明材料。</w:t>
            </w:r>
          </w:p>
        </w:tc>
        <w:tc>
          <w:tcPr>
            <w:tcW w:w="1836" w:type="dxa"/>
            <w:vAlign w:val="center"/>
          </w:tcPr>
          <w:p w14:paraId="594B2A3E">
            <w:pPr>
              <w:jc w:val="both"/>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33A06218">
            <w:pPr>
              <w:jc w:val="both"/>
              <w:rPr>
                <w:rFonts w:ascii="Times New Roman" w:hAnsi="Times New Roman" w:eastAsia="宋体" w:cs="Times New Roman"/>
                <w:color w:val="auto"/>
                <w:highlight w:val="none"/>
                <w:lang w:eastAsia="zh-CN"/>
              </w:rPr>
            </w:pPr>
            <w:bookmarkStart w:id="266" w:name="_GoBack"/>
            <w:bookmarkEnd w:id="266"/>
          </w:p>
        </w:tc>
        <w:tc>
          <w:tcPr>
            <w:tcW w:w="836" w:type="dxa"/>
            <w:vAlign w:val="center"/>
          </w:tcPr>
          <w:p w14:paraId="2ADFF6D5">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2F9049CF">
        <w:trPr>
          <w:trHeight w:val="2675" w:hRule="atLeast"/>
          <w:jc w:val="center"/>
        </w:trPr>
        <w:tc>
          <w:tcPr>
            <w:tcW w:w="606" w:type="dxa"/>
            <w:vAlign w:val="center"/>
          </w:tcPr>
          <w:p w14:paraId="26F107DC">
            <w:pPr>
              <w:numPr>
                <w:ilvl w:val="0"/>
                <w:numId w:val="15"/>
              </w:numPr>
              <w:tabs>
                <w:tab w:val="clear" w:pos="0"/>
              </w:tabs>
              <w:spacing w:line="240" w:lineRule="exact"/>
              <w:jc w:val="center"/>
              <w:rPr>
                <w:rFonts w:eastAsia="仿宋"/>
                <w:color w:val="auto"/>
                <w:highlight w:val="none"/>
                <w:lang w:eastAsia="zh-CN"/>
              </w:rPr>
            </w:pPr>
          </w:p>
        </w:tc>
        <w:tc>
          <w:tcPr>
            <w:tcW w:w="3008" w:type="dxa"/>
            <w:vAlign w:val="center"/>
          </w:tcPr>
          <w:p w14:paraId="07C757AB">
            <w:pPr>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事故应急救援预案，设立事故应急救援组织的文件或者与矿山救护队、其他应急救援组织签订的</w:t>
            </w:r>
            <w:r>
              <w:rPr>
                <w:rFonts w:ascii="Times New Roman" w:hAnsi="Times New Roman" w:eastAsia="宋体" w:cs="Times New Roman"/>
                <w:color w:val="auto"/>
                <w:spacing w:val="7"/>
                <w:highlight w:val="none"/>
                <w:lang w:eastAsia="zh-CN"/>
              </w:rPr>
              <w:t>救护协议</w:t>
            </w:r>
            <w:r>
              <w:rPr>
                <w:rFonts w:hint="eastAsia" w:ascii="Times New Roman" w:hAnsi="Times New Roman" w:eastAsia="宋体" w:cs="Times New Roman"/>
                <w:color w:val="auto"/>
                <w:spacing w:val="7"/>
                <w:highlight w:val="none"/>
                <w:lang w:eastAsia="zh-CN"/>
              </w:rPr>
              <w:t>。</w:t>
            </w:r>
          </w:p>
        </w:tc>
        <w:tc>
          <w:tcPr>
            <w:tcW w:w="1836" w:type="dxa"/>
            <w:vAlign w:val="center"/>
          </w:tcPr>
          <w:p w14:paraId="057AFF4F">
            <w:pPr>
              <w:jc w:val="both"/>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5AA1386A">
            <w:pPr>
              <w:jc w:val="both"/>
              <w:rPr>
                <w:rFonts w:ascii="Times New Roman" w:hAnsi="Times New Roman" w:eastAsia="宋体" w:cs="Times New Roman"/>
                <w:color w:val="auto"/>
                <w:highlight w:val="none"/>
                <w:lang w:eastAsia="zh-CN"/>
              </w:rPr>
            </w:pPr>
          </w:p>
        </w:tc>
        <w:tc>
          <w:tcPr>
            <w:tcW w:w="836" w:type="dxa"/>
            <w:vAlign w:val="center"/>
          </w:tcPr>
          <w:p w14:paraId="75FE159E">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22000E62">
        <w:trPr>
          <w:trHeight w:val="2462" w:hRule="atLeast"/>
          <w:jc w:val="center"/>
        </w:trPr>
        <w:tc>
          <w:tcPr>
            <w:tcW w:w="606" w:type="dxa"/>
            <w:vAlign w:val="center"/>
          </w:tcPr>
          <w:p w14:paraId="4D6C43F8">
            <w:pPr>
              <w:numPr>
                <w:ilvl w:val="0"/>
                <w:numId w:val="15"/>
              </w:numPr>
              <w:tabs>
                <w:tab w:val="clear" w:pos="0"/>
              </w:tabs>
              <w:spacing w:line="240" w:lineRule="exact"/>
              <w:jc w:val="center"/>
              <w:rPr>
                <w:rFonts w:eastAsia="仿宋"/>
                <w:color w:val="auto"/>
                <w:highlight w:val="none"/>
                <w:lang w:eastAsia="zh-CN"/>
              </w:rPr>
            </w:pPr>
          </w:p>
        </w:tc>
        <w:tc>
          <w:tcPr>
            <w:tcW w:w="3008" w:type="dxa"/>
            <w:vAlign w:val="center"/>
          </w:tcPr>
          <w:p w14:paraId="4D785CA8">
            <w:pPr>
              <w:ind w:firstLine="1"/>
              <w:jc w:val="both"/>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9"/>
                <w:highlight w:val="none"/>
                <w:lang w:eastAsia="zh-CN"/>
              </w:rPr>
              <w:t>金属非金属矿山独立生产系统和</w:t>
            </w:r>
            <w:r>
              <w:rPr>
                <w:rFonts w:ascii="Times New Roman" w:hAnsi="Times New Roman" w:eastAsia="宋体" w:cs="Times New Roman"/>
                <w:color w:val="auto"/>
                <w:spacing w:val="6"/>
                <w:highlight w:val="none"/>
                <w:lang w:eastAsia="zh-CN"/>
              </w:rPr>
              <w:t>尾矿库，以及石油天然气独立生</w:t>
            </w:r>
            <w:r>
              <w:rPr>
                <w:rFonts w:ascii="Times New Roman" w:hAnsi="Times New Roman" w:eastAsia="宋体" w:cs="Times New Roman"/>
                <w:color w:val="auto"/>
                <w:spacing w:val="9"/>
                <w:highlight w:val="none"/>
                <w:lang w:eastAsia="zh-CN"/>
              </w:rPr>
              <w:t>产系统和作业单位需提交由具备相应资质的中介服务机构出具的合格的安全现状评价报告</w:t>
            </w:r>
            <w:r>
              <w:rPr>
                <w:rFonts w:hint="eastAsia" w:ascii="Times New Roman" w:hAnsi="Times New Roman" w:eastAsia="宋体" w:cs="Times New Roman"/>
                <w:color w:val="auto"/>
                <w:spacing w:val="9"/>
                <w:highlight w:val="none"/>
                <w:lang w:eastAsia="zh-CN"/>
              </w:rPr>
              <w:t>。</w:t>
            </w:r>
          </w:p>
        </w:tc>
        <w:tc>
          <w:tcPr>
            <w:tcW w:w="1836" w:type="dxa"/>
            <w:vAlign w:val="center"/>
          </w:tcPr>
          <w:p w14:paraId="1D877186">
            <w:pPr>
              <w:jc w:val="both"/>
              <w:rPr>
                <w:rFonts w:ascii="Times New Roman" w:hAnsi="Times New Roman" w:eastAsia="宋体" w:cs="Times New Roman"/>
                <w:color w:val="auto"/>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701AE902">
            <w:pPr>
              <w:jc w:val="both"/>
              <w:rPr>
                <w:rFonts w:ascii="Times New Roman" w:hAnsi="Times New Roman" w:eastAsia="宋体" w:cs="Times New Roman"/>
                <w:color w:val="auto"/>
                <w:highlight w:val="none"/>
                <w:lang w:eastAsia="zh-CN"/>
              </w:rPr>
            </w:pPr>
          </w:p>
        </w:tc>
        <w:tc>
          <w:tcPr>
            <w:tcW w:w="836" w:type="dxa"/>
            <w:vAlign w:val="center"/>
          </w:tcPr>
          <w:p w14:paraId="5369EEEE">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r w14:paraId="3C378370">
        <w:trPr>
          <w:trHeight w:val="1366" w:hRule="atLeast"/>
          <w:jc w:val="center"/>
        </w:trPr>
        <w:tc>
          <w:tcPr>
            <w:tcW w:w="606" w:type="dxa"/>
            <w:vAlign w:val="center"/>
          </w:tcPr>
          <w:p w14:paraId="77348AFB">
            <w:pPr>
              <w:numPr>
                <w:ilvl w:val="0"/>
                <w:numId w:val="15"/>
              </w:numPr>
              <w:tabs>
                <w:tab w:val="clear" w:pos="0"/>
              </w:tabs>
              <w:spacing w:line="240" w:lineRule="exact"/>
              <w:jc w:val="center"/>
              <w:rPr>
                <w:rFonts w:eastAsia="仿宋"/>
                <w:color w:val="auto"/>
                <w:highlight w:val="none"/>
                <w:lang w:eastAsia="zh-CN"/>
              </w:rPr>
            </w:pPr>
          </w:p>
        </w:tc>
        <w:tc>
          <w:tcPr>
            <w:tcW w:w="3008" w:type="dxa"/>
            <w:vAlign w:val="center"/>
          </w:tcPr>
          <w:p w14:paraId="35C4C708">
            <w:pPr>
              <w:jc w:val="center"/>
              <w:rPr>
                <w:rFonts w:ascii="Times New Roman" w:hAnsi="Times New Roman" w:eastAsia="宋体" w:cs="Times New Roman"/>
                <w:color w:val="auto"/>
                <w:highlight w:val="none"/>
                <w:lang w:eastAsia="zh-CN"/>
              </w:rPr>
            </w:pPr>
            <w:r>
              <w:rPr>
                <w:rFonts w:ascii="Times New Roman" w:hAnsi="Times New Roman" w:eastAsia="宋体" w:cs="Times New Roman"/>
                <w:color w:val="auto"/>
                <w:spacing w:val="8"/>
                <w:highlight w:val="none"/>
                <w:lang w:eastAsia="zh-CN"/>
              </w:rPr>
              <w:t>安全生产许可证正本和副本</w:t>
            </w:r>
          </w:p>
        </w:tc>
        <w:tc>
          <w:tcPr>
            <w:tcW w:w="1836" w:type="dxa"/>
            <w:vAlign w:val="center"/>
          </w:tcPr>
          <w:p w14:paraId="59143D85">
            <w:pPr>
              <w:pStyle w:val="25"/>
              <w:jc w:val="both"/>
              <w:rPr>
                <w:rFonts w:eastAsia="宋体"/>
                <w:color w:val="auto"/>
                <w:sz w:val="21"/>
                <w:szCs w:val="21"/>
                <w:highlight w:val="none"/>
                <w:lang w:val="zh-CN" w:eastAsia="zh-CN"/>
              </w:rPr>
            </w:pPr>
            <w:r>
              <w:rPr>
                <w:rFonts w:ascii="Times New Roman Regular" w:hAnsi="Times New Roman Regular" w:eastAsia="宋体" w:cs="Times New Roman Regular"/>
                <w:color w:val="auto"/>
                <w:spacing w:val="7"/>
                <w:highlight w:val="none"/>
              </w:rPr>
              <w:t>辽安监非煤</w:t>
            </w:r>
            <w:r>
              <w:rPr>
                <w:rFonts w:hint="eastAsia" w:ascii="Times New Roman Regular" w:hAnsi="Times New Roman Regular" w:eastAsia="宋体" w:cs="Times New Roman Regular"/>
                <w:color w:val="auto"/>
                <w:spacing w:val="7"/>
                <w:highlight w:val="none"/>
                <w:lang w:eastAsia="zh-CN"/>
              </w:rPr>
              <w:t>〔2018〕29号</w:t>
            </w:r>
          </w:p>
        </w:tc>
        <w:tc>
          <w:tcPr>
            <w:tcW w:w="2717" w:type="dxa"/>
            <w:vAlign w:val="center"/>
          </w:tcPr>
          <w:p w14:paraId="7888F952">
            <w:pPr>
              <w:jc w:val="both"/>
              <w:rPr>
                <w:rFonts w:ascii="Times New Roman" w:hAnsi="Times New Roman" w:eastAsia="宋体" w:cs="Times New Roman"/>
                <w:color w:val="auto"/>
                <w:highlight w:val="none"/>
                <w:lang w:eastAsia="zh-CN"/>
              </w:rPr>
            </w:pPr>
          </w:p>
        </w:tc>
        <w:tc>
          <w:tcPr>
            <w:tcW w:w="836" w:type="dxa"/>
            <w:vAlign w:val="center"/>
          </w:tcPr>
          <w:p w14:paraId="39D1AF1B">
            <w:pPr>
              <w:jc w:val="center"/>
              <w:rPr>
                <w:rFonts w:ascii="Times New Roman" w:hAnsi="Times New Roman" w:eastAsia="宋体" w:cs="Times New Roman"/>
                <w:color w:val="auto"/>
                <w:highlight w:val="none"/>
              </w:rPr>
            </w:pPr>
            <w:r>
              <w:rPr>
                <w:rFonts w:ascii="Times New Roman" w:hAnsi="Times New Roman" w:eastAsia="宋体" w:cs="Times New Roman"/>
                <w:color w:val="auto"/>
                <w:spacing w:val="3"/>
                <w:highlight w:val="none"/>
              </w:rPr>
              <w:t>符合</w:t>
            </w:r>
          </w:p>
        </w:tc>
      </w:tr>
    </w:tbl>
    <w:p w14:paraId="38BA375B">
      <w:pPr>
        <w:rPr>
          <w:color w:val="auto"/>
          <w:highlight w:val="none"/>
          <w:lang w:eastAsia="zh-CN"/>
        </w:rPr>
      </w:pPr>
    </w:p>
    <w:p w14:paraId="5AEA6577">
      <w:pPr>
        <w:pStyle w:val="4"/>
        <w:widowControl w:val="0"/>
        <w:kinsoku/>
        <w:autoSpaceDE/>
        <w:autoSpaceDN/>
        <w:adjustRightInd/>
        <w:snapToGrid/>
        <w:spacing w:before="60" w:after="60" w:line="360" w:lineRule="auto"/>
        <w:jc w:val="both"/>
        <w:textAlignment w:val="auto"/>
        <w:rPr>
          <w:rFonts w:hint="eastAsia" w:ascii="宋体" w:hAnsi="宋体" w:eastAsia="宋体" w:cs="宋体"/>
          <w:color w:val="auto"/>
          <w:sz w:val="28"/>
          <w:szCs w:val="28"/>
          <w:highlight w:val="none"/>
        </w:rPr>
      </w:pPr>
      <w:bookmarkStart w:id="227" w:name="_Toc2347"/>
      <w:bookmarkStart w:id="228" w:name="_Toc19227"/>
      <w:bookmarkStart w:id="229" w:name="_Toc16668"/>
      <w:r>
        <w:rPr>
          <w:rFonts w:ascii="Times New Roman" w:hAnsi="Times New Roman" w:eastAsia="Times New Roman" w:cs="Times New Roman"/>
          <w:bCs/>
          <w:color w:val="auto"/>
          <w:spacing w:val="-3"/>
          <w:sz w:val="28"/>
          <w:szCs w:val="28"/>
          <w:highlight w:val="none"/>
        </w:rPr>
        <w:t xml:space="preserve">5.8.2 </w:t>
      </w:r>
      <w:r>
        <w:rPr>
          <w:rFonts w:ascii="宋体" w:hAnsi="宋体" w:eastAsia="宋体" w:cs="宋体"/>
          <w:bCs/>
          <w:color w:val="auto"/>
          <w:spacing w:val="-3"/>
          <w:sz w:val="28"/>
          <w:szCs w:val="28"/>
          <w:highlight w:val="none"/>
        </w:rPr>
        <w:t>评价单元小结</w:t>
      </w:r>
      <w:bookmarkEnd w:id="227"/>
      <w:bookmarkEnd w:id="228"/>
      <w:bookmarkEnd w:id="229"/>
    </w:p>
    <w:p w14:paraId="6D43640A">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hint="eastAsia" w:ascii="Times New Roman Regular" w:hAnsi="Times New Roman Regular" w:eastAsia="宋体" w:cs="Times New Roman Regular"/>
          <w:color w:val="auto"/>
          <w:spacing w:val="7"/>
          <w:sz w:val="28"/>
          <w:szCs w:val="28"/>
          <w:highlight w:val="none"/>
          <w:lang w:eastAsia="zh-CN"/>
        </w:rPr>
        <w:t>葫芦岛岳强矿业有限责任公司严格按照《辽宁省安全生产监督管理局关于进一步规范非煤矿矿山安全生产行政许可管理工作的通知》（辽安监非煤〔2018〕29号）的相关规定，准备尾矿库安全生产许可证的延期申请材料。</w:t>
      </w:r>
      <w:bookmarkStart w:id="230" w:name="bookmark56"/>
      <w:bookmarkEnd w:id="230"/>
      <w:bookmarkStart w:id="231" w:name="_Toc28438"/>
    </w:p>
    <w:p w14:paraId="4D61BD5B">
      <w:pPr>
        <w:rPr>
          <w:rFonts w:hint="eastAsia" w:ascii="宋体" w:hAnsi="宋体" w:eastAsia="宋体" w:cs="宋体"/>
          <w:color w:val="auto"/>
          <w:spacing w:val="-1"/>
          <w:sz w:val="28"/>
          <w:szCs w:val="28"/>
          <w:highlight w:val="none"/>
          <w:lang w:eastAsia="zh-CN"/>
        </w:rPr>
      </w:pPr>
      <w:r>
        <w:rPr>
          <w:rFonts w:ascii="宋体" w:hAnsi="宋体" w:eastAsia="宋体" w:cs="宋体"/>
          <w:color w:val="auto"/>
          <w:spacing w:val="-1"/>
          <w:sz w:val="28"/>
          <w:szCs w:val="28"/>
          <w:highlight w:val="none"/>
          <w:lang w:eastAsia="zh-CN"/>
        </w:rPr>
        <w:br w:type="page"/>
      </w:r>
    </w:p>
    <w:p w14:paraId="39AA314A">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232" w:name="_Toc364451739"/>
      <w:r>
        <w:rPr>
          <w:rFonts w:ascii="Times New Roman Regular" w:hAnsi="Times New Roman Regular" w:eastAsia="黑体" w:cs="Times New Roman Regular"/>
          <w:b/>
          <w:bCs/>
          <w:snapToGrid/>
          <w:color w:val="auto"/>
          <w:kern w:val="44"/>
          <w:sz w:val="32"/>
          <w:szCs w:val="44"/>
          <w:highlight w:val="none"/>
          <w:lang w:eastAsia="zh-CN"/>
        </w:rPr>
        <w:t>6 建议补充的安全对策措施</w:t>
      </w:r>
      <w:bookmarkEnd w:id="231"/>
      <w:bookmarkEnd w:id="232"/>
    </w:p>
    <w:p w14:paraId="5131A691">
      <w:pPr>
        <w:keepNext w:val="0"/>
        <w:keepLines w:val="0"/>
        <w:pageBreakBefore w:val="0"/>
        <w:widowControl/>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eastAsia" w:ascii="Times New Roman Regular" w:hAnsi="Times New Roman Regular" w:eastAsia="宋体" w:cs="Times New Roman Regular"/>
          <w:color w:val="auto"/>
          <w:spacing w:val="7"/>
          <w:sz w:val="28"/>
          <w:szCs w:val="28"/>
          <w:highlight w:val="none"/>
          <w:lang w:eastAsia="zh-CN"/>
        </w:rPr>
      </w:pPr>
      <w:r>
        <w:rPr>
          <w:rFonts w:hint="eastAsia" w:ascii="Times New Roman Regular" w:hAnsi="Times New Roman Regular" w:eastAsia="宋体" w:cs="Times New Roman Regular"/>
          <w:color w:val="auto"/>
          <w:spacing w:val="7"/>
          <w:sz w:val="28"/>
          <w:szCs w:val="28"/>
          <w:highlight w:val="none"/>
          <w:lang w:eastAsia="zh-CN"/>
        </w:rPr>
        <w:t>针对该尾矿库存在的危险、有害因素和安全分析与评价结果，依据国家相关安全法律法规、标准和规范的要求，借鉴类似尾矿库的安全生产经验，分单元提出以下对应的安全对策措施建议。</w:t>
      </w:r>
    </w:p>
    <w:p w14:paraId="78CFFBD6">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33" w:name="bookmark58"/>
      <w:bookmarkEnd w:id="233"/>
      <w:bookmarkStart w:id="234" w:name="_Toc717016129"/>
      <w:bookmarkStart w:id="235" w:name="_Toc29788"/>
      <w:r>
        <w:rPr>
          <w:rFonts w:ascii="Times New Roman Regular" w:hAnsi="Times New Roman Regular" w:eastAsia="黑体" w:cs="Times New Roman Regular"/>
          <w:snapToGrid/>
          <w:color w:val="auto"/>
          <w:kern w:val="2"/>
          <w:highlight w:val="none"/>
          <w:lang w:eastAsia="zh-CN"/>
        </w:rPr>
        <w:t>6.1 周边环境单元</w:t>
      </w:r>
      <w:bookmarkEnd w:id="234"/>
      <w:bookmarkEnd w:id="235"/>
    </w:p>
    <w:p w14:paraId="5DFD47E9">
      <w:pPr>
        <w:pStyle w:val="19"/>
        <w:keepNext w:val="0"/>
        <w:keepLines w:val="0"/>
        <w:pageBreakBefore w:val="0"/>
        <w:widowControl w:val="0"/>
        <w:numPr>
          <w:ilvl w:val="0"/>
          <w:numId w:val="16"/>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加</w:t>
      </w:r>
      <w:r>
        <w:rPr>
          <w:rFonts w:hint="eastAsia" w:ascii="Times New Roman Regular" w:hAnsi="Times New Roman Regular" w:cs="Times New Roman Regular"/>
          <w:color w:val="auto"/>
          <w:sz w:val="28"/>
          <w:szCs w:val="28"/>
          <w:highlight w:val="none"/>
          <w:lang w:eastAsia="zh-CN"/>
        </w:rPr>
        <w:t>强对</w:t>
      </w:r>
      <w:r>
        <w:rPr>
          <w:rFonts w:hint="eastAsia" w:ascii="Times New Roman Regular" w:hAnsi="Times New Roman Regular" w:cs="Times New Roman Regular"/>
          <w:color w:val="auto"/>
          <w:sz w:val="28"/>
          <w:szCs w:val="28"/>
          <w:highlight w:val="none"/>
        </w:rPr>
        <w:t>库区周边环境的巡视检查，发现滑坡及异常现象及时处理。坝顶及库区内严禁设计以外的其他任何建筑物或设施的建设；</w:t>
      </w:r>
    </w:p>
    <w:p w14:paraId="58BCA98F">
      <w:pPr>
        <w:pStyle w:val="19"/>
        <w:keepNext w:val="0"/>
        <w:keepLines w:val="0"/>
        <w:pageBreakBefore w:val="0"/>
        <w:widowControl w:val="0"/>
        <w:numPr>
          <w:ilvl w:val="0"/>
          <w:numId w:val="16"/>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严禁在库区范围内违章爆破、采石、放牧、取土；</w:t>
      </w:r>
    </w:p>
    <w:p w14:paraId="58C1ACB6">
      <w:pPr>
        <w:pStyle w:val="19"/>
        <w:keepNext w:val="0"/>
        <w:keepLines w:val="0"/>
        <w:pageBreakBefore w:val="0"/>
        <w:widowControl w:val="0"/>
        <w:numPr>
          <w:ilvl w:val="0"/>
          <w:numId w:val="16"/>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加强对上坝道路的维护和道路运输安全管理，确保上坝道路通畅和运输安全，冰雪或多雨季节道路较滑时，应有防滑措施并减速行驶；</w:t>
      </w:r>
    </w:p>
    <w:p w14:paraId="190BB330">
      <w:pPr>
        <w:pStyle w:val="19"/>
        <w:keepNext w:val="0"/>
        <w:keepLines w:val="0"/>
        <w:pageBreakBefore w:val="0"/>
        <w:widowControl w:val="0"/>
        <w:numPr>
          <w:ilvl w:val="0"/>
          <w:numId w:val="16"/>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加</w:t>
      </w:r>
      <w:r>
        <w:rPr>
          <w:rFonts w:hint="eastAsia" w:ascii="Times New Roman Regular" w:hAnsi="Times New Roman Regular" w:cs="Times New Roman Regular"/>
          <w:color w:val="auto"/>
          <w:sz w:val="28"/>
          <w:szCs w:val="28"/>
          <w:highlight w:val="none"/>
          <w:lang w:eastAsia="zh-CN"/>
        </w:rPr>
        <w:t>强对</w:t>
      </w:r>
      <w:r>
        <w:rPr>
          <w:rFonts w:hint="eastAsia" w:ascii="Times New Roman Regular" w:hAnsi="Times New Roman Regular" w:cs="Times New Roman Regular"/>
          <w:color w:val="auto"/>
          <w:sz w:val="28"/>
          <w:szCs w:val="28"/>
          <w:highlight w:val="none"/>
        </w:rPr>
        <w:t>库区周边的安全警示标志和坝上照明设施的巡视检查，确保其完整性和适应性，发现破损、丢失的，及时更换；</w:t>
      </w:r>
    </w:p>
    <w:p w14:paraId="70E5EF95">
      <w:pPr>
        <w:pStyle w:val="19"/>
        <w:keepNext w:val="0"/>
        <w:keepLines w:val="0"/>
        <w:pageBreakBefore w:val="0"/>
        <w:widowControl w:val="0"/>
        <w:numPr>
          <w:ilvl w:val="0"/>
          <w:numId w:val="16"/>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加强库区管理，防止无关人员进入。</w:t>
      </w:r>
    </w:p>
    <w:p w14:paraId="40251B58">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36" w:name="bookmark60"/>
      <w:bookmarkEnd w:id="236"/>
      <w:bookmarkStart w:id="237" w:name="_Toc1359336786"/>
      <w:bookmarkStart w:id="238" w:name="_Toc31197"/>
      <w:r>
        <w:rPr>
          <w:rFonts w:ascii="Times New Roman Regular" w:hAnsi="Times New Roman Regular" w:eastAsia="黑体" w:cs="Times New Roman Regular"/>
          <w:snapToGrid/>
          <w:color w:val="auto"/>
          <w:kern w:val="2"/>
          <w:highlight w:val="none"/>
          <w:lang w:eastAsia="zh-CN"/>
        </w:rPr>
        <w:t xml:space="preserve">6.2 </w:t>
      </w:r>
      <w:r>
        <w:rPr>
          <w:rFonts w:hint="eastAsia" w:ascii="Times New Roman Regular" w:hAnsi="Times New Roman Regular" w:eastAsia="黑体" w:cs="Times New Roman Regular"/>
          <w:snapToGrid/>
          <w:color w:val="auto"/>
          <w:kern w:val="2"/>
          <w:highlight w:val="none"/>
          <w:lang w:eastAsia="zh-CN"/>
        </w:rPr>
        <w:t>尾矿坝单元</w:t>
      </w:r>
      <w:bookmarkEnd w:id="237"/>
      <w:bookmarkEnd w:id="238"/>
    </w:p>
    <w:p w14:paraId="6A96CE51">
      <w:pPr>
        <w:pStyle w:val="19"/>
        <w:keepNext w:val="0"/>
        <w:keepLines w:val="0"/>
        <w:pageBreakBefore w:val="0"/>
        <w:widowControl w:val="0"/>
        <w:numPr>
          <w:ilvl w:val="0"/>
          <w:numId w:val="17"/>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经常检查坝体位移和坝体沉降。要求坝体位移量和沉降量变化应均衡，无突变现象，且应逐年减小。当位移量和沉降量变化出现突变或有增大趋势时，应查明原因，妥善处理；</w:t>
      </w:r>
    </w:p>
    <w:p w14:paraId="4133BBCF">
      <w:pPr>
        <w:pStyle w:val="19"/>
        <w:keepNext w:val="0"/>
        <w:keepLines w:val="0"/>
        <w:pageBreakBefore w:val="0"/>
        <w:widowControl w:val="0"/>
        <w:numPr>
          <w:ilvl w:val="0"/>
          <w:numId w:val="17"/>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经常检查坝体有无纵、横向裂缝。坝体出现裂缝时，应查明裂缝的长度、宽度、深度、走向、形态和成因，判断危害程度，妥善处理</w:t>
      </w:r>
      <w:r>
        <w:rPr>
          <w:rFonts w:hint="eastAsia" w:ascii="Times New Roman Regular" w:hAnsi="Times New Roman Regular" w:cs="Times New Roman Regular"/>
          <w:color w:val="auto"/>
          <w:sz w:val="28"/>
          <w:szCs w:val="28"/>
          <w:highlight w:val="none"/>
          <w:lang w:eastAsia="zh-CN"/>
        </w:rPr>
        <w:t>；</w:t>
      </w:r>
    </w:p>
    <w:p w14:paraId="6C600331">
      <w:pPr>
        <w:pStyle w:val="19"/>
        <w:keepNext w:val="0"/>
        <w:keepLines w:val="0"/>
        <w:pageBreakBefore w:val="0"/>
        <w:widowControl w:val="0"/>
        <w:numPr>
          <w:ilvl w:val="0"/>
          <w:numId w:val="17"/>
        </w:numPr>
        <w:kinsoku w:val="0"/>
        <w:wordWrap/>
        <w:overflowPunct/>
        <w:topLinePunct w:val="0"/>
        <w:autoSpaceDE w:val="0"/>
        <w:autoSpaceDN w:val="0"/>
        <w:bidi w:val="0"/>
        <w:adjustRightInd w:val="0"/>
        <w:snapToGrid w:val="0"/>
        <w:spacing w:after="0" w:line="360" w:lineRule="auto"/>
        <w:ind w:left="0" w:leftChars="0" w:firstLine="560"/>
        <w:textAlignment w:val="baseline"/>
        <w:rPr>
          <w:rFonts w:hint="eastAsia" w:ascii="Times New Roman Regular" w:hAnsi="Times New Roman Regular" w:eastAsia="宋体" w:cs="Times New Roman Regular"/>
          <w:color w:val="auto"/>
          <w:sz w:val="28"/>
          <w:szCs w:val="28"/>
          <w:highlight w:val="none"/>
        </w:rPr>
      </w:pPr>
      <w:r>
        <w:rPr>
          <w:rFonts w:hint="eastAsia" w:ascii="Times New Roman Regular" w:hAnsi="Times New Roman Regular" w:eastAsia="宋体" w:cs="Times New Roman Regular"/>
          <w:color w:val="auto"/>
          <w:sz w:val="28"/>
          <w:szCs w:val="28"/>
          <w:highlight w:val="none"/>
        </w:rPr>
        <w:t>企业尾矿库不存在不稳定边坡，本着预防原则，若今后出现潜在不稳定边坡时，可以采取加固处理或者新建排洪设施并封堵原排水设施的措施，以提升闭库后尾矿库的本质安全程度</w:t>
      </w:r>
      <w:r>
        <w:rPr>
          <w:rFonts w:hint="eastAsia" w:ascii="Times New Roman Regular" w:hAnsi="Times New Roman Regular" w:eastAsia="宋体" w:cs="Times New Roman Regular"/>
          <w:color w:val="auto"/>
          <w:sz w:val="28"/>
          <w:szCs w:val="28"/>
          <w:highlight w:val="none"/>
          <w:lang w:eastAsia="zh-CN"/>
        </w:rPr>
        <w:t>；</w:t>
      </w:r>
    </w:p>
    <w:p w14:paraId="15296D61">
      <w:pPr>
        <w:pStyle w:val="19"/>
        <w:keepNext w:val="0"/>
        <w:keepLines w:val="0"/>
        <w:pageBreakBefore w:val="0"/>
        <w:widowControl w:val="0"/>
        <w:numPr>
          <w:ilvl w:val="0"/>
          <w:numId w:val="17"/>
        </w:numPr>
        <w:kinsoku w:val="0"/>
        <w:wordWrap/>
        <w:overflowPunct/>
        <w:topLinePunct w:val="0"/>
        <w:autoSpaceDE w:val="0"/>
        <w:autoSpaceDN w:val="0"/>
        <w:bidi w:val="0"/>
        <w:adjustRightInd w:val="0"/>
        <w:snapToGrid w:val="0"/>
        <w:spacing w:after="0" w:line="360" w:lineRule="auto"/>
        <w:ind w:left="0" w:leftChars="0" w:firstLine="560"/>
        <w:textAlignment w:val="baseline"/>
        <w:rPr>
          <w:rFonts w:hint="eastAsia" w:ascii="Times New Roman Regular" w:hAnsi="Times New Roman Regular" w:eastAsia="宋体" w:cs="Times New Roman Regular"/>
          <w:color w:val="auto"/>
          <w:sz w:val="28"/>
          <w:szCs w:val="28"/>
          <w:highlight w:val="none"/>
        </w:rPr>
      </w:pPr>
      <w:r>
        <w:rPr>
          <w:rFonts w:hint="eastAsia" w:ascii="Times New Roman Regular" w:hAnsi="Times New Roman Regular" w:eastAsia="宋体" w:cs="Times New Roman Regular"/>
          <w:color w:val="auto"/>
          <w:sz w:val="28"/>
          <w:szCs w:val="28"/>
          <w:highlight w:val="none"/>
        </w:rPr>
        <w:t>为应对泥石流出现，加强对排洪、泄洪设施的维护，保证尾矿库的调洪库容和干滩长度符合标准，对一时难以整改到位的隐患进行重点巡查，制定应急措施。</w:t>
      </w:r>
    </w:p>
    <w:p w14:paraId="6344B1B5">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39" w:name="bookmark62"/>
      <w:bookmarkEnd w:id="239"/>
      <w:bookmarkStart w:id="240" w:name="_Toc1442325516"/>
      <w:bookmarkStart w:id="241" w:name="_Toc8334"/>
      <w:r>
        <w:rPr>
          <w:rFonts w:ascii="Times New Roman Regular" w:hAnsi="Times New Roman Regular" w:eastAsia="黑体" w:cs="Times New Roman Regular"/>
          <w:snapToGrid/>
          <w:color w:val="auto"/>
          <w:kern w:val="2"/>
          <w:highlight w:val="none"/>
          <w:lang w:eastAsia="zh-CN"/>
        </w:rPr>
        <w:t xml:space="preserve">6.3 </w:t>
      </w:r>
      <w:r>
        <w:rPr>
          <w:rFonts w:hint="eastAsia" w:ascii="Times New Roman Regular" w:hAnsi="Times New Roman Regular" w:eastAsia="黑体" w:cs="Times New Roman Regular"/>
          <w:snapToGrid/>
          <w:color w:val="auto"/>
          <w:kern w:val="2"/>
          <w:highlight w:val="none"/>
          <w:lang w:eastAsia="zh-CN"/>
        </w:rPr>
        <w:t>排洪系统单元</w:t>
      </w:r>
      <w:bookmarkEnd w:id="240"/>
      <w:bookmarkEnd w:id="241"/>
    </w:p>
    <w:p w14:paraId="5D625341">
      <w:pPr>
        <w:pStyle w:val="19"/>
        <w:keepNext w:val="0"/>
        <w:keepLines w:val="0"/>
        <w:pageBreakBefore w:val="0"/>
        <w:widowControl w:val="0"/>
        <w:numPr>
          <w:ilvl w:val="0"/>
          <w:numId w:val="18"/>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加强对排水构筑物的动态监测，发现异常情况应及时处理。</w:t>
      </w:r>
    </w:p>
    <w:p w14:paraId="2020D109">
      <w:pPr>
        <w:pStyle w:val="19"/>
        <w:keepNext w:val="0"/>
        <w:keepLines w:val="0"/>
        <w:pageBreakBefore w:val="0"/>
        <w:widowControl w:val="0"/>
        <w:numPr>
          <w:ilvl w:val="0"/>
          <w:numId w:val="18"/>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加强汛期库、坝的防汛工作，了解和掌握汛期水情和气象预报，切实落实防汛措施。对排洪系统及坝体必须进行详细检查和维护，疏浚排洪通道。对检查中发现的问题要立即采取有效措施进行解决，确保尾矿库安全度汛；</w:t>
      </w:r>
    </w:p>
    <w:p w14:paraId="260019BE">
      <w:pPr>
        <w:pStyle w:val="19"/>
        <w:keepNext w:val="0"/>
        <w:keepLines w:val="0"/>
        <w:pageBreakBefore w:val="0"/>
        <w:widowControl w:val="0"/>
        <w:numPr>
          <w:ilvl w:val="0"/>
          <w:numId w:val="18"/>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排水井进水口应进行定期检查和清理，发现问题及时修复；</w:t>
      </w:r>
    </w:p>
    <w:p w14:paraId="6CE84ED6">
      <w:pPr>
        <w:pStyle w:val="19"/>
        <w:keepNext w:val="0"/>
        <w:keepLines w:val="0"/>
        <w:pageBreakBefore w:val="0"/>
        <w:widowControl w:val="0"/>
        <w:numPr>
          <w:ilvl w:val="0"/>
          <w:numId w:val="18"/>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尾矿库在正常使用过程中，</w:t>
      </w:r>
      <w:r>
        <w:rPr>
          <w:rFonts w:hint="eastAsia" w:ascii="Times New Roman Regular" w:hAnsi="Times New Roman Regular" w:cs="Times New Roman Regular"/>
          <w:color w:val="auto"/>
          <w:sz w:val="28"/>
          <w:szCs w:val="28"/>
          <w:highlight w:val="none"/>
          <w:lang w:eastAsia="zh-CN"/>
        </w:rPr>
        <w:t>必须</w:t>
      </w:r>
      <w:r>
        <w:rPr>
          <w:rFonts w:ascii="Times New Roman Regular" w:hAnsi="Times New Roman Regular" w:cs="Times New Roman Regular"/>
          <w:color w:val="auto"/>
          <w:sz w:val="28"/>
          <w:szCs w:val="28"/>
          <w:highlight w:val="none"/>
        </w:rPr>
        <w:t>保证尾矿库的水面标高与坝顶的安全超高及防洪宽度满足规范要求；</w:t>
      </w:r>
    </w:p>
    <w:p w14:paraId="27254627">
      <w:pPr>
        <w:pStyle w:val="19"/>
        <w:keepNext w:val="0"/>
        <w:keepLines w:val="0"/>
        <w:pageBreakBefore w:val="0"/>
        <w:widowControl w:val="0"/>
        <w:numPr>
          <w:ilvl w:val="0"/>
          <w:numId w:val="18"/>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洪水过后应对坝体和排洪构筑物进行全面认真的检查与清理，发现问题及时修复。同时，采取措施降低库内水位，防止连续降雨后发生溃坝事故；</w:t>
      </w:r>
    </w:p>
    <w:p w14:paraId="5C011AE9">
      <w:pPr>
        <w:pStyle w:val="19"/>
        <w:keepNext w:val="0"/>
        <w:keepLines w:val="0"/>
        <w:pageBreakBefore w:val="0"/>
        <w:widowControl w:val="0"/>
        <w:numPr>
          <w:ilvl w:val="0"/>
          <w:numId w:val="18"/>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每年汛期前应进行调洪演算，复核尾矿库的防洪能力，提出防洪安全控制参数；</w:t>
      </w:r>
    </w:p>
    <w:p w14:paraId="31724732">
      <w:pPr>
        <w:pStyle w:val="19"/>
        <w:keepNext w:val="0"/>
        <w:keepLines w:val="0"/>
        <w:pageBreakBefore w:val="0"/>
        <w:widowControl w:val="0"/>
        <w:numPr>
          <w:ilvl w:val="0"/>
          <w:numId w:val="18"/>
        </w:numPr>
        <w:kinsoku w:val="0"/>
        <w:wordWrap/>
        <w:overflowPunct/>
        <w:topLinePunct w:val="0"/>
        <w:autoSpaceDE w:val="0"/>
        <w:autoSpaceDN w:val="0"/>
        <w:bidi w:val="0"/>
        <w:adjustRightInd w:val="0"/>
        <w:snapToGrid w:val="0"/>
        <w:spacing w:after="0" w:line="360" w:lineRule="auto"/>
        <w:ind w:left="0" w:leftChars="0" w:firstLine="560"/>
        <w:textAlignment w:val="baseline"/>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每隔3年应进行一次排洪构筑物检测。</w:t>
      </w:r>
    </w:p>
    <w:p w14:paraId="082207E2">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42" w:name="bookmark64"/>
      <w:bookmarkEnd w:id="242"/>
      <w:bookmarkStart w:id="243" w:name="_Toc24913"/>
      <w:bookmarkStart w:id="244" w:name="_Toc369540076"/>
      <w:r>
        <w:rPr>
          <w:rFonts w:ascii="Times New Roman Regular" w:hAnsi="Times New Roman Regular" w:eastAsia="黑体" w:cs="Times New Roman Regular"/>
          <w:snapToGrid/>
          <w:color w:val="auto"/>
          <w:kern w:val="2"/>
          <w:highlight w:val="none"/>
          <w:lang w:eastAsia="zh-CN"/>
        </w:rPr>
        <w:t>6.4 安全监测设施单元</w:t>
      </w:r>
      <w:bookmarkEnd w:id="243"/>
      <w:bookmarkEnd w:id="244"/>
    </w:p>
    <w:p w14:paraId="1C951DDB">
      <w:pPr>
        <w:keepNext w:val="0"/>
        <w:keepLines w:val="0"/>
        <w:pageBreakBefore w:val="0"/>
        <w:kinsoku w:val="0"/>
        <w:wordWrap/>
        <w:overflowPunct/>
        <w:topLinePunct w:val="0"/>
        <w:autoSpaceDE w:val="0"/>
        <w:autoSpaceDN w:val="0"/>
        <w:bidi w:val="0"/>
        <w:adjustRightInd w:val="0"/>
        <w:snapToGrid w:val="0"/>
        <w:spacing w:line="360" w:lineRule="auto"/>
        <w:ind w:firstLine="588" w:firstLineChars="200"/>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7"/>
          <w:sz w:val="28"/>
          <w:szCs w:val="28"/>
          <w:highlight w:val="none"/>
          <w:lang w:eastAsia="zh-CN"/>
        </w:rPr>
        <w:t>监测设施作为重要的安全设施，应建立健全相应的定期观测、观测数据记录与分析、设施维护等各项管理制度和档案；</w:t>
      </w:r>
      <w:r>
        <w:rPr>
          <w:rFonts w:hint="default" w:ascii="Times New Roman Regular" w:hAnsi="Times New Roman Regular" w:eastAsia="宋体" w:cs="Times New Roman Regular"/>
          <w:color w:val="auto"/>
          <w:spacing w:val="6"/>
          <w:sz w:val="28"/>
          <w:szCs w:val="28"/>
          <w:highlight w:val="none"/>
          <w:lang w:eastAsia="zh-CN"/>
        </w:rPr>
        <w:t>发现诸如坝体变形及检</w:t>
      </w:r>
      <w:r>
        <w:rPr>
          <w:rFonts w:hint="default" w:ascii="Times New Roman Regular" w:hAnsi="Times New Roman Regular" w:eastAsia="宋体" w:cs="Times New Roman Regular"/>
          <w:color w:val="auto"/>
          <w:spacing w:val="7"/>
          <w:sz w:val="28"/>
          <w:szCs w:val="28"/>
          <w:highlight w:val="none"/>
          <w:lang w:eastAsia="zh-CN"/>
        </w:rPr>
        <w:t>测数据有突变或逐年增大等问题时，要及时分析研</w:t>
      </w:r>
      <w:r>
        <w:rPr>
          <w:rFonts w:hint="default" w:ascii="Times New Roman Regular" w:hAnsi="Times New Roman Regular" w:eastAsia="宋体" w:cs="Times New Roman Regular"/>
          <w:color w:val="auto"/>
          <w:spacing w:val="6"/>
          <w:sz w:val="28"/>
          <w:szCs w:val="28"/>
          <w:highlight w:val="none"/>
          <w:lang w:eastAsia="zh-CN"/>
        </w:rPr>
        <w:t>究，查明原因，采取有</w:t>
      </w:r>
      <w:r>
        <w:rPr>
          <w:rFonts w:hint="default" w:ascii="Times New Roman Regular" w:hAnsi="Times New Roman Regular" w:eastAsia="宋体" w:cs="Times New Roman Regular"/>
          <w:color w:val="auto"/>
          <w:spacing w:val="-1"/>
          <w:sz w:val="28"/>
          <w:szCs w:val="28"/>
          <w:highlight w:val="none"/>
          <w:lang w:eastAsia="zh-CN"/>
        </w:rPr>
        <w:t>效措施，妥善处理。</w:t>
      </w:r>
    </w:p>
    <w:p w14:paraId="1FA7093E">
      <w:pPr>
        <w:pStyle w:val="19"/>
        <w:keepNext w:val="0"/>
        <w:keepLines w:val="0"/>
        <w:pageBreakBefore w:val="0"/>
        <w:numPr>
          <w:ilvl w:val="0"/>
          <w:numId w:val="19"/>
        </w:numPr>
        <w:kinsoku w:val="0"/>
        <w:wordWrap/>
        <w:overflowPunct/>
        <w:topLinePunct w:val="0"/>
        <w:autoSpaceDE w:val="0"/>
        <w:autoSpaceDN w:val="0"/>
        <w:bidi w:val="0"/>
        <w:adjustRightInd w:val="0"/>
        <w:snapToGrid w:val="0"/>
        <w:spacing w:after="0" w:line="360" w:lineRule="auto"/>
        <w:ind w:left="0" w:leftChars="0" w:firstLine="560" w:firstLineChars="200"/>
        <w:textAlignment w:val="baseline"/>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企业在后续的使用过程中，不仅应按照设计要求，也要满足现行规范要求设置监测设施；</w:t>
      </w:r>
    </w:p>
    <w:p w14:paraId="661A4937">
      <w:pPr>
        <w:pStyle w:val="19"/>
        <w:keepNext w:val="0"/>
        <w:keepLines w:val="0"/>
        <w:pageBreakBefore w:val="0"/>
        <w:numPr>
          <w:ilvl w:val="0"/>
          <w:numId w:val="19"/>
        </w:numPr>
        <w:kinsoku w:val="0"/>
        <w:wordWrap/>
        <w:overflowPunct/>
        <w:topLinePunct w:val="0"/>
        <w:autoSpaceDE w:val="0"/>
        <w:autoSpaceDN w:val="0"/>
        <w:bidi w:val="0"/>
        <w:adjustRightInd w:val="0"/>
        <w:snapToGrid w:val="0"/>
        <w:spacing w:after="0" w:line="360" w:lineRule="auto"/>
        <w:ind w:left="0" w:leftChars="0" w:firstLine="560" w:firstLineChars="200"/>
        <w:textAlignment w:val="baseline"/>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企业应加强监测设施的检查维护，加强对监测结果的统计分析，以指导尾矿库的正常运行。</w:t>
      </w:r>
    </w:p>
    <w:p w14:paraId="1977BDF1">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45" w:name="bookmark66"/>
      <w:bookmarkEnd w:id="245"/>
      <w:bookmarkStart w:id="246" w:name="_Toc12602"/>
      <w:bookmarkStart w:id="247" w:name="_Toc337350208"/>
      <w:r>
        <w:rPr>
          <w:rFonts w:ascii="Times New Roman Regular" w:hAnsi="Times New Roman Regular" w:eastAsia="黑体" w:cs="Times New Roman Regular"/>
          <w:snapToGrid/>
          <w:color w:val="auto"/>
          <w:kern w:val="2"/>
          <w:highlight w:val="none"/>
          <w:lang w:eastAsia="zh-CN"/>
        </w:rPr>
        <w:t>6.5 安全管理单元</w:t>
      </w:r>
      <w:bookmarkEnd w:id="246"/>
      <w:bookmarkEnd w:id="247"/>
    </w:p>
    <w:p w14:paraId="21BE7CCD">
      <w:pPr>
        <w:pStyle w:val="19"/>
        <w:keepNext w:val="0"/>
        <w:keepLines w:val="0"/>
        <w:pageBreakBefore w:val="0"/>
        <w:widowControl w:val="0"/>
        <w:numPr>
          <w:ilvl w:val="0"/>
          <w:numId w:val="20"/>
        </w:numPr>
        <w:kinsoku w:val="0"/>
        <w:wordWrap/>
        <w:overflowPunct/>
        <w:topLinePunct w:val="0"/>
        <w:autoSpaceDE w:val="0"/>
        <w:autoSpaceDN w:val="0"/>
        <w:bidi w:val="0"/>
        <w:adjustRightInd w:val="0"/>
        <w:snapToGrid w:val="0"/>
        <w:spacing w:after="0" w:line="360" w:lineRule="auto"/>
        <w:ind w:left="0" w:leftChars="0" w:firstLine="560"/>
        <w:textAlignment w:val="baseline"/>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后续的安全管理要求应及时按照现行的法律法规进行更新和完善；</w:t>
      </w:r>
    </w:p>
    <w:p w14:paraId="23C68B6F">
      <w:pPr>
        <w:pStyle w:val="19"/>
        <w:keepNext w:val="0"/>
        <w:keepLines w:val="0"/>
        <w:pageBreakBefore w:val="0"/>
        <w:widowControl w:val="0"/>
        <w:numPr>
          <w:ilvl w:val="0"/>
          <w:numId w:val="20"/>
        </w:numPr>
        <w:kinsoku w:val="0"/>
        <w:wordWrap/>
        <w:overflowPunct/>
        <w:topLinePunct w:val="0"/>
        <w:autoSpaceDE w:val="0"/>
        <w:autoSpaceDN w:val="0"/>
        <w:bidi w:val="0"/>
        <w:adjustRightInd w:val="0"/>
        <w:snapToGrid w:val="0"/>
        <w:spacing w:after="0" w:line="360" w:lineRule="auto"/>
        <w:ind w:left="0" w:leftChars="0" w:firstLine="560"/>
        <w:textAlignment w:val="baseline"/>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加强生产运行期间的管理，严格巡查制度，发现安全隐患及时处理，做好抢险应急预案及演练工作；</w:t>
      </w:r>
    </w:p>
    <w:p w14:paraId="12DFD554">
      <w:pPr>
        <w:pStyle w:val="19"/>
        <w:keepNext w:val="0"/>
        <w:keepLines w:val="0"/>
        <w:pageBreakBefore w:val="0"/>
        <w:widowControl w:val="0"/>
        <w:numPr>
          <w:ilvl w:val="0"/>
          <w:numId w:val="20"/>
        </w:numPr>
        <w:kinsoku w:val="0"/>
        <w:wordWrap/>
        <w:overflowPunct/>
        <w:topLinePunct w:val="0"/>
        <w:autoSpaceDE w:val="0"/>
        <w:autoSpaceDN w:val="0"/>
        <w:bidi w:val="0"/>
        <w:adjustRightInd w:val="0"/>
        <w:snapToGrid w:val="0"/>
        <w:spacing w:after="0" w:line="360" w:lineRule="auto"/>
        <w:ind w:left="0" w:leftChars="0" w:firstLine="560"/>
        <w:textAlignment w:val="baseline"/>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强化企业法人是尾矿库安全生产第一责任人，对尾矿库的安全生产负主要责任的意识；</w:t>
      </w:r>
    </w:p>
    <w:p w14:paraId="3007AD3E">
      <w:pPr>
        <w:pStyle w:val="19"/>
        <w:keepNext w:val="0"/>
        <w:keepLines w:val="0"/>
        <w:pageBreakBefore w:val="0"/>
        <w:widowControl w:val="0"/>
        <w:numPr>
          <w:ilvl w:val="0"/>
          <w:numId w:val="20"/>
        </w:numPr>
        <w:kinsoku w:val="0"/>
        <w:wordWrap/>
        <w:overflowPunct/>
        <w:topLinePunct w:val="0"/>
        <w:autoSpaceDE w:val="0"/>
        <w:autoSpaceDN w:val="0"/>
        <w:bidi w:val="0"/>
        <w:adjustRightInd w:val="0"/>
        <w:snapToGrid w:val="0"/>
        <w:spacing w:after="0" w:line="360" w:lineRule="auto"/>
        <w:ind w:left="0" w:leftChars="0" w:firstLine="560"/>
        <w:textAlignment w:val="baseline"/>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加</w:t>
      </w:r>
      <w:r>
        <w:rPr>
          <w:rFonts w:hint="eastAsia" w:ascii="Times New Roman Regular" w:hAnsi="Times New Roman Regular" w:cs="Times New Roman Regular"/>
          <w:color w:val="auto"/>
          <w:sz w:val="28"/>
          <w:szCs w:val="28"/>
          <w:highlight w:val="none"/>
          <w:lang w:eastAsia="zh-CN"/>
        </w:rPr>
        <w:t>强对</w:t>
      </w:r>
      <w:r>
        <w:rPr>
          <w:rFonts w:hint="default" w:ascii="Times New Roman Regular" w:hAnsi="Times New Roman Regular" w:cs="Times New Roman Regular"/>
          <w:color w:val="auto"/>
          <w:sz w:val="28"/>
          <w:szCs w:val="28"/>
          <w:highlight w:val="none"/>
        </w:rPr>
        <w:t>尾矿库管理机构各岗位人员的培训工作，培训内容包括：尾矿库安全管理方面的各项管理制度、岗位职责、尾矿库专业知识，掌握设计文件及有关规定，了解尾矿处理的工艺，熟悉国家或部门有关标准及规定、规范等；</w:t>
      </w:r>
    </w:p>
    <w:p w14:paraId="318DE011">
      <w:pPr>
        <w:pStyle w:val="19"/>
        <w:keepNext w:val="0"/>
        <w:keepLines w:val="0"/>
        <w:pageBreakBefore w:val="0"/>
        <w:widowControl w:val="0"/>
        <w:numPr>
          <w:ilvl w:val="0"/>
          <w:numId w:val="20"/>
        </w:numPr>
        <w:kinsoku w:val="0"/>
        <w:wordWrap/>
        <w:overflowPunct/>
        <w:topLinePunct w:val="0"/>
        <w:autoSpaceDE w:val="0"/>
        <w:autoSpaceDN w:val="0"/>
        <w:bidi w:val="0"/>
        <w:adjustRightInd w:val="0"/>
        <w:snapToGrid w:val="0"/>
        <w:spacing w:after="0" w:line="360" w:lineRule="auto"/>
        <w:ind w:left="0" w:leftChars="0" w:firstLine="560"/>
        <w:textAlignment w:val="baseline"/>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按时修订应急预案，并在日常工作中</w:t>
      </w:r>
      <w:r>
        <w:rPr>
          <w:rFonts w:hint="eastAsia" w:ascii="Times New Roman Regular" w:hAnsi="Times New Roman Regular" w:cs="Times New Roman Regular"/>
          <w:color w:val="auto"/>
          <w:sz w:val="28"/>
          <w:szCs w:val="28"/>
          <w:highlight w:val="none"/>
          <w:lang w:eastAsia="zh-CN"/>
        </w:rPr>
        <w:t>重视</w:t>
      </w:r>
      <w:r>
        <w:rPr>
          <w:rFonts w:hint="default" w:ascii="Times New Roman Regular" w:hAnsi="Times New Roman Regular" w:cs="Times New Roman Regular"/>
          <w:color w:val="auto"/>
          <w:sz w:val="28"/>
          <w:szCs w:val="28"/>
          <w:highlight w:val="none"/>
        </w:rPr>
        <w:t>预案的演练工作，不断提高各级人员的应变能力和事故处理能力，并根据演练结果不断完善应急预案。</w:t>
      </w:r>
    </w:p>
    <w:p w14:paraId="2AD9BD06">
      <w:pPr>
        <w:rPr>
          <w:rFonts w:ascii="Times New Roman" w:hAnsi="Times New Roman" w:eastAsia="Times New Roman" w:cs="Times New Roman"/>
          <w:b/>
          <w:bCs/>
          <w:color w:val="auto"/>
          <w:spacing w:val="2"/>
          <w:sz w:val="31"/>
          <w:szCs w:val="31"/>
          <w:highlight w:val="none"/>
          <w:lang w:eastAsia="zh-CN"/>
        </w:rPr>
      </w:pPr>
      <w:bookmarkStart w:id="248" w:name="bookmark68"/>
      <w:bookmarkEnd w:id="248"/>
      <w:bookmarkStart w:id="249" w:name="_Toc14549"/>
      <w:r>
        <w:rPr>
          <w:rFonts w:ascii="Times New Roman" w:hAnsi="Times New Roman" w:eastAsia="Times New Roman" w:cs="Times New Roman"/>
          <w:b/>
          <w:bCs/>
          <w:color w:val="auto"/>
          <w:spacing w:val="2"/>
          <w:sz w:val="31"/>
          <w:szCs w:val="31"/>
          <w:highlight w:val="none"/>
          <w:lang w:eastAsia="zh-CN"/>
        </w:rPr>
        <w:br w:type="page"/>
      </w:r>
    </w:p>
    <w:p w14:paraId="7E3568A4">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250" w:name="_Toc488117776"/>
      <w:r>
        <w:rPr>
          <w:rFonts w:ascii="Times New Roman Regular" w:hAnsi="Times New Roman Regular" w:eastAsia="黑体" w:cs="Times New Roman Regular"/>
          <w:b/>
          <w:bCs/>
          <w:snapToGrid/>
          <w:color w:val="auto"/>
          <w:kern w:val="44"/>
          <w:sz w:val="32"/>
          <w:szCs w:val="44"/>
          <w:highlight w:val="none"/>
          <w:lang w:eastAsia="zh-CN"/>
        </w:rPr>
        <w:t>7 评价结论</w:t>
      </w:r>
      <w:bookmarkEnd w:id="249"/>
      <w:bookmarkEnd w:id="250"/>
    </w:p>
    <w:p w14:paraId="61FC5722">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51" w:name="bookmark70"/>
      <w:bookmarkEnd w:id="251"/>
      <w:bookmarkStart w:id="252" w:name="_Toc29228"/>
      <w:bookmarkStart w:id="253" w:name="_Toc407929692"/>
      <w:r>
        <w:rPr>
          <w:rFonts w:ascii="Times New Roman Regular" w:hAnsi="Times New Roman Regular" w:eastAsia="黑体" w:cs="Times New Roman Regular"/>
          <w:snapToGrid/>
          <w:color w:val="auto"/>
          <w:kern w:val="2"/>
          <w:highlight w:val="none"/>
          <w:lang w:eastAsia="zh-CN"/>
        </w:rPr>
        <w:t>7.1 安全现状综合评述</w:t>
      </w:r>
      <w:bookmarkEnd w:id="252"/>
      <w:bookmarkEnd w:id="253"/>
    </w:p>
    <w:p w14:paraId="28A7A16C">
      <w:pPr>
        <w:spacing w:line="360" w:lineRule="auto"/>
        <w:ind w:firstLine="559"/>
        <w:jc w:val="both"/>
        <w:rPr>
          <w:rFonts w:hint="eastAsia" w:ascii="宋体" w:hAnsi="宋体" w:eastAsia="宋体" w:cs="宋体"/>
          <w:color w:val="auto"/>
          <w:sz w:val="28"/>
          <w:szCs w:val="28"/>
          <w:highlight w:val="none"/>
          <w:lang w:eastAsia="zh-CN"/>
        </w:rPr>
      </w:pPr>
      <w:r>
        <w:rPr>
          <w:rFonts w:ascii="宋体" w:hAnsi="宋体" w:eastAsia="宋体" w:cs="宋体"/>
          <w:color w:val="auto"/>
          <w:spacing w:val="2"/>
          <w:sz w:val="28"/>
          <w:szCs w:val="28"/>
          <w:highlight w:val="none"/>
          <w:lang w:eastAsia="zh-CN"/>
        </w:rPr>
        <w:t>通过本次安全评价可以确认，</w:t>
      </w:r>
      <w:r>
        <w:rPr>
          <w:rFonts w:hint="eastAsia" w:ascii="宋体" w:hAnsi="宋体" w:eastAsia="宋体" w:cs="宋体"/>
          <w:color w:val="auto"/>
          <w:spacing w:val="2"/>
          <w:sz w:val="28"/>
          <w:szCs w:val="28"/>
          <w:highlight w:val="none"/>
          <w:lang w:eastAsia="zh-CN"/>
        </w:rPr>
        <w:t>葫芦岛岳强矿业有限责任公司尾矿库</w:t>
      </w:r>
      <w:r>
        <w:rPr>
          <w:rFonts w:ascii="宋体" w:hAnsi="宋体" w:eastAsia="宋体" w:cs="宋体"/>
          <w:color w:val="auto"/>
          <w:spacing w:val="1"/>
          <w:sz w:val="28"/>
          <w:szCs w:val="28"/>
          <w:highlight w:val="none"/>
          <w:lang w:eastAsia="zh-CN"/>
        </w:rPr>
        <w:t>安</w:t>
      </w:r>
      <w:r>
        <w:rPr>
          <w:rFonts w:ascii="宋体" w:hAnsi="宋体" w:eastAsia="宋体" w:cs="宋体"/>
          <w:color w:val="auto"/>
          <w:spacing w:val="-1"/>
          <w:sz w:val="28"/>
          <w:szCs w:val="28"/>
          <w:highlight w:val="none"/>
          <w:lang w:eastAsia="zh-CN"/>
        </w:rPr>
        <w:t>全设施健全，安全生产管理满足要求。</w:t>
      </w:r>
    </w:p>
    <w:p w14:paraId="41E87F8E">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54" w:name="bookmark72"/>
      <w:bookmarkEnd w:id="254"/>
      <w:bookmarkStart w:id="255" w:name="_Toc29470"/>
      <w:bookmarkStart w:id="256" w:name="_Toc1306532220"/>
      <w:r>
        <w:rPr>
          <w:rFonts w:ascii="Times New Roman Regular" w:hAnsi="Times New Roman Regular" w:eastAsia="黑体" w:cs="Times New Roman Regular"/>
          <w:snapToGrid/>
          <w:color w:val="auto"/>
          <w:kern w:val="2"/>
          <w:highlight w:val="none"/>
          <w:lang w:eastAsia="zh-CN"/>
        </w:rPr>
        <w:t xml:space="preserve">7.2 </w:t>
      </w:r>
      <w:r>
        <w:rPr>
          <w:rFonts w:hint="eastAsia" w:ascii="Times New Roman Regular" w:hAnsi="Times New Roman Regular" w:eastAsia="黑体" w:cs="Times New Roman Regular"/>
          <w:snapToGrid/>
          <w:color w:val="auto"/>
          <w:kern w:val="2"/>
          <w:highlight w:val="none"/>
          <w:lang w:eastAsia="zh-CN"/>
        </w:rPr>
        <w:t>各评价单元评价结果</w:t>
      </w:r>
      <w:bookmarkEnd w:id="255"/>
      <w:bookmarkEnd w:id="256"/>
    </w:p>
    <w:p w14:paraId="0F7243D4">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Times New Roman" w:cs="Times New Roman Regular"/>
          <w:color w:val="auto"/>
          <w:spacing w:val="-3"/>
          <w:sz w:val="28"/>
          <w:szCs w:val="28"/>
          <w:highlight w:val="none"/>
          <w:lang w:eastAsia="zh-CN"/>
        </w:rPr>
        <w:t>1</w:t>
      </w:r>
      <w:r>
        <w:rPr>
          <w:rFonts w:hint="default" w:ascii="Times New Roman Regular" w:hAnsi="Times New Roman Regular" w:eastAsia="宋体" w:cs="Times New Roman Regular"/>
          <w:color w:val="auto"/>
          <w:spacing w:val="-3"/>
          <w:sz w:val="28"/>
          <w:szCs w:val="28"/>
          <w:highlight w:val="none"/>
          <w:lang w:eastAsia="zh-CN"/>
        </w:rPr>
        <w:t>）周边环境单元</w:t>
      </w:r>
    </w:p>
    <w:p w14:paraId="2DA0DC4E">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评价组采用安全检查表法对尾矿库周边环境单元进行评价</w:t>
      </w:r>
      <w:r>
        <w:rPr>
          <w:rFonts w:hint="default" w:ascii="Times New Roman Regular" w:hAnsi="Times New Roman Regular" w:eastAsia="宋体" w:cs="Times New Roman Regular"/>
          <w:color w:val="auto"/>
          <w:spacing w:val="1"/>
          <w:sz w:val="28"/>
          <w:szCs w:val="28"/>
          <w:highlight w:val="none"/>
          <w:lang w:eastAsia="zh-CN"/>
        </w:rPr>
        <w:t>：该尾</w:t>
      </w:r>
      <w:r>
        <w:rPr>
          <w:rFonts w:hint="default" w:ascii="Times New Roman Regular" w:hAnsi="Times New Roman Regular" w:eastAsia="宋体" w:cs="Times New Roman Regular"/>
          <w:color w:val="auto"/>
          <w:spacing w:val="2"/>
          <w:sz w:val="28"/>
          <w:szCs w:val="28"/>
          <w:highlight w:val="none"/>
          <w:lang w:eastAsia="zh-CN"/>
        </w:rPr>
        <w:t>矿库区域构造稳定，库区周边没有发现诸如爆破、采石、挖砂、</w:t>
      </w:r>
      <w:r>
        <w:rPr>
          <w:rFonts w:hint="default" w:ascii="Times New Roman Regular" w:hAnsi="Times New Roman Regular" w:eastAsia="宋体" w:cs="Times New Roman Regular"/>
          <w:color w:val="auto"/>
          <w:spacing w:val="1"/>
          <w:sz w:val="28"/>
          <w:szCs w:val="28"/>
          <w:highlight w:val="none"/>
          <w:lang w:eastAsia="zh-CN"/>
        </w:rPr>
        <w:t>取水、放</w:t>
      </w:r>
      <w:r>
        <w:rPr>
          <w:rFonts w:hint="default" w:ascii="Times New Roman Regular" w:hAnsi="Times New Roman Regular" w:eastAsia="宋体" w:cs="Times New Roman Regular"/>
          <w:color w:val="auto"/>
          <w:spacing w:val="2"/>
          <w:sz w:val="28"/>
          <w:szCs w:val="28"/>
          <w:highlight w:val="none"/>
          <w:lang w:eastAsia="zh-CN"/>
        </w:rPr>
        <w:t>牧、开垦等违章活动。尾矿库内未发现大面积滑坡、塌方及泥石</w:t>
      </w:r>
      <w:r>
        <w:rPr>
          <w:rFonts w:hint="default" w:ascii="Times New Roman Regular" w:hAnsi="Times New Roman Regular" w:eastAsia="宋体" w:cs="Times New Roman Regular"/>
          <w:color w:val="auto"/>
          <w:spacing w:val="1"/>
          <w:sz w:val="28"/>
          <w:szCs w:val="28"/>
          <w:highlight w:val="none"/>
          <w:lang w:eastAsia="zh-CN"/>
        </w:rPr>
        <w:t>流迹象，</w:t>
      </w:r>
      <w:r>
        <w:rPr>
          <w:rFonts w:hint="default" w:ascii="Times New Roman Regular" w:hAnsi="Times New Roman Regular" w:eastAsia="宋体" w:cs="Times New Roman Regular"/>
          <w:color w:val="auto"/>
          <w:spacing w:val="2"/>
          <w:sz w:val="28"/>
          <w:szCs w:val="28"/>
          <w:highlight w:val="none"/>
          <w:lang w:eastAsia="zh-CN"/>
        </w:rPr>
        <w:t>库区边坡整体稳定性较好，尾矿库与周边环境的相互影响在可控范围内。周边环境单元满足规</w:t>
      </w:r>
      <w:r>
        <w:rPr>
          <w:rFonts w:hint="default" w:ascii="Times New Roman Regular" w:hAnsi="Times New Roman Regular" w:eastAsia="宋体" w:cs="Times New Roman Regular"/>
          <w:color w:val="auto"/>
          <w:spacing w:val="1"/>
          <w:sz w:val="28"/>
          <w:szCs w:val="28"/>
          <w:highlight w:val="none"/>
          <w:lang w:eastAsia="zh-CN"/>
        </w:rPr>
        <w:t>范、规程</w:t>
      </w:r>
      <w:r>
        <w:rPr>
          <w:rFonts w:hint="default" w:ascii="Times New Roman Regular" w:hAnsi="Times New Roman Regular" w:eastAsia="宋体" w:cs="Times New Roman Regular"/>
          <w:color w:val="auto"/>
          <w:sz w:val="28"/>
          <w:szCs w:val="28"/>
          <w:highlight w:val="none"/>
          <w:lang w:eastAsia="zh-CN"/>
        </w:rPr>
        <w:t>要求，具备安全生产条件。</w:t>
      </w:r>
    </w:p>
    <w:p w14:paraId="0F307055">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Times New Roman" w:cs="Times New Roman Regular"/>
          <w:color w:val="auto"/>
          <w:spacing w:val="-3"/>
          <w:sz w:val="28"/>
          <w:szCs w:val="28"/>
          <w:highlight w:val="none"/>
          <w:lang w:eastAsia="zh-CN"/>
        </w:rPr>
        <w:t>2</w:t>
      </w:r>
      <w:r>
        <w:rPr>
          <w:rFonts w:hint="default" w:ascii="Times New Roman Regular" w:hAnsi="Times New Roman Regular" w:eastAsia="宋体" w:cs="Times New Roman Regular"/>
          <w:color w:val="auto"/>
          <w:spacing w:val="-3"/>
          <w:sz w:val="28"/>
          <w:szCs w:val="28"/>
          <w:highlight w:val="none"/>
          <w:lang w:eastAsia="zh-CN"/>
        </w:rPr>
        <w:t>）尾矿坝单元</w:t>
      </w:r>
    </w:p>
    <w:p w14:paraId="5052381B">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评价组采用安全检查表法和定量分析法对尾矿坝单元进行评价：该尾矿库坝体结构完好，轮廓尺寸符合设计要求，无渗漏、管涌、沼</w:t>
      </w:r>
      <w:r>
        <w:rPr>
          <w:rFonts w:hint="default" w:ascii="Times New Roman Regular" w:hAnsi="Times New Roman Regular" w:eastAsia="宋体" w:cs="Times New Roman Regular"/>
          <w:color w:val="auto"/>
          <w:spacing w:val="1"/>
          <w:sz w:val="28"/>
          <w:szCs w:val="28"/>
          <w:highlight w:val="none"/>
          <w:lang w:eastAsia="zh-CN"/>
        </w:rPr>
        <w:t>泽化、裂</w:t>
      </w:r>
      <w:r>
        <w:rPr>
          <w:rFonts w:hint="default" w:ascii="Times New Roman Regular" w:hAnsi="Times New Roman Regular" w:eastAsia="宋体" w:cs="Times New Roman Regular"/>
          <w:color w:val="auto"/>
          <w:spacing w:val="2"/>
          <w:sz w:val="28"/>
          <w:szCs w:val="28"/>
          <w:highlight w:val="none"/>
          <w:lang w:eastAsia="zh-CN"/>
        </w:rPr>
        <w:t>缝和滑坡现象。尾矿坝现状的渗流稳定性良好，</w:t>
      </w:r>
      <w:r>
        <w:rPr>
          <w:rFonts w:hint="default" w:ascii="Times New Roman Regular" w:hAnsi="Times New Roman Regular" w:eastAsia="宋体" w:cs="Times New Roman Regular"/>
          <w:color w:val="auto"/>
          <w:spacing w:val="1"/>
          <w:sz w:val="28"/>
          <w:szCs w:val="28"/>
          <w:highlight w:val="none"/>
          <w:lang w:eastAsia="zh-CN"/>
        </w:rPr>
        <w:t>不会发生</w:t>
      </w:r>
      <w:r>
        <w:rPr>
          <w:rFonts w:hint="default" w:ascii="Times New Roman Regular" w:hAnsi="Times New Roman Regular" w:eastAsia="宋体" w:cs="Times New Roman Regular"/>
          <w:color w:val="auto"/>
          <w:spacing w:val="2"/>
          <w:sz w:val="28"/>
          <w:szCs w:val="28"/>
          <w:highlight w:val="none"/>
          <w:lang w:eastAsia="zh-CN"/>
        </w:rPr>
        <w:t>渗流破坏。尾矿坝现状的边坡抗滑稳定性满足设计及规范要求。</w:t>
      </w:r>
      <w:r>
        <w:rPr>
          <w:rFonts w:hint="default" w:ascii="Times New Roman Regular" w:hAnsi="Times New Roman Regular" w:eastAsia="宋体" w:cs="Times New Roman Regular"/>
          <w:color w:val="auto"/>
          <w:spacing w:val="1"/>
          <w:sz w:val="28"/>
          <w:szCs w:val="28"/>
          <w:highlight w:val="none"/>
          <w:lang w:eastAsia="zh-CN"/>
        </w:rPr>
        <w:t>尾矿库坝</w:t>
      </w:r>
      <w:r>
        <w:rPr>
          <w:rFonts w:hint="default" w:ascii="Times New Roman Regular" w:hAnsi="Times New Roman Regular" w:eastAsia="宋体" w:cs="Times New Roman Regular"/>
          <w:color w:val="auto"/>
          <w:spacing w:val="2"/>
          <w:sz w:val="28"/>
          <w:szCs w:val="28"/>
          <w:highlight w:val="none"/>
          <w:lang w:eastAsia="zh-CN"/>
        </w:rPr>
        <w:t>体符合相关安全生产法律法规、规章、规范性文件和标准的规定</w:t>
      </w:r>
      <w:r>
        <w:rPr>
          <w:rFonts w:hint="default" w:ascii="Times New Roman Regular" w:hAnsi="Times New Roman Regular" w:eastAsia="宋体" w:cs="Times New Roman Regular"/>
          <w:color w:val="auto"/>
          <w:spacing w:val="1"/>
          <w:sz w:val="28"/>
          <w:szCs w:val="28"/>
          <w:highlight w:val="none"/>
          <w:lang w:eastAsia="zh-CN"/>
        </w:rPr>
        <w:t>，具备安</w:t>
      </w:r>
      <w:r>
        <w:rPr>
          <w:rFonts w:hint="default" w:ascii="Times New Roman Regular" w:hAnsi="Times New Roman Regular" w:eastAsia="宋体" w:cs="Times New Roman Regular"/>
          <w:color w:val="auto"/>
          <w:spacing w:val="-1"/>
          <w:sz w:val="28"/>
          <w:szCs w:val="28"/>
          <w:highlight w:val="none"/>
          <w:lang w:eastAsia="zh-CN"/>
        </w:rPr>
        <w:t>全生产条件。</w:t>
      </w:r>
    </w:p>
    <w:p w14:paraId="7D3F4BBB">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Times New Roman" w:cs="Times New Roman Regular"/>
          <w:color w:val="auto"/>
          <w:spacing w:val="-3"/>
          <w:sz w:val="28"/>
          <w:szCs w:val="28"/>
          <w:highlight w:val="none"/>
          <w:lang w:eastAsia="zh-CN"/>
        </w:rPr>
        <w:t>3</w:t>
      </w:r>
      <w:r>
        <w:rPr>
          <w:rFonts w:hint="default" w:ascii="Times New Roman Regular" w:hAnsi="Times New Roman Regular" w:eastAsia="宋体" w:cs="Times New Roman Regular"/>
          <w:color w:val="auto"/>
          <w:spacing w:val="-3"/>
          <w:sz w:val="28"/>
          <w:szCs w:val="28"/>
          <w:highlight w:val="none"/>
          <w:lang w:eastAsia="zh-CN"/>
        </w:rPr>
        <w:t>）排洪系统单元</w:t>
      </w:r>
    </w:p>
    <w:p w14:paraId="004942AB">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评价组采用安全检查表法和定量分析法对排洪系统单元进行评价</w:t>
      </w:r>
      <w:r>
        <w:rPr>
          <w:rFonts w:hint="default" w:ascii="Times New Roman Regular" w:hAnsi="Times New Roman Regular" w:eastAsia="宋体" w:cs="Times New Roman Regular"/>
          <w:color w:val="auto"/>
          <w:spacing w:val="1"/>
          <w:sz w:val="28"/>
          <w:szCs w:val="28"/>
          <w:highlight w:val="none"/>
          <w:lang w:eastAsia="zh-CN"/>
        </w:rPr>
        <w:t>：该</w:t>
      </w:r>
      <w:r>
        <w:rPr>
          <w:rFonts w:hint="default" w:ascii="Times New Roman Regular" w:hAnsi="Times New Roman Regular" w:eastAsia="宋体" w:cs="Times New Roman Regular"/>
          <w:color w:val="auto"/>
          <w:spacing w:val="-2"/>
          <w:sz w:val="28"/>
          <w:szCs w:val="28"/>
          <w:highlight w:val="none"/>
          <w:lang w:eastAsia="zh-CN"/>
        </w:rPr>
        <w:t>尾矿库排洪系统结构完好，断面尺寸符合设计要求，排洪构筑物运行正常。</w:t>
      </w:r>
      <w:r>
        <w:rPr>
          <w:rFonts w:hint="default" w:ascii="Times New Roman Regular" w:hAnsi="Times New Roman Regular" w:eastAsia="宋体" w:cs="Times New Roman Regular"/>
          <w:color w:val="auto"/>
          <w:spacing w:val="2"/>
          <w:sz w:val="28"/>
          <w:szCs w:val="28"/>
          <w:highlight w:val="none"/>
          <w:lang w:eastAsia="zh-CN"/>
        </w:rPr>
        <w:t>尾矿库现状的防洪能力符合设计及规范要求。排洪系统符合有关安全生产法律法规、规章、规范性</w:t>
      </w:r>
      <w:r>
        <w:rPr>
          <w:rFonts w:hint="default" w:ascii="Times New Roman Regular" w:hAnsi="Times New Roman Regular" w:eastAsia="宋体" w:cs="Times New Roman Regular"/>
          <w:color w:val="auto"/>
          <w:spacing w:val="1"/>
          <w:sz w:val="28"/>
          <w:szCs w:val="28"/>
          <w:highlight w:val="none"/>
          <w:lang w:eastAsia="zh-CN"/>
        </w:rPr>
        <w:t>文件和标准的</w:t>
      </w:r>
      <w:r>
        <w:rPr>
          <w:rFonts w:hint="default" w:ascii="Times New Roman Regular" w:hAnsi="Times New Roman Regular" w:eastAsia="宋体" w:cs="Times New Roman Regular"/>
          <w:color w:val="auto"/>
          <w:spacing w:val="-1"/>
          <w:sz w:val="28"/>
          <w:szCs w:val="28"/>
          <w:highlight w:val="none"/>
          <w:lang w:eastAsia="zh-CN"/>
        </w:rPr>
        <w:t>规定，具备安全生产条件。</w:t>
      </w:r>
    </w:p>
    <w:p w14:paraId="158F45CF">
      <w:pPr>
        <w:keepNext w:val="0"/>
        <w:keepLines w:val="0"/>
        <w:pageBreakBefore w:val="0"/>
        <w:widowControl/>
        <w:kinsoku w:val="0"/>
        <w:wordWrap/>
        <w:overflowPunct/>
        <w:topLinePunct w:val="0"/>
        <w:autoSpaceDE w:val="0"/>
        <w:autoSpaceDN w:val="0"/>
        <w:bidi w:val="0"/>
        <w:adjustRightInd w:val="0"/>
        <w:snapToGrid w:val="0"/>
        <w:spacing w:line="360" w:lineRule="auto"/>
        <w:ind w:firstLine="552"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default" w:ascii="Times New Roman Regular" w:hAnsi="Times New Roman Regular" w:eastAsia="Times New Roman" w:cs="Times New Roman Regular"/>
          <w:color w:val="auto"/>
          <w:spacing w:val="-2"/>
          <w:sz w:val="28"/>
          <w:szCs w:val="28"/>
          <w:highlight w:val="none"/>
          <w:lang w:eastAsia="zh-CN"/>
        </w:rPr>
        <w:t>4</w:t>
      </w:r>
      <w:r>
        <w:rPr>
          <w:rFonts w:hint="default" w:ascii="Times New Roman Regular" w:hAnsi="Times New Roman Regular" w:eastAsia="宋体" w:cs="Times New Roman Regular"/>
          <w:color w:val="auto"/>
          <w:spacing w:val="-2"/>
          <w:sz w:val="28"/>
          <w:szCs w:val="28"/>
          <w:highlight w:val="none"/>
          <w:lang w:eastAsia="zh-CN"/>
        </w:rPr>
        <w:t>）安全监测设施单元</w:t>
      </w:r>
    </w:p>
    <w:p w14:paraId="3475C5B5">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jc w:val="both"/>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评价组采用安全检查表法对尾矿库安全监测设施单元进行评价：该尾矿库安全监测系统运行正常，监测设施无损坏，监测点布置、监</w:t>
      </w:r>
      <w:r>
        <w:rPr>
          <w:rFonts w:hint="default" w:ascii="Times New Roman Regular" w:hAnsi="Times New Roman Regular" w:eastAsia="宋体" w:cs="Times New Roman Regular"/>
          <w:color w:val="auto"/>
          <w:spacing w:val="1"/>
          <w:sz w:val="28"/>
          <w:szCs w:val="28"/>
          <w:highlight w:val="none"/>
          <w:lang w:eastAsia="zh-CN"/>
        </w:rPr>
        <w:t>测内容等</w:t>
      </w:r>
      <w:r>
        <w:rPr>
          <w:rFonts w:hint="default" w:ascii="Times New Roman Regular" w:hAnsi="Times New Roman Regular" w:eastAsia="宋体" w:cs="Times New Roman Regular"/>
          <w:color w:val="auto"/>
          <w:spacing w:val="2"/>
          <w:sz w:val="28"/>
          <w:szCs w:val="28"/>
          <w:highlight w:val="none"/>
          <w:lang w:eastAsia="zh-CN"/>
        </w:rPr>
        <w:t>符合设计及规范要求。坝体位移量较小且无突变现象，坝体逐</w:t>
      </w:r>
      <w:r>
        <w:rPr>
          <w:rFonts w:hint="default" w:ascii="Times New Roman Regular" w:hAnsi="Times New Roman Regular" w:eastAsia="宋体" w:cs="Times New Roman Regular"/>
          <w:color w:val="auto"/>
          <w:spacing w:val="1"/>
          <w:sz w:val="28"/>
          <w:szCs w:val="28"/>
          <w:highlight w:val="none"/>
          <w:lang w:eastAsia="zh-CN"/>
        </w:rPr>
        <w:t>渐趋于稳</w:t>
      </w:r>
      <w:r>
        <w:rPr>
          <w:rFonts w:hint="default" w:ascii="Times New Roman Regular" w:hAnsi="Times New Roman Regular" w:eastAsia="宋体" w:cs="Times New Roman Regular"/>
          <w:color w:val="auto"/>
          <w:spacing w:val="2"/>
          <w:sz w:val="28"/>
          <w:szCs w:val="28"/>
          <w:highlight w:val="none"/>
          <w:lang w:eastAsia="zh-CN"/>
        </w:rPr>
        <w:t>定。安全监测设施符合有关安全生产法律法规、规章、规范性文</w:t>
      </w:r>
      <w:r>
        <w:rPr>
          <w:rFonts w:hint="default" w:ascii="Times New Roman Regular" w:hAnsi="Times New Roman Regular" w:eastAsia="宋体" w:cs="Times New Roman Regular"/>
          <w:color w:val="auto"/>
          <w:spacing w:val="1"/>
          <w:sz w:val="28"/>
          <w:szCs w:val="28"/>
          <w:highlight w:val="none"/>
          <w:lang w:eastAsia="zh-CN"/>
        </w:rPr>
        <w:t>件和标准</w:t>
      </w:r>
      <w:r>
        <w:rPr>
          <w:rFonts w:hint="default" w:ascii="Times New Roman Regular" w:hAnsi="Times New Roman Regular" w:eastAsia="宋体" w:cs="Times New Roman Regular"/>
          <w:color w:val="auto"/>
          <w:spacing w:val="-1"/>
          <w:sz w:val="28"/>
          <w:szCs w:val="28"/>
          <w:highlight w:val="none"/>
          <w:lang w:eastAsia="zh-CN"/>
        </w:rPr>
        <w:t>的规定，具备安全生产条件。</w:t>
      </w:r>
    </w:p>
    <w:p w14:paraId="252E78BE">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Times New Roman" w:cs="Times New Roman Regular"/>
          <w:color w:val="auto"/>
          <w:spacing w:val="-3"/>
          <w:sz w:val="28"/>
          <w:szCs w:val="28"/>
          <w:highlight w:val="none"/>
          <w:lang w:eastAsia="zh-CN"/>
        </w:rPr>
        <w:t>5</w:t>
      </w:r>
      <w:r>
        <w:rPr>
          <w:rFonts w:hint="default" w:ascii="Times New Roman Regular" w:hAnsi="Times New Roman Regular" w:eastAsia="宋体" w:cs="Times New Roman Regular"/>
          <w:color w:val="auto"/>
          <w:spacing w:val="-3"/>
          <w:sz w:val="28"/>
          <w:szCs w:val="28"/>
          <w:highlight w:val="none"/>
          <w:lang w:eastAsia="zh-CN"/>
        </w:rPr>
        <w:t>）辅助设施单元</w:t>
      </w:r>
    </w:p>
    <w:p w14:paraId="02DAE1BA">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评价组采用安全检查表法对尾矿库辅助设施单元进行评价：尾矿库已按设计要求建设上坝道路、库区通讯、照明等设施</w:t>
      </w:r>
      <w:r>
        <w:rPr>
          <w:rFonts w:hint="default" w:ascii="Times New Roman Regular" w:hAnsi="Times New Roman Regular" w:eastAsia="宋体" w:cs="Times New Roman Regular"/>
          <w:color w:val="auto"/>
          <w:spacing w:val="1"/>
          <w:sz w:val="28"/>
          <w:szCs w:val="28"/>
          <w:highlight w:val="none"/>
          <w:lang w:eastAsia="zh-CN"/>
        </w:rPr>
        <w:t>，各设施安全有</w:t>
      </w:r>
      <w:r>
        <w:rPr>
          <w:rFonts w:hint="default" w:ascii="Times New Roman Regular" w:hAnsi="Times New Roman Regular" w:eastAsia="宋体" w:cs="Times New Roman Regular"/>
          <w:color w:val="auto"/>
          <w:spacing w:val="-1"/>
          <w:sz w:val="28"/>
          <w:szCs w:val="28"/>
          <w:highlight w:val="none"/>
          <w:lang w:eastAsia="zh-CN"/>
        </w:rPr>
        <w:t>效，符合规范及设计要求，具备安全生产条件。</w:t>
      </w:r>
    </w:p>
    <w:p w14:paraId="221241BD">
      <w:pPr>
        <w:keepNext w:val="0"/>
        <w:keepLines w:val="0"/>
        <w:pageBreakBefore w:val="0"/>
        <w:widowControl/>
        <w:kinsoku w:val="0"/>
        <w:wordWrap/>
        <w:overflowPunct/>
        <w:topLinePunct w:val="0"/>
        <w:autoSpaceDE w:val="0"/>
        <w:autoSpaceDN w:val="0"/>
        <w:bidi w:val="0"/>
        <w:adjustRightInd w:val="0"/>
        <w:snapToGrid w:val="0"/>
        <w:spacing w:line="360" w:lineRule="auto"/>
        <w:ind w:firstLine="54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3"/>
          <w:sz w:val="28"/>
          <w:szCs w:val="28"/>
          <w:highlight w:val="none"/>
          <w:lang w:eastAsia="zh-CN"/>
        </w:rPr>
        <w:t>（</w:t>
      </w:r>
      <w:r>
        <w:rPr>
          <w:rFonts w:hint="default" w:ascii="Times New Roman Regular" w:hAnsi="Times New Roman Regular" w:eastAsia="Times New Roman" w:cs="Times New Roman Regular"/>
          <w:color w:val="auto"/>
          <w:spacing w:val="-3"/>
          <w:sz w:val="28"/>
          <w:szCs w:val="28"/>
          <w:highlight w:val="none"/>
          <w:lang w:eastAsia="zh-CN"/>
        </w:rPr>
        <w:t>6</w:t>
      </w:r>
      <w:r>
        <w:rPr>
          <w:rFonts w:hint="default" w:ascii="Times New Roman Regular" w:hAnsi="Times New Roman Regular" w:eastAsia="宋体" w:cs="Times New Roman Regular"/>
          <w:color w:val="auto"/>
          <w:spacing w:val="-3"/>
          <w:sz w:val="28"/>
          <w:szCs w:val="28"/>
          <w:highlight w:val="none"/>
          <w:lang w:eastAsia="zh-CN"/>
        </w:rPr>
        <w:t>）安全管理单元</w:t>
      </w:r>
    </w:p>
    <w:p w14:paraId="3170A6BC">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评价组采用安全检查表法对尾矿库安全管理单元进行评价：企业设立了</w:t>
      </w:r>
      <w:r>
        <w:rPr>
          <w:rFonts w:hint="default" w:ascii="Times New Roman Regular" w:hAnsi="Times New Roman Regular" w:eastAsia="宋体" w:cs="Times New Roman Regular"/>
          <w:color w:val="auto"/>
          <w:spacing w:val="-2"/>
          <w:sz w:val="28"/>
          <w:szCs w:val="28"/>
          <w:highlight w:val="none"/>
          <w:lang w:eastAsia="zh-CN"/>
        </w:rPr>
        <w:t>安全科，制定了全员安全生产责任制、安全生产规章制度</w:t>
      </w:r>
      <w:r>
        <w:rPr>
          <w:rFonts w:hint="default" w:ascii="Times New Roman Regular" w:hAnsi="Times New Roman Regular" w:eastAsia="宋体" w:cs="Times New Roman Regular"/>
          <w:color w:val="auto"/>
          <w:spacing w:val="-3"/>
          <w:sz w:val="28"/>
          <w:szCs w:val="28"/>
          <w:highlight w:val="none"/>
          <w:lang w:eastAsia="zh-CN"/>
        </w:rPr>
        <w:t>和岗位操作规程，</w:t>
      </w:r>
      <w:r>
        <w:rPr>
          <w:rFonts w:hint="default" w:ascii="Times New Roman Regular" w:hAnsi="Times New Roman Regular" w:eastAsia="宋体" w:cs="Times New Roman Regular"/>
          <w:color w:val="auto"/>
          <w:spacing w:val="2"/>
          <w:sz w:val="28"/>
          <w:szCs w:val="28"/>
          <w:highlight w:val="none"/>
          <w:lang w:eastAsia="zh-CN"/>
        </w:rPr>
        <w:t>制定应急预案并定期组织应急演练。职工上岗经过安全教育培训</w:t>
      </w:r>
      <w:r>
        <w:rPr>
          <w:rFonts w:hint="default" w:ascii="Times New Roman Regular" w:hAnsi="Times New Roman Regular" w:eastAsia="宋体" w:cs="Times New Roman Regular"/>
          <w:color w:val="auto"/>
          <w:spacing w:val="1"/>
          <w:sz w:val="28"/>
          <w:szCs w:val="28"/>
          <w:highlight w:val="none"/>
          <w:lang w:eastAsia="zh-CN"/>
        </w:rPr>
        <w:t>，特种作</w:t>
      </w:r>
      <w:r>
        <w:rPr>
          <w:rFonts w:hint="default" w:ascii="Times New Roman Regular" w:hAnsi="Times New Roman Regular" w:eastAsia="宋体" w:cs="Times New Roman Regular"/>
          <w:color w:val="auto"/>
          <w:spacing w:val="2"/>
          <w:sz w:val="28"/>
          <w:szCs w:val="28"/>
          <w:highlight w:val="none"/>
          <w:lang w:eastAsia="zh-CN"/>
        </w:rPr>
        <w:t>业人员均持证上岗，管理人员、技术人员及注安人员具有丰富的实践经验。安</w:t>
      </w:r>
      <w:r>
        <w:rPr>
          <w:rFonts w:hint="default" w:ascii="Times New Roman Regular" w:hAnsi="Times New Roman Regular" w:eastAsia="宋体" w:cs="Times New Roman Regular"/>
          <w:color w:val="auto"/>
          <w:spacing w:val="1"/>
          <w:sz w:val="28"/>
          <w:szCs w:val="28"/>
          <w:highlight w:val="none"/>
          <w:lang w:eastAsia="zh-CN"/>
        </w:rPr>
        <w:t>全管理单</w:t>
      </w:r>
      <w:r>
        <w:rPr>
          <w:rFonts w:hint="default" w:ascii="Times New Roman Regular" w:hAnsi="Times New Roman Regular" w:eastAsia="宋体" w:cs="Times New Roman Regular"/>
          <w:color w:val="auto"/>
          <w:spacing w:val="-1"/>
          <w:sz w:val="28"/>
          <w:szCs w:val="28"/>
          <w:highlight w:val="none"/>
          <w:lang w:eastAsia="zh-CN"/>
        </w:rPr>
        <w:t>元满足规范、规程要求，具备安全生产条件。</w:t>
      </w:r>
    </w:p>
    <w:p w14:paraId="49B9582F">
      <w:pPr>
        <w:keepNext w:val="0"/>
        <w:keepLines w:val="0"/>
        <w:pageBreakBefore w:val="0"/>
        <w:widowControl/>
        <w:kinsoku w:val="0"/>
        <w:wordWrap/>
        <w:overflowPunct/>
        <w:topLinePunct w:val="0"/>
        <w:autoSpaceDE w:val="0"/>
        <w:autoSpaceDN w:val="0"/>
        <w:bidi w:val="0"/>
        <w:adjustRightInd w:val="0"/>
        <w:snapToGrid w:val="0"/>
        <w:spacing w:line="360" w:lineRule="auto"/>
        <w:ind w:firstLine="552"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w:t>
      </w:r>
      <w:r>
        <w:rPr>
          <w:rFonts w:hint="default" w:ascii="Times New Roman Regular" w:hAnsi="Times New Roman Regular" w:eastAsia="Times New Roman" w:cs="Times New Roman Regular"/>
          <w:color w:val="auto"/>
          <w:spacing w:val="-2"/>
          <w:sz w:val="28"/>
          <w:szCs w:val="28"/>
          <w:highlight w:val="none"/>
          <w:lang w:eastAsia="zh-CN"/>
        </w:rPr>
        <w:t>7</w:t>
      </w:r>
      <w:r>
        <w:rPr>
          <w:rFonts w:hint="default" w:ascii="Times New Roman Regular" w:hAnsi="Times New Roman Regular" w:eastAsia="宋体" w:cs="Times New Roman Regular"/>
          <w:color w:val="auto"/>
          <w:spacing w:val="-2"/>
          <w:sz w:val="28"/>
          <w:szCs w:val="28"/>
          <w:highlight w:val="none"/>
          <w:lang w:eastAsia="zh-CN"/>
        </w:rPr>
        <w:t>）重大隐患判定单元</w:t>
      </w:r>
    </w:p>
    <w:p w14:paraId="6678CD67">
      <w:pPr>
        <w:keepNext w:val="0"/>
        <w:keepLines w:val="0"/>
        <w:pageBreakBefore w:val="0"/>
        <w:widowControl/>
        <w:kinsoku w:val="0"/>
        <w:wordWrap/>
        <w:overflowPunct/>
        <w:topLinePunct w:val="0"/>
        <w:autoSpaceDE w:val="0"/>
        <w:autoSpaceDN w:val="0"/>
        <w:bidi w:val="0"/>
        <w:adjustRightInd w:val="0"/>
        <w:snapToGrid w:val="0"/>
        <w:spacing w:line="360" w:lineRule="auto"/>
        <w:ind w:firstLine="568"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2"/>
          <w:sz w:val="28"/>
          <w:szCs w:val="28"/>
          <w:highlight w:val="none"/>
          <w:lang w:eastAsia="zh-CN"/>
        </w:rPr>
        <w:t>评价组采用安全检查表法对尾矿库重大隐患判定单元进行评价：企业</w:t>
      </w:r>
      <w:r>
        <w:rPr>
          <w:rFonts w:hint="default" w:ascii="Times New Roman Regular" w:hAnsi="Times New Roman Regular" w:eastAsia="宋体" w:cs="Times New Roman Regular"/>
          <w:color w:val="auto"/>
          <w:spacing w:val="7"/>
          <w:sz w:val="28"/>
          <w:szCs w:val="28"/>
          <w:highlight w:val="none"/>
          <w:lang w:eastAsia="zh-CN"/>
        </w:rPr>
        <w:t>按照设计要求建设了初期</w:t>
      </w:r>
      <w:r>
        <w:rPr>
          <w:rFonts w:hint="default" w:ascii="Times New Roman Regular" w:hAnsi="Times New Roman Regular" w:eastAsia="宋体" w:cs="Times New Roman Regular"/>
          <w:color w:val="auto"/>
          <w:spacing w:val="6"/>
          <w:sz w:val="28"/>
          <w:szCs w:val="28"/>
          <w:highlight w:val="none"/>
          <w:lang w:eastAsia="zh-CN"/>
        </w:rPr>
        <w:t>坝、堆积坝、排</w:t>
      </w:r>
      <w:r>
        <w:rPr>
          <w:rFonts w:hint="default" w:ascii="Times New Roman Regular" w:hAnsi="Times New Roman Regular" w:eastAsia="宋体" w:cs="Times New Roman Regular"/>
          <w:color w:val="auto"/>
          <w:spacing w:val="7"/>
          <w:sz w:val="28"/>
          <w:szCs w:val="28"/>
          <w:highlight w:val="none"/>
          <w:lang w:eastAsia="zh-CN"/>
        </w:rPr>
        <w:t>洪系统、安全监测系统、辅助系统等设施；坝体没有出现严重的管涌、流土、坍塌、滑动等重大安全事故隐患的迹象；</w:t>
      </w:r>
      <w:r>
        <w:rPr>
          <w:rFonts w:hint="default" w:ascii="Times New Roman Regular" w:hAnsi="Times New Roman Regular" w:eastAsia="宋体" w:cs="Times New Roman Regular"/>
          <w:color w:val="auto"/>
          <w:spacing w:val="1"/>
          <w:sz w:val="28"/>
          <w:szCs w:val="28"/>
          <w:highlight w:val="none"/>
          <w:lang w:eastAsia="zh-CN"/>
        </w:rPr>
        <w:t>企业</w:t>
      </w:r>
      <w:r>
        <w:rPr>
          <w:rFonts w:hint="default" w:ascii="Times New Roman Regular" w:hAnsi="Times New Roman Regular" w:eastAsia="宋体" w:cs="Times New Roman Regular"/>
          <w:color w:val="auto"/>
          <w:spacing w:val="2"/>
          <w:sz w:val="28"/>
          <w:szCs w:val="28"/>
          <w:highlight w:val="none"/>
          <w:lang w:eastAsia="zh-CN"/>
        </w:rPr>
        <w:t>配备了尾矿库专职安全管理人员和专业技术人员；该尾矿库符</w:t>
      </w:r>
      <w:r>
        <w:rPr>
          <w:rFonts w:hint="default" w:ascii="Times New Roman Regular" w:hAnsi="Times New Roman Regular" w:eastAsia="宋体" w:cs="Times New Roman Regular"/>
          <w:color w:val="auto"/>
          <w:spacing w:val="1"/>
          <w:sz w:val="28"/>
          <w:szCs w:val="28"/>
          <w:highlight w:val="none"/>
          <w:lang w:eastAsia="zh-CN"/>
        </w:rPr>
        <w:t>合《国家矿</w:t>
      </w:r>
      <w:r>
        <w:rPr>
          <w:rFonts w:hint="default" w:ascii="Times New Roman Regular" w:hAnsi="Times New Roman Regular" w:eastAsia="宋体" w:cs="Times New Roman Regular"/>
          <w:color w:val="auto"/>
          <w:spacing w:val="-1"/>
          <w:sz w:val="28"/>
          <w:szCs w:val="28"/>
          <w:highlight w:val="none"/>
          <w:lang w:eastAsia="zh-CN"/>
        </w:rPr>
        <w:t>山安全监察局关于印发</w:t>
      </w:r>
      <w:r>
        <w:rPr>
          <w:rFonts w:hint="eastAsia" w:ascii="Times New Roman Regular" w:hAnsi="Times New Roman Regular" w:eastAsia="宋体" w:cs="Times New Roman Regular"/>
          <w:color w:val="auto"/>
          <w:spacing w:val="-1"/>
          <w:sz w:val="28"/>
          <w:szCs w:val="28"/>
          <w:highlight w:val="none"/>
          <w:lang w:eastAsia="zh-CN"/>
        </w:rPr>
        <w:t>〈</w:t>
      </w:r>
      <w:r>
        <w:rPr>
          <w:rFonts w:hint="default" w:ascii="Times New Roman Regular" w:hAnsi="Times New Roman Regular" w:eastAsia="宋体" w:cs="Times New Roman Regular"/>
          <w:color w:val="auto"/>
          <w:spacing w:val="-1"/>
          <w:sz w:val="28"/>
          <w:szCs w:val="28"/>
          <w:highlight w:val="none"/>
          <w:lang w:eastAsia="zh-CN"/>
        </w:rPr>
        <w:t>金属非金属矿山重大事故隐患判定标准</w:t>
      </w:r>
      <w:r>
        <w:rPr>
          <w:rFonts w:hint="eastAsia" w:ascii="Times New Roman Regular" w:hAnsi="Times New Roman Regular" w:eastAsia="宋体" w:cs="Times New Roman Regular"/>
          <w:color w:val="auto"/>
          <w:spacing w:val="-1"/>
          <w:sz w:val="28"/>
          <w:szCs w:val="28"/>
          <w:highlight w:val="none"/>
          <w:lang w:eastAsia="zh-CN"/>
        </w:rPr>
        <w:t>〉的通知》</w:t>
      </w:r>
      <w:r>
        <w:rPr>
          <w:rFonts w:hint="default" w:ascii="Times New Roman Regular" w:hAnsi="Times New Roman Regular" w:eastAsia="宋体" w:cs="Times New Roman Regular"/>
          <w:color w:val="auto"/>
          <w:spacing w:val="6"/>
          <w:sz w:val="28"/>
          <w:szCs w:val="28"/>
          <w:highlight w:val="none"/>
          <w:lang w:eastAsia="zh-CN"/>
        </w:rPr>
        <w:t>（矿安</w:t>
      </w:r>
      <w:r>
        <w:rPr>
          <w:rFonts w:hint="eastAsia" w:ascii="Times New Roman Regular" w:hAnsi="Times New Roman Regular" w:eastAsia="宋体" w:cs="Times New Roman Regular"/>
          <w:color w:val="auto"/>
          <w:spacing w:val="6"/>
          <w:sz w:val="28"/>
          <w:szCs w:val="28"/>
          <w:highlight w:val="none"/>
          <w:lang w:eastAsia="zh-CN"/>
        </w:rPr>
        <w:t>〔2022〕88号</w:t>
      </w:r>
      <w:r>
        <w:rPr>
          <w:rFonts w:hint="default" w:ascii="Times New Roman Regular" w:hAnsi="Times New Roman Regular" w:eastAsia="宋体" w:cs="Times New Roman Regular"/>
          <w:color w:val="auto"/>
          <w:spacing w:val="6"/>
          <w:sz w:val="28"/>
          <w:szCs w:val="28"/>
          <w:highlight w:val="none"/>
          <w:lang w:eastAsia="zh-CN"/>
        </w:rPr>
        <w:t>）、《国家矿山</w:t>
      </w:r>
      <w:r>
        <w:rPr>
          <w:rFonts w:hint="default" w:ascii="Times New Roman Regular" w:hAnsi="Times New Roman Regular" w:eastAsia="宋体" w:cs="Times New Roman Regular"/>
          <w:color w:val="auto"/>
          <w:spacing w:val="5"/>
          <w:sz w:val="28"/>
          <w:szCs w:val="28"/>
          <w:highlight w:val="none"/>
          <w:lang w:eastAsia="zh-CN"/>
        </w:rPr>
        <w:t>安全监察局关于印发</w:t>
      </w:r>
      <w:r>
        <w:rPr>
          <w:rFonts w:hint="eastAsia" w:ascii="Times New Roman Regular" w:hAnsi="Times New Roman Regular" w:eastAsia="宋体" w:cs="Times New Roman Regular"/>
          <w:color w:val="auto"/>
          <w:spacing w:val="5"/>
          <w:sz w:val="28"/>
          <w:szCs w:val="28"/>
          <w:highlight w:val="none"/>
          <w:lang w:eastAsia="zh-CN"/>
        </w:rPr>
        <w:t>〈</w:t>
      </w:r>
      <w:r>
        <w:rPr>
          <w:rFonts w:hint="default" w:ascii="Times New Roman Regular" w:hAnsi="Times New Roman Regular" w:eastAsia="宋体" w:cs="Times New Roman Regular"/>
          <w:color w:val="auto"/>
          <w:spacing w:val="5"/>
          <w:sz w:val="28"/>
          <w:szCs w:val="28"/>
          <w:highlight w:val="none"/>
          <w:lang w:eastAsia="zh-CN"/>
        </w:rPr>
        <w:t>金属非金属矿山</w:t>
      </w:r>
      <w:r>
        <w:rPr>
          <w:rFonts w:hint="default" w:ascii="Times New Roman Regular" w:hAnsi="Times New Roman Regular" w:eastAsia="宋体" w:cs="Times New Roman Regular"/>
          <w:color w:val="auto"/>
          <w:spacing w:val="6"/>
          <w:sz w:val="28"/>
          <w:szCs w:val="28"/>
          <w:highlight w:val="none"/>
          <w:lang w:eastAsia="zh-CN"/>
        </w:rPr>
        <w:t>重大事故隐患判定标准补充情形</w:t>
      </w:r>
      <w:r>
        <w:rPr>
          <w:rFonts w:hint="eastAsia" w:ascii="Times New Roman Regular" w:hAnsi="Times New Roman Regular" w:eastAsia="宋体" w:cs="Times New Roman Regular"/>
          <w:color w:val="auto"/>
          <w:spacing w:val="6"/>
          <w:sz w:val="28"/>
          <w:szCs w:val="28"/>
          <w:highlight w:val="none"/>
          <w:lang w:eastAsia="zh-CN"/>
        </w:rPr>
        <w:t>〉的通知》</w:t>
      </w:r>
      <w:r>
        <w:rPr>
          <w:rFonts w:hint="default" w:ascii="Times New Roman Regular" w:hAnsi="Times New Roman Regular" w:eastAsia="宋体" w:cs="Times New Roman Regular"/>
          <w:color w:val="auto"/>
          <w:spacing w:val="6"/>
          <w:sz w:val="28"/>
          <w:szCs w:val="28"/>
          <w:highlight w:val="none"/>
          <w:lang w:eastAsia="zh-CN"/>
        </w:rPr>
        <w:t>（矿安</w:t>
      </w:r>
      <w:r>
        <w:rPr>
          <w:rFonts w:hint="eastAsia" w:ascii="Times New Roman Regular" w:hAnsi="Times New Roman Regular" w:eastAsia="宋体" w:cs="Times New Roman Regular"/>
          <w:color w:val="auto"/>
          <w:spacing w:val="6"/>
          <w:sz w:val="28"/>
          <w:szCs w:val="28"/>
          <w:highlight w:val="none"/>
          <w:lang w:eastAsia="zh-CN"/>
        </w:rPr>
        <w:t>〔2024〕41号</w:t>
      </w:r>
      <w:r>
        <w:rPr>
          <w:rFonts w:hint="default" w:ascii="Times New Roman Regular" w:hAnsi="Times New Roman Regular" w:eastAsia="宋体" w:cs="Times New Roman Regular"/>
          <w:color w:val="auto"/>
          <w:spacing w:val="6"/>
          <w:sz w:val="28"/>
          <w:szCs w:val="28"/>
          <w:highlight w:val="none"/>
          <w:lang w:eastAsia="zh-CN"/>
        </w:rPr>
        <w:t>）中各项规</w:t>
      </w:r>
      <w:r>
        <w:rPr>
          <w:rFonts w:hint="default" w:ascii="Times New Roman Regular" w:hAnsi="Times New Roman Regular" w:eastAsia="宋体" w:cs="Times New Roman Regular"/>
          <w:color w:val="auto"/>
          <w:spacing w:val="-1"/>
          <w:sz w:val="28"/>
          <w:szCs w:val="28"/>
          <w:highlight w:val="none"/>
          <w:lang w:eastAsia="zh-CN"/>
        </w:rPr>
        <w:t>定。尾矿库无重大隐患，具备安全生产条件。</w:t>
      </w:r>
    </w:p>
    <w:p w14:paraId="436CC973">
      <w:pPr>
        <w:keepNext w:val="0"/>
        <w:keepLines w:val="0"/>
        <w:pageBreakBefore w:val="0"/>
        <w:widowControl/>
        <w:kinsoku w:val="0"/>
        <w:wordWrap/>
        <w:overflowPunct/>
        <w:topLinePunct w:val="0"/>
        <w:autoSpaceDE w:val="0"/>
        <w:autoSpaceDN w:val="0"/>
        <w:bidi w:val="0"/>
        <w:adjustRightInd w:val="0"/>
        <w:snapToGrid w:val="0"/>
        <w:spacing w:line="360" w:lineRule="auto"/>
        <w:ind w:firstLine="540"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5"/>
          <w:sz w:val="28"/>
          <w:szCs w:val="28"/>
          <w:highlight w:val="none"/>
          <w:lang w:eastAsia="zh-CN"/>
        </w:rPr>
        <w:t>（</w:t>
      </w:r>
      <w:r>
        <w:rPr>
          <w:rFonts w:hint="default" w:ascii="Times New Roman Regular" w:hAnsi="Times New Roman Regular" w:eastAsia="Times New Roman" w:cs="Times New Roman Regular"/>
          <w:color w:val="auto"/>
          <w:spacing w:val="-5"/>
          <w:sz w:val="28"/>
          <w:szCs w:val="28"/>
          <w:highlight w:val="none"/>
          <w:lang w:eastAsia="zh-CN"/>
        </w:rPr>
        <w:t>8</w:t>
      </w:r>
      <w:r>
        <w:rPr>
          <w:rFonts w:hint="default" w:ascii="Times New Roman Regular" w:hAnsi="Times New Roman Regular" w:eastAsia="宋体" w:cs="Times New Roman Regular"/>
          <w:color w:val="auto"/>
          <w:spacing w:val="-5"/>
          <w:sz w:val="28"/>
          <w:szCs w:val="28"/>
          <w:highlight w:val="none"/>
          <w:lang w:eastAsia="zh-CN"/>
        </w:rPr>
        <w:t>）“延期换证审核”单元</w:t>
      </w:r>
    </w:p>
    <w:p w14:paraId="3F79233C">
      <w:pPr>
        <w:keepNext w:val="0"/>
        <w:keepLines w:val="0"/>
        <w:pageBreakBefore w:val="0"/>
        <w:widowControl/>
        <w:kinsoku w:val="0"/>
        <w:wordWrap/>
        <w:overflowPunct/>
        <w:topLinePunct w:val="0"/>
        <w:autoSpaceDE w:val="0"/>
        <w:autoSpaceDN w:val="0"/>
        <w:bidi w:val="0"/>
        <w:adjustRightInd w:val="0"/>
        <w:snapToGrid w:val="0"/>
        <w:spacing w:line="360" w:lineRule="auto"/>
        <w:ind w:firstLine="564"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pacing w:val="1"/>
          <w:sz w:val="28"/>
          <w:szCs w:val="28"/>
          <w:highlight w:val="none"/>
          <w:lang w:eastAsia="zh-CN"/>
        </w:rPr>
        <w:t>评价组采用安全检查表法对“延期换证审核”单</w:t>
      </w:r>
      <w:r>
        <w:rPr>
          <w:rFonts w:hint="default" w:ascii="Times New Roman Regular" w:hAnsi="Times New Roman Regular" w:eastAsia="宋体" w:cs="Times New Roman Regular"/>
          <w:color w:val="auto"/>
          <w:sz w:val="28"/>
          <w:szCs w:val="28"/>
          <w:highlight w:val="none"/>
          <w:lang w:eastAsia="zh-CN"/>
        </w:rPr>
        <w:t>元进行了符合性评价，</w:t>
      </w:r>
      <w:r>
        <w:rPr>
          <w:rFonts w:hint="default" w:ascii="Times New Roman Regular" w:hAnsi="Times New Roman Regular" w:eastAsia="宋体" w:cs="Times New Roman Regular"/>
          <w:color w:val="auto"/>
          <w:spacing w:val="2"/>
          <w:sz w:val="28"/>
          <w:szCs w:val="28"/>
          <w:highlight w:val="none"/>
          <w:lang w:eastAsia="zh-CN"/>
        </w:rPr>
        <w:t>该尾矿库延期安全生产许可证材料符合《辽宁省安全生产监督管理</w:t>
      </w:r>
      <w:r>
        <w:rPr>
          <w:rFonts w:hint="default" w:ascii="Times New Roman Regular" w:hAnsi="Times New Roman Regular" w:eastAsia="宋体" w:cs="Times New Roman Regular"/>
          <w:color w:val="auto"/>
          <w:spacing w:val="1"/>
          <w:sz w:val="28"/>
          <w:szCs w:val="28"/>
          <w:highlight w:val="none"/>
          <w:lang w:eastAsia="zh-CN"/>
        </w:rPr>
        <w:t>局关于</w:t>
      </w:r>
      <w:r>
        <w:rPr>
          <w:rFonts w:hint="default" w:ascii="Times New Roman Regular" w:hAnsi="Times New Roman Regular" w:eastAsia="宋体" w:cs="Times New Roman Regular"/>
          <w:color w:val="auto"/>
          <w:spacing w:val="2"/>
          <w:sz w:val="28"/>
          <w:szCs w:val="28"/>
          <w:highlight w:val="none"/>
          <w:lang w:eastAsia="zh-CN"/>
        </w:rPr>
        <w:t>进一步规范非煤矿矿山安全生产行政许可管理工作的通知》（辽安</w:t>
      </w:r>
      <w:r>
        <w:rPr>
          <w:rFonts w:hint="default" w:ascii="Times New Roman Regular" w:hAnsi="Times New Roman Regular" w:eastAsia="宋体" w:cs="Times New Roman Regular"/>
          <w:color w:val="auto"/>
          <w:spacing w:val="1"/>
          <w:sz w:val="28"/>
          <w:szCs w:val="28"/>
          <w:highlight w:val="none"/>
          <w:lang w:eastAsia="zh-CN"/>
        </w:rPr>
        <w:t>监非煤</w:t>
      </w:r>
      <w:r>
        <w:rPr>
          <w:rFonts w:hint="eastAsia" w:ascii="Times New Roman Regular" w:hAnsi="Times New Roman Regular" w:eastAsia="宋体" w:cs="Times New Roman Regular"/>
          <w:color w:val="auto"/>
          <w:spacing w:val="1"/>
          <w:sz w:val="28"/>
          <w:szCs w:val="28"/>
          <w:highlight w:val="none"/>
          <w:lang w:eastAsia="zh-CN"/>
        </w:rPr>
        <w:t>〔2018〕29号</w:t>
      </w:r>
      <w:r>
        <w:rPr>
          <w:rFonts w:hint="default" w:ascii="Times New Roman Regular" w:hAnsi="Times New Roman Regular" w:eastAsia="宋体" w:cs="Times New Roman Regular"/>
          <w:color w:val="auto"/>
          <w:spacing w:val="-3"/>
          <w:sz w:val="28"/>
          <w:szCs w:val="28"/>
          <w:highlight w:val="none"/>
          <w:lang w:eastAsia="zh-CN"/>
        </w:rPr>
        <w:t>）。</w:t>
      </w:r>
    </w:p>
    <w:p w14:paraId="25498233">
      <w:pPr>
        <w:pStyle w:val="3"/>
        <w:widowControl w:val="0"/>
        <w:numPr>
          <w:ilvl w:val="0"/>
          <w:numId w:val="0"/>
        </w:numPr>
        <w:kinsoku/>
        <w:autoSpaceDE/>
        <w:autoSpaceDN/>
        <w:spacing w:before="120" w:beforeLines="50" w:after="120" w:afterLines="50" w:line="336" w:lineRule="auto"/>
        <w:jc w:val="center"/>
        <w:textAlignment w:val="auto"/>
        <w:rPr>
          <w:rFonts w:ascii="Times New Roman Regular" w:hAnsi="Times New Roman Regular" w:eastAsia="黑体" w:cs="Times New Roman Regular"/>
          <w:snapToGrid/>
          <w:color w:val="auto"/>
          <w:kern w:val="2"/>
          <w:highlight w:val="none"/>
          <w:lang w:eastAsia="zh-CN"/>
        </w:rPr>
      </w:pPr>
      <w:bookmarkStart w:id="257" w:name="bookmark74"/>
      <w:bookmarkEnd w:id="257"/>
      <w:bookmarkStart w:id="258" w:name="_Toc866730965"/>
      <w:bookmarkStart w:id="259" w:name="_Toc20756"/>
      <w:r>
        <w:rPr>
          <w:rFonts w:ascii="Times New Roman Regular" w:hAnsi="Times New Roman Regular" w:eastAsia="黑体" w:cs="Times New Roman Regular"/>
          <w:snapToGrid/>
          <w:color w:val="auto"/>
          <w:kern w:val="2"/>
          <w:highlight w:val="none"/>
          <w:lang w:eastAsia="zh-CN"/>
        </w:rPr>
        <w:t>7.3 总体评价结论</w:t>
      </w:r>
      <w:bookmarkEnd w:id="258"/>
      <w:bookmarkEnd w:id="259"/>
    </w:p>
    <w:p w14:paraId="1014AA5C">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按照科学、严谨、客观、公正的原则，本着对工作高度负责的精神，依据国家及地方政府的相关法律法规、标准、规程的规定，本次评价认定</w:t>
      </w:r>
      <w:r>
        <w:rPr>
          <w:rFonts w:hint="default" w:ascii="Times New Roman Regular" w:hAnsi="Times New Roman Regular" w:eastAsia="宋体" w:cs="Times New Roman Regular"/>
          <w:b/>
          <w:bCs/>
          <w:color w:val="auto"/>
          <w:sz w:val="28"/>
          <w:szCs w:val="28"/>
          <w:highlight w:val="none"/>
          <w:lang w:eastAsia="zh-CN"/>
        </w:rPr>
        <w:t>葫芦岛岳强矿业有限责任公司尾矿库</w:t>
      </w:r>
      <w:r>
        <w:rPr>
          <w:rFonts w:hint="eastAsia" w:ascii="Times New Roman Regular" w:hAnsi="Times New Roman Regular" w:eastAsia="宋体" w:cs="Times New Roman Regular"/>
          <w:b/>
          <w:bCs/>
          <w:color w:val="auto"/>
          <w:sz w:val="28"/>
          <w:szCs w:val="28"/>
          <w:highlight w:val="none"/>
          <w:lang w:val="en-US" w:eastAsia="zh-CN"/>
        </w:rPr>
        <w:t>按照安全设施设计组织生产，具备安全生产条件，</w:t>
      </w:r>
      <w:r>
        <w:rPr>
          <w:rFonts w:hint="default" w:ascii="Times New Roman Regular" w:hAnsi="Times New Roman Regular" w:eastAsia="宋体" w:cs="Times New Roman Regular"/>
          <w:b/>
          <w:bCs/>
          <w:color w:val="auto"/>
          <w:sz w:val="28"/>
          <w:szCs w:val="28"/>
          <w:highlight w:val="none"/>
          <w:lang w:eastAsia="zh-CN"/>
        </w:rPr>
        <w:t>符合延期换发安全生产许可证的要求。</w:t>
      </w:r>
      <w:bookmarkStart w:id="260" w:name="bookmark76"/>
      <w:bookmarkEnd w:id="260"/>
      <w:bookmarkStart w:id="261" w:name="_Toc7610"/>
    </w:p>
    <w:p w14:paraId="03D83802">
      <w:pPr>
        <w:rPr>
          <w:rFonts w:hint="eastAsia" w:ascii="宋体" w:hAnsi="宋体" w:eastAsia="宋体" w:cs="宋体"/>
          <w:color w:val="auto"/>
          <w:spacing w:val="-1"/>
          <w:sz w:val="28"/>
          <w:szCs w:val="28"/>
          <w:highlight w:val="none"/>
          <w:lang w:eastAsia="zh-CN"/>
        </w:rPr>
      </w:pPr>
      <w:r>
        <w:rPr>
          <w:rFonts w:ascii="宋体" w:hAnsi="宋体" w:eastAsia="宋体" w:cs="宋体"/>
          <w:color w:val="auto"/>
          <w:spacing w:val="-1"/>
          <w:sz w:val="28"/>
          <w:szCs w:val="28"/>
          <w:highlight w:val="none"/>
          <w:lang w:eastAsia="zh-CN"/>
        </w:rPr>
        <w:br w:type="page"/>
      </w:r>
    </w:p>
    <w:p w14:paraId="18E95B21">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262" w:name="_Toc765751154"/>
      <w:r>
        <w:rPr>
          <w:rFonts w:ascii="Times New Roman Regular" w:hAnsi="Times New Roman Regular" w:eastAsia="黑体" w:cs="Times New Roman Regular"/>
          <w:b/>
          <w:bCs/>
          <w:snapToGrid/>
          <w:color w:val="auto"/>
          <w:kern w:val="44"/>
          <w:sz w:val="32"/>
          <w:szCs w:val="44"/>
          <w:highlight w:val="none"/>
          <w:lang w:eastAsia="zh-CN"/>
        </w:rPr>
        <w:t>8 附件</w:t>
      </w:r>
      <w:bookmarkEnd w:id="261"/>
      <w:bookmarkEnd w:id="262"/>
    </w:p>
    <w:p w14:paraId="230CE262">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营业执照；</w:t>
      </w:r>
    </w:p>
    <w:p w14:paraId="4AAF5370">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安全生产许可证；</w:t>
      </w:r>
    </w:p>
    <w:p w14:paraId="4320CC86">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关于尾矿库安全科人员任命的通知；</w:t>
      </w:r>
    </w:p>
    <w:p w14:paraId="5C530C8A">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主要负责人、安全管理人员证件；</w:t>
      </w:r>
    </w:p>
    <w:p w14:paraId="7914FE7E">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特种作业人员操作资格证书；</w:t>
      </w:r>
    </w:p>
    <w:p w14:paraId="35742B59">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安全生产责任制文件及目录；</w:t>
      </w:r>
    </w:p>
    <w:p w14:paraId="44AFCDAC">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安全管理规章制度及岗位操作规程文件及目录；</w:t>
      </w:r>
    </w:p>
    <w:p w14:paraId="27721F3F">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202</w:t>
      </w:r>
      <w:r>
        <w:rPr>
          <w:rFonts w:hint="default" w:ascii="Times New Roman" w:hAnsi="Times New Roman" w:eastAsia="宋体" w:cs="Times New Roman"/>
          <w:color w:val="auto"/>
          <w:spacing w:val="-3"/>
          <w:sz w:val="28"/>
          <w:szCs w:val="28"/>
          <w:highlight w:val="none"/>
          <w:lang w:val="en-US" w:eastAsia="zh-CN"/>
        </w:rPr>
        <w:t>6</w:t>
      </w:r>
      <w:r>
        <w:rPr>
          <w:rFonts w:hint="default" w:ascii="Times New Roman" w:hAnsi="Times New Roman" w:eastAsia="宋体" w:cs="Times New Roman"/>
          <w:color w:val="auto"/>
          <w:spacing w:val="-3"/>
          <w:sz w:val="28"/>
          <w:szCs w:val="28"/>
          <w:highlight w:val="none"/>
          <w:lang w:eastAsia="zh-CN"/>
        </w:rPr>
        <w:t>年提取安全生产费用计划和使用明细；</w:t>
      </w:r>
    </w:p>
    <w:p w14:paraId="60256C9B">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安全生产责任险保单；</w:t>
      </w:r>
    </w:p>
    <w:p w14:paraId="16C46368">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事故应急预案备案登记表；</w:t>
      </w:r>
    </w:p>
    <w:p w14:paraId="0726523E">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救护协议；</w:t>
      </w:r>
    </w:p>
    <w:p w14:paraId="642DD69C">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关于任命尾矿库技术负责人的通知；</w:t>
      </w:r>
    </w:p>
    <w:p w14:paraId="4D8F0074">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技术负责人证件；</w:t>
      </w:r>
    </w:p>
    <w:p w14:paraId="02113D8F">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注安人员证件；</w:t>
      </w:r>
    </w:p>
    <w:p w14:paraId="48D0A7EC">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注安师任命文件；</w:t>
      </w:r>
    </w:p>
    <w:p w14:paraId="6A733B23">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兼职救护队成立文件；</w:t>
      </w:r>
    </w:p>
    <w:p w14:paraId="61B0A3A7">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2025年度汛前调洪演算报告；</w:t>
      </w:r>
    </w:p>
    <w:p w14:paraId="50832AC3">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排水构筑物</w:t>
      </w:r>
      <w:r>
        <w:rPr>
          <w:rFonts w:hint="default" w:ascii="Times New Roman" w:hAnsi="Times New Roman" w:eastAsia="宋体" w:cs="Times New Roman"/>
          <w:color w:val="auto"/>
          <w:spacing w:val="-3"/>
          <w:sz w:val="28"/>
          <w:szCs w:val="28"/>
          <w:highlight w:val="none"/>
          <w:lang w:val="zh-CN" w:eastAsia="zh-CN"/>
        </w:rPr>
        <w:t>检测报告；</w:t>
      </w:r>
    </w:p>
    <w:p w14:paraId="530C66A9">
      <w:pPr>
        <w:numPr>
          <w:ilvl w:val="0"/>
          <w:numId w:val="21"/>
        </w:numPr>
        <w:spacing w:line="360" w:lineRule="auto"/>
        <w:ind w:firstLine="548" w:firstLineChars="200"/>
        <w:rPr>
          <w:rFonts w:hint="default" w:ascii="Times New Roman" w:hAnsi="Times New Roman" w:eastAsia="宋体" w:cs="Times New Roman"/>
          <w:color w:val="auto"/>
          <w:spacing w:val="-3"/>
          <w:sz w:val="28"/>
          <w:szCs w:val="28"/>
          <w:highlight w:val="none"/>
          <w:lang w:eastAsia="zh-CN"/>
        </w:rPr>
      </w:pPr>
      <w:r>
        <w:rPr>
          <w:rFonts w:hint="default" w:ascii="Times New Roman" w:hAnsi="Times New Roman" w:eastAsia="宋体" w:cs="Times New Roman"/>
          <w:color w:val="auto"/>
          <w:spacing w:val="-3"/>
          <w:sz w:val="28"/>
          <w:szCs w:val="28"/>
          <w:highlight w:val="none"/>
          <w:lang w:eastAsia="zh-CN"/>
        </w:rPr>
        <w:t>尾矿库人工监测报告。</w:t>
      </w:r>
    </w:p>
    <w:p w14:paraId="1DCB49D9">
      <w:pPr>
        <w:rPr>
          <w:rFonts w:ascii="Times New Roman" w:hAnsi="Times New Roman" w:eastAsia="Times New Roman" w:cs="Times New Roman"/>
          <w:b/>
          <w:bCs/>
          <w:color w:val="auto"/>
          <w:spacing w:val="-10"/>
          <w:sz w:val="31"/>
          <w:szCs w:val="31"/>
          <w:highlight w:val="none"/>
          <w:lang w:eastAsia="zh-CN"/>
        </w:rPr>
      </w:pPr>
      <w:bookmarkStart w:id="263" w:name="bookmark78"/>
      <w:bookmarkEnd w:id="263"/>
      <w:bookmarkStart w:id="264" w:name="_Toc10595"/>
      <w:r>
        <w:rPr>
          <w:rFonts w:ascii="Times New Roman" w:hAnsi="Times New Roman" w:eastAsia="Times New Roman" w:cs="Times New Roman"/>
          <w:b/>
          <w:bCs/>
          <w:color w:val="auto"/>
          <w:spacing w:val="-10"/>
          <w:sz w:val="31"/>
          <w:szCs w:val="31"/>
          <w:highlight w:val="none"/>
          <w:lang w:eastAsia="zh-CN"/>
        </w:rPr>
        <w:br w:type="page"/>
      </w:r>
    </w:p>
    <w:p w14:paraId="1ADCC541">
      <w:pPr>
        <w:widowControl w:val="0"/>
        <w:kinsoku/>
        <w:autoSpaceDE/>
        <w:autoSpaceDN/>
        <w:adjustRightInd/>
        <w:spacing w:before="120" w:beforeLines="50" w:after="120" w:afterLines="50" w:line="360" w:lineRule="auto"/>
        <w:jc w:val="center"/>
        <w:textAlignment w:val="auto"/>
        <w:outlineLvl w:val="0"/>
        <w:rPr>
          <w:rFonts w:ascii="Times New Roman Regular" w:hAnsi="Times New Roman Regular" w:eastAsia="黑体" w:cs="Times New Roman Regular"/>
          <w:b/>
          <w:bCs/>
          <w:snapToGrid/>
          <w:color w:val="auto"/>
          <w:kern w:val="44"/>
          <w:sz w:val="32"/>
          <w:szCs w:val="44"/>
          <w:highlight w:val="none"/>
          <w:lang w:eastAsia="zh-CN"/>
        </w:rPr>
      </w:pPr>
      <w:bookmarkStart w:id="265" w:name="_Toc110148807"/>
      <w:r>
        <w:rPr>
          <w:rFonts w:ascii="Times New Roman Regular" w:hAnsi="Times New Roman Regular" w:eastAsia="黑体" w:cs="Times New Roman Regular"/>
          <w:b/>
          <w:bCs/>
          <w:snapToGrid/>
          <w:color w:val="auto"/>
          <w:kern w:val="44"/>
          <w:sz w:val="32"/>
          <w:szCs w:val="44"/>
          <w:highlight w:val="none"/>
          <w:lang w:eastAsia="zh-CN"/>
        </w:rPr>
        <w:t>9 附图</w:t>
      </w:r>
      <w:bookmarkEnd w:id="264"/>
      <w:bookmarkEnd w:id="265"/>
    </w:p>
    <w:p w14:paraId="228803AA">
      <w:pPr>
        <w:spacing w:line="360" w:lineRule="auto"/>
        <w:ind w:firstLine="552" w:firstLineChars="200"/>
        <w:rPr>
          <w:rFonts w:hint="eastAsia" w:ascii="宋体" w:hAnsi="宋体" w:eastAsia="宋体" w:cs="宋体"/>
          <w:color w:val="auto"/>
          <w:spacing w:val="-2"/>
          <w:sz w:val="28"/>
          <w:szCs w:val="28"/>
          <w:highlight w:val="none"/>
          <w:lang w:eastAsia="zh-CN"/>
        </w:rPr>
      </w:pPr>
      <w:r>
        <w:rPr>
          <w:rFonts w:hint="eastAsia" w:ascii="宋体" w:hAnsi="宋体" w:eastAsia="宋体" w:cs="宋体"/>
          <w:color w:val="auto"/>
          <w:spacing w:val="-2"/>
          <w:sz w:val="28"/>
          <w:szCs w:val="28"/>
          <w:highlight w:val="none"/>
          <w:lang w:eastAsia="zh-CN"/>
        </w:rPr>
        <w:t>（1）尾矿库现状平面图；</w:t>
      </w:r>
    </w:p>
    <w:p w14:paraId="57015B4F">
      <w:pPr>
        <w:spacing w:line="360" w:lineRule="auto"/>
        <w:ind w:firstLine="552" w:firstLineChars="200"/>
        <w:rPr>
          <w:rFonts w:hint="eastAsia" w:ascii="宋体" w:hAnsi="宋体" w:eastAsia="宋体" w:cs="宋体"/>
          <w:color w:val="auto"/>
          <w:spacing w:val="-2"/>
          <w:sz w:val="28"/>
          <w:szCs w:val="28"/>
          <w:highlight w:val="none"/>
          <w:lang w:eastAsia="zh-CN"/>
        </w:rPr>
      </w:pPr>
      <w:r>
        <w:rPr>
          <w:rFonts w:hint="eastAsia" w:ascii="宋体" w:hAnsi="宋体" w:eastAsia="宋体" w:cs="宋体"/>
          <w:color w:val="auto"/>
          <w:spacing w:val="-2"/>
          <w:sz w:val="28"/>
          <w:szCs w:val="28"/>
          <w:highlight w:val="none"/>
          <w:lang w:eastAsia="zh-CN"/>
        </w:rPr>
        <w:t>（2）尾矿坝现状剖面图。</w:t>
      </w:r>
    </w:p>
    <w:sectPr>
      <w:headerReference r:id="rId5" w:type="default"/>
      <w:pgSz w:w="11906" w:h="16839"/>
      <w:pgMar w:top="1440" w:right="1800" w:bottom="1440" w:left="1800" w:header="868" w:footer="98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A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Helvetica Neue">
    <w:panose1 w:val="02000503000000020004"/>
    <w:charset w:val="00"/>
    <w:family w:val="auto"/>
    <w:pitch w:val="default"/>
    <w:sig w:usb0="E50002FF" w:usb1="500079DB" w:usb2="00000010" w:usb3="00000000" w:csb0="00000000" w:csb1="00000000"/>
  </w:font>
  <w:font w:name="仿宋">
    <w:altName w:val="仿宋-简"/>
    <w:panose1 w:val="02010609060101010101"/>
    <w:charset w:val="86"/>
    <w:family w:val="modern"/>
    <w:pitch w:val="default"/>
    <w:sig w:usb0="00000000" w:usb1="00000000" w:usb2="00000016" w:usb3="00000000" w:csb0="00040001" w:csb1="00000000"/>
  </w:font>
  <w:font w:name="方正仿宋_GBK">
    <w:altName w:val="仿宋-简"/>
    <w:panose1 w:val="02000000000000000000"/>
    <w:charset w:val="86"/>
    <w:family w:val="auto"/>
    <w:pitch w:val="default"/>
    <w:sig w:usb0="00000000" w:usb1="00000000" w:usb2="00082016" w:usb3="00000000" w:csb0="00040001" w:csb1="00000000"/>
  </w:font>
  <w:font w:name="Times New Roman Italic">
    <w:panose1 w:val="02020503050405090304"/>
    <w:charset w:val="00"/>
    <w:family w:val="auto"/>
    <w:pitch w:val="default"/>
    <w:sig w:usb0="E0000AFF" w:usb1="00007843" w:usb2="00000001" w:usb3="00000000" w:csb0="400001BF" w:csb1="DFF70000"/>
  </w:font>
  <w:font w:name="DejaVu Math TeX Gyre">
    <w:panose1 w:val="02000503000000000000"/>
    <w:charset w:val="00"/>
    <w:family w:val="auto"/>
    <w:pitch w:val="default"/>
    <w:sig w:usb0="A10000EF" w:usb1="4201F9EE" w:usb2="02000000" w:usb3="00000000" w:csb0="60000193" w:csb1="0DD40000"/>
  </w:font>
  <w:font w:name="Kingsoft Sign">
    <w:panose1 w:val="05050102010706020507"/>
    <w:charset w:val="00"/>
    <w:family w:val="auto"/>
    <w:pitch w:val="default"/>
    <w:sig w:usb0="00000000" w:usb1="10000000" w:usb2="00000000" w:usb3="00000000" w:csb0="00000001" w:csb1="00000000"/>
  </w:font>
  <w:font w:name="仿宋-简">
    <w:panose1 w:val="02010609060101010101"/>
    <w:charset w:val="86"/>
    <w:family w:val="auto"/>
    <w:pitch w:val="default"/>
    <w:sig w:usb0="A00002BF" w:usb1="3ACF7CFA" w:usb2="00000016" w:usb3="00000000" w:csb0="00040001" w:csb1="00000000"/>
  </w:font>
  <w:font w:name="宋体-简">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EA7BD">
    <w:pPr>
      <w:spacing w:before="48" w:line="272" w:lineRule="exact"/>
      <w:ind w:left="20"/>
      <w:rPr>
        <w:rFonts w:ascii="Calibri" w:hAnsi="Calibri" w:eastAsia="Calibri" w:cs="Calibri"/>
        <w:sz w:val="18"/>
        <w:szCs w:val="18"/>
        <w:lang w:eastAsia="zh-CN"/>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45" name="文本框 1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1C0B5">
                          <w:pPr>
                            <w:pStyle w:val="11"/>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JA78tAgAAW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bJA78tAgAAWQQAAA4AAAAAAAAAAQAgAAAAHwEAAGRycy9lMm9Eb2MueG1sUEsFBgAAAAAG&#10;AAYAWQEAAL4FAAAAAA==&#10;">
              <v:fill on="f" focussize="0,0"/>
              <v:stroke on="f" weight="0.5pt"/>
              <v:imagedata o:title=""/>
              <o:lock v:ext="edit" aspectratio="f"/>
              <v:textbox inset="0mm,0mm,0mm,0mm" style="mso-fit-shape-to-text:t;">
                <w:txbxContent>
                  <w:p w14:paraId="1441C0B5">
                    <w:pPr>
                      <w:pStyle w:val="11"/>
                    </w:pPr>
                    <w:r>
                      <w:fldChar w:fldCharType="begin"/>
                    </w:r>
                    <w:r>
                      <w:instrText xml:space="preserve"> PAGE  \* MERGEFORMAT </w:instrText>
                    </w:r>
                    <w:r>
                      <w:fldChar w:fldCharType="separate"/>
                    </w:r>
                    <w:r>
                      <w:t>33</w:t>
                    </w:r>
                    <w:r>
                      <w:fldChar w:fldCharType="end"/>
                    </w:r>
                  </w:p>
                </w:txbxContent>
              </v:textbox>
            </v:shape>
          </w:pict>
        </mc:Fallback>
      </mc:AlternateContent>
    </w:r>
    <w:r>
      <w:pict>
        <v:shape id="_x0000_s1088" o:spid="_x0000_s1088" style="position:absolute;left:0pt;margin-left:85.05pt;margin-top:769.1pt;height:0.5pt;width:425.25pt;mso-position-horizontal-relative:page;mso-position-vertical-relative:page;z-index:251661312;mso-width-relative:page;mso-height-relative:page;" fillcolor="#000000" filled="t" stroked="f" coordsize="8505,10" o:allowincell="f" path="m0,0l8504,0,8504,9,0,9,0,0xe">
          <v:path/>
          <v:fill on="t" focussize="0,0"/>
          <v:stroke on="f"/>
          <v:imagedata o:title=""/>
          <o:lock v:ext="edit"/>
        </v:shape>
      </w:pict>
    </w:r>
    <w:r>
      <w:rPr>
        <w:rFonts w:ascii="宋体" w:hAnsi="宋体" w:eastAsia="宋体" w:cs="宋体"/>
        <w:position w:val="1"/>
        <w:sz w:val="18"/>
        <w:szCs w:val="18"/>
      </w:rPr>
      <w:drawing>
        <wp:inline distT="0" distB="0" distL="0" distR="0">
          <wp:extent cx="299720" cy="11747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
                  <a:stretch>
                    <a:fillRect/>
                  </a:stretch>
                </pic:blipFill>
                <pic:spPr>
                  <a:xfrm>
                    <a:off x="0" y="0"/>
                    <a:ext cx="300175" cy="117990"/>
                  </a:xfrm>
                  <a:prstGeom prst="rect">
                    <a:avLst/>
                  </a:prstGeom>
                </pic:spPr>
              </pic:pic>
            </a:graphicData>
          </a:graphic>
        </wp:inline>
      </w:drawing>
    </w:r>
    <w:r>
      <w:rPr>
        <w:rFonts w:ascii="宋体" w:hAnsi="宋体" w:eastAsia="宋体" w:cs="宋体"/>
        <w:spacing w:val="4"/>
        <w:position w:val="-1"/>
        <w:sz w:val="18"/>
        <w:szCs w:val="18"/>
        <w:lang w:eastAsia="zh-CN"/>
      </w:rPr>
      <w:t xml:space="preserve"> </w:t>
    </w:r>
    <w:r>
      <w:rPr>
        <w:rFonts w:ascii="宋体" w:hAnsi="宋体" w:eastAsia="宋体" w:cs="宋体"/>
        <w:spacing w:val="-2"/>
        <w:position w:val="-1"/>
        <w:lang w:eastAsia="zh-CN"/>
      </w:rPr>
      <w:t>辽宁诺诚安全科技有限公司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71731">
    <w:pPr>
      <w:pBdr>
        <w:bottom w:val="single" w:color="auto" w:sz="4" w:space="0"/>
      </w:pBdr>
      <w:spacing w:before="14" w:line="229" w:lineRule="auto"/>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葫芦岛岳强矿业有限责任公司尾矿库</w:t>
    </w:r>
    <w:r>
      <w:rPr>
        <w:rFonts w:hint="eastAsia" w:ascii="宋体" w:hAnsi="宋体" w:eastAsia="宋体" w:cs="宋体"/>
        <w:spacing w:val="9"/>
        <w:sz w:val="18"/>
        <w:szCs w:val="18"/>
        <w:lang w:eastAsia="zh-CN"/>
      </w:rPr>
      <w:t>安全现状评价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A5C4B">
    <w:pPr>
      <w:pBdr>
        <w:bottom w:val="single" w:color="auto" w:sz="4" w:space="0"/>
      </w:pBdr>
      <w:spacing w:before="14" w:line="229" w:lineRule="auto"/>
      <w:jc w:val="center"/>
      <w:rPr>
        <w:lang w:eastAsia="zh-CN"/>
      </w:rPr>
    </w:pPr>
    <w:r>
      <w:rPr>
        <w:rFonts w:hint="eastAsia" w:ascii="宋体" w:hAnsi="宋体" w:eastAsia="宋体" w:cs="宋体"/>
        <w:sz w:val="18"/>
        <w:szCs w:val="18"/>
        <w:lang w:eastAsia="zh-CN"/>
      </w:rPr>
      <w:t>葫芦岛岳强矿业有限责任公司尾矿库</w:t>
    </w:r>
    <w:r>
      <w:rPr>
        <w:rFonts w:hint="eastAsia" w:ascii="宋体" w:hAnsi="宋体" w:eastAsia="宋体" w:cs="宋体"/>
        <w:spacing w:val="9"/>
        <w:sz w:val="18"/>
        <w:szCs w:val="18"/>
        <w:lang w:eastAsia="zh-CN"/>
      </w:rPr>
      <w:t>安全现状评价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9E5B3A"/>
    <w:multiLevelType w:val="singleLevel"/>
    <w:tmpl w:val="939E5B3A"/>
    <w:lvl w:ilvl="0" w:tentative="0">
      <w:start w:val="1"/>
      <w:numFmt w:val="decimal"/>
      <w:suff w:val="nothing"/>
      <w:lvlText w:val="（%1）"/>
      <w:lvlJc w:val="left"/>
    </w:lvl>
  </w:abstractNum>
  <w:abstractNum w:abstractNumId="1">
    <w:nsid w:val="B7FEC0B5"/>
    <w:multiLevelType w:val="singleLevel"/>
    <w:tmpl w:val="B7FEC0B5"/>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2">
    <w:nsid w:val="BA7E2A54"/>
    <w:multiLevelType w:val="singleLevel"/>
    <w:tmpl w:val="BA7E2A54"/>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3">
    <w:nsid w:val="BB7EA26F"/>
    <w:multiLevelType w:val="singleLevel"/>
    <w:tmpl w:val="BB7EA26F"/>
    <w:lvl w:ilvl="0" w:tentative="0">
      <w:start w:val="1"/>
      <w:numFmt w:val="decimal"/>
      <w:suff w:val="nothing"/>
      <w:lvlText w:val="（%1）"/>
      <w:lvlJc w:val="left"/>
    </w:lvl>
  </w:abstractNum>
  <w:abstractNum w:abstractNumId="4">
    <w:nsid w:val="BBBE1A4B"/>
    <w:multiLevelType w:val="singleLevel"/>
    <w:tmpl w:val="BBBE1A4B"/>
    <w:lvl w:ilvl="0" w:tentative="0">
      <w:start w:val="1"/>
      <w:numFmt w:val="decimal"/>
      <w:suff w:val="nothing"/>
      <w:lvlText w:val="（%1）"/>
      <w:lvlJc w:val="left"/>
    </w:lvl>
  </w:abstractNum>
  <w:abstractNum w:abstractNumId="5">
    <w:nsid w:val="BEF6A436"/>
    <w:multiLevelType w:val="singleLevel"/>
    <w:tmpl w:val="BEF6A436"/>
    <w:lvl w:ilvl="0" w:tentative="0">
      <w:start w:val="1"/>
      <w:numFmt w:val="decimal"/>
      <w:suff w:val="nothing"/>
      <w:lvlText w:val="（%1）"/>
      <w:lvlJc w:val="left"/>
    </w:lvl>
  </w:abstractNum>
  <w:abstractNum w:abstractNumId="6">
    <w:nsid w:val="DCEAF816"/>
    <w:multiLevelType w:val="singleLevel"/>
    <w:tmpl w:val="DCEAF816"/>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7">
    <w:nsid w:val="DFFEE83F"/>
    <w:multiLevelType w:val="singleLevel"/>
    <w:tmpl w:val="DFFEE83F"/>
    <w:lvl w:ilvl="0" w:tentative="0">
      <w:start w:val="1"/>
      <w:numFmt w:val="decimal"/>
      <w:suff w:val="nothing"/>
      <w:lvlText w:val="（%1）"/>
      <w:lvlJc w:val="left"/>
    </w:lvl>
  </w:abstractNum>
  <w:abstractNum w:abstractNumId="8">
    <w:nsid w:val="EDD62ACB"/>
    <w:multiLevelType w:val="singleLevel"/>
    <w:tmpl w:val="EDD62ACB"/>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9">
    <w:nsid w:val="FAF9C96A"/>
    <w:multiLevelType w:val="singleLevel"/>
    <w:tmpl w:val="FAF9C96A"/>
    <w:lvl w:ilvl="0" w:tentative="0">
      <w:start w:val="1"/>
      <w:numFmt w:val="decimal"/>
      <w:suff w:val="nothing"/>
      <w:lvlText w:val="（%1）"/>
      <w:lvlJc w:val="left"/>
    </w:lvl>
  </w:abstractNum>
  <w:abstractNum w:abstractNumId="10">
    <w:nsid w:val="FB566684"/>
    <w:multiLevelType w:val="multilevel"/>
    <w:tmpl w:val="FB566684"/>
    <w:lvl w:ilvl="0" w:tentative="0">
      <w:start w:val="1"/>
      <w:numFmt w:val="decimal"/>
      <w:lvlText w:val="%1."/>
      <w:lvlJc w:val="left"/>
      <w:pPr>
        <w:ind w:left="432" w:hanging="432"/>
      </w:pPr>
      <w:rPr>
        <w:rFonts w:hint="default"/>
        <w:sz w:val="36"/>
        <w:szCs w:val="36"/>
      </w:rPr>
    </w:lvl>
    <w:lvl w:ilvl="1" w:tentative="0">
      <w:start w:val="1"/>
      <w:numFmt w:val="decimal"/>
      <w:pStyle w:val="3"/>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1">
    <w:nsid w:val="FE7CBAE7"/>
    <w:multiLevelType w:val="singleLevel"/>
    <w:tmpl w:val="FE7CBAE7"/>
    <w:lvl w:ilvl="0" w:tentative="0">
      <w:start w:val="1"/>
      <w:numFmt w:val="decimal"/>
      <w:suff w:val="nothing"/>
      <w:lvlText w:val="（%1）"/>
      <w:lvlJc w:val="left"/>
    </w:lvl>
  </w:abstractNum>
  <w:abstractNum w:abstractNumId="12">
    <w:nsid w:val="FFB5A6AD"/>
    <w:multiLevelType w:val="singleLevel"/>
    <w:tmpl w:val="FFB5A6AD"/>
    <w:lvl w:ilvl="0" w:tentative="0">
      <w:start w:val="1"/>
      <w:numFmt w:val="decimal"/>
      <w:suff w:val="nothing"/>
      <w:lvlText w:val="（%1）"/>
      <w:lvlJc w:val="left"/>
    </w:lvl>
  </w:abstractNum>
  <w:abstractNum w:abstractNumId="13">
    <w:nsid w:val="FFEDF4BC"/>
    <w:multiLevelType w:val="singleLevel"/>
    <w:tmpl w:val="FFEDF4BC"/>
    <w:lvl w:ilvl="0" w:tentative="0">
      <w:start w:val="1"/>
      <w:numFmt w:val="decimal"/>
      <w:suff w:val="nothing"/>
      <w:lvlText w:val="（%1）"/>
      <w:lvlJc w:val="left"/>
    </w:lvl>
  </w:abstractNum>
  <w:abstractNum w:abstractNumId="14">
    <w:nsid w:val="FFFB48AF"/>
    <w:multiLevelType w:val="singleLevel"/>
    <w:tmpl w:val="FFFB48AF"/>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5">
    <w:nsid w:val="66FF9323"/>
    <w:multiLevelType w:val="singleLevel"/>
    <w:tmpl w:val="66FF9323"/>
    <w:lvl w:ilvl="0" w:tentative="0">
      <w:start w:val="1"/>
      <w:numFmt w:val="decimal"/>
      <w:suff w:val="nothing"/>
      <w:lvlText w:val="（%1）"/>
      <w:lvlJc w:val="left"/>
    </w:lvl>
  </w:abstractNum>
  <w:abstractNum w:abstractNumId="16">
    <w:nsid w:val="6BF7FDE2"/>
    <w:multiLevelType w:val="singleLevel"/>
    <w:tmpl w:val="6BF7FDE2"/>
    <w:lvl w:ilvl="0" w:tentative="0">
      <w:start w:val="1"/>
      <w:numFmt w:val="decimal"/>
      <w:suff w:val="nothing"/>
      <w:lvlText w:val="（%1）"/>
      <w:lvlJc w:val="left"/>
    </w:lvl>
  </w:abstractNum>
  <w:abstractNum w:abstractNumId="17">
    <w:nsid w:val="75CFF5F6"/>
    <w:multiLevelType w:val="singleLevel"/>
    <w:tmpl w:val="75CFF5F6"/>
    <w:lvl w:ilvl="0" w:tentative="0">
      <w:start w:val="1"/>
      <w:numFmt w:val="decimal"/>
      <w:suff w:val="nothing"/>
      <w:lvlText w:val="（%1）"/>
      <w:lvlJc w:val="left"/>
    </w:lvl>
  </w:abstractNum>
  <w:abstractNum w:abstractNumId="18">
    <w:nsid w:val="777C7D67"/>
    <w:multiLevelType w:val="singleLevel"/>
    <w:tmpl w:val="777C7D67"/>
    <w:lvl w:ilvl="0" w:tentative="0">
      <w:start w:val="1"/>
      <w:numFmt w:val="decimal"/>
      <w:suff w:val="nothing"/>
      <w:lvlText w:val="（%1）"/>
      <w:lvlJc w:val="left"/>
    </w:lvl>
  </w:abstractNum>
  <w:abstractNum w:abstractNumId="19">
    <w:nsid w:val="7BFADED1"/>
    <w:multiLevelType w:val="singleLevel"/>
    <w:tmpl w:val="7BFADED1"/>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20">
    <w:nsid w:val="7FBFB897"/>
    <w:multiLevelType w:val="singleLevel"/>
    <w:tmpl w:val="7FBFB897"/>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num w:numId="1">
    <w:abstractNumId w:val="10"/>
  </w:num>
  <w:num w:numId="2">
    <w:abstractNumId w:val="5"/>
  </w:num>
  <w:num w:numId="3">
    <w:abstractNumId w:val="11"/>
  </w:num>
  <w:num w:numId="4">
    <w:abstractNumId w:val="18"/>
  </w:num>
  <w:num w:numId="5">
    <w:abstractNumId w:val="9"/>
  </w:num>
  <w:num w:numId="6">
    <w:abstractNumId w:val="12"/>
  </w:num>
  <w:num w:numId="7">
    <w:abstractNumId w:val="3"/>
  </w:num>
  <w:num w:numId="8">
    <w:abstractNumId w:val="15"/>
  </w:num>
  <w:num w:numId="9">
    <w:abstractNumId w:val="1"/>
  </w:num>
  <w:num w:numId="10">
    <w:abstractNumId w:val="14"/>
  </w:num>
  <w:num w:numId="11">
    <w:abstractNumId w:val="8"/>
  </w:num>
  <w:num w:numId="12">
    <w:abstractNumId w:val="2"/>
  </w:num>
  <w:num w:numId="13">
    <w:abstractNumId w:val="19"/>
  </w:num>
  <w:num w:numId="14">
    <w:abstractNumId w:val="20"/>
  </w:num>
  <w:num w:numId="15">
    <w:abstractNumId w:val="6"/>
  </w:num>
  <w:num w:numId="16">
    <w:abstractNumId w:val="4"/>
  </w:num>
  <w:num w:numId="17">
    <w:abstractNumId w:val="0"/>
  </w:num>
  <w:num w:numId="18">
    <w:abstractNumId w:val="16"/>
  </w:num>
  <w:num w:numId="19">
    <w:abstractNumId w:val="7"/>
  </w:num>
  <w:num w:numId="20">
    <w:abstractNumId w:val="17"/>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hdrShapeDefaults>
    <o:shapelayout v:ext="edit">
      <o:idmap v:ext="edit" data="1"/>
    </o:shapelayout>
  </w:hdrShapeDefaults>
  <w:compat>
    <w:spaceForUL/>
    <w:ulTrailSpace/>
    <w:useFELayout/>
    <w:compatSetting w:name="compatibilityMode" w:uri="http://schemas.microsoft.com/office/word" w:val="14"/>
  </w:compat>
  <w:rsids>
    <w:rsidRoot w:val="000463FD"/>
    <w:rsid w:val="000463FD"/>
    <w:rsid w:val="00180D85"/>
    <w:rsid w:val="001A4A41"/>
    <w:rsid w:val="0025141C"/>
    <w:rsid w:val="00280604"/>
    <w:rsid w:val="002F5223"/>
    <w:rsid w:val="004D635C"/>
    <w:rsid w:val="00517E4F"/>
    <w:rsid w:val="00540BA6"/>
    <w:rsid w:val="00544E86"/>
    <w:rsid w:val="00797A19"/>
    <w:rsid w:val="007A3934"/>
    <w:rsid w:val="007D1710"/>
    <w:rsid w:val="008B2702"/>
    <w:rsid w:val="00A32A0F"/>
    <w:rsid w:val="00AA0BA3"/>
    <w:rsid w:val="00AE0B90"/>
    <w:rsid w:val="00B60B29"/>
    <w:rsid w:val="00BB138A"/>
    <w:rsid w:val="00C451A5"/>
    <w:rsid w:val="00CA78C4"/>
    <w:rsid w:val="00D05683"/>
    <w:rsid w:val="00D15BC1"/>
    <w:rsid w:val="00E26F2E"/>
    <w:rsid w:val="00F55858"/>
    <w:rsid w:val="04385456"/>
    <w:rsid w:val="04673634"/>
    <w:rsid w:val="04DF7CDC"/>
    <w:rsid w:val="05024B7F"/>
    <w:rsid w:val="08872B64"/>
    <w:rsid w:val="0A7B04A7"/>
    <w:rsid w:val="0B023A15"/>
    <w:rsid w:val="0C974938"/>
    <w:rsid w:val="0D0758F2"/>
    <w:rsid w:val="0F5C08A7"/>
    <w:rsid w:val="10640357"/>
    <w:rsid w:val="115F467E"/>
    <w:rsid w:val="120B2110"/>
    <w:rsid w:val="13257202"/>
    <w:rsid w:val="14EE172C"/>
    <w:rsid w:val="15307CC4"/>
    <w:rsid w:val="15AB474B"/>
    <w:rsid w:val="169D3E34"/>
    <w:rsid w:val="171E67A4"/>
    <w:rsid w:val="17496CF0"/>
    <w:rsid w:val="17945F4E"/>
    <w:rsid w:val="18544C40"/>
    <w:rsid w:val="19824AD2"/>
    <w:rsid w:val="1A6E5932"/>
    <w:rsid w:val="1B634D6B"/>
    <w:rsid w:val="1B7A3E63"/>
    <w:rsid w:val="1E026ABD"/>
    <w:rsid w:val="1EB1403F"/>
    <w:rsid w:val="1EBF49AE"/>
    <w:rsid w:val="1EBFFC64"/>
    <w:rsid w:val="1F2F8D37"/>
    <w:rsid w:val="1F745799"/>
    <w:rsid w:val="1FEE55FC"/>
    <w:rsid w:val="1FFE32B4"/>
    <w:rsid w:val="20BD232A"/>
    <w:rsid w:val="215D400B"/>
    <w:rsid w:val="238735C1"/>
    <w:rsid w:val="26C843E6"/>
    <w:rsid w:val="279C5427"/>
    <w:rsid w:val="27F47EBE"/>
    <w:rsid w:val="288B3EF1"/>
    <w:rsid w:val="298F31CF"/>
    <w:rsid w:val="29DD03DE"/>
    <w:rsid w:val="2A094D30"/>
    <w:rsid w:val="2A4C079A"/>
    <w:rsid w:val="2A61691A"/>
    <w:rsid w:val="2A800ABA"/>
    <w:rsid w:val="2BD05317"/>
    <w:rsid w:val="2F1321AD"/>
    <w:rsid w:val="2F68317C"/>
    <w:rsid w:val="2FCF3C2C"/>
    <w:rsid w:val="30C14964"/>
    <w:rsid w:val="31B954E7"/>
    <w:rsid w:val="31BF3359"/>
    <w:rsid w:val="321B1AA4"/>
    <w:rsid w:val="337E053C"/>
    <w:rsid w:val="342C5338"/>
    <w:rsid w:val="34853B4C"/>
    <w:rsid w:val="35DF14F2"/>
    <w:rsid w:val="37071D00"/>
    <w:rsid w:val="373D24BC"/>
    <w:rsid w:val="3FF75308"/>
    <w:rsid w:val="45034D45"/>
    <w:rsid w:val="48934101"/>
    <w:rsid w:val="48F350D1"/>
    <w:rsid w:val="49507E2D"/>
    <w:rsid w:val="49A040E1"/>
    <w:rsid w:val="4AFF1B0B"/>
    <w:rsid w:val="4BFB6776"/>
    <w:rsid w:val="4DBA440F"/>
    <w:rsid w:val="4E451F2B"/>
    <w:rsid w:val="4E8E1743"/>
    <w:rsid w:val="4F1D1BC7"/>
    <w:rsid w:val="50701184"/>
    <w:rsid w:val="55364A75"/>
    <w:rsid w:val="554C0D69"/>
    <w:rsid w:val="57604EF0"/>
    <w:rsid w:val="58A02683"/>
    <w:rsid w:val="59210B12"/>
    <w:rsid w:val="59380E82"/>
    <w:rsid w:val="5C4E0948"/>
    <w:rsid w:val="5C5EC700"/>
    <w:rsid w:val="5CCE758F"/>
    <w:rsid w:val="5E2B62FF"/>
    <w:rsid w:val="5E5F293B"/>
    <w:rsid w:val="5EBDADA0"/>
    <w:rsid w:val="5FBC5DC5"/>
    <w:rsid w:val="60536729"/>
    <w:rsid w:val="66D14589"/>
    <w:rsid w:val="673EB2A8"/>
    <w:rsid w:val="6A401E6D"/>
    <w:rsid w:val="6C8934D3"/>
    <w:rsid w:val="6CD604AE"/>
    <w:rsid w:val="6EA41DB6"/>
    <w:rsid w:val="70C76378"/>
    <w:rsid w:val="70F7FED9"/>
    <w:rsid w:val="71F5D19C"/>
    <w:rsid w:val="72EA3C3A"/>
    <w:rsid w:val="737F2F3A"/>
    <w:rsid w:val="73F7295E"/>
    <w:rsid w:val="749EABEC"/>
    <w:rsid w:val="76576448"/>
    <w:rsid w:val="771340C5"/>
    <w:rsid w:val="78453910"/>
    <w:rsid w:val="78E84F31"/>
    <w:rsid w:val="7BD2334F"/>
    <w:rsid w:val="7BFF18BD"/>
    <w:rsid w:val="7CAD7E91"/>
    <w:rsid w:val="7D501861"/>
    <w:rsid w:val="7DC52BA6"/>
    <w:rsid w:val="7DEC9F70"/>
    <w:rsid w:val="7DFF143B"/>
    <w:rsid w:val="7E3E7D97"/>
    <w:rsid w:val="7E6D6F54"/>
    <w:rsid w:val="7EBD8299"/>
    <w:rsid w:val="7F5FA962"/>
    <w:rsid w:val="7F7F290A"/>
    <w:rsid w:val="7FB7459D"/>
    <w:rsid w:val="7FDEAB68"/>
    <w:rsid w:val="7FFF4BF3"/>
    <w:rsid w:val="8FBFFCD3"/>
    <w:rsid w:val="8FFFC575"/>
    <w:rsid w:val="9FFEB42F"/>
    <w:rsid w:val="A7EF53C1"/>
    <w:rsid w:val="AFB387FB"/>
    <w:rsid w:val="B7FCF952"/>
    <w:rsid w:val="BFFBB181"/>
    <w:rsid w:val="C77D5945"/>
    <w:rsid w:val="DFBF2705"/>
    <w:rsid w:val="EF271AC6"/>
    <w:rsid w:val="F3FDE86A"/>
    <w:rsid w:val="FABD97DB"/>
    <w:rsid w:val="FEF2CB47"/>
    <w:rsid w:val="FF7DD49D"/>
    <w:rsid w:val="FF7FCC50"/>
    <w:rsid w:val="FFF7BF13"/>
    <w:rsid w:val="FFFBE821"/>
    <w:rsid w:val="FFFF0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2"/>
    <w:basedOn w:val="1"/>
    <w:next w:val="1"/>
    <w:qFormat/>
    <w:uiPriority w:val="0"/>
    <w:pPr>
      <w:keepNext/>
      <w:keepLines/>
      <w:numPr>
        <w:ilvl w:val="1"/>
        <w:numId w:val="1"/>
      </w:numPr>
      <w:spacing w:before="260" w:after="260"/>
      <w:outlineLvl w:val="1"/>
    </w:pPr>
    <w:rPr>
      <w:rFonts w:ascii="Times New Roman" w:hAnsi="Times New Roman" w:eastAsia="宋体"/>
      <w:b/>
      <w:bCs/>
      <w:sz w:val="30"/>
      <w:szCs w:val="32"/>
    </w:rPr>
  </w:style>
  <w:style w:type="paragraph" w:styleId="4">
    <w:name w:val="heading 3"/>
    <w:basedOn w:val="1"/>
    <w:next w:val="1"/>
    <w:semiHidden/>
    <w:unhideWhenUsed/>
    <w:qFormat/>
    <w:uiPriority w:val="0"/>
    <w:pPr>
      <w:keepNext/>
      <w:keepLines/>
      <w:spacing w:before="260" w:after="260" w:line="413" w:lineRule="auto"/>
      <w:outlineLvl w:val="2"/>
    </w:pPr>
    <w:rPr>
      <w:b/>
      <w:sz w:val="32"/>
    </w:rPr>
  </w:style>
  <w:style w:type="paragraph" w:styleId="5">
    <w:name w:val="heading 4"/>
    <w:basedOn w:val="1"/>
    <w:next w:val="1"/>
    <w:semiHidden/>
    <w:unhideWhenUsed/>
    <w:qFormat/>
    <w:uiPriority w:val="0"/>
    <w:pPr>
      <w:keepNext/>
      <w:keepLines/>
      <w:spacing w:before="280" w:after="290" w:line="372" w:lineRule="auto"/>
      <w:outlineLvl w:val="3"/>
    </w:pPr>
    <w:rPr>
      <w:rFonts w:eastAsia="黑体"/>
      <w:b/>
      <w:sz w:val="28"/>
    </w:rPr>
  </w:style>
  <w:style w:type="character" w:default="1" w:styleId="22">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ascii="Times New Roman" w:hAnsi="Times New Roman"/>
      <w:sz w:val="20"/>
      <w:szCs w:val="20"/>
    </w:rPr>
  </w:style>
  <w:style w:type="paragraph" w:styleId="6">
    <w:name w:val="annotation text"/>
    <w:basedOn w:val="1"/>
    <w:link w:val="27"/>
    <w:qFormat/>
    <w:uiPriority w:val="0"/>
  </w:style>
  <w:style w:type="paragraph" w:styleId="7">
    <w:name w:val="Body Text"/>
    <w:basedOn w:val="1"/>
    <w:semiHidden/>
    <w:qFormat/>
    <w:uiPriority w:val="0"/>
  </w:style>
  <w:style w:type="paragraph" w:styleId="8">
    <w:name w:val="Body Text Indent"/>
    <w:basedOn w:val="1"/>
    <w:qFormat/>
    <w:uiPriority w:val="0"/>
    <w:pPr>
      <w:spacing w:line="380" w:lineRule="exact"/>
      <w:ind w:firstLine="480" w:firstLineChars="200"/>
    </w:pPr>
    <w:rPr>
      <w:sz w:val="24"/>
    </w:r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szCs w:val="20"/>
    </w:rPr>
  </w:style>
  <w:style w:type="paragraph" w:styleId="11">
    <w:name w:val="footer"/>
    <w:basedOn w:val="1"/>
    <w:qFormat/>
    <w:uiPriority w:val="0"/>
    <w:pPr>
      <w:tabs>
        <w:tab w:val="center" w:pos="4153"/>
        <w:tab w:val="right" w:pos="8306"/>
      </w:tabs>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3">
    <w:name w:val="toc 1"/>
    <w:basedOn w:val="1"/>
    <w:next w:val="1"/>
    <w:qFormat/>
    <w:uiPriority w:val="0"/>
  </w:style>
  <w:style w:type="paragraph" w:styleId="14">
    <w:name w:val="Subtitle"/>
    <w:basedOn w:val="1"/>
    <w:next w:val="1"/>
    <w:qFormat/>
    <w:uiPriority w:val="0"/>
    <w:pPr>
      <w:spacing w:line="300" w:lineRule="auto"/>
      <w:jc w:val="center"/>
    </w:pPr>
    <w:rPr>
      <w:bCs/>
      <w:kern w:val="28"/>
      <w:szCs w:val="32"/>
    </w:rPr>
  </w:style>
  <w:style w:type="paragraph" w:styleId="15">
    <w:name w:val="Body Text Indent 3"/>
    <w:basedOn w:val="1"/>
    <w:uiPriority w:val="0"/>
    <w:pPr>
      <w:ind w:firstLine="560" w:firstLineChars="200"/>
    </w:pPr>
    <w:rPr>
      <w:rFonts w:eastAsia="仿宋_GB2312"/>
      <w:sz w:val="28"/>
    </w:rPr>
  </w:style>
  <w:style w:type="paragraph" w:styleId="16">
    <w:name w:val="toc 2"/>
    <w:basedOn w:val="1"/>
    <w:next w:val="1"/>
    <w:qFormat/>
    <w:uiPriority w:val="0"/>
    <w:pPr>
      <w:ind w:left="420" w:leftChars="200"/>
    </w:pPr>
  </w:style>
  <w:style w:type="paragraph" w:styleId="17">
    <w:name w:val="Normal (Web)"/>
    <w:basedOn w:val="1"/>
    <w:uiPriority w:val="0"/>
    <w:pPr>
      <w:spacing w:before="100" w:beforeAutospacing="1" w:after="100" w:afterAutospacing="1"/>
    </w:pPr>
    <w:rPr>
      <w:rFonts w:ascii="宋体" w:hAnsi="宋体" w:cs="宋体"/>
      <w:sz w:val="24"/>
    </w:rPr>
  </w:style>
  <w:style w:type="paragraph" w:styleId="18">
    <w:name w:val="annotation subject"/>
    <w:basedOn w:val="6"/>
    <w:next w:val="6"/>
    <w:link w:val="28"/>
    <w:qFormat/>
    <w:uiPriority w:val="0"/>
    <w:rPr>
      <w:b/>
      <w:bCs/>
    </w:rPr>
  </w:style>
  <w:style w:type="paragraph" w:styleId="19">
    <w:name w:val="Body Text First Indent 2"/>
    <w:basedOn w:val="8"/>
    <w:next w:val="1"/>
    <w:unhideWhenUsed/>
    <w:qFormat/>
    <w:uiPriority w:val="0"/>
    <w:pPr>
      <w:widowControl w:val="0"/>
      <w:spacing w:after="120" w:line="240" w:lineRule="auto"/>
      <w:ind w:left="420" w:leftChars="200" w:firstLine="420"/>
      <w:jc w:val="both"/>
    </w:pPr>
    <w:rPr>
      <w:rFonts w:ascii="Times New Roman" w:hAnsi="Times New Roman" w:eastAsia="宋体" w:cs="Times New Roman"/>
      <w:kern w:val="2"/>
      <w:sz w:val="21"/>
      <w:szCs w:val="24"/>
      <w:lang w:eastAsia="zh-CN"/>
    </w:rPr>
  </w:style>
  <w:style w:type="table" w:styleId="21">
    <w:name w:val="Table Grid"/>
    <w:basedOn w:val="2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qFormat/>
    <w:uiPriority w:val="0"/>
    <w:rPr>
      <w:sz w:val="21"/>
      <w:szCs w:val="21"/>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Table Text"/>
    <w:basedOn w:val="1"/>
    <w:semiHidden/>
    <w:qFormat/>
    <w:uiPriority w:val="0"/>
    <w:rPr>
      <w:rFonts w:ascii="Times New Roman" w:hAnsi="Times New Roman" w:eastAsia="Times New Roman" w:cs="Times New Roman"/>
      <w:sz w:val="20"/>
      <w:szCs w:val="20"/>
    </w:rPr>
  </w:style>
  <w:style w:type="paragraph" w:customStyle="1" w:styleId="26">
    <w:name w:val="表格居中"/>
    <w:qFormat/>
    <w:uiPriority w:val="0"/>
    <w:pPr>
      <w:tabs>
        <w:tab w:val="left" w:pos="369"/>
      </w:tabs>
      <w:wordWrap w:val="0"/>
      <w:jc w:val="center"/>
    </w:pPr>
    <w:rPr>
      <w:rFonts w:ascii="Times New Roman" w:hAnsi="Times New Roman" w:eastAsia="宋体" w:cs="Times New Roman"/>
      <w:kern w:val="21"/>
      <w:sz w:val="21"/>
      <w:szCs w:val="24"/>
      <w:lang w:val="en-US" w:eastAsia="zh-CN" w:bidi="ar-SA"/>
    </w:rPr>
  </w:style>
  <w:style w:type="character" w:customStyle="1" w:styleId="27">
    <w:name w:val="批注文字 字符"/>
    <w:basedOn w:val="22"/>
    <w:link w:val="6"/>
    <w:qFormat/>
    <w:uiPriority w:val="0"/>
    <w:rPr>
      <w:rFonts w:eastAsia="Arial"/>
      <w:snapToGrid w:val="0"/>
      <w:color w:val="000000"/>
      <w:sz w:val="21"/>
      <w:szCs w:val="21"/>
      <w:lang w:eastAsia="en-US"/>
    </w:rPr>
  </w:style>
  <w:style w:type="character" w:customStyle="1" w:styleId="28">
    <w:name w:val="批注主题 字符"/>
    <w:basedOn w:val="27"/>
    <w:link w:val="18"/>
    <w:qFormat/>
    <w:uiPriority w:val="0"/>
    <w:rPr>
      <w:rFonts w:eastAsia="Arial"/>
      <w:b/>
      <w:bCs/>
      <w:snapToGrid w:val="0"/>
      <w:color w:val="000000"/>
      <w:sz w:val="21"/>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8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61</Pages>
  <Words>23710</Words>
  <Characters>27031</Characters>
  <Lines>1930</Lines>
  <Paragraphs>1879</Paragraphs>
  <TotalTime>6</TotalTime>
  <ScaleCrop>false</ScaleCrop>
  <LinksUpToDate>false</LinksUpToDate>
  <CharactersWithSpaces>48862</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2024-11-09T23:50:00Z</dcterms:created>
  <dc:creator>Administrator</dc:creator>
  <cp:lastModifiedBy>冯蒴</cp:lastModifiedBy>
  <dcterms:modified xsi:type="dcterms:W3CDTF">2026-11-05T21:38:49Z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2024-12-12T13:13:27Z</vt:filetime>
  </property>
  <property fmtid="{D5CDD505-2E9C-101B-9397-08002B2CF9AE}" pid="4" name="KSOProductBuildVer">
    <vt:lpwstr>2052-12.1.29182.29182</vt:lpwstr>
  </property>
  <property fmtid="{D5CDD505-2E9C-101B-9397-08002B2CF9AE}" pid="5" name="ICV">
    <vt:lpwstr>CEAB53E177598680BBE39F6992F8F924_43</vt:lpwstr>
  </property>
  <property fmtid="{D5CDD505-2E9C-101B-9397-08002B2CF9AE}" pid="6" name="KSOTemplateDocerSaveRecord">
    <vt:lpwstr>eyJoZGlkIjoiNTc1ZDQzMzRiMzI4ODBiMDViN2JjZTNlZmNiZWI0YjgiLCJ1c2VySWQiOiIyNzQ3NzIxNDMifQ==</vt:lpwstr>
  </property>
</Properties>
</file>