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26520">
      <w:pPr>
        <w:snapToGrid w:val="0"/>
        <w:spacing w:before="120" w:line="360" w:lineRule="auto"/>
        <w:jc w:val="center"/>
        <w:outlineLvl w:val="0"/>
        <w:rPr>
          <w:rFonts w:ascii="Times New Roman Regular" w:hAnsi="Times New Roman Regular" w:cs="Times New Roman Regular"/>
          <w:color w:val="auto"/>
          <w:highlight w:val="none"/>
        </w:rPr>
      </w:pPr>
      <w:bookmarkStart w:id="0" w:name="_Toc10092"/>
      <w:bookmarkStart w:id="1" w:name="_Toc1677759035"/>
      <w:bookmarkStart w:id="2" w:name="_Toc869302135"/>
      <w:bookmarkStart w:id="3" w:name="_Toc31743"/>
      <w:bookmarkStart w:id="4" w:name="_Toc10137"/>
      <w:bookmarkStart w:id="5" w:name="_Toc16271"/>
      <w:bookmarkStart w:id="6" w:name="_Toc20887"/>
      <w:bookmarkStart w:id="7" w:name="_Toc150066908"/>
      <w:bookmarkStart w:id="8" w:name="_Toc1410330661"/>
      <w:bookmarkStart w:id="9" w:name="_Toc3298"/>
      <w:bookmarkStart w:id="10" w:name="_Toc17349"/>
      <w:bookmarkStart w:id="11" w:name="_Toc1369947403"/>
      <w:r>
        <w:rPr>
          <w:rFonts w:ascii="Times New Roman Regular" w:hAnsi="Times New Roman Regular" w:eastAsia="黑体" w:cs="Times New Roman Regular"/>
          <w:b/>
          <w:color w:val="auto"/>
          <w:sz w:val="32"/>
          <w:szCs w:val="32"/>
          <w:highlight w:val="none"/>
        </w:rPr>
        <w:t>前</w:t>
      </w:r>
      <w:r>
        <w:rPr>
          <w:rFonts w:ascii="Times New Roman Regular" w:hAnsi="Times New Roman Regular" w:eastAsia="Times New Roman" w:cs="Times New Roman Regular"/>
          <w:b/>
          <w:color w:val="auto"/>
          <w:sz w:val="32"/>
          <w:szCs w:val="32"/>
          <w:highlight w:val="none"/>
        </w:rPr>
        <w:t xml:space="preserve">  </w:t>
      </w:r>
      <w:r>
        <w:rPr>
          <w:rFonts w:ascii="Times New Roman Regular" w:hAnsi="Times New Roman Regular" w:eastAsia="黑体" w:cs="Times New Roman Regular"/>
          <w:b/>
          <w:color w:val="auto"/>
          <w:sz w:val="32"/>
          <w:szCs w:val="32"/>
          <w:highlight w:val="none"/>
        </w:rPr>
        <w:t>言</w:t>
      </w:r>
      <w:bookmarkEnd w:id="0"/>
      <w:bookmarkEnd w:id="1"/>
      <w:bookmarkEnd w:id="2"/>
      <w:bookmarkEnd w:id="3"/>
      <w:bookmarkEnd w:id="4"/>
      <w:bookmarkEnd w:id="5"/>
      <w:bookmarkEnd w:id="6"/>
      <w:bookmarkEnd w:id="7"/>
      <w:bookmarkEnd w:id="8"/>
      <w:bookmarkEnd w:id="9"/>
      <w:bookmarkEnd w:id="10"/>
      <w:bookmarkEnd w:id="11"/>
    </w:p>
    <w:p w14:paraId="337E538B">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zh-CN"/>
        </w:rPr>
      </w:pPr>
      <w:r>
        <w:rPr>
          <w:rFonts w:ascii="Times New Roman Regular" w:hAnsi="Times New Roman Regular" w:cs="Times New Roman Regular"/>
          <w:color w:val="auto"/>
          <w:sz w:val="28"/>
          <w:szCs w:val="28"/>
          <w:highlight w:val="none"/>
        </w:rPr>
        <w:t>本溪星光硅质原料有限公司玻璃用石英岩矿位于本溪市南部，行政区划隶属于本溪市南芬区管辖，</w:t>
      </w:r>
      <w:r>
        <w:rPr>
          <w:rFonts w:ascii="Times New Roman Regular" w:hAnsi="Times New Roman Regular" w:cs="Times New Roman Regular"/>
          <w:color w:val="auto"/>
          <w:sz w:val="28"/>
          <w:szCs w:val="28"/>
          <w:highlight w:val="none"/>
          <w:lang w:val="zh-CN"/>
        </w:rPr>
        <w:t>成立于20</w:t>
      </w:r>
      <w:r>
        <w:rPr>
          <w:rFonts w:ascii="Times New Roman Regular" w:hAnsi="Times New Roman Regular" w:cs="Times New Roman Regular"/>
          <w:color w:val="auto"/>
          <w:sz w:val="28"/>
          <w:szCs w:val="28"/>
          <w:highlight w:val="none"/>
        </w:rPr>
        <w:t>0</w:t>
      </w:r>
      <w:r>
        <w:rPr>
          <w:rFonts w:hint="eastAsia" w:ascii="Times New Roman Regular" w:hAnsi="Times New Roman Regular" w:cs="Times New Roman Regular"/>
          <w:color w:val="auto"/>
          <w:sz w:val="28"/>
          <w:szCs w:val="28"/>
          <w:highlight w:val="none"/>
        </w:rPr>
        <w:t>0</w:t>
      </w:r>
      <w:r>
        <w:rPr>
          <w:rFonts w:ascii="Times New Roman Regular" w:hAnsi="Times New Roman Regular" w:cs="Times New Roman Regular"/>
          <w:color w:val="auto"/>
          <w:sz w:val="28"/>
          <w:szCs w:val="28"/>
          <w:highlight w:val="none"/>
          <w:lang w:val="zh-CN"/>
        </w:rPr>
        <w:t>年</w:t>
      </w:r>
      <w:r>
        <w:rPr>
          <w:rFonts w:hint="eastAsia" w:ascii="Times New Roman Regular" w:hAnsi="Times New Roman Regular" w:cs="Times New Roman Regular"/>
          <w:color w:val="auto"/>
          <w:sz w:val="28"/>
          <w:szCs w:val="28"/>
          <w:highlight w:val="none"/>
        </w:rPr>
        <w:t>0</w:t>
      </w:r>
      <w:r>
        <w:rPr>
          <w:rFonts w:ascii="Times New Roman Regular" w:hAnsi="Times New Roman Regular" w:cs="Times New Roman Regular"/>
          <w:color w:val="auto"/>
          <w:sz w:val="28"/>
          <w:szCs w:val="28"/>
          <w:highlight w:val="none"/>
        </w:rPr>
        <w:t>7</w:t>
      </w:r>
      <w:r>
        <w:rPr>
          <w:rFonts w:ascii="Times New Roman Regular" w:hAnsi="Times New Roman Regular" w:cs="Times New Roman Regular"/>
          <w:color w:val="auto"/>
          <w:sz w:val="28"/>
          <w:szCs w:val="28"/>
          <w:highlight w:val="none"/>
          <w:lang w:val="zh-CN"/>
        </w:rPr>
        <w:t>月</w:t>
      </w:r>
      <w:r>
        <w:rPr>
          <w:rFonts w:hint="eastAsia" w:ascii="Times New Roman Regular" w:hAnsi="Times New Roman Regular" w:cs="Times New Roman Regular"/>
          <w:color w:val="auto"/>
          <w:sz w:val="28"/>
          <w:szCs w:val="28"/>
          <w:highlight w:val="none"/>
        </w:rPr>
        <w:t>26</w:t>
      </w:r>
      <w:r>
        <w:rPr>
          <w:rFonts w:ascii="Times New Roman Regular" w:hAnsi="Times New Roman Regular" w:cs="Times New Roman Regular"/>
          <w:color w:val="auto"/>
          <w:sz w:val="28"/>
          <w:szCs w:val="28"/>
          <w:highlight w:val="none"/>
          <w:lang w:val="zh-CN"/>
        </w:rPr>
        <w:t>日，企业性质</w:t>
      </w:r>
      <w:r>
        <w:rPr>
          <w:rFonts w:hint="eastAsia" w:ascii="Times New Roman Regular" w:hAnsi="Times New Roman Regular" w:cs="Times New Roman Regular"/>
          <w:color w:val="auto"/>
          <w:sz w:val="28"/>
          <w:szCs w:val="28"/>
          <w:highlight w:val="none"/>
        </w:rPr>
        <w:t>为</w:t>
      </w:r>
      <w:r>
        <w:rPr>
          <w:rFonts w:ascii="Times New Roman Regular" w:hAnsi="Times New Roman Regular" w:cs="Times New Roman Regular"/>
          <w:color w:val="auto"/>
          <w:sz w:val="28"/>
          <w:szCs w:val="28"/>
          <w:highlight w:val="none"/>
          <w:lang w:val="zh-CN"/>
        </w:rPr>
        <w:t>有限责任公司，法定代表人</w:t>
      </w:r>
      <w:r>
        <w:rPr>
          <w:rFonts w:hint="eastAsia" w:ascii="Times New Roman Regular" w:hAnsi="Times New Roman Regular" w:cs="Times New Roman Regular"/>
          <w:color w:val="auto"/>
          <w:sz w:val="28"/>
          <w:szCs w:val="28"/>
          <w:highlight w:val="none"/>
        </w:rPr>
        <w:t>为</w:t>
      </w:r>
      <w:r>
        <w:rPr>
          <w:rFonts w:ascii="Times New Roman Regular" w:hAnsi="Times New Roman Regular" w:cs="Times New Roman Regular"/>
          <w:color w:val="auto"/>
          <w:sz w:val="28"/>
          <w:szCs w:val="28"/>
          <w:highlight w:val="none"/>
        </w:rPr>
        <w:t>韩建凯</w:t>
      </w:r>
      <w:r>
        <w:rPr>
          <w:rFonts w:ascii="Times New Roman Regular" w:hAnsi="Times New Roman Regular" w:cs="Times New Roman Regular"/>
          <w:color w:val="auto"/>
          <w:sz w:val="28"/>
          <w:szCs w:val="28"/>
          <w:highlight w:val="none"/>
          <w:lang w:val="zh-CN"/>
        </w:rPr>
        <w:t>。</w:t>
      </w:r>
      <w:r>
        <w:rPr>
          <w:rFonts w:hint="eastAsia" w:ascii="Times New Roman Regular" w:hAnsi="Times New Roman Regular" w:cs="Times New Roman Regular"/>
          <w:color w:val="auto"/>
          <w:sz w:val="28"/>
          <w:szCs w:val="28"/>
          <w:highlight w:val="none"/>
        </w:rPr>
        <w:t>主要经营业务范围：玻璃用石英岩露天开采；玻璃用石英岩加工及制品销售；建筑材料销售；煤炭销售；纯碱销售。(依法须经批准的项目，经相关部门批准后方可开展经营活动)。2012年被“河北迎新集团”收购，变为其名下的子公司，</w:t>
      </w:r>
      <w:r>
        <w:rPr>
          <w:rFonts w:ascii="Times New Roman Regular" w:hAnsi="Times New Roman Regular" w:cs="Times New Roman Regular"/>
          <w:color w:val="auto"/>
          <w:sz w:val="28"/>
          <w:szCs w:val="28"/>
          <w:highlight w:val="none"/>
          <w:lang w:val="zh-CN"/>
        </w:rPr>
        <w:t>为办理采矿权延续、扩大生产规模（50万吨/年提高到100万吨/年）、变更矿区范围（调整开采上限标高和深部扩界），2025年2月8日，企业取得了本溪市自然资源局颁发的采矿许可证</w:t>
      </w:r>
      <w:r>
        <w:rPr>
          <w:rFonts w:hint="eastAsia" w:ascii="Times New Roman Regular" w:hAnsi="Times New Roman Regular" w:cs="Times New Roman Regular"/>
          <w:color w:val="auto"/>
          <w:sz w:val="28"/>
          <w:szCs w:val="28"/>
          <w:highlight w:val="none"/>
          <w:lang w:val="zh-CN"/>
        </w:rPr>
        <w:t>，</w:t>
      </w:r>
      <w:r>
        <w:rPr>
          <w:rFonts w:ascii="Times New Roman Regular" w:hAnsi="Times New Roman Regular" w:cs="Times New Roman Regular"/>
          <w:color w:val="auto"/>
          <w:sz w:val="28"/>
          <w:szCs w:val="28"/>
          <w:highlight w:val="none"/>
          <w:lang w:val="zh-CN"/>
        </w:rPr>
        <w:t>采矿许可证批准生产规模</w:t>
      </w:r>
      <w:r>
        <w:rPr>
          <w:rFonts w:hint="eastAsia" w:ascii="Times New Roman Regular" w:hAnsi="Times New Roman Regular" w:cs="Times New Roman Regular"/>
          <w:color w:val="auto"/>
          <w:sz w:val="28"/>
          <w:szCs w:val="28"/>
          <w:highlight w:val="none"/>
        </w:rPr>
        <w:t>100</w:t>
      </w:r>
      <w:r>
        <w:rPr>
          <w:rFonts w:ascii="Times New Roman Regular" w:hAnsi="Times New Roman Regular" w:cs="Times New Roman Regular"/>
          <w:color w:val="auto"/>
          <w:sz w:val="28"/>
          <w:szCs w:val="28"/>
          <w:highlight w:val="none"/>
          <w:lang w:val="zh-CN"/>
        </w:rPr>
        <w:t>万吨/年，开采矿种</w:t>
      </w:r>
      <w:r>
        <w:rPr>
          <w:rFonts w:ascii="Times New Roman Regular" w:hAnsi="Times New Roman Regular" w:cs="Times New Roman Regular"/>
          <w:color w:val="auto"/>
          <w:sz w:val="28"/>
          <w:szCs w:val="28"/>
          <w:highlight w:val="none"/>
        </w:rPr>
        <w:t>为玻璃用石英岩</w:t>
      </w:r>
      <w:r>
        <w:rPr>
          <w:rFonts w:ascii="Times New Roman Regular" w:hAnsi="Times New Roman Regular" w:cs="Times New Roman Regular"/>
          <w:color w:val="auto"/>
          <w:sz w:val="28"/>
          <w:szCs w:val="28"/>
          <w:highlight w:val="none"/>
          <w:lang w:val="zh-CN"/>
        </w:rPr>
        <w:t>。</w:t>
      </w:r>
      <w:r>
        <w:rPr>
          <w:rFonts w:ascii="Times New Roman Regular" w:hAnsi="Times New Roman Regular" w:cs="Times New Roman Regular"/>
          <w:color w:val="auto"/>
          <w:sz w:val="28"/>
          <w:szCs w:val="28"/>
          <w:highlight w:val="none"/>
        </w:rPr>
        <w:t>本次验收采场设计生产规模为</w:t>
      </w:r>
      <w:r>
        <w:rPr>
          <w:rFonts w:hint="eastAsia" w:ascii="Times New Roman Regular" w:hAnsi="Times New Roman Regular" w:cs="Times New Roman Regular"/>
          <w:color w:val="auto"/>
          <w:sz w:val="28"/>
          <w:szCs w:val="28"/>
          <w:highlight w:val="none"/>
        </w:rPr>
        <w:t>100</w:t>
      </w:r>
      <w:r>
        <w:rPr>
          <w:rFonts w:ascii="Times New Roman Regular" w:hAnsi="Times New Roman Regular" w:cs="Times New Roman Regular"/>
          <w:color w:val="auto"/>
          <w:sz w:val="28"/>
          <w:szCs w:val="28"/>
          <w:highlight w:val="none"/>
          <w:lang w:val="zh-CN"/>
        </w:rPr>
        <w:t>万吨/年，采用</w:t>
      </w:r>
      <w:r>
        <w:rPr>
          <w:rFonts w:ascii="Times New Roman Regular" w:hAnsi="Times New Roman Regular" w:cs="Times New Roman Regular"/>
          <w:color w:val="auto"/>
          <w:sz w:val="28"/>
          <w:szCs w:val="28"/>
          <w:highlight w:val="none"/>
        </w:rPr>
        <w:t>露天开采，</w:t>
      </w:r>
      <w:r>
        <w:rPr>
          <w:rFonts w:ascii="Times New Roman Regular" w:hAnsi="Times New Roman Regular" w:cs="Times New Roman Regular"/>
          <w:color w:val="auto"/>
          <w:sz w:val="28"/>
          <w:szCs w:val="28"/>
          <w:highlight w:val="none"/>
          <w:lang w:val="zh-CN"/>
        </w:rPr>
        <w:t>自上而下分台阶开采</w:t>
      </w:r>
      <w:r>
        <w:rPr>
          <w:rFonts w:ascii="Times New Roman Regular" w:hAnsi="Times New Roman Regular" w:cs="Times New Roman Regular"/>
          <w:color w:val="auto"/>
          <w:sz w:val="28"/>
          <w:szCs w:val="28"/>
          <w:highlight w:val="none"/>
        </w:rPr>
        <w:t>矿石</w:t>
      </w:r>
      <w:r>
        <w:rPr>
          <w:rFonts w:ascii="Times New Roman Regular" w:hAnsi="Times New Roman Regular" w:cs="Times New Roman Regular"/>
          <w:color w:val="auto"/>
          <w:sz w:val="28"/>
          <w:szCs w:val="28"/>
          <w:highlight w:val="none"/>
          <w:lang w:val="zh-CN"/>
        </w:rPr>
        <w:t>。</w:t>
      </w:r>
    </w:p>
    <w:p w14:paraId="1057C9F3">
      <w:pPr>
        <w:adjustRightInd w:val="0"/>
        <w:snapToGrid w:val="0"/>
        <w:spacing w:line="360" w:lineRule="auto"/>
        <w:ind w:firstLine="560" w:firstLineChars="200"/>
        <w:rPr>
          <w:rFonts w:ascii="Times New Roman Regular" w:hAnsi="Times New Roman Regular" w:cs="Times New Roman Regular"/>
          <w:bCs/>
          <w:color w:val="auto"/>
          <w:sz w:val="28"/>
          <w:szCs w:val="28"/>
          <w:highlight w:val="none"/>
        </w:rPr>
      </w:pPr>
      <w:r>
        <w:rPr>
          <w:rFonts w:ascii="Times New Roman Regular" w:hAnsi="Times New Roman Regular" w:cs="Times New Roman Regular"/>
          <w:bCs/>
          <w:color w:val="auto"/>
          <w:sz w:val="28"/>
          <w:szCs w:val="28"/>
          <w:highlight w:val="none"/>
        </w:rPr>
        <w:t>企业于2025年2月编制了《本溪星光硅质原料有限公司玻璃用石英岩露天开采建设项目可行性研究报告》，随后于2025年</w:t>
      </w:r>
      <w:r>
        <w:rPr>
          <w:rFonts w:hint="eastAsia" w:ascii="Times New Roman Regular" w:hAnsi="Times New Roman Regular" w:cs="Times New Roman Regular"/>
          <w:bCs/>
          <w:color w:val="auto"/>
          <w:sz w:val="28"/>
          <w:szCs w:val="28"/>
          <w:highlight w:val="none"/>
        </w:rPr>
        <w:t>3</w:t>
      </w:r>
      <w:r>
        <w:rPr>
          <w:rFonts w:ascii="Times New Roman Regular" w:hAnsi="Times New Roman Regular" w:cs="Times New Roman Regular"/>
          <w:bCs/>
          <w:color w:val="auto"/>
          <w:sz w:val="28"/>
          <w:szCs w:val="28"/>
          <w:highlight w:val="none"/>
        </w:rPr>
        <w:t>月委托辽宁省安全科学研究院编制了《本溪星光硅质原料有限公司（玻璃用石英岩矿）露天开采建设项目安全预评价报告》，2025年</w:t>
      </w:r>
      <w:r>
        <w:rPr>
          <w:rFonts w:hint="eastAsia" w:ascii="Times New Roman Regular" w:hAnsi="Times New Roman Regular" w:cs="Times New Roman Regular"/>
          <w:bCs/>
          <w:color w:val="auto"/>
          <w:sz w:val="28"/>
          <w:szCs w:val="28"/>
          <w:highlight w:val="none"/>
        </w:rPr>
        <w:t>4</w:t>
      </w:r>
      <w:r>
        <w:rPr>
          <w:rFonts w:ascii="Times New Roman Regular" w:hAnsi="Times New Roman Regular" w:cs="Times New Roman Regular"/>
          <w:bCs/>
          <w:color w:val="auto"/>
          <w:sz w:val="28"/>
          <w:szCs w:val="28"/>
          <w:highlight w:val="none"/>
        </w:rPr>
        <w:t>月由中国冶金矿业鞍山冶金设计研究院有限责任公司编制了《本溪星光硅质原料有限公司玻璃用石英岩露天开采建设项目初步设计》和《本溪星光硅质原料有限公司（玻璃用石英岩矿）露天开采建设项目安全设施设计》，《本溪星光硅质原料有限公司（玻璃用石英岩矿）露天开采建设项目安全设施设计》于2025年4月经本溪市应急局组织进行评审，并于2025年</w:t>
      </w:r>
      <w:r>
        <w:rPr>
          <w:rFonts w:hint="eastAsia" w:ascii="Times New Roman Regular" w:hAnsi="Times New Roman Regular" w:cs="Times New Roman Regular"/>
          <w:bCs/>
          <w:color w:val="auto"/>
          <w:sz w:val="28"/>
          <w:szCs w:val="28"/>
          <w:highlight w:val="none"/>
        </w:rPr>
        <w:t>7</w:t>
      </w:r>
      <w:r>
        <w:rPr>
          <w:rFonts w:ascii="Times New Roman Regular" w:hAnsi="Times New Roman Regular" w:cs="Times New Roman Regular"/>
          <w:bCs/>
          <w:color w:val="auto"/>
          <w:sz w:val="28"/>
          <w:szCs w:val="28"/>
          <w:highlight w:val="none"/>
        </w:rPr>
        <w:t>月收到本溪市应急局下发的《市应急管理局关于本溪星光硅质原料有限公司（玻璃用石英岩矿）露天开采建设项目安全设施设计的批复》，批准采场基建期从2025年</w:t>
      </w:r>
      <w:r>
        <w:rPr>
          <w:rFonts w:hint="eastAsia" w:ascii="Times New Roman Regular" w:hAnsi="Times New Roman Regular" w:cs="Times New Roman Regular"/>
          <w:bCs/>
          <w:color w:val="auto"/>
          <w:sz w:val="28"/>
          <w:szCs w:val="28"/>
          <w:highlight w:val="none"/>
        </w:rPr>
        <w:t>7</w:t>
      </w:r>
      <w:r>
        <w:rPr>
          <w:rFonts w:ascii="Times New Roman Regular" w:hAnsi="Times New Roman Regular" w:cs="Times New Roman Regular"/>
          <w:bCs/>
          <w:color w:val="auto"/>
          <w:sz w:val="28"/>
          <w:szCs w:val="28"/>
          <w:highlight w:val="none"/>
        </w:rPr>
        <w:t>月</w:t>
      </w:r>
      <w:r>
        <w:rPr>
          <w:rFonts w:hint="eastAsia" w:ascii="Times New Roman Regular" w:hAnsi="Times New Roman Regular" w:cs="Times New Roman Regular"/>
          <w:bCs/>
          <w:color w:val="auto"/>
          <w:sz w:val="28"/>
          <w:szCs w:val="28"/>
          <w:highlight w:val="none"/>
        </w:rPr>
        <w:t>2</w:t>
      </w:r>
      <w:r>
        <w:rPr>
          <w:rFonts w:ascii="Times New Roman Regular" w:hAnsi="Times New Roman Regular" w:cs="Times New Roman Regular"/>
          <w:bCs/>
          <w:color w:val="auto"/>
          <w:sz w:val="28"/>
          <w:szCs w:val="28"/>
          <w:highlight w:val="none"/>
        </w:rPr>
        <w:t>日至202</w:t>
      </w:r>
      <w:r>
        <w:rPr>
          <w:rFonts w:hint="eastAsia" w:ascii="Times New Roman Regular" w:hAnsi="Times New Roman Regular" w:cs="Times New Roman Regular"/>
          <w:bCs/>
          <w:color w:val="auto"/>
          <w:sz w:val="28"/>
          <w:szCs w:val="28"/>
          <w:highlight w:val="none"/>
        </w:rPr>
        <w:t>6</w:t>
      </w:r>
      <w:r>
        <w:rPr>
          <w:rFonts w:ascii="Times New Roman Regular" w:hAnsi="Times New Roman Regular" w:cs="Times New Roman Regular"/>
          <w:bCs/>
          <w:color w:val="auto"/>
          <w:sz w:val="28"/>
          <w:szCs w:val="28"/>
          <w:highlight w:val="none"/>
        </w:rPr>
        <w:t>年</w:t>
      </w:r>
      <w:r>
        <w:rPr>
          <w:rFonts w:hint="eastAsia" w:ascii="Times New Roman Regular" w:hAnsi="Times New Roman Regular" w:cs="Times New Roman Regular"/>
          <w:bCs/>
          <w:color w:val="auto"/>
          <w:sz w:val="28"/>
          <w:szCs w:val="28"/>
          <w:highlight w:val="none"/>
        </w:rPr>
        <w:t>7</w:t>
      </w:r>
      <w:r>
        <w:rPr>
          <w:rFonts w:ascii="Times New Roman Regular" w:hAnsi="Times New Roman Regular" w:cs="Times New Roman Regular"/>
          <w:bCs/>
          <w:color w:val="auto"/>
          <w:sz w:val="28"/>
          <w:szCs w:val="28"/>
          <w:highlight w:val="none"/>
        </w:rPr>
        <w:t>月</w:t>
      </w:r>
      <w:r>
        <w:rPr>
          <w:rFonts w:hint="eastAsia" w:ascii="Times New Roman Regular" w:hAnsi="Times New Roman Regular" w:cs="Times New Roman Regular"/>
          <w:bCs/>
          <w:color w:val="auto"/>
          <w:sz w:val="28"/>
          <w:szCs w:val="28"/>
          <w:highlight w:val="none"/>
        </w:rPr>
        <w:t>1</w:t>
      </w:r>
      <w:r>
        <w:rPr>
          <w:rFonts w:ascii="Times New Roman Regular" w:hAnsi="Times New Roman Regular" w:cs="Times New Roman Regular"/>
          <w:bCs/>
          <w:color w:val="auto"/>
          <w:sz w:val="28"/>
          <w:szCs w:val="28"/>
          <w:highlight w:val="none"/>
        </w:rPr>
        <w:t>日</w:t>
      </w:r>
      <w:r>
        <w:rPr>
          <w:rFonts w:hint="eastAsia" w:ascii="Times New Roman Regular" w:hAnsi="Times New Roman Regular" w:cs="Times New Roman Regular"/>
          <w:bCs/>
          <w:color w:val="auto"/>
          <w:sz w:val="28"/>
          <w:szCs w:val="28"/>
          <w:highlight w:val="none"/>
        </w:rPr>
        <w:t>。</w:t>
      </w:r>
    </w:p>
    <w:p w14:paraId="12EB2993">
      <w:pPr>
        <w:adjustRightInd w:val="0"/>
        <w:snapToGrid w:val="0"/>
        <w:spacing w:line="360" w:lineRule="auto"/>
        <w:ind w:firstLine="560" w:firstLineChars="200"/>
        <w:rPr>
          <w:rFonts w:ascii="Times New Roman Regular" w:hAnsi="Times New Roman Regular" w:cs="Times New Roman Regular"/>
          <w:bCs/>
          <w:color w:val="auto"/>
          <w:sz w:val="28"/>
          <w:szCs w:val="28"/>
          <w:highlight w:val="none"/>
        </w:rPr>
      </w:pPr>
      <w:r>
        <w:rPr>
          <w:rFonts w:ascii="Times New Roman Regular" w:hAnsi="Times New Roman Regular" w:cs="Times New Roman Regular"/>
          <w:bCs/>
          <w:color w:val="auto"/>
          <w:sz w:val="28"/>
          <w:szCs w:val="28"/>
          <w:highlight w:val="none"/>
        </w:rPr>
        <w:t>取得批复后企业委托浙江天增建设集团有限公司按照《本溪星光硅质原料有限公司（玻璃用石英岩矿）露天开采建设项目安全设施设计》进行基建施工，同时委托浙江秦核环境建设有限公司对基建工程进行监理。基建工程于2025年</w:t>
      </w:r>
      <w:r>
        <w:rPr>
          <w:rFonts w:hint="eastAsia" w:ascii="Times New Roman Regular" w:hAnsi="Times New Roman Regular" w:cs="Times New Roman Regular"/>
          <w:bCs/>
          <w:color w:val="auto"/>
          <w:sz w:val="28"/>
          <w:szCs w:val="28"/>
          <w:highlight w:val="none"/>
        </w:rPr>
        <w:t>12</w:t>
      </w:r>
      <w:r>
        <w:rPr>
          <w:rFonts w:ascii="Times New Roman Regular" w:hAnsi="Times New Roman Regular" w:cs="Times New Roman Regular"/>
          <w:bCs/>
          <w:color w:val="auto"/>
          <w:sz w:val="28"/>
          <w:szCs w:val="28"/>
          <w:highlight w:val="none"/>
        </w:rPr>
        <w:t>月竣工，浙江天增建设集团有限公司编写了《</w:t>
      </w:r>
      <w:r>
        <w:rPr>
          <w:rFonts w:hint="eastAsia" w:ascii="Times New Roman Regular" w:hAnsi="Times New Roman Regular" w:cs="Times New Roman Regular"/>
          <w:bCs/>
          <w:color w:val="auto"/>
          <w:sz w:val="28"/>
          <w:szCs w:val="28"/>
          <w:highlight w:val="none"/>
          <w:lang w:val="zh-CN"/>
        </w:rPr>
        <w:t>本溪星光硅质原料有限公司</w:t>
      </w:r>
      <w:r>
        <w:rPr>
          <w:rFonts w:ascii="Times New Roman Regular" w:hAnsi="Times New Roman Regular" w:cs="Times New Roman Regular"/>
          <w:bCs/>
          <w:color w:val="auto"/>
          <w:sz w:val="28"/>
          <w:szCs w:val="28"/>
          <w:highlight w:val="none"/>
          <w:lang w:val="zh-CN"/>
        </w:rPr>
        <w:t>（玻璃用石英岩）露天开采建设项目</w:t>
      </w:r>
      <w:r>
        <w:rPr>
          <w:rFonts w:ascii="Times New Roman Regular" w:hAnsi="Times New Roman Regular" w:cs="Times New Roman Regular"/>
          <w:bCs/>
          <w:color w:val="auto"/>
          <w:sz w:val="28"/>
          <w:szCs w:val="28"/>
          <w:highlight w:val="none"/>
        </w:rPr>
        <w:t>竣工报告》；2025年</w:t>
      </w:r>
      <w:r>
        <w:rPr>
          <w:rFonts w:hint="eastAsia" w:ascii="Times New Roman Regular" w:hAnsi="Times New Roman Regular" w:cs="Times New Roman Regular"/>
          <w:bCs/>
          <w:color w:val="auto"/>
          <w:sz w:val="28"/>
          <w:szCs w:val="28"/>
          <w:highlight w:val="none"/>
        </w:rPr>
        <w:t>12</w:t>
      </w:r>
      <w:r>
        <w:rPr>
          <w:rFonts w:ascii="Times New Roman Regular" w:hAnsi="Times New Roman Regular" w:cs="Times New Roman Regular"/>
          <w:bCs/>
          <w:color w:val="auto"/>
          <w:sz w:val="28"/>
          <w:szCs w:val="28"/>
          <w:highlight w:val="none"/>
        </w:rPr>
        <w:t>月，浙江秦核环境建设有限公司编写了《</w:t>
      </w:r>
      <w:r>
        <w:rPr>
          <w:rFonts w:hint="eastAsia" w:ascii="Times New Roman Regular" w:hAnsi="Times New Roman Regular" w:cs="Times New Roman Regular"/>
          <w:bCs/>
          <w:color w:val="auto"/>
          <w:sz w:val="28"/>
          <w:szCs w:val="28"/>
          <w:highlight w:val="none"/>
          <w:lang w:val="zh-CN"/>
        </w:rPr>
        <w:t>本溪星光硅质原料有限公司</w:t>
      </w:r>
      <w:r>
        <w:rPr>
          <w:rFonts w:ascii="Times New Roman Regular" w:hAnsi="Times New Roman Regular" w:cs="Times New Roman Regular"/>
          <w:bCs/>
          <w:color w:val="auto"/>
          <w:sz w:val="28"/>
          <w:szCs w:val="28"/>
          <w:highlight w:val="none"/>
          <w:lang w:val="zh-CN"/>
        </w:rPr>
        <w:t>（玻璃用石英岩）露天开采建设项目</w:t>
      </w:r>
      <w:r>
        <w:rPr>
          <w:rFonts w:ascii="Times New Roman Regular" w:hAnsi="Times New Roman Regular" w:cs="Times New Roman Regular"/>
          <w:bCs/>
          <w:color w:val="auto"/>
          <w:sz w:val="28"/>
          <w:szCs w:val="28"/>
          <w:highlight w:val="none"/>
        </w:rPr>
        <w:t>监理报告》</w:t>
      </w:r>
      <w:r>
        <w:rPr>
          <w:rFonts w:ascii="Times New Roman Regular" w:hAnsi="Times New Roman Regular" w:cs="Times New Roman Regular"/>
          <w:bCs/>
          <w:color w:val="auto"/>
          <w:sz w:val="28"/>
          <w:szCs w:val="28"/>
          <w:highlight w:val="none"/>
          <w:lang w:val="zh-CN"/>
        </w:rPr>
        <w:t>。</w:t>
      </w:r>
    </w:p>
    <w:p w14:paraId="62A6AC04">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zh-CN"/>
        </w:rPr>
      </w:pPr>
      <w:r>
        <w:rPr>
          <w:rFonts w:ascii="Times New Roman Regular" w:hAnsi="Times New Roman Regular" w:cs="Times New Roman Regular"/>
          <w:color w:val="auto"/>
          <w:sz w:val="28"/>
          <w:szCs w:val="28"/>
          <w:highlight w:val="none"/>
          <w:lang w:val="zh-CN"/>
        </w:rPr>
        <w:t>根据《中华人民共和国安全生产法》（中华人民共和国主席令第88号，2021修正）、《安全生产许可证条例》（国务院法制办公室2014年修正本）、《建设项目安全设施“三同时”监督管理办法》（国家安全生产监督管理局令第36号）、《国家安全监管总局关于规范金属非金属矿山建设项目安全设施竣工验收工作的指导意见》（安监总管一〔2016〕14号）的要求，</w:t>
      </w:r>
      <w:r>
        <w:rPr>
          <w:rFonts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lang w:val="zh-CN"/>
        </w:rPr>
        <w:t>委托我辽宁诺诚安全科技有限公司对其</w:t>
      </w:r>
      <w:r>
        <w:rPr>
          <w:rFonts w:ascii="Times New Roman Regular" w:hAnsi="Times New Roman Regular" w:cs="Times New Roman Regular"/>
          <w:color w:val="auto"/>
          <w:sz w:val="28"/>
          <w:szCs w:val="28"/>
          <w:highlight w:val="none"/>
        </w:rPr>
        <w:t>露天开采建设工程</w:t>
      </w:r>
      <w:r>
        <w:rPr>
          <w:rFonts w:ascii="Times New Roman Regular" w:hAnsi="Times New Roman Regular" w:cs="Times New Roman Regular"/>
          <w:color w:val="auto"/>
          <w:sz w:val="28"/>
          <w:szCs w:val="28"/>
          <w:highlight w:val="none"/>
          <w:lang w:val="zh-CN"/>
        </w:rPr>
        <w:t>进行安全设施验收评价。</w:t>
      </w:r>
    </w:p>
    <w:p w14:paraId="2F21F776">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zh-CN"/>
        </w:rPr>
      </w:pPr>
      <w:r>
        <w:rPr>
          <w:rFonts w:ascii="Times New Roman Regular" w:hAnsi="Times New Roman Regular" w:cs="Times New Roman Regular"/>
          <w:color w:val="auto"/>
          <w:sz w:val="28"/>
          <w:szCs w:val="28"/>
          <w:highlight w:val="none"/>
          <w:lang w:val="zh-CN"/>
        </w:rPr>
        <w:t>202</w:t>
      </w:r>
      <w:r>
        <w:rPr>
          <w:rFonts w:ascii="Times New Roman Regular" w:hAnsi="Times New Roman Regular" w:cs="Times New Roman Regular"/>
          <w:color w:val="auto"/>
          <w:sz w:val="28"/>
          <w:szCs w:val="28"/>
          <w:highlight w:val="none"/>
        </w:rPr>
        <w:t>5</w:t>
      </w:r>
      <w:r>
        <w:rPr>
          <w:rFonts w:ascii="Times New Roman Regular" w:hAnsi="Times New Roman Regular" w:cs="Times New Roman Regular"/>
          <w:color w:val="auto"/>
          <w:sz w:val="28"/>
          <w:szCs w:val="28"/>
          <w:highlight w:val="none"/>
          <w:lang w:val="zh-CN"/>
        </w:rPr>
        <w:t>年</w:t>
      </w:r>
      <w:r>
        <w:rPr>
          <w:rFonts w:hint="eastAsia" w:ascii="Times New Roman Regular" w:hAnsi="Times New Roman Regular" w:cs="Times New Roman Regular"/>
          <w:color w:val="auto"/>
          <w:sz w:val="28"/>
          <w:szCs w:val="28"/>
          <w:highlight w:val="none"/>
        </w:rPr>
        <w:t>12</w:t>
      </w:r>
      <w:r>
        <w:rPr>
          <w:rFonts w:ascii="Times New Roman Regular" w:hAnsi="Times New Roman Regular" w:cs="Times New Roman Regular"/>
          <w:color w:val="auto"/>
          <w:sz w:val="28"/>
          <w:szCs w:val="28"/>
          <w:highlight w:val="none"/>
          <w:lang w:val="zh-CN"/>
        </w:rPr>
        <w:t>月，辽宁诺诚安全科技有限公司在接受委托后，组成了评价组进行了现场勘查，收集了评价所需的相关资料，按照《安全评价通则》、《金属非金属露天矿山建设项目安全设施验收评价报告编写提纲》（安监总管一〔2016〕49号）以及相关的法律、法规、标准、文件的要求对该项目进行了评价，并本着科学、公正的原则编写了《本溪星光硅质原料有限公司（玻璃用石英岩）露天开采建设项目安全设施验收评价》。</w:t>
      </w:r>
    </w:p>
    <w:p w14:paraId="451F33D2">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zh-CN"/>
        </w:rPr>
      </w:pPr>
      <w:r>
        <w:rPr>
          <w:rFonts w:ascii="Times New Roman Regular" w:hAnsi="Times New Roman Regular" w:cs="Times New Roman Regular"/>
          <w:color w:val="auto"/>
          <w:sz w:val="28"/>
          <w:szCs w:val="28"/>
          <w:highlight w:val="none"/>
          <w:lang w:val="zh-CN"/>
        </w:rPr>
        <w:br w:type="page"/>
      </w:r>
    </w:p>
    <w:sdt>
      <w:sdtPr>
        <w:rPr>
          <w:rFonts w:ascii="Times New Roman Regular" w:hAnsi="Times New Roman Regular" w:cs="Times New Roman Regular"/>
          <w:b/>
          <w:bCs/>
          <w:color w:val="auto"/>
          <w:sz w:val="40"/>
          <w:szCs w:val="40"/>
          <w:highlight w:val="none"/>
        </w:rPr>
        <w:id w:val="796259909"/>
        <w15:color w:val="DBDBDB"/>
        <w:docPartObj>
          <w:docPartGallery w:val="Table of Contents"/>
          <w:docPartUnique/>
        </w:docPartObj>
      </w:sdtPr>
      <w:sdtEndPr>
        <w:rPr>
          <w:rFonts w:ascii="Times New Roman Regular" w:hAnsi="Times New Roman Regular" w:cs="Times New Roman Regular"/>
          <w:b/>
          <w:bCs/>
          <w:color w:val="auto"/>
          <w:sz w:val="21"/>
          <w:szCs w:val="28"/>
          <w:highlight w:val="none"/>
        </w:rPr>
      </w:sdtEndPr>
      <w:sdtContent>
        <w:p w14:paraId="5913E3D7">
          <w:pPr>
            <w:jc w:val="center"/>
            <w:rPr>
              <w:rFonts w:ascii="Times New Roman Regular" w:hAnsi="Times New Roman Regular" w:cs="Times New Roman Regular"/>
              <w:b/>
              <w:bCs/>
              <w:color w:val="auto"/>
              <w:sz w:val="40"/>
              <w:szCs w:val="40"/>
              <w:highlight w:val="none"/>
            </w:rPr>
          </w:pPr>
          <w:r>
            <w:rPr>
              <w:rFonts w:ascii="Times New Roman Regular" w:hAnsi="Times New Roman Regular" w:cs="Times New Roman Regular"/>
              <w:b/>
              <w:bCs/>
              <w:color w:val="auto"/>
              <w:sz w:val="32"/>
              <w:szCs w:val="32"/>
              <w:highlight w:val="none"/>
            </w:rPr>
            <w:t>目录</w:t>
          </w:r>
        </w:p>
        <w:p w14:paraId="6B18A62A">
          <w:pPr>
            <w:pStyle w:val="11"/>
            <w:tabs>
              <w:tab w:val="right" w:leader="dot" w:pos="8306"/>
            </w:tabs>
            <w:spacing w:line="360" w:lineRule="auto"/>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TOC \o "1-2" \h \u </w:instrText>
          </w:r>
          <w:r>
            <w:rPr>
              <w:rFonts w:ascii="Times New Roman Regular" w:hAnsi="Times New Roman Regular" w:cs="Times New Roman Regular"/>
              <w:color w:val="auto"/>
              <w:sz w:val="28"/>
              <w:szCs w:val="28"/>
              <w:highlight w:val="none"/>
            </w:rPr>
            <w:fldChar w:fldCharType="separate"/>
          </w:r>
          <w:r>
            <w:rPr>
              <w:color w:val="auto"/>
              <w:highlight w:val="none"/>
            </w:rPr>
            <w:fldChar w:fldCharType="begin"/>
          </w:r>
          <w:r>
            <w:rPr>
              <w:color w:val="auto"/>
              <w:highlight w:val="none"/>
            </w:rPr>
            <w:instrText xml:space="preserve"> HYPERLINK \l "_Toc1029732404" </w:instrText>
          </w:r>
          <w:r>
            <w:rPr>
              <w:color w:val="auto"/>
              <w:highlight w:val="none"/>
            </w:rPr>
            <w:fldChar w:fldCharType="separate"/>
          </w:r>
          <w:r>
            <w:rPr>
              <w:rFonts w:ascii="Times New Roman Regular" w:hAnsi="Times New Roman Regular" w:cs="Times New Roman Regular"/>
              <w:bCs/>
              <w:color w:val="auto"/>
              <w:kern w:val="44"/>
              <w:sz w:val="28"/>
              <w:szCs w:val="28"/>
              <w:highlight w:val="none"/>
            </w:rPr>
            <w:t>1 评价范围与依据</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_Toc1029732404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1</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2BAB8B26">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"_Toc141802855" </w:instrText>
          </w:r>
          <w:r>
            <w:rPr>
              <w:color w:val="auto"/>
              <w:highlight w:val="none"/>
            </w:rPr>
            <w:fldChar w:fldCharType="separate"/>
          </w:r>
          <w:r>
            <w:rPr>
              <w:rFonts w:ascii="Times New Roman Regular" w:hAnsi="Times New Roman Regular" w:cs="Times New Roman Regular"/>
              <w:color w:val="auto"/>
              <w:sz w:val="28"/>
              <w:szCs w:val="28"/>
              <w:highlight w:val="none"/>
            </w:rPr>
            <w:t>1.1 评价对象和范围</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_Toc141802855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1</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6F060E3D">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"_Toc1721219462" </w:instrText>
          </w:r>
          <w:r>
            <w:rPr>
              <w:color w:val="auto"/>
              <w:highlight w:val="none"/>
            </w:rPr>
            <w:fldChar w:fldCharType="separate"/>
          </w:r>
          <w:r>
            <w:rPr>
              <w:rFonts w:ascii="Times New Roman Regular" w:hAnsi="Times New Roman Regular" w:cs="Times New Roman Regular"/>
              <w:color w:val="auto"/>
              <w:sz w:val="28"/>
              <w:szCs w:val="28"/>
              <w:highlight w:val="none"/>
            </w:rPr>
            <w:t>1.2 评价依据</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_Toc1721219462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4</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565D2768">
          <w:pPr>
            <w:pStyle w:val="11"/>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"_Toc1930772744" </w:instrText>
          </w:r>
          <w:r>
            <w:rPr>
              <w:color w:val="auto"/>
              <w:highlight w:val="none"/>
            </w:rPr>
            <w:fldChar w:fldCharType="separate"/>
          </w:r>
          <w:r>
            <w:rPr>
              <w:rFonts w:ascii="Times New Roman Regular" w:hAnsi="Times New Roman Regular" w:cs="Times New Roman Regular"/>
              <w:bCs/>
              <w:color w:val="auto"/>
              <w:kern w:val="44"/>
              <w:sz w:val="28"/>
              <w:szCs w:val="28"/>
              <w:highlight w:val="none"/>
            </w:rPr>
            <w:t>2 建设项目概述</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_Toc1930772744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13</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4EBD9453">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"_Toc2019602238" </w:instrText>
          </w:r>
          <w:r>
            <w:rPr>
              <w:color w:val="auto"/>
              <w:highlight w:val="none"/>
            </w:rPr>
            <w:fldChar w:fldCharType="separate"/>
          </w:r>
          <w:r>
            <w:rPr>
              <w:rFonts w:ascii="Times New Roman Regular" w:hAnsi="Times New Roman Regular" w:cs="Times New Roman Regular"/>
              <w:color w:val="auto"/>
              <w:sz w:val="28"/>
              <w:szCs w:val="28"/>
              <w:highlight w:val="none"/>
            </w:rPr>
            <w:t>2.1 建设单位概况</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_Toc2019602238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13</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59F0224C">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"_Toc328289584" </w:instrText>
          </w:r>
          <w:r>
            <w:rPr>
              <w:color w:val="auto"/>
              <w:highlight w:val="none"/>
            </w:rPr>
            <w:fldChar w:fldCharType="separate"/>
          </w:r>
          <w:r>
            <w:rPr>
              <w:rFonts w:ascii="Times New Roman Regular" w:hAnsi="Times New Roman Regular" w:cs="Times New Roman Regular"/>
              <w:color w:val="auto"/>
              <w:sz w:val="28"/>
              <w:szCs w:val="28"/>
              <w:highlight w:val="none"/>
            </w:rPr>
            <w:t>2.2 自然环境概况</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_Toc328289584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18</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6C6097E5">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"_Toc677549145" </w:instrText>
          </w:r>
          <w:r>
            <w:rPr>
              <w:color w:val="auto"/>
              <w:highlight w:val="none"/>
            </w:rPr>
            <w:fldChar w:fldCharType="separate"/>
          </w:r>
          <w:r>
            <w:rPr>
              <w:rFonts w:ascii="Times New Roman Regular" w:hAnsi="Times New Roman Regular" w:cs="Times New Roman Regular"/>
              <w:color w:val="auto"/>
              <w:sz w:val="28"/>
              <w:szCs w:val="28"/>
              <w:highlight w:val="none"/>
            </w:rPr>
            <w:t>2.3 地质概况</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_Toc677549145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19</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50B027AC">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"_Toc1610183621" </w:instrText>
          </w:r>
          <w:r>
            <w:rPr>
              <w:color w:val="auto"/>
              <w:highlight w:val="none"/>
            </w:rPr>
            <w:fldChar w:fldCharType="separate"/>
          </w:r>
          <w:r>
            <w:rPr>
              <w:rFonts w:ascii="Times New Roman Regular" w:hAnsi="Times New Roman Regular" w:cs="Times New Roman Regular"/>
              <w:color w:val="auto"/>
              <w:sz w:val="28"/>
              <w:szCs w:val="28"/>
              <w:highlight w:val="none"/>
            </w:rPr>
            <w:t>2.4设计概况</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_Toc1610183621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32</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10EED884">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"_Toc1914682300" </w:instrText>
          </w:r>
          <w:r>
            <w:rPr>
              <w:color w:val="auto"/>
              <w:highlight w:val="none"/>
            </w:rPr>
            <w:fldChar w:fldCharType="separate"/>
          </w:r>
          <w:r>
            <w:rPr>
              <w:rFonts w:ascii="Times New Roman Regular" w:hAnsi="Times New Roman Regular" w:cs="Times New Roman Regular"/>
              <w:color w:val="auto"/>
              <w:sz w:val="28"/>
              <w:szCs w:val="28"/>
              <w:highlight w:val="none"/>
            </w:rPr>
            <w:t>2.5建设概况</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_Toc1914682300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39</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35F4EA10">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"_Toc22965805" </w:instrText>
          </w:r>
          <w:r>
            <w:rPr>
              <w:color w:val="auto"/>
              <w:highlight w:val="none"/>
            </w:rPr>
            <w:fldChar w:fldCharType="separate"/>
          </w:r>
          <w:r>
            <w:rPr>
              <w:rFonts w:ascii="Times New Roman Regular" w:hAnsi="Times New Roman Regular" w:cs="Times New Roman Regular"/>
              <w:bCs/>
              <w:color w:val="auto"/>
              <w:sz w:val="28"/>
              <w:szCs w:val="28"/>
              <w:highlight w:val="none"/>
            </w:rPr>
            <w:t>2.6施工及监理概况</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_Toc22965805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55</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0FC444CD">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"_Toc1586711822" </w:instrText>
          </w:r>
          <w:r>
            <w:rPr>
              <w:color w:val="auto"/>
              <w:highlight w:val="none"/>
            </w:rPr>
            <w:fldChar w:fldCharType="separate"/>
          </w:r>
          <w:r>
            <w:rPr>
              <w:rFonts w:ascii="Times New Roman Regular" w:hAnsi="Times New Roman Regular" w:cs="Times New Roman Regular"/>
              <w:bCs/>
              <w:color w:val="auto"/>
              <w:sz w:val="28"/>
              <w:szCs w:val="28"/>
              <w:highlight w:val="none"/>
            </w:rPr>
            <w:t>2.7 试运行概况</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_Toc1586711822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56</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77902FE8">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"_Toc413663908" </w:instrText>
          </w:r>
          <w:r>
            <w:rPr>
              <w:color w:val="auto"/>
              <w:highlight w:val="none"/>
            </w:rPr>
            <w:fldChar w:fldCharType="separate"/>
          </w:r>
          <w:r>
            <w:rPr>
              <w:rFonts w:ascii="Times New Roman Regular" w:hAnsi="Times New Roman Regular" w:cs="Times New Roman Regular"/>
              <w:bCs/>
              <w:color w:val="auto"/>
              <w:sz w:val="28"/>
              <w:szCs w:val="28"/>
              <w:highlight w:val="none"/>
            </w:rPr>
            <w:t>2.8 安全设施概况</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_Toc413663908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58</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718AC366">
          <w:pPr>
            <w:pStyle w:val="11"/>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"_Toc1044736417" </w:instrText>
          </w:r>
          <w:r>
            <w:rPr>
              <w:color w:val="auto"/>
              <w:highlight w:val="none"/>
            </w:rPr>
            <w:fldChar w:fldCharType="separate"/>
          </w:r>
          <w:r>
            <w:rPr>
              <w:rFonts w:ascii="Times New Roman Regular" w:hAnsi="Times New Roman Regular" w:cs="Times New Roman Regular"/>
              <w:bCs/>
              <w:color w:val="auto"/>
              <w:kern w:val="44"/>
              <w:sz w:val="28"/>
              <w:szCs w:val="28"/>
              <w:highlight w:val="none"/>
            </w:rPr>
            <w:t>3.安全设施符合性评价</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_Toc1044736417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60</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73772473">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"_Toc1058662647" </w:instrText>
          </w:r>
          <w:r>
            <w:rPr>
              <w:color w:val="auto"/>
              <w:highlight w:val="none"/>
            </w:rPr>
            <w:fldChar w:fldCharType="separate"/>
          </w:r>
          <w:r>
            <w:rPr>
              <w:rFonts w:ascii="Times New Roman Regular" w:hAnsi="Times New Roman Regular" w:cs="Times New Roman Regular"/>
              <w:color w:val="auto"/>
              <w:sz w:val="28"/>
              <w:szCs w:val="28"/>
              <w:highlight w:val="none"/>
            </w:rPr>
            <w:t>3.1安全设施“三同时”程序</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_Toc1058662647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60</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3CBE4E7B">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"_Toc1041092734" </w:instrText>
          </w:r>
          <w:r>
            <w:rPr>
              <w:color w:val="auto"/>
              <w:highlight w:val="none"/>
            </w:rPr>
            <w:fldChar w:fldCharType="separate"/>
          </w:r>
          <w:r>
            <w:rPr>
              <w:rFonts w:ascii="Times New Roman Regular" w:hAnsi="Times New Roman Regular" w:cs="Times New Roman Regular"/>
              <w:color w:val="auto"/>
              <w:sz w:val="28"/>
              <w:szCs w:val="28"/>
              <w:highlight w:val="none"/>
            </w:rPr>
            <w:t>3.2露天采场</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_Toc1041092734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62</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6BD5A484">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"_Toc2096308229" </w:instrText>
          </w:r>
          <w:r>
            <w:rPr>
              <w:color w:val="auto"/>
              <w:highlight w:val="none"/>
            </w:rPr>
            <w:fldChar w:fldCharType="separate"/>
          </w:r>
          <w:r>
            <w:rPr>
              <w:rFonts w:ascii="Times New Roman Regular" w:hAnsi="Times New Roman Regular" w:cs="Times New Roman Regular"/>
              <w:color w:val="auto"/>
              <w:sz w:val="28"/>
              <w:szCs w:val="28"/>
              <w:highlight w:val="none"/>
            </w:rPr>
            <w:t>3.3矿岩运输系统</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_Toc2096308229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67</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7E154201">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"_Toc1035692121" </w:instrText>
          </w:r>
          <w:r>
            <w:rPr>
              <w:color w:val="auto"/>
              <w:highlight w:val="none"/>
            </w:rPr>
            <w:fldChar w:fldCharType="separate"/>
          </w:r>
          <w:r>
            <w:rPr>
              <w:rFonts w:ascii="Times New Roman Regular" w:hAnsi="Times New Roman Regular" w:cs="Times New Roman Regular"/>
              <w:color w:val="auto"/>
              <w:sz w:val="28"/>
              <w:szCs w:val="28"/>
              <w:highlight w:val="none"/>
            </w:rPr>
            <w:t>3.4采场防排水系统</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_Toc1035692121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69</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1092097E">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"_Toc1522518712" </w:instrText>
          </w:r>
          <w:r>
            <w:rPr>
              <w:color w:val="auto"/>
              <w:highlight w:val="none"/>
            </w:rPr>
            <w:fldChar w:fldCharType="separate"/>
          </w:r>
          <w:r>
            <w:rPr>
              <w:rFonts w:ascii="Times New Roman Regular" w:hAnsi="Times New Roman Regular" w:cs="Times New Roman Regular"/>
              <w:color w:val="auto"/>
              <w:sz w:val="28"/>
              <w:szCs w:val="28"/>
              <w:highlight w:val="none"/>
            </w:rPr>
            <w:t>3.5供配电系统</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_Toc1522518712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70</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4D82D441">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"_Toc1704338579" </w:instrText>
          </w:r>
          <w:r>
            <w:rPr>
              <w:color w:val="auto"/>
              <w:highlight w:val="none"/>
            </w:rPr>
            <w:fldChar w:fldCharType="separate"/>
          </w:r>
          <w:r>
            <w:rPr>
              <w:rFonts w:ascii="Times New Roman Regular" w:hAnsi="Times New Roman Regular" w:cs="Times New Roman Regular"/>
              <w:color w:val="auto"/>
              <w:sz w:val="28"/>
              <w:szCs w:val="28"/>
              <w:highlight w:val="none"/>
            </w:rPr>
            <w:t>3.6总平面布置</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_Toc1704338579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71</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2F15A545">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"_Toc1681613567" </w:instrText>
          </w:r>
          <w:r>
            <w:rPr>
              <w:color w:val="auto"/>
              <w:highlight w:val="none"/>
            </w:rPr>
            <w:fldChar w:fldCharType="separate"/>
          </w:r>
          <w:r>
            <w:rPr>
              <w:rFonts w:ascii="Times New Roman Regular" w:hAnsi="Times New Roman Regular" w:cs="Times New Roman Regular"/>
              <w:color w:val="auto"/>
              <w:sz w:val="28"/>
              <w:szCs w:val="28"/>
              <w:highlight w:val="none"/>
            </w:rPr>
            <w:t>3.7通信系统</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_Toc1681613567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74</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6C7211DE">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"_Toc1994426049" </w:instrText>
          </w:r>
          <w:r>
            <w:rPr>
              <w:color w:val="auto"/>
              <w:highlight w:val="none"/>
            </w:rPr>
            <w:fldChar w:fldCharType="separate"/>
          </w:r>
          <w:r>
            <w:rPr>
              <w:rFonts w:ascii="Times New Roman Regular" w:hAnsi="Times New Roman Regular" w:cs="Times New Roman Regular"/>
              <w:color w:val="auto"/>
              <w:sz w:val="28"/>
              <w:szCs w:val="28"/>
              <w:highlight w:val="none"/>
            </w:rPr>
            <w:t>3.8个人安全防护</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_Toc1994426049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74</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6F246EA0">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"_Toc246359520" </w:instrText>
          </w:r>
          <w:r>
            <w:rPr>
              <w:color w:val="auto"/>
              <w:highlight w:val="none"/>
            </w:rPr>
            <w:fldChar w:fldCharType="separate"/>
          </w:r>
          <w:r>
            <w:rPr>
              <w:rFonts w:ascii="Times New Roman Regular" w:hAnsi="Times New Roman Regular" w:cs="Times New Roman Regular"/>
              <w:color w:val="auto"/>
              <w:sz w:val="28"/>
              <w:szCs w:val="28"/>
              <w:highlight w:val="none"/>
            </w:rPr>
            <w:t>3.9安全标志</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_Toc246359520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75</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63B4EF6D">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"_Toc215981224" </w:instrText>
          </w:r>
          <w:r>
            <w:rPr>
              <w:color w:val="auto"/>
              <w:highlight w:val="none"/>
            </w:rPr>
            <w:fldChar w:fldCharType="separate"/>
          </w:r>
          <w:r>
            <w:rPr>
              <w:rFonts w:ascii="Times New Roman Regular" w:hAnsi="Times New Roman Regular" w:cs="Times New Roman Regular"/>
              <w:color w:val="auto"/>
              <w:sz w:val="28"/>
              <w:szCs w:val="28"/>
              <w:highlight w:val="none"/>
            </w:rPr>
            <w:t>3.10安全生产管理单元</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_Toc215981224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76</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2F5219D1">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"_Toc749068338" </w:instrText>
          </w:r>
          <w:r>
            <w:rPr>
              <w:color w:val="auto"/>
              <w:highlight w:val="none"/>
            </w:rPr>
            <w:fldChar w:fldCharType="separate"/>
          </w:r>
          <w:r>
            <w:rPr>
              <w:rFonts w:ascii="Times New Roman Regular" w:hAnsi="Times New Roman Regular" w:cs="Times New Roman Regular"/>
              <w:color w:val="auto"/>
              <w:sz w:val="28"/>
              <w:szCs w:val="28"/>
              <w:highlight w:val="none"/>
            </w:rPr>
            <w:t>3.11重大事故隐患判定标准单元</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_Toc749068338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79</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7BB52C02">
          <w:pPr>
            <w:pStyle w:val="11"/>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"_Toc1042418052" </w:instrText>
          </w:r>
          <w:r>
            <w:rPr>
              <w:color w:val="auto"/>
              <w:highlight w:val="none"/>
            </w:rPr>
            <w:fldChar w:fldCharType="separate"/>
          </w:r>
          <w:r>
            <w:rPr>
              <w:rFonts w:ascii="Times New Roman Regular" w:hAnsi="Times New Roman Regular" w:cs="Times New Roman Regular"/>
              <w:bCs/>
              <w:color w:val="auto"/>
              <w:kern w:val="44"/>
              <w:sz w:val="28"/>
              <w:szCs w:val="28"/>
              <w:highlight w:val="none"/>
            </w:rPr>
            <w:t>4.安全对策措施建议</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_Toc1042418052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82</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706634B2">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"_Toc748607738" </w:instrText>
          </w:r>
          <w:r>
            <w:rPr>
              <w:color w:val="auto"/>
              <w:highlight w:val="none"/>
            </w:rPr>
            <w:fldChar w:fldCharType="separate"/>
          </w:r>
          <w:r>
            <w:rPr>
              <w:rFonts w:ascii="Times New Roman Regular" w:hAnsi="Times New Roman Regular" w:cs="Times New Roman Regular"/>
              <w:color w:val="auto"/>
              <w:sz w:val="28"/>
              <w:szCs w:val="28"/>
              <w:highlight w:val="none"/>
            </w:rPr>
            <w:t>4.1安全技术对策措施及建议</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_Toc748607738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82</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1C008721">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"_Toc1891048440" </w:instrText>
          </w:r>
          <w:r>
            <w:rPr>
              <w:color w:val="auto"/>
              <w:highlight w:val="none"/>
            </w:rPr>
            <w:fldChar w:fldCharType="separate"/>
          </w:r>
          <w:r>
            <w:rPr>
              <w:rFonts w:ascii="Times New Roman Regular" w:hAnsi="Times New Roman Regular" w:cs="Times New Roman Regular"/>
              <w:color w:val="auto"/>
              <w:sz w:val="28"/>
              <w:szCs w:val="28"/>
              <w:highlight w:val="none"/>
            </w:rPr>
            <w:t>4.2安全管理对策措施</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_Toc1891048440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83</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5B4CB735">
          <w:pPr>
            <w:pStyle w:val="11"/>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"_Toc93155480" </w:instrText>
          </w:r>
          <w:r>
            <w:rPr>
              <w:color w:val="auto"/>
              <w:highlight w:val="none"/>
            </w:rPr>
            <w:fldChar w:fldCharType="separate"/>
          </w:r>
          <w:r>
            <w:rPr>
              <w:rFonts w:ascii="Times New Roman Regular" w:hAnsi="Times New Roman Regular" w:cs="Times New Roman Regular"/>
              <w:bCs/>
              <w:color w:val="auto"/>
              <w:kern w:val="44"/>
              <w:sz w:val="28"/>
              <w:szCs w:val="28"/>
              <w:highlight w:val="none"/>
            </w:rPr>
            <w:t>5.评价结论</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_Toc93155480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84</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291D4B44">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"_Toc148573697" </w:instrText>
          </w:r>
          <w:r>
            <w:rPr>
              <w:color w:val="auto"/>
              <w:highlight w:val="none"/>
            </w:rPr>
            <w:fldChar w:fldCharType="separate"/>
          </w:r>
          <w:r>
            <w:rPr>
              <w:rFonts w:ascii="Times New Roman Regular" w:hAnsi="Times New Roman Regular" w:cs="Times New Roman Regular"/>
              <w:color w:val="auto"/>
              <w:sz w:val="28"/>
              <w:szCs w:val="28"/>
              <w:highlight w:val="none"/>
            </w:rPr>
            <w:t>5.1安全设施验收评价综述</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_Toc148573697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84</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63DD2F77">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"_Toc1702127665" </w:instrText>
          </w:r>
          <w:r>
            <w:rPr>
              <w:color w:val="auto"/>
              <w:highlight w:val="none"/>
            </w:rPr>
            <w:fldChar w:fldCharType="separate"/>
          </w:r>
          <w:r>
            <w:rPr>
              <w:rFonts w:ascii="Times New Roman Regular" w:hAnsi="Times New Roman Regular" w:cs="Times New Roman Regular"/>
              <w:color w:val="auto"/>
              <w:sz w:val="28"/>
              <w:szCs w:val="28"/>
              <w:highlight w:val="none"/>
            </w:rPr>
            <w:t>5.2各评价单元评价结果</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_Toc1702127665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84</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3772D82D">
          <w:pPr>
            <w:pStyle w:val="13"/>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"_Toc1030003968" </w:instrText>
          </w:r>
          <w:r>
            <w:rPr>
              <w:color w:val="auto"/>
              <w:highlight w:val="none"/>
            </w:rPr>
            <w:fldChar w:fldCharType="separate"/>
          </w:r>
          <w:r>
            <w:rPr>
              <w:rFonts w:ascii="Times New Roman Regular" w:hAnsi="Times New Roman Regular" w:cs="Times New Roman Regular"/>
              <w:color w:val="auto"/>
              <w:sz w:val="28"/>
              <w:szCs w:val="28"/>
              <w:highlight w:val="none"/>
            </w:rPr>
            <w:t>5.3安全总体评价结论</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_Toc1030003968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86</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4BDBF80F">
          <w:pPr>
            <w:pStyle w:val="11"/>
            <w:tabs>
              <w:tab w:val="right" w:leader="dot" w:pos="8306"/>
            </w:tabs>
            <w:spacing w:line="360" w:lineRule="auto"/>
            <w:rPr>
              <w:rFonts w:ascii="Times New Roman Regular" w:hAnsi="Times New Roman Regular" w:cs="Times New Roman Regular"/>
              <w:color w:val="auto"/>
              <w:sz w:val="28"/>
              <w:szCs w:val="28"/>
              <w:highlight w:val="none"/>
            </w:rPr>
          </w:pPr>
          <w:r>
            <w:rPr>
              <w:color w:val="auto"/>
              <w:highlight w:val="none"/>
            </w:rPr>
            <w:fldChar w:fldCharType="begin"/>
          </w:r>
          <w:r>
            <w:rPr>
              <w:color w:val="auto"/>
              <w:highlight w:val="none"/>
            </w:rPr>
            <w:instrText xml:space="preserve"> HYPERLINK \l "_Toc411011709" </w:instrText>
          </w:r>
          <w:r>
            <w:rPr>
              <w:color w:val="auto"/>
              <w:highlight w:val="none"/>
            </w:rPr>
            <w:fldChar w:fldCharType="separate"/>
          </w:r>
          <w:r>
            <w:rPr>
              <w:rFonts w:ascii="Times New Roman Regular" w:hAnsi="Times New Roman Regular" w:cs="Times New Roman Regular"/>
              <w:bCs/>
              <w:color w:val="auto"/>
              <w:kern w:val="44"/>
              <w:sz w:val="28"/>
              <w:szCs w:val="28"/>
              <w:highlight w:val="none"/>
            </w:rPr>
            <w:t>6.附件</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_Toc411011709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87</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50C83CC0">
          <w:pPr>
            <w:pStyle w:val="11"/>
            <w:tabs>
              <w:tab w:val="right" w:leader="dot" w:pos="8306"/>
            </w:tabs>
            <w:spacing w:line="360" w:lineRule="auto"/>
            <w:rPr>
              <w:color w:val="auto"/>
              <w:highlight w:val="none"/>
            </w:rPr>
          </w:pPr>
          <w:r>
            <w:rPr>
              <w:color w:val="auto"/>
              <w:highlight w:val="none"/>
            </w:rPr>
            <w:fldChar w:fldCharType="begin"/>
          </w:r>
          <w:r>
            <w:rPr>
              <w:color w:val="auto"/>
              <w:highlight w:val="none"/>
            </w:rPr>
            <w:instrText xml:space="preserve"> HYPERLINK \l "_Toc1566384411" </w:instrText>
          </w:r>
          <w:r>
            <w:rPr>
              <w:color w:val="auto"/>
              <w:highlight w:val="none"/>
            </w:rPr>
            <w:fldChar w:fldCharType="separate"/>
          </w:r>
          <w:r>
            <w:rPr>
              <w:rFonts w:ascii="Times New Roman Regular" w:hAnsi="Times New Roman Regular" w:cs="Times New Roman Regular"/>
              <w:bCs/>
              <w:color w:val="auto"/>
              <w:kern w:val="44"/>
              <w:sz w:val="28"/>
              <w:szCs w:val="28"/>
              <w:highlight w:val="none"/>
            </w:rPr>
            <w:t>7.附图</w:t>
          </w:r>
          <w:r>
            <w:rPr>
              <w:rFonts w:ascii="Times New Roman Regular" w:hAnsi="Times New Roman Regular" w:cs="Times New Roman Regular"/>
              <w:color w:val="auto"/>
              <w:sz w:val="28"/>
              <w:szCs w:val="28"/>
              <w:highlight w:val="none"/>
            </w:rPr>
            <w:tab/>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PAGEREF _Toc1566384411 \h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89</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fldChar w:fldCharType="end"/>
          </w:r>
        </w:p>
        <w:p w14:paraId="2CCF81C5">
          <w:pPr>
            <w:pStyle w:val="2"/>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fldChar w:fldCharType="end"/>
          </w:r>
        </w:p>
      </w:sdtContent>
    </w:sdt>
    <w:p w14:paraId="2FB22B40">
      <w:pPr>
        <w:pStyle w:val="2"/>
        <w:rPr>
          <w:rFonts w:ascii="Times New Roman Regular" w:hAnsi="Times New Roman Regular" w:eastAsia="宋体" w:cs="Times New Roman Regular"/>
          <w:color w:val="auto"/>
          <w:szCs w:val="28"/>
          <w:highlight w:val="none"/>
        </w:rPr>
        <w:sectPr>
          <w:pgSz w:w="11906" w:h="16838"/>
          <w:pgMar w:top="1440" w:right="1800" w:bottom="1440" w:left="1800" w:header="851" w:footer="992" w:gutter="0"/>
          <w:cols w:space="720" w:num="1"/>
          <w:docGrid w:type="lines" w:linePitch="312" w:charSpace="0"/>
        </w:sectPr>
      </w:pPr>
    </w:p>
    <w:p w14:paraId="6131F111">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eastAsia="黑体" w:cs="Times New Roman Regular"/>
          <w:b/>
          <w:bCs/>
          <w:color w:val="auto"/>
          <w:kern w:val="44"/>
          <w:sz w:val="32"/>
          <w:szCs w:val="44"/>
          <w:highlight w:val="none"/>
        </w:rPr>
      </w:pPr>
      <w:bookmarkStart w:id="12" w:name="_Toc12278"/>
      <w:bookmarkStart w:id="13" w:name="_Toc18424"/>
      <w:bookmarkStart w:id="14" w:name="_Toc31435"/>
      <w:bookmarkStart w:id="15" w:name="_Toc86052346"/>
      <w:bookmarkStart w:id="16" w:name="_Toc1029732404"/>
      <w:bookmarkStart w:id="17" w:name="_Toc86052347"/>
      <w:bookmarkStart w:id="18" w:name="_Toc14114"/>
      <w:r>
        <w:rPr>
          <w:rFonts w:ascii="Times New Roman Regular" w:hAnsi="Times New Roman Regular" w:eastAsia="黑体" w:cs="Times New Roman Regular"/>
          <w:b/>
          <w:bCs/>
          <w:color w:val="auto"/>
          <w:kern w:val="44"/>
          <w:sz w:val="32"/>
          <w:szCs w:val="44"/>
          <w:highlight w:val="none"/>
        </w:rPr>
        <w:t>1</w:t>
      </w:r>
      <w:r>
        <w:rPr>
          <w:rFonts w:hint="eastAsia" w:ascii="Times New Roman Regular" w:hAnsi="Times New Roman Regular" w:eastAsia="黑体" w:cs="Times New Roman Regular"/>
          <w:b/>
          <w:bCs/>
          <w:color w:val="auto"/>
          <w:kern w:val="44"/>
          <w:sz w:val="32"/>
          <w:szCs w:val="44"/>
          <w:highlight w:val="none"/>
        </w:rPr>
        <w:t xml:space="preserve"> </w:t>
      </w:r>
      <w:r>
        <w:rPr>
          <w:rFonts w:ascii="Times New Roman Regular" w:hAnsi="Times New Roman Regular" w:eastAsia="黑体" w:cs="Times New Roman Regular"/>
          <w:b/>
          <w:bCs/>
          <w:color w:val="auto"/>
          <w:kern w:val="44"/>
          <w:sz w:val="32"/>
          <w:szCs w:val="44"/>
          <w:highlight w:val="none"/>
        </w:rPr>
        <w:t>评价范围与依据</w:t>
      </w:r>
      <w:bookmarkEnd w:id="12"/>
      <w:bookmarkEnd w:id="13"/>
      <w:bookmarkEnd w:id="14"/>
      <w:bookmarkEnd w:id="15"/>
      <w:bookmarkEnd w:id="16"/>
    </w:p>
    <w:p w14:paraId="53FA0991">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9" w:name="_Toc22758"/>
      <w:bookmarkStart w:id="20" w:name="_Toc27067"/>
      <w:bookmarkStart w:id="21" w:name="_Toc141802855"/>
      <w:r>
        <w:rPr>
          <w:rFonts w:ascii="Times New Roman Regular" w:hAnsi="Times New Roman Regular" w:eastAsia="黑体" w:cs="Times New Roman Regular"/>
          <w:color w:val="auto"/>
          <w:sz w:val="30"/>
          <w:highlight w:val="none"/>
        </w:rPr>
        <w:t>1.1</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评价对象和</w:t>
      </w:r>
      <w:bookmarkEnd w:id="17"/>
      <w:bookmarkEnd w:id="18"/>
      <w:r>
        <w:rPr>
          <w:rFonts w:ascii="Times New Roman Regular" w:hAnsi="Times New Roman Regular" w:eastAsia="黑体" w:cs="Times New Roman Regular"/>
          <w:color w:val="auto"/>
          <w:sz w:val="30"/>
          <w:highlight w:val="none"/>
        </w:rPr>
        <w:t>范围</w:t>
      </w:r>
      <w:bookmarkEnd w:id="19"/>
      <w:bookmarkEnd w:id="20"/>
      <w:bookmarkEnd w:id="21"/>
    </w:p>
    <w:p w14:paraId="3A4DEB33">
      <w:pPr>
        <w:pStyle w:val="5"/>
        <w:numPr>
          <w:ilvl w:val="0"/>
          <w:numId w:val="0"/>
        </w:numPr>
        <w:rPr>
          <w:rFonts w:ascii="Times New Roman Regular" w:hAnsi="Times New Roman Regular" w:cs="Times New Roman Regular"/>
          <w:color w:val="auto"/>
          <w:highlight w:val="none"/>
        </w:rPr>
      </w:pPr>
      <w:bookmarkStart w:id="22" w:name="_Toc86052348"/>
      <w:r>
        <w:rPr>
          <w:rFonts w:ascii="Times New Roman Regular" w:hAnsi="Times New Roman Regular" w:cs="Times New Roman Regular"/>
          <w:color w:val="auto"/>
          <w:highlight w:val="none"/>
        </w:rPr>
        <w:t>1.1.1</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评价对象</w:t>
      </w:r>
      <w:bookmarkEnd w:id="22"/>
    </w:p>
    <w:p w14:paraId="5A44D01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本次安全设施验收评价对象为“</w:t>
      </w:r>
      <w:r>
        <w:rPr>
          <w:rFonts w:hint="eastAsia" w:ascii="Times New Roman Regular" w:hAnsi="Times New Roman Regular" w:cs="Times New Roman Regular"/>
          <w:color w:val="auto"/>
          <w:sz w:val="28"/>
          <w:szCs w:val="28"/>
          <w:highlight w:val="none"/>
          <w:lang w:val="zh-CN"/>
        </w:rPr>
        <w:t>本溪星光硅质原料有限公司</w:t>
      </w:r>
      <w:r>
        <w:rPr>
          <w:rFonts w:ascii="Times New Roman Regular" w:hAnsi="Times New Roman Regular" w:cs="Times New Roman Regular"/>
          <w:color w:val="auto"/>
          <w:sz w:val="28"/>
          <w:szCs w:val="28"/>
          <w:highlight w:val="none"/>
          <w:lang w:val="zh-CN"/>
        </w:rPr>
        <w:t>（玻璃用石英岩）露天开采建设项目</w:t>
      </w:r>
      <w:r>
        <w:rPr>
          <w:rFonts w:ascii="Times New Roman Regular" w:hAnsi="Times New Roman Regular" w:cs="Times New Roman Regular"/>
          <w:color w:val="auto"/>
          <w:sz w:val="28"/>
          <w:szCs w:val="28"/>
          <w:highlight w:val="none"/>
        </w:rPr>
        <w:t>”。</w:t>
      </w:r>
    </w:p>
    <w:p w14:paraId="1CF067B7">
      <w:pPr>
        <w:pStyle w:val="5"/>
        <w:numPr>
          <w:ilvl w:val="0"/>
          <w:numId w:val="0"/>
        </w:numPr>
        <w:rPr>
          <w:rFonts w:ascii="Times New Roman Regular" w:hAnsi="Times New Roman Regular" w:cs="Times New Roman Regular"/>
          <w:color w:val="auto"/>
          <w:highlight w:val="none"/>
        </w:rPr>
      </w:pPr>
      <w:bookmarkStart w:id="23" w:name="_Toc86052349"/>
      <w:r>
        <w:rPr>
          <w:rFonts w:ascii="Times New Roman Regular" w:hAnsi="Times New Roman Regular" w:cs="Times New Roman Regular"/>
          <w:color w:val="auto"/>
          <w:highlight w:val="none"/>
        </w:rPr>
        <w:t>1.1.2</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评价范围</w:t>
      </w:r>
      <w:bookmarkEnd w:id="23"/>
    </w:p>
    <w:p w14:paraId="4DC78B0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本次安全设施验收评价的范围包括：</w:t>
      </w:r>
      <w:r>
        <w:rPr>
          <w:rFonts w:hint="eastAsia" w:ascii="Times New Roman Regular" w:hAnsi="Times New Roman Regular" w:cs="Times New Roman Regular"/>
          <w:color w:val="auto"/>
          <w:sz w:val="28"/>
          <w:szCs w:val="28"/>
          <w:highlight w:val="none"/>
          <w:lang w:val="zh-CN"/>
        </w:rPr>
        <w:t>本溪星光硅质原料有限公司</w:t>
      </w:r>
      <w:r>
        <w:rPr>
          <w:rFonts w:ascii="Times New Roman Regular" w:hAnsi="Times New Roman Regular" w:cs="Times New Roman Regular"/>
          <w:color w:val="auto"/>
          <w:sz w:val="28"/>
          <w:szCs w:val="28"/>
          <w:highlight w:val="none"/>
          <w:lang w:val="zh-CN"/>
        </w:rPr>
        <w:t>（玻璃用石英岩）露天开采建设项目</w:t>
      </w:r>
      <w:r>
        <w:rPr>
          <w:rFonts w:ascii="Times New Roman Regular" w:hAnsi="Times New Roman Regular" w:cs="Times New Roman Regular"/>
          <w:color w:val="auto"/>
          <w:sz w:val="28"/>
          <w:szCs w:val="28"/>
          <w:highlight w:val="none"/>
        </w:rPr>
        <w:t>的露天开采系统、公用辅助设施、基本安全设施、专用安全设施和安全生产管理。</w:t>
      </w:r>
    </w:p>
    <w:p w14:paraId="7B2D8A8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根据采矿许可证，采矿区范围由13个拐点坐标圈定，矿区面积0.3064km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，开采深度266.77～160m，矿区范围各拐点坐标如表1.1-1所示。</w:t>
      </w:r>
    </w:p>
    <w:p w14:paraId="1D28F221">
      <w:pPr>
        <w:adjustRightInd w:val="0"/>
        <w:snapToGrid w:val="0"/>
        <w:spacing w:line="400" w:lineRule="exact"/>
        <w:jc w:val="center"/>
        <w:rPr>
          <w:rFonts w:hint="eastAsia" w:ascii="黑体" w:hAnsi="黑体" w:eastAsia="黑体" w:cs="黑体"/>
          <w:bCs/>
          <w:color w:val="auto"/>
          <w:sz w:val="24"/>
          <w:highlight w:val="none"/>
        </w:rPr>
      </w:pPr>
      <w:r>
        <w:rPr>
          <w:rFonts w:ascii="黑体" w:hAnsi="黑体" w:eastAsia="黑体" w:cs="黑体"/>
          <w:bCs/>
          <w:color w:val="auto"/>
          <w:sz w:val="24"/>
          <w:highlight w:val="none"/>
        </w:rPr>
        <w:t>表1.1-1 矿区范围拐点坐标表（2000国家大地坐标系）</w:t>
      </w:r>
    </w:p>
    <w:tbl>
      <w:tblPr>
        <w:tblStyle w:val="14"/>
        <w:tblW w:w="47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2"/>
        <w:gridCol w:w="2898"/>
        <w:gridCol w:w="3134"/>
      </w:tblGrid>
      <w:tr w14:paraId="359C9C83">
        <w:trPr>
          <w:trHeight w:val="471" w:hRule="atLeast"/>
          <w:jc w:val="center"/>
        </w:trPr>
        <w:tc>
          <w:tcPr>
            <w:tcW w:w="1297" w:type="pct"/>
            <w:vMerge w:val="restart"/>
            <w:vAlign w:val="center"/>
          </w:tcPr>
          <w:p w14:paraId="46DDAABD">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点号</w:t>
            </w:r>
          </w:p>
        </w:tc>
        <w:tc>
          <w:tcPr>
            <w:tcW w:w="3702" w:type="pct"/>
            <w:gridSpan w:val="2"/>
            <w:vAlign w:val="center"/>
          </w:tcPr>
          <w:p w14:paraId="40EBEAD4">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2000国家大地坐标系</w:t>
            </w:r>
          </w:p>
        </w:tc>
      </w:tr>
      <w:tr w14:paraId="7A5AF316">
        <w:trPr>
          <w:trHeight w:val="471" w:hRule="atLeast"/>
          <w:jc w:val="center"/>
        </w:trPr>
        <w:tc>
          <w:tcPr>
            <w:tcW w:w="1297" w:type="pct"/>
            <w:vMerge w:val="continue"/>
            <w:vAlign w:val="center"/>
          </w:tcPr>
          <w:p w14:paraId="542D0ABB">
            <w:pPr>
              <w:widowControl/>
              <w:spacing w:line="360" w:lineRule="auto"/>
              <w:jc w:val="center"/>
              <w:rPr>
                <w:rFonts w:ascii="Times New Roman Regular" w:hAnsi="Times New Roman Regular" w:cs="Times New Roman Regular"/>
                <w:color w:val="auto"/>
                <w:kern w:val="0"/>
                <w:sz w:val="24"/>
                <w:highlight w:val="none"/>
              </w:rPr>
            </w:pPr>
          </w:p>
        </w:tc>
        <w:tc>
          <w:tcPr>
            <w:tcW w:w="1779" w:type="pct"/>
            <w:vAlign w:val="center"/>
          </w:tcPr>
          <w:p w14:paraId="5F018A2A">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X</w:t>
            </w:r>
          </w:p>
        </w:tc>
        <w:tc>
          <w:tcPr>
            <w:tcW w:w="1922" w:type="pct"/>
            <w:vAlign w:val="center"/>
          </w:tcPr>
          <w:p w14:paraId="591E4C1E">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Y</w:t>
            </w:r>
          </w:p>
        </w:tc>
      </w:tr>
      <w:tr w14:paraId="395BA5E2">
        <w:trPr>
          <w:trHeight w:val="471" w:hRule="atLeast"/>
          <w:jc w:val="center"/>
        </w:trPr>
        <w:tc>
          <w:tcPr>
            <w:tcW w:w="1297" w:type="pct"/>
            <w:vAlign w:val="center"/>
          </w:tcPr>
          <w:p w14:paraId="0E2C8B2E">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1</w:t>
            </w:r>
          </w:p>
        </w:tc>
        <w:tc>
          <w:tcPr>
            <w:tcW w:w="1779" w:type="pct"/>
            <w:vAlign w:val="center"/>
          </w:tcPr>
          <w:p w14:paraId="5DE424AC">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4556319.9372</w:t>
            </w:r>
          </w:p>
        </w:tc>
        <w:tc>
          <w:tcPr>
            <w:tcW w:w="1922" w:type="pct"/>
            <w:vAlign w:val="center"/>
          </w:tcPr>
          <w:p w14:paraId="145FC6D5">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41561363.8367</w:t>
            </w:r>
          </w:p>
        </w:tc>
      </w:tr>
      <w:tr w14:paraId="007767BD">
        <w:trPr>
          <w:trHeight w:val="471" w:hRule="atLeast"/>
          <w:jc w:val="center"/>
        </w:trPr>
        <w:tc>
          <w:tcPr>
            <w:tcW w:w="1297" w:type="pct"/>
            <w:vAlign w:val="center"/>
          </w:tcPr>
          <w:p w14:paraId="0BF7940A">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2</w:t>
            </w:r>
          </w:p>
        </w:tc>
        <w:tc>
          <w:tcPr>
            <w:tcW w:w="1779" w:type="pct"/>
            <w:vAlign w:val="center"/>
          </w:tcPr>
          <w:p w14:paraId="33F6FB4E">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4556533.3386</w:t>
            </w:r>
          </w:p>
        </w:tc>
        <w:tc>
          <w:tcPr>
            <w:tcW w:w="1922" w:type="pct"/>
            <w:vAlign w:val="center"/>
          </w:tcPr>
          <w:p w14:paraId="2513B79A">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41561264.7340</w:t>
            </w:r>
          </w:p>
        </w:tc>
      </w:tr>
      <w:tr w14:paraId="078B7EAA">
        <w:trPr>
          <w:trHeight w:val="471" w:hRule="atLeast"/>
          <w:jc w:val="center"/>
        </w:trPr>
        <w:tc>
          <w:tcPr>
            <w:tcW w:w="1297" w:type="pct"/>
            <w:vAlign w:val="center"/>
          </w:tcPr>
          <w:p w14:paraId="7FD37A80">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3</w:t>
            </w:r>
          </w:p>
        </w:tc>
        <w:tc>
          <w:tcPr>
            <w:tcW w:w="1779" w:type="pct"/>
            <w:vAlign w:val="center"/>
          </w:tcPr>
          <w:p w14:paraId="6F0F6D38">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4556582.4390</w:t>
            </w:r>
          </w:p>
        </w:tc>
        <w:tc>
          <w:tcPr>
            <w:tcW w:w="1922" w:type="pct"/>
            <w:vAlign w:val="center"/>
          </w:tcPr>
          <w:p w14:paraId="3DDDF84D">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41561143.7328</w:t>
            </w:r>
          </w:p>
        </w:tc>
      </w:tr>
      <w:tr w14:paraId="45E50B88">
        <w:trPr>
          <w:trHeight w:val="471" w:hRule="atLeast"/>
          <w:jc w:val="center"/>
        </w:trPr>
        <w:tc>
          <w:tcPr>
            <w:tcW w:w="1297" w:type="pct"/>
            <w:vAlign w:val="center"/>
          </w:tcPr>
          <w:p w14:paraId="0D86E753">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w:t>
            </w:r>
          </w:p>
        </w:tc>
        <w:tc>
          <w:tcPr>
            <w:tcW w:w="1779" w:type="pct"/>
            <w:vAlign w:val="center"/>
          </w:tcPr>
          <w:p w14:paraId="0B650B09">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4556618.5376</w:t>
            </w:r>
          </w:p>
        </w:tc>
        <w:tc>
          <w:tcPr>
            <w:tcW w:w="1922" w:type="pct"/>
            <w:vAlign w:val="center"/>
          </w:tcPr>
          <w:p w14:paraId="3E650E5E">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41560970.4320</w:t>
            </w:r>
          </w:p>
        </w:tc>
      </w:tr>
      <w:tr w14:paraId="36581E6D">
        <w:trPr>
          <w:trHeight w:val="471" w:hRule="atLeast"/>
          <w:jc w:val="center"/>
        </w:trPr>
        <w:tc>
          <w:tcPr>
            <w:tcW w:w="1297" w:type="pct"/>
            <w:vAlign w:val="center"/>
          </w:tcPr>
          <w:p w14:paraId="7EF84302">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5</w:t>
            </w:r>
          </w:p>
        </w:tc>
        <w:tc>
          <w:tcPr>
            <w:tcW w:w="1779" w:type="pct"/>
            <w:vAlign w:val="center"/>
          </w:tcPr>
          <w:p w14:paraId="152FA56E">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4556042.5314</w:t>
            </w:r>
          </w:p>
        </w:tc>
        <w:tc>
          <w:tcPr>
            <w:tcW w:w="1922" w:type="pct"/>
            <w:vAlign w:val="center"/>
          </w:tcPr>
          <w:p w14:paraId="5FEA309F">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41560804.4349</w:t>
            </w:r>
          </w:p>
        </w:tc>
      </w:tr>
      <w:tr w14:paraId="2B56B07C">
        <w:trPr>
          <w:trHeight w:val="471" w:hRule="atLeast"/>
          <w:jc w:val="center"/>
        </w:trPr>
        <w:tc>
          <w:tcPr>
            <w:tcW w:w="1297" w:type="pct"/>
            <w:vAlign w:val="center"/>
          </w:tcPr>
          <w:p w14:paraId="6D940D31">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6</w:t>
            </w:r>
          </w:p>
        </w:tc>
        <w:tc>
          <w:tcPr>
            <w:tcW w:w="1779" w:type="pct"/>
            <w:vAlign w:val="center"/>
          </w:tcPr>
          <w:p w14:paraId="63CB0995">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4555956.5320</w:t>
            </w:r>
          </w:p>
        </w:tc>
        <w:tc>
          <w:tcPr>
            <w:tcW w:w="1922" w:type="pct"/>
            <w:vAlign w:val="center"/>
          </w:tcPr>
          <w:p w14:paraId="7F3B91D6">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41560840.4353</w:t>
            </w:r>
          </w:p>
        </w:tc>
      </w:tr>
      <w:tr w14:paraId="778FD288">
        <w:trPr>
          <w:trHeight w:val="471" w:hRule="atLeast"/>
          <w:jc w:val="center"/>
        </w:trPr>
        <w:tc>
          <w:tcPr>
            <w:tcW w:w="1297" w:type="pct"/>
            <w:vAlign w:val="center"/>
          </w:tcPr>
          <w:p w14:paraId="37BD54B2">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7</w:t>
            </w:r>
          </w:p>
        </w:tc>
        <w:tc>
          <w:tcPr>
            <w:tcW w:w="1779" w:type="pct"/>
            <w:vAlign w:val="center"/>
          </w:tcPr>
          <w:p w14:paraId="75670DB9">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4555956.5331</w:t>
            </w:r>
          </w:p>
        </w:tc>
        <w:tc>
          <w:tcPr>
            <w:tcW w:w="1922" w:type="pct"/>
            <w:vAlign w:val="center"/>
          </w:tcPr>
          <w:p w14:paraId="0D8662FA">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41560940.4363</w:t>
            </w:r>
          </w:p>
        </w:tc>
      </w:tr>
      <w:tr w14:paraId="4F8DFCDA">
        <w:trPr>
          <w:trHeight w:val="471" w:hRule="atLeast"/>
          <w:jc w:val="center"/>
        </w:trPr>
        <w:tc>
          <w:tcPr>
            <w:tcW w:w="1297" w:type="pct"/>
            <w:vAlign w:val="center"/>
          </w:tcPr>
          <w:p w14:paraId="638C90B5">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8</w:t>
            </w:r>
          </w:p>
        </w:tc>
        <w:tc>
          <w:tcPr>
            <w:tcW w:w="1779" w:type="pct"/>
            <w:vAlign w:val="center"/>
          </w:tcPr>
          <w:p w14:paraId="22985FC6">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4556002.5329</w:t>
            </w:r>
          </w:p>
        </w:tc>
        <w:tc>
          <w:tcPr>
            <w:tcW w:w="1922" w:type="pct"/>
            <w:vAlign w:val="center"/>
          </w:tcPr>
          <w:p w14:paraId="4A9EF79C">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41561020.4355</w:t>
            </w:r>
          </w:p>
        </w:tc>
      </w:tr>
      <w:tr w14:paraId="7473E5CE">
        <w:trPr>
          <w:trHeight w:val="471" w:hRule="atLeast"/>
          <w:jc w:val="center"/>
        </w:trPr>
        <w:tc>
          <w:tcPr>
            <w:tcW w:w="1297" w:type="pct"/>
            <w:vAlign w:val="center"/>
          </w:tcPr>
          <w:p w14:paraId="152A2797">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9</w:t>
            </w:r>
          </w:p>
        </w:tc>
        <w:tc>
          <w:tcPr>
            <w:tcW w:w="1779" w:type="pct"/>
            <w:vAlign w:val="center"/>
          </w:tcPr>
          <w:p w14:paraId="0D3D9105">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4555964.5324</w:t>
            </w:r>
          </w:p>
        </w:tc>
        <w:tc>
          <w:tcPr>
            <w:tcW w:w="1922" w:type="pct"/>
            <w:vAlign w:val="center"/>
          </w:tcPr>
          <w:p w14:paraId="0DF11309">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41561052.4360</w:t>
            </w:r>
          </w:p>
        </w:tc>
      </w:tr>
      <w:tr w14:paraId="4893ABFF">
        <w:trPr>
          <w:trHeight w:val="471" w:hRule="atLeast"/>
          <w:jc w:val="center"/>
        </w:trPr>
        <w:tc>
          <w:tcPr>
            <w:tcW w:w="1297" w:type="pct"/>
            <w:vAlign w:val="center"/>
          </w:tcPr>
          <w:p w14:paraId="1D44101E">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10</w:t>
            </w:r>
          </w:p>
        </w:tc>
        <w:tc>
          <w:tcPr>
            <w:tcW w:w="1779" w:type="pct"/>
            <w:vAlign w:val="center"/>
          </w:tcPr>
          <w:p w14:paraId="572B012D">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4555900.5347</w:t>
            </w:r>
          </w:p>
        </w:tc>
        <w:tc>
          <w:tcPr>
            <w:tcW w:w="1922" w:type="pct"/>
            <w:vAlign w:val="center"/>
          </w:tcPr>
          <w:p w14:paraId="27D8F09E">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41561352.4380</w:t>
            </w:r>
          </w:p>
        </w:tc>
      </w:tr>
      <w:tr w14:paraId="2B884127">
        <w:trPr>
          <w:trHeight w:val="471" w:hRule="atLeast"/>
          <w:jc w:val="center"/>
        </w:trPr>
        <w:tc>
          <w:tcPr>
            <w:tcW w:w="1297" w:type="pct"/>
            <w:vAlign w:val="center"/>
          </w:tcPr>
          <w:p w14:paraId="643A443B">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11</w:t>
            </w:r>
          </w:p>
        </w:tc>
        <w:tc>
          <w:tcPr>
            <w:tcW w:w="1779" w:type="pct"/>
            <w:vAlign w:val="center"/>
          </w:tcPr>
          <w:p w14:paraId="2A58692C">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4555926.5336</w:t>
            </w:r>
          </w:p>
        </w:tc>
        <w:tc>
          <w:tcPr>
            <w:tcW w:w="1922" w:type="pct"/>
            <w:vAlign w:val="center"/>
          </w:tcPr>
          <w:p w14:paraId="1CC77961">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41561390.4380</w:t>
            </w:r>
          </w:p>
        </w:tc>
      </w:tr>
      <w:tr w14:paraId="0652D444">
        <w:trPr>
          <w:trHeight w:val="471" w:hRule="atLeast"/>
          <w:jc w:val="center"/>
        </w:trPr>
        <w:tc>
          <w:tcPr>
            <w:tcW w:w="1297" w:type="pct"/>
            <w:vAlign w:val="center"/>
          </w:tcPr>
          <w:p w14:paraId="25383083">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12</w:t>
            </w:r>
          </w:p>
        </w:tc>
        <w:tc>
          <w:tcPr>
            <w:tcW w:w="1779" w:type="pct"/>
            <w:vAlign w:val="center"/>
          </w:tcPr>
          <w:p w14:paraId="77A9E608">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4556038.5350</w:t>
            </w:r>
          </w:p>
        </w:tc>
        <w:tc>
          <w:tcPr>
            <w:tcW w:w="1922" w:type="pct"/>
            <w:vAlign w:val="center"/>
          </w:tcPr>
          <w:p w14:paraId="4BEAB5F2">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41561376.4385</w:t>
            </w:r>
          </w:p>
        </w:tc>
      </w:tr>
      <w:tr w14:paraId="5246099B">
        <w:trPr>
          <w:trHeight w:val="471" w:hRule="atLeast"/>
          <w:jc w:val="center"/>
        </w:trPr>
        <w:tc>
          <w:tcPr>
            <w:tcW w:w="1297" w:type="pct"/>
            <w:vAlign w:val="center"/>
          </w:tcPr>
          <w:p w14:paraId="32A5F5E4">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13</w:t>
            </w:r>
          </w:p>
        </w:tc>
        <w:tc>
          <w:tcPr>
            <w:tcW w:w="1779" w:type="pct"/>
            <w:vAlign w:val="center"/>
          </w:tcPr>
          <w:p w14:paraId="23D706B8">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4556156.1351</w:t>
            </w:r>
          </w:p>
        </w:tc>
        <w:tc>
          <w:tcPr>
            <w:tcW w:w="1922" w:type="pct"/>
            <w:vAlign w:val="center"/>
          </w:tcPr>
          <w:p w14:paraId="0B2980FC">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41561416.7378</w:t>
            </w:r>
          </w:p>
        </w:tc>
      </w:tr>
      <w:tr w14:paraId="55D38378">
        <w:trPr>
          <w:trHeight w:val="471" w:hRule="atLeast"/>
          <w:jc w:val="center"/>
        </w:trPr>
        <w:tc>
          <w:tcPr>
            <w:tcW w:w="5000" w:type="pct"/>
            <w:gridSpan w:val="3"/>
            <w:vAlign w:val="center"/>
          </w:tcPr>
          <w:p w14:paraId="63EB52C7">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矿区面积：0.3064km</w:t>
            </w:r>
            <w:r>
              <w:rPr>
                <w:rFonts w:ascii="Times New Roman Regular" w:hAnsi="Times New Roman Regular" w:cs="Times New Roman Regular"/>
                <w:color w:val="auto"/>
                <w:kern w:val="0"/>
                <w:sz w:val="24"/>
                <w:highlight w:val="none"/>
                <w:vertAlign w:val="superscript"/>
              </w:rPr>
              <w:t>2</w:t>
            </w:r>
            <w:r>
              <w:rPr>
                <w:rFonts w:hint="eastAsia" w:ascii="Times New Roman Regular" w:hAnsi="Times New Roman Regular" w:cs="Times New Roman Regular"/>
                <w:color w:val="auto"/>
                <w:kern w:val="0"/>
                <w:sz w:val="24"/>
                <w:highlight w:val="none"/>
              </w:rPr>
              <w:t>，</w:t>
            </w:r>
            <w:r>
              <w:rPr>
                <w:rFonts w:ascii="Times New Roman Regular" w:hAnsi="Times New Roman Regular" w:cs="Times New Roman Regular"/>
                <w:color w:val="auto"/>
                <w:kern w:val="0"/>
                <w:sz w:val="24"/>
                <w:highlight w:val="none"/>
              </w:rPr>
              <w:t>开采深度266.77</w:t>
            </w:r>
            <w:r>
              <w:rPr>
                <w:rFonts w:hint="eastAsia" w:ascii="Times New Roman Regular" w:hAnsi="Times New Roman Regular" w:cs="Times New Roman Regular"/>
                <w:color w:val="auto"/>
                <w:kern w:val="0"/>
                <w:sz w:val="24"/>
                <w:highlight w:val="none"/>
                <w:lang w:eastAsia="zh-CN"/>
              </w:rPr>
              <w:t>～</w:t>
            </w:r>
            <w:r>
              <w:rPr>
                <w:rFonts w:ascii="Times New Roman Regular" w:hAnsi="Times New Roman Regular" w:cs="Times New Roman Regular"/>
                <w:color w:val="auto"/>
                <w:kern w:val="0"/>
                <w:sz w:val="24"/>
                <w:highlight w:val="none"/>
              </w:rPr>
              <w:t>160m</w:t>
            </w:r>
          </w:p>
        </w:tc>
      </w:tr>
    </w:tbl>
    <w:p w14:paraId="4D161BF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p>
    <w:p w14:paraId="5167081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（玻璃用石英岩）露天开采建设项目安全设施设计》内容，设计开采范围主要是开采此部分矿体形成的最终境界圈定，平面范围由15个拐点圈定，开采深度从266.77m至160m标高，设计开采范围面积为0.1314km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，开采方式为露天开采，开采矿种为玻璃用石英岩，生产规模为100万t/a。设计范围各拐点坐标如表1.1-2所示。</w:t>
      </w:r>
    </w:p>
    <w:p w14:paraId="78AEDE5A">
      <w:pPr>
        <w:adjustRightInd w:val="0"/>
        <w:snapToGrid w:val="0"/>
        <w:spacing w:line="400" w:lineRule="exact"/>
        <w:jc w:val="center"/>
        <w:rPr>
          <w:rFonts w:hint="eastAsia" w:ascii="黑体" w:hAnsi="黑体" w:eastAsia="黑体" w:cs="黑体"/>
          <w:bCs/>
          <w:color w:val="auto"/>
          <w:sz w:val="24"/>
          <w:highlight w:val="none"/>
        </w:rPr>
      </w:pPr>
      <w:r>
        <w:rPr>
          <w:rFonts w:ascii="黑体" w:hAnsi="黑体" w:eastAsia="黑体" w:cs="黑体"/>
          <w:bCs/>
          <w:color w:val="auto"/>
          <w:sz w:val="24"/>
          <w:highlight w:val="none"/>
        </w:rPr>
        <w:t xml:space="preserve">表1.1-2 </w:t>
      </w:r>
      <w:r>
        <w:rPr>
          <w:rFonts w:ascii="黑体" w:hAnsi="黑体" w:eastAsia="黑体" w:cs="黑体"/>
          <w:bCs/>
          <w:color w:val="auto"/>
          <w:sz w:val="24"/>
          <w:highlight w:val="none"/>
          <w:lang w:val="zh-CN"/>
        </w:rPr>
        <w:t>采场</w:t>
      </w:r>
      <w:r>
        <w:rPr>
          <w:rFonts w:ascii="黑体" w:hAnsi="黑体" w:eastAsia="黑体" w:cs="黑体"/>
          <w:bCs/>
          <w:color w:val="auto"/>
          <w:sz w:val="24"/>
          <w:highlight w:val="none"/>
        </w:rPr>
        <w:t>设计开采范围拐点坐标表（2000国家大地坐标系）</w:t>
      </w:r>
    </w:p>
    <w:tbl>
      <w:tblPr>
        <w:tblStyle w:val="14"/>
        <w:tblW w:w="5000" w:type="pct"/>
        <w:tblInd w:w="0" w:type="dxa"/>
        <w:tblLayout w:type="autofit"/>
        <w:tblCellMar>
          <w:top w:w="0" w:type="dxa"/>
          <w:left w:w="108" w:type="dxa"/>
          <w:bottom w:w="0" w:type="dxa"/>
          <w:right w:w="108" w:type="dxa"/>
        </w:tblCellMar>
      </w:tblPr>
      <w:tblGrid>
        <w:gridCol w:w="2004"/>
        <w:gridCol w:w="3256"/>
        <w:gridCol w:w="3262"/>
      </w:tblGrid>
      <w:tr w14:paraId="698FACED">
        <w:trPr>
          <w:trHeight w:val="90" w:hRule="atLeast"/>
          <w:tblHeader/>
        </w:trPr>
        <w:tc>
          <w:tcPr>
            <w:tcW w:w="2178" w:type="dxa"/>
            <w:vMerge w:val="restart"/>
            <w:tcBorders>
              <w:top w:val="single" w:color="000000" w:sz="4" w:space="0"/>
              <w:left w:val="single" w:color="000000" w:sz="4" w:space="0"/>
              <w:bottom w:val="single" w:color="000000" w:sz="4" w:space="0"/>
              <w:right w:val="single" w:color="000000" w:sz="4" w:space="0"/>
            </w:tcBorders>
            <w:noWrap/>
            <w:vAlign w:val="center"/>
          </w:tcPr>
          <w:p w14:paraId="67952E23">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拐点编号</w:t>
            </w:r>
          </w:p>
        </w:tc>
        <w:tc>
          <w:tcPr>
            <w:tcW w:w="7108" w:type="dxa"/>
            <w:gridSpan w:val="2"/>
            <w:tcBorders>
              <w:top w:val="single" w:color="000000" w:sz="4" w:space="0"/>
              <w:left w:val="single" w:color="000000" w:sz="4" w:space="0"/>
              <w:bottom w:val="single" w:color="000000" w:sz="4" w:space="0"/>
              <w:right w:val="single" w:color="000000" w:sz="4" w:space="0"/>
            </w:tcBorders>
            <w:noWrap/>
            <w:vAlign w:val="center"/>
          </w:tcPr>
          <w:p w14:paraId="6117CFE7">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2000国家大地坐标系</w:t>
            </w:r>
          </w:p>
        </w:tc>
      </w:tr>
      <w:tr w14:paraId="45CB2ADB">
        <w:trPr>
          <w:trHeight w:val="343" w:hRule="atLeast"/>
          <w:tblHeader/>
        </w:trPr>
        <w:tc>
          <w:tcPr>
            <w:tcW w:w="2178" w:type="dxa"/>
            <w:vMerge w:val="continue"/>
            <w:tcBorders>
              <w:top w:val="single" w:color="000000" w:sz="4" w:space="0"/>
              <w:left w:val="single" w:color="000000" w:sz="4" w:space="0"/>
              <w:bottom w:val="single" w:color="000000" w:sz="4" w:space="0"/>
              <w:right w:val="single" w:color="000000" w:sz="4" w:space="0"/>
            </w:tcBorders>
            <w:vAlign w:val="center"/>
          </w:tcPr>
          <w:p w14:paraId="47EA0266">
            <w:pPr>
              <w:widowControl/>
              <w:spacing w:line="336" w:lineRule="auto"/>
              <w:jc w:val="left"/>
              <w:rPr>
                <w:rFonts w:ascii="Times New Roman Regular" w:hAnsi="Times New Roman Regular" w:cs="Times New Roman Regular"/>
                <w:color w:val="auto"/>
                <w:kern w:val="0"/>
                <w:sz w:val="24"/>
                <w:highlight w:val="none"/>
              </w:rPr>
            </w:pP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776AD805">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X</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58EE3745">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Y</w:t>
            </w:r>
          </w:p>
        </w:tc>
      </w:tr>
      <w:tr w14:paraId="2E11B7F1">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1E37F6C4">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a</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6402838F">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4556509.82</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4F7DF44B">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41560971.42</w:t>
            </w:r>
          </w:p>
        </w:tc>
      </w:tr>
      <w:tr w14:paraId="46737008">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78CA5218">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b</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04BC4FBE">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4556491.49</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474BEA97">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41560959.78</w:t>
            </w:r>
          </w:p>
        </w:tc>
      </w:tr>
      <w:tr w14:paraId="5ADA8CA8">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59DC031">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c</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1FE2F71D">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4556400.90</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612EC8CF">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41560918.86</w:t>
            </w:r>
          </w:p>
        </w:tc>
      </w:tr>
      <w:tr w14:paraId="0070AC8A">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0D52F29C">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d</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231FB86">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4556392.44</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128B2E02">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41560905.27</w:t>
            </w:r>
          </w:p>
        </w:tc>
      </w:tr>
      <w:tr w14:paraId="40D620A2">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7D97EB3E">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e</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828A3CF">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4556092.81</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5A210BFF">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41560824.62</w:t>
            </w:r>
          </w:p>
        </w:tc>
      </w:tr>
      <w:tr w14:paraId="39776E8B">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71AECF60">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f</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5A567EA0">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4555992.38</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43449791">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41560881.58</w:t>
            </w:r>
          </w:p>
        </w:tc>
      </w:tr>
      <w:tr w14:paraId="550985AA">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35D88E4F">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g</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FD82EEF">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4556015.91</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338D768B">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41561017.16</w:t>
            </w:r>
          </w:p>
        </w:tc>
      </w:tr>
      <w:tr w14:paraId="5C6B9B11">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6959BC6C">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h</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329E6A21">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4556015.31</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025A473D">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41561073.78</w:t>
            </w:r>
          </w:p>
        </w:tc>
      </w:tr>
      <w:tr w14:paraId="717FAEEF">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2728C5F4">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i</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623EE5E6">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4556002.75</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2206949A">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41561120.66</w:t>
            </w:r>
          </w:p>
        </w:tc>
      </w:tr>
      <w:tr w14:paraId="23DC5AED">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4A67029B">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j</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6CDBD0D8">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4555976.78</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47E7D4D2">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41561171.31</w:t>
            </w:r>
          </w:p>
        </w:tc>
      </w:tr>
      <w:tr w14:paraId="22B3BE42">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798F962">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k</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22A402CA">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4556129.54</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090BBF3A">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41561167.93</w:t>
            </w:r>
          </w:p>
        </w:tc>
      </w:tr>
      <w:tr w14:paraId="6BFB3A3D">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6496A791">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l</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02A74B5C">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4556282.71</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6702A830">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41561193.71</w:t>
            </w:r>
          </w:p>
        </w:tc>
      </w:tr>
      <w:tr w14:paraId="5AF0ACAE">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1FF63038">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m</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2A4AA23">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4556301.77</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421FD9BB">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41561178.92</w:t>
            </w:r>
          </w:p>
        </w:tc>
      </w:tr>
      <w:tr w14:paraId="7778B27E">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E1D6F91">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n</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2A4DFE25">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4556391.84</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0D1B9D92">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41561129.88</w:t>
            </w:r>
          </w:p>
        </w:tc>
      </w:tr>
      <w:tr w14:paraId="20284670">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6C647E69">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o</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66527F0C">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4556416.52</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05E0E7C6">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41561064.92</w:t>
            </w:r>
          </w:p>
        </w:tc>
      </w:tr>
      <w:tr w14:paraId="0B69D454">
        <w:trPr>
          <w:trHeight w:val="397" w:hRule="atLeast"/>
        </w:trPr>
        <w:tc>
          <w:tcPr>
            <w:tcW w:w="9286" w:type="dxa"/>
            <w:gridSpan w:val="3"/>
            <w:tcBorders>
              <w:top w:val="single" w:color="000000" w:sz="4" w:space="0"/>
              <w:left w:val="single" w:color="000000" w:sz="4" w:space="0"/>
              <w:bottom w:val="single" w:color="000000" w:sz="4" w:space="0"/>
              <w:right w:val="single" w:color="000000" w:sz="4" w:space="0"/>
            </w:tcBorders>
            <w:noWrap/>
            <w:vAlign w:val="center"/>
          </w:tcPr>
          <w:p w14:paraId="4422F04F">
            <w:pPr>
              <w:widowControl/>
              <w:spacing w:line="336"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开采标高：从266.77m至160m，面积0.1314km</w:t>
            </w:r>
            <w:r>
              <w:rPr>
                <w:rFonts w:ascii="Times New Roman Regular" w:hAnsi="Times New Roman Regular" w:cs="Times New Roman Regular"/>
                <w:color w:val="auto"/>
                <w:kern w:val="0"/>
                <w:sz w:val="24"/>
                <w:highlight w:val="none"/>
                <w:vertAlign w:val="superscript"/>
              </w:rPr>
              <w:t>2</w:t>
            </w:r>
          </w:p>
        </w:tc>
      </w:tr>
    </w:tbl>
    <w:p w14:paraId="760354E2">
      <w:pPr>
        <w:pStyle w:val="2"/>
        <w:ind w:firstLine="0"/>
        <w:rPr>
          <w:color w:val="auto"/>
          <w:highlight w:val="none"/>
        </w:rPr>
      </w:pPr>
    </w:p>
    <w:p w14:paraId="78DC4F0B">
      <w:pPr>
        <w:adjustRightInd w:val="0"/>
        <w:snapToGrid w:val="0"/>
        <w:spacing w:line="360" w:lineRule="auto"/>
        <w:ind w:firstLine="560" w:firstLineChars="200"/>
        <w:rPr>
          <w:rFonts w:ascii="Times New Roman Regular" w:hAnsi="Times New Roman Regular" w:cs="Times New Roman Regular"/>
          <w:bCs/>
          <w:color w:val="auto"/>
          <w:szCs w:val="21"/>
          <w:highlight w:val="none"/>
        </w:rPr>
      </w:pPr>
      <w:r>
        <w:rPr>
          <w:rFonts w:ascii="Times New Roman Regular" w:hAnsi="Times New Roman Regular" w:cs="Times New Roman Regular"/>
          <w:color w:val="auto"/>
          <w:sz w:val="28"/>
          <w:szCs w:val="28"/>
          <w:highlight w:val="none"/>
        </w:rPr>
        <w:t>本次采场验收评价范围拐坐标如表1.1-3所示。</w:t>
      </w:r>
    </w:p>
    <w:p w14:paraId="36D15D65">
      <w:pPr>
        <w:adjustRightInd w:val="0"/>
        <w:snapToGrid w:val="0"/>
        <w:spacing w:line="400" w:lineRule="exact"/>
        <w:jc w:val="center"/>
        <w:rPr>
          <w:rFonts w:hint="eastAsia" w:ascii="黑体" w:hAnsi="黑体" w:eastAsia="黑体" w:cs="黑体"/>
          <w:bCs/>
          <w:color w:val="auto"/>
          <w:sz w:val="24"/>
          <w:highlight w:val="none"/>
        </w:rPr>
      </w:pPr>
      <w:r>
        <w:rPr>
          <w:rFonts w:ascii="黑体" w:hAnsi="黑体" w:eastAsia="黑体" w:cs="黑体"/>
          <w:bCs/>
          <w:color w:val="auto"/>
          <w:sz w:val="24"/>
          <w:highlight w:val="none"/>
        </w:rPr>
        <w:t>表1.1-3 验收评价范围拐点坐标表（2000国家大地坐标系）</w:t>
      </w:r>
    </w:p>
    <w:tbl>
      <w:tblPr>
        <w:tblStyle w:val="14"/>
        <w:tblW w:w="5000" w:type="pct"/>
        <w:tblInd w:w="0" w:type="dxa"/>
        <w:tblLayout w:type="autofit"/>
        <w:tblCellMar>
          <w:top w:w="0" w:type="dxa"/>
          <w:left w:w="108" w:type="dxa"/>
          <w:bottom w:w="0" w:type="dxa"/>
          <w:right w:w="108" w:type="dxa"/>
        </w:tblCellMar>
      </w:tblPr>
      <w:tblGrid>
        <w:gridCol w:w="2004"/>
        <w:gridCol w:w="3256"/>
        <w:gridCol w:w="3262"/>
      </w:tblGrid>
      <w:tr w14:paraId="05F4C6D8">
        <w:trPr>
          <w:trHeight w:val="319" w:hRule="atLeast"/>
          <w:tblHeader/>
        </w:trPr>
        <w:tc>
          <w:tcPr>
            <w:tcW w:w="2178" w:type="dxa"/>
            <w:vMerge w:val="restart"/>
            <w:tcBorders>
              <w:top w:val="single" w:color="000000" w:sz="4" w:space="0"/>
              <w:left w:val="single" w:color="000000" w:sz="4" w:space="0"/>
              <w:bottom w:val="single" w:color="000000" w:sz="4" w:space="0"/>
              <w:right w:val="single" w:color="000000" w:sz="4" w:space="0"/>
            </w:tcBorders>
            <w:noWrap/>
            <w:vAlign w:val="center"/>
          </w:tcPr>
          <w:p w14:paraId="18F8C409">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拐点编号</w:t>
            </w:r>
          </w:p>
        </w:tc>
        <w:tc>
          <w:tcPr>
            <w:tcW w:w="7108" w:type="dxa"/>
            <w:gridSpan w:val="2"/>
            <w:tcBorders>
              <w:top w:val="single" w:color="000000" w:sz="4" w:space="0"/>
              <w:left w:val="single" w:color="000000" w:sz="4" w:space="0"/>
              <w:bottom w:val="single" w:color="000000" w:sz="4" w:space="0"/>
              <w:right w:val="single" w:color="000000" w:sz="4" w:space="0"/>
            </w:tcBorders>
            <w:noWrap/>
            <w:vAlign w:val="center"/>
          </w:tcPr>
          <w:p w14:paraId="1A8546AB">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2000国家大地坐标系</w:t>
            </w:r>
          </w:p>
        </w:tc>
      </w:tr>
      <w:tr w14:paraId="1EA5CF71">
        <w:trPr>
          <w:trHeight w:val="333" w:hRule="atLeast"/>
          <w:tblHeader/>
        </w:trPr>
        <w:tc>
          <w:tcPr>
            <w:tcW w:w="2178" w:type="dxa"/>
            <w:vMerge w:val="continue"/>
            <w:tcBorders>
              <w:top w:val="single" w:color="000000" w:sz="4" w:space="0"/>
              <w:left w:val="single" w:color="000000" w:sz="4" w:space="0"/>
              <w:bottom w:val="single" w:color="000000" w:sz="4" w:space="0"/>
              <w:right w:val="single" w:color="000000" w:sz="4" w:space="0"/>
            </w:tcBorders>
            <w:vAlign w:val="center"/>
          </w:tcPr>
          <w:p w14:paraId="1A7D1334">
            <w:pPr>
              <w:widowControl/>
              <w:spacing w:line="360" w:lineRule="auto"/>
              <w:jc w:val="left"/>
              <w:rPr>
                <w:rFonts w:ascii="Times New Roman Regular" w:hAnsi="Times New Roman Regular" w:cs="Times New Roman Regular"/>
                <w:color w:val="auto"/>
                <w:kern w:val="0"/>
                <w:sz w:val="24"/>
                <w:highlight w:val="none"/>
              </w:rPr>
            </w:pP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B567759">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X</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4F2D79C8">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Y</w:t>
            </w:r>
          </w:p>
        </w:tc>
      </w:tr>
      <w:tr w14:paraId="2EE9737F">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A13D719">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a</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62FCB00">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4556509.82</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328B8E93">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41560971.42</w:t>
            </w:r>
          </w:p>
        </w:tc>
      </w:tr>
      <w:tr w14:paraId="673E89DD">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4D009DA9">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b</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2BAD4406">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4556491.49</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311755AD">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41560959.78</w:t>
            </w:r>
          </w:p>
        </w:tc>
      </w:tr>
      <w:tr w14:paraId="1FE43087">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653BD014">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c</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2AA8594">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4556400.90</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22D35157">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41560918.86</w:t>
            </w:r>
          </w:p>
        </w:tc>
      </w:tr>
      <w:tr w14:paraId="75B17693">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10266E2F">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d</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2D5DAAF6">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4556392.44</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7D746772">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41560905.27</w:t>
            </w:r>
          </w:p>
        </w:tc>
      </w:tr>
      <w:tr w14:paraId="4D1FE056">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341ED07A">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e</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1D30A187">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4556092.81</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6DB17D46">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41560824.62</w:t>
            </w:r>
          </w:p>
        </w:tc>
      </w:tr>
      <w:tr w14:paraId="18F06C3E">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AEE3176">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f</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7EEC5D1F">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4555992.38</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4CBD659F">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41560881.58</w:t>
            </w:r>
          </w:p>
        </w:tc>
      </w:tr>
      <w:tr w14:paraId="793A9D94">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A753414">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g</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5D5BCDE3">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4556015.91</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25F66983">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41561017.16</w:t>
            </w:r>
          </w:p>
        </w:tc>
      </w:tr>
      <w:tr w14:paraId="489D927B">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8BC328C">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h</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6EC0165">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4556015.31</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66FE660B">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41561073.78</w:t>
            </w:r>
          </w:p>
        </w:tc>
      </w:tr>
      <w:tr w14:paraId="1DBA5D4A">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60095465">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i</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60F78D1E">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4556002.75</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13ED9D5B">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41561120.66</w:t>
            </w:r>
          </w:p>
        </w:tc>
      </w:tr>
      <w:tr w14:paraId="28B32F7A">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1199A053">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j</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4DA84BB8">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4555976.78</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4C6DBB31">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41561171.31</w:t>
            </w:r>
          </w:p>
        </w:tc>
      </w:tr>
      <w:tr w14:paraId="539D6385">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7D312BA4">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k</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626427FD">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4556129.54</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375F0707">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41561167.93</w:t>
            </w:r>
          </w:p>
        </w:tc>
      </w:tr>
      <w:tr w14:paraId="7F80AA70">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7FFC633">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l</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0A63670D">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4556282.71</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22750D01">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41561193.71</w:t>
            </w:r>
          </w:p>
        </w:tc>
      </w:tr>
      <w:tr w14:paraId="77F01C59">
        <w:trPr>
          <w:trHeight w:val="397"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06178B0B">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m</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503DDE51">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4556301.77</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7086A18A">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41561178.92</w:t>
            </w:r>
          </w:p>
        </w:tc>
      </w:tr>
      <w:tr w14:paraId="1681C235">
        <w:trPr>
          <w:trHeight w:val="333"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517C6DDA">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n</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2D8F3736">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4556391.84</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6A45E57C">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41561129.88</w:t>
            </w:r>
          </w:p>
        </w:tc>
      </w:tr>
      <w:tr w14:paraId="391D7B06">
        <w:trPr>
          <w:trHeight w:val="431" w:hRule="atLeast"/>
        </w:trPr>
        <w:tc>
          <w:tcPr>
            <w:tcW w:w="2178" w:type="dxa"/>
            <w:tcBorders>
              <w:top w:val="single" w:color="000000" w:sz="4" w:space="0"/>
              <w:left w:val="single" w:color="000000" w:sz="4" w:space="0"/>
              <w:bottom w:val="single" w:color="000000" w:sz="4" w:space="0"/>
              <w:right w:val="single" w:color="000000" w:sz="4" w:space="0"/>
            </w:tcBorders>
            <w:noWrap/>
            <w:vAlign w:val="center"/>
          </w:tcPr>
          <w:p w14:paraId="0B041DE9">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o</w:t>
            </w:r>
          </w:p>
        </w:tc>
        <w:tc>
          <w:tcPr>
            <w:tcW w:w="3551" w:type="dxa"/>
            <w:tcBorders>
              <w:top w:val="single" w:color="000000" w:sz="4" w:space="0"/>
              <w:left w:val="single" w:color="000000" w:sz="4" w:space="0"/>
              <w:bottom w:val="single" w:color="000000" w:sz="4" w:space="0"/>
              <w:right w:val="single" w:color="000000" w:sz="4" w:space="0"/>
            </w:tcBorders>
            <w:noWrap/>
            <w:vAlign w:val="center"/>
          </w:tcPr>
          <w:p w14:paraId="37FC1F07">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4556416.52</w:t>
            </w:r>
          </w:p>
        </w:tc>
        <w:tc>
          <w:tcPr>
            <w:tcW w:w="3557" w:type="dxa"/>
            <w:tcBorders>
              <w:top w:val="single" w:color="000000" w:sz="4" w:space="0"/>
              <w:left w:val="single" w:color="000000" w:sz="4" w:space="0"/>
              <w:bottom w:val="single" w:color="000000" w:sz="4" w:space="0"/>
              <w:right w:val="single" w:color="000000" w:sz="4" w:space="0"/>
            </w:tcBorders>
            <w:noWrap/>
            <w:vAlign w:val="center"/>
          </w:tcPr>
          <w:p w14:paraId="5E3F2FE6">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41561064.92</w:t>
            </w:r>
          </w:p>
        </w:tc>
      </w:tr>
      <w:tr w14:paraId="5872DC27">
        <w:trPr>
          <w:trHeight w:val="399" w:hRule="atLeast"/>
        </w:trPr>
        <w:tc>
          <w:tcPr>
            <w:tcW w:w="9286" w:type="dxa"/>
            <w:gridSpan w:val="3"/>
            <w:tcBorders>
              <w:top w:val="single" w:color="000000" w:sz="4" w:space="0"/>
              <w:left w:val="single" w:color="000000" w:sz="4" w:space="0"/>
              <w:bottom w:val="single" w:color="000000" w:sz="4" w:space="0"/>
              <w:right w:val="single" w:color="000000" w:sz="4" w:space="0"/>
            </w:tcBorders>
            <w:noWrap/>
            <w:vAlign w:val="center"/>
          </w:tcPr>
          <w:p w14:paraId="3B05614F">
            <w:pPr>
              <w:widowControl/>
              <w:spacing w:line="360" w:lineRule="auto"/>
              <w:jc w:val="center"/>
              <w:rPr>
                <w:rFonts w:ascii="Times New Roman Regular" w:hAnsi="Times New Roman Regular" w:cs="Times New Roman Regular"/>
                <w:color w:val="auto"/>
                <w:kern w:val="0"/>
                <w:sz w:val="24"/>
                <w:highlight w:val="none"/>
              </w:rPr>
            </w:pPr>
            <w:r>
              <w:rPr>
                <w:rFonts w:ascii="Times New Roman Regular" w:hAnsi="Times New Roman Regular" w:cs="Times New Roman Regular"/>
                <w:color w:val="auto"/>
                <w:kern w:val="0"/>
                <w:sz w:val="24"/>
                <w:highlight w:val="none"/>
              </w:rPr>
              <w:t>开采标高：从266.77m至1</w:t>
            </w:r>
            <w:r>
              <w:rPr>
                <w:rFonts w:hint="eastAsia" w:ascii="Times New Roman Regular" w:hAnsi="Times New Roman Regular" w:cs="Times New Roman Regular"/>
                <w:color w:val="auto"/>
                <w:kern w:val="0"/>
                <w:sz w:val="24"/>
                <w:highlight w:val="none"/>
              </w:rPr>
              <w:t>9</w:t>
            </w:r>
            <w:r>
              <w:rPr>
                <w:rFonts w:ascii="Times New Roman Regular" w:hAnsi="Times New Roman Regular" w:cs="Times New Roman Regular"/>
                <w:color w:val="auto"/>
                <w:kern w:val="0"/>
                <w:sz w:val="24"/>
                <w:highlight w:val="none"/>
              </w:rPr>
              <w:t>0m，面积0.1314km</w:t>
            </w:r>
            <w:r>
              <w:rPr>
                <w:rFonts w:ascii="Times New Roman Regular" w:hAnsi="Times New Roman Regular" w:cs="Times New Roman Regular"/>
                <w:color w:val="auto"/>
                <w:kern w:val="0"/>
                <w:sz w:val="24"/>
                <w:highlight w:val="none"/>
                <w:vertAlign w:val="superscript"/>
              </w:rPr>
              <w:t>2</w:t>
            </w:r>
          </w:p>
        </w:tc>
      </w:tr>
    </w:tbl>
    <w:p w14:paraId="4974B6CF">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注：</w:t>
      </w:r>
    </w:p>
    <w:p w14:paraId="1D95F998">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（1）本次评价开采范围坐标及高程系统均为国家统一坐标（2000国家大地坐标系）；</w:t>
      </w:r>
    </w:p>
    <w:p w14:paraId="1D950042">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（2）职业卫生不在本次评价范围之内；</w:t>
      </w:r>
    </w:p>
    <w:p w14:paraId="783794C0">
      <w:pPr>
        <w:adjustRightInd w:val="0"/>
        <w:snapToGrid w:val="0"/>
        <w:spacing w:line="360" w:lineRule="auto"/>
        <w:ind w:firstLine="420" w:firstLineChars="20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（3）破碎、加油系统不在本次评价范围内；</w:t>
      </w:r>
    </w:p>
    <w:p w14:paraId="07529379">
      <w:pPr>
        <w:adjustRightInd w:val="0"/>
        <w:snapToGrid w:val="0"/>
        <w:spacing w:line="360" w:lineRule="auto"/>
        <w:ind w:firstLine="42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Cs w:val="21"/>
          <w:highlight w:val="none"/>
        </w:rPr>
        <w:t>（4）外部运输不在本次评价范围内。</w:t>
      </w:r>
      <w:r>
        <w:rPr>
          <w:rFonts w:ascii="Times New Roman Regular" w:hAnsi="Times New Roman Regular" w:cs="Times New Roman Regular"/>
          <w:color w:val="auto"/>
          <w:sz w:val="28"/>
          <w:szCs w:val="28"/>
          <w:highlight w:val="none"/>
        </w:rPr>
        <w:br w:type="page"/>
      </w:r>
    </w:p>
    <w:p w14:paraId="05F0370B">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24" w:name="_Toc86052350"/>
      <w:bookmarkStart w:id="25" w:name="_Toc1721219462"/>
      <w:bookmarkStart w:id="26" w:name="_Toc12072"/>
      <w:bookmarkStart w:id="27" w:name="_Toc30857"/>
      <w:bookmarkStart w:id="28" w:name="_Toc7039"/>
      <w:r>
        <w:rPr>
          <w:rFonts w:ascii="Times New Roman Regular" w:hAnsi="Times New Roman Regular" w:eastAsia="黑体" w:cs="Times New Roman Regular"/>
          <w:color w:val="auto"/>
          <w:sz w:val="30"/>
          <w:highlight w:val="none"/>
        </w:rPr>
        <w:t>1.2</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评价依据</w:t>
      </w:r>
      <w:bookmarkEnd w:id="24"/>
      <w:bookmarkEnd w:id="25"/>
      <w:bookmarkEnd w:id="26"/>
      <w:bookmarkEnd w:id="27"/>
      <w:bookmarkEnd w:id="28"/>
    </w:p>
    <w:p w14:paraId="6B7C494E">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1.2.1</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国家法律</w:t>
      </w:r>
    </w:p>
    <w:p w14:paraId="1A152AE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中华人民共和国矿山安全法》（1992年11月7日第七届全国人民代表大会常务委员会第二十八次会议通过，1992年11月7日中华人民共和国主席令第65号公布，根据2009年8月27日中华人民共和国主席令第18号《全国人民代表大会常务委员会关于修改部分法律的决定》修正）；</w:t>
      </w:r>
    </w:p>
    <w:p w14:paraId="391B933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（2）《中华人民共和国环境保护法》（2014年4月24日第十二届全国人大常委会第八次会议审议通过了环保法修订案，2015年1月1日起施行）；</w:t>
      </w:r>
    </w:p>
    <w:p w14:paraId="71EC9B9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（3）《中华人民共和国劳动法》）（根据2018年12月29日第十三届全国人民代表大会常务委员会第七次会议《关于修改〈中华人民共和国劳动法〉等七部法律的决定》第二次修正）；</w:t>
      </w:r>
    </w:p>
    <w:p w14:paraId="1D1B046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（4）《中华人民共和国职业病防治法》（根据2018年12月29日第十三届全国人民代表大会常务委员会第七次会议《关于修改等七部法律的决定》第四次修正）；</w:t>
      </w:r>
    </w:p>
    <w:p w14:paraId="3084643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（5）《中华人民共和国消防法》（根据2021年4月29日第十三届全国人民代表大会常务委员会第二十八次会议《关于修改〈中华人民共和国道路交通安全法〉等八部法律的决定》第二次修正）；</w:t>
      </w:r>
    </w:p>
    <w:p w14:paraId="6206784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（6）《中华人民共和国安全生产法》（根据2021年6月10日第十三届全国人民代表大会常务委员会第二十九次会议《关于修改&lt;中华人民共和国安全生产法&gt;的决定》第三次修正）；</w:t>
      </w:r>
    </w:p>
    <w:p w14:paraId="2D41799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（7）《中华人民共和国突发事件应对法》（中华人民共和国主席令第六十九号，2007年08月30日发布，2024年6月28日修订）；</w:t>
      </w:r>
    </w:p>
    <w:p w14:paraId="43E24D0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（8）《中华人民共和国矿产资源法》（根据中华人民共和国第十四届全国人民代表大会常务委员会第十二次会议于2024年11月8日修订）；</w:t>
      </w:r>
    </w:p>
    <w:p w14:paraId="5BB0ED3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9）《中华人民共和国土地管理法》（1986年6月25日第六届全国人民代表大会常务委员会第十六次会议通过，根据2019年8月26日第十三届全国人民代表大会常务委员会第十二次会议《关于修改&lt;中华人民共和国土地管理法&gt;、&lt;中华人民共和国城市房地产管理法&gt;的决定》第三次修正）。</w:t>
      </w:r>
    </w:p>
    <w:p w14:paraId="2D892642">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1.2.2</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行政法规</w:t>
      </w:r>
    </w:p>
    <w:p w14:paraId="018D6C3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（1）《中华人民共和国矿产资源法实施细则》（1994年3月26日国务院令152号，1994年3月26日起施行）；</w:t>
      </w:r>
    </w:p>
    <w:p w14:paraId="297C992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（2）《中华人民共和国矿山安全法实施条例》（1996年10月11日国务院批准，1996年10月30日劳动部发布并施行）；</w:t>
      </w:r>
    </w:p>
    <w:p w14:paraId="2C0D131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（3）《地质灾害防治条例》（2003年11月24日中华人民共和国国务院令第394号公布，自2004年3月1日起施行）；</w:t>
      </w:r>
    </w:p>
    <w:p w14:paraId="0CA3149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（4）《民用爆炸物品安全管理条例》（2006年5月10日中华人民共和国国务院令第466号公布，根据2014年7月29日《国务院关于修改部分行政法规的决定》修订）；</w:t>
      </w:r>
    </w:p>
    <w:p w14:paraId="675AC1C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（5）《安全生产许可证条例》（根据2014年7月29日《国务院关于修改部分行政法规的决定》进行修订）。</w:t>
      </w:r>
    </w:p>
    <w:p w14:paraId="1FC81532">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1.2.3</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部门规章</w:t>
      </w:r>
    </w:p>
    <w:p w14:paraId="59E1D59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建设项目安全设施“三同时”监督管理办法》（国家安全生产监督管理总局令第36号，根据国家安全生产监督管理总局令第77号《国家安全监管总局关于修改&lt;生产安全事故报告和调查处理条例&gt;罚款处罚暂行规定等四部规章的决定》修改，自2015年5月1日起施行）；</w:t>
      </w:r>
    </w:p>
    <w:p w14:paraId="47CACA3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生产安全事故报告和调查处理条例》（国家安全生产监督管理总局令第77号《国家安全监管总局关于修改&lt;生产安全事故报告和调查处理条例&gt;罚款处罚暂行规定等四部规章的决定》已经2015年1月16日国家安全生产监督管理总局局长办公会议审议通过，予以公布，自2015年5月1日起施行）；</w:t>
      </w:r>
    </w:p>
    <w:p w14:paraId="49BC256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（3）《金属非金属矿山建设项目安全设施目录（试行）》（国家安全生产监督管理总局令第75号，已经2015年1月30日国家安全生产监督管理总局局长办公会议审议通过，自2015年7月1日起施行）；</w:t>
      </w:r>
    </w:p>
    <w:p w14:paraId="51F2B0B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（4）《生产安全事故应急预案管理办法》（根据2019年7月11日应急管理部令第2号《应急管理部关于修改&lt;生产安全事故应急预案管理办法&gt;的决定》修正）；</w:t>
      </w:r>
    </w:p>
    <w:p w14:paraId="667211F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（5）《国务院安委会办公室关于学习宣传贯彻&lt;中共中央办公厅国务院办公厅关于进一步加强矿山安全生产工作的意见&gt;的通知》（安委办〔2023〕7号）；</w:t>
      </w:r>
    </w:p>
    <w:p w14:paraId="4128982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（6）《矿山救援规程》（中华人民共和国应急管理部令第16号，2024年7月1日起施行）。</w:t>
      </w:r>
    </w:p>
    <w:p w14:paraId="4D632049">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1.2.4</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地方性法规</w:t>
      </w:r>
    </w:p>
    <w:p w14:paraId="6EDA68D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（1）《辽宁省安全生产条例》（根据2025年5月28日辽宁省第十四届人民代表大会常务委员会第十六次会议《关于修改〈辽宁省建设工程质量条例〉等五件地方性法规的决定》第三次修正）。</w:t>
      </w:r>
    </w:p>
    <w:p w14:paraId="4BF59FAE">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1.2.5</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地方政府规章</w:t>
      </w:r>
    </w:p>
    <w:p w14:paraId="28FBB57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辽宁省民用爆炸物品安全管理办法》（根据2015年6月14日辽宁省人民政府令第294号《辽宁省人民政府关于废止和修改部分省政府规章的决定》修正的《辽宁省民用爆炸物品安全管理办法（2015年修正本）》）；</w:t>
      </w:r>
    </w:p>
    <w:p w14:paraId="5B6CAB1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（2）《辽宁省建设项目安全设施监督管理办法》（2009年3月19日辽宁省人民政府令第229号公布，自2009年5月1日起施行，根据2021年5月18日辽宁省人民政府令第341号第二次修正）；</w:t>
      </w:r>
    </w:p>
    <w:p w14:paraId="72EC283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（3）《辽宁省企业安全生产主体责任规定》（2011年12月8日辽宁省人民政府令第264号公布，自2012年2月1日起施行，根据2021年5月18日辽宁省人民政府令第341号第三次修正）；</w:t>
      </w:r>
    </w:p>
    <w:p w14:paraId="7700D6E0">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1.2.6</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规范性文件</w:t>
      </w:r>
    </w:p>
    <w:p w14:paraId="76404E4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（1）《国家安全监管总局关于进一步加强金属非金属矿山防治水工作的意见》（安监总管一[2010]75号）；</w:t>
      </w:r>
    </w:p>
    <w:p w14:paraId="1C08D4C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（2）《国务院关于进一步加强企业安全生产工作的通知》（国务院2010年7月19日公布，国发[2010]23号）；</w:t>
      </w:r>
    </w:p>
    <w:p w14:paraId="19D803C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（3）《国家安全监管总局关于发布金属非金属矿山禁止使用的设备及工艺目录（第一批）的通知》（安监总管一[2013]101号）；</w:t>
      </w:r>
    </w:p>
    <w:p w14:paraId="0F14C9B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（4）《国家安全监管总局关于严防十类非煤矿山生产安全事故的通知》（安监总管一[2014]48号）；</w:t>
      </w:r>
    </w:p>
    <w:p w14:paraId="2B8A8F8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（5）《国家安全监管总局关于发布金属非金属矿山禁止使用的设备及工艺目录（第二批）的通知》（安监总管一[2015]13号）；</w:t>
      </w:r>
    </w:p>
    <w:p w14:paraId="7DB1DE8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（6）《国务院安委会办公室关于印发标本兼治遏制重特大事故工作指南的通知》（安委办[2016]3号）；</w:t>
      </w:r>
    </w:p>
    <w:p w14:paraId="2BB3A84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（7）《国家安全监管总局关于规范金属非金属矿山建设项目安全设施竣工验收工作的通知》（安监总管—〔2016〕14号）；</w:t>
      </w:r>
    </w:p>
    <w:p w14:paraId="264AA82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（8）《国家安全监管总局关于印发金属非金属矿山建设项目安全评价报告编写提纲的通知》（安监总管一〔2016〕49号）；</w:t>
      </w:r>
    </w:p>
    <w:p w14:paraId="192167D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（9）《国家安全监管总局关于印发非煤矿山领域遏制重特大事故工作方案的通知》（安监总管一[2016]60号）；</w:t>
      </w:r>
    </w:p>
    <w:p w14:paraId="31985E4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（10）《国家矿山安全监察局关于印发&lt;关于加强非煤矿山安全生产工作的指导意见&gt;的通知》（矿安〔2022〕4号）；</w:t>
      </w:r>
    </w:p>
    <w:p w14:paraId="3D65506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（11）《国家矿山安全监察局关于印发&lt;金属非金属矿山重大事故隐患判定标准&gt;的通知》（矿安〔2022〕88号）；</w:t>
      </w:r>
    </w:p>
    <w:p w14:paraId="72C9BF3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（12）《关于印发&lt;企业安全生产费用提取和使用管理办法&gt;的通知》（财政部，应急部，财资〔2022〕136号）；</w:t>
      </w:r>
    </w:p>
    <w:p w14:paraId="40B9148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（13）《国家矿山安全监察局关于印发执行安全标志管理的矿用产品目录的通知》（矿安〔2022〕123号，2022年12月10日施行）</w:t>
      </w:r>
    </w:p>
    <w:p w14:paraId="1755ECA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（14）《国家矿山安全监察局关于开展露天矿山边坡监测系统建设及联网工作的通知》（矿安〔2023〕119号）；</w:t>
      </w:r>
    </w:p>
    <w:p w14:paraId="566428B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（15）《国家矿山安全监察局关于印发&lt;非煤矿山建设项目安全设施重大变更范围&gt;的通知》（矿安〔2023〕147号，2023年11月14日发布）；</w:t>
      </w:r>
    </w:p>
    <w:p w14:paraId="5B7BE0B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w:t>
      </w:r>
      <w:r>
        <w:rPr>
          <w:rFonts w:hint="eastAsia" w:ascii="Times New Roman Regular" w:hAnsi="Times New Roman Regular" w:cs="Times New Roman Regular"/>
          <w:color w:val="auto"/>
          <w:sz w:val="28"/>
          <w:szCs w:val="28"/>
          <w:highlight w:val="none"/>
        </w:rPr>
        <w:t>6</w:t>
      </w:r>
      <w:r>
        <w:rPr>
          <w:rFonts w:ascii="Times New Roman Regular" w:hAnsi="Times New Roman Regular" w:cs="Times New Roman Regular"/>
          <w:color w:val="auto"/>
          <w:sz w:val="28"/>
          <w:szCs w:val="28"/>
          <w:highlight w:val="none"/>
        </w:rPr>
        <w:t>）《国家矿山安全监察局关于加强矿山应急救援工作的通知》（矿安〔2024〕8号，2024年3月8日发布）</w:t>
      </w:r>
    </w:p>
    <w:p w14:paraId="3A6857D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w:t>
      </w:r>
      <w:r>
        <w:rPr>
          <w:rFonts w:hint="eastAsia" w:ascii="Times New Roman Regular" w:hAnsi="Times New Roman Regular" w:cs="Times New Roman Regular"/>
          <w:color w:val="auto"/>
          <w:sz w:val="28"/>
          <w:szCs w:val="28"/>
          <w:highlight w:val="none"/>
        </w:rPr>
        <w:t>7</w:t>
      </w:r>
      <w:r>
        <w:rPr>
          <w:rFonts w:ascii="Times New Roman Regular" w:hAnsi="Times New Roman Regular" w:cs="Times New Roman Regular"/>
          <w:color w:val="auto"/>
          <w:sz w:val="28"/>
          <w:szCs w:val="28"/>
          <w:highlight w:val="none"/>
        </w:rPr>
        <w:t>）《关于防范遏制矿山领域重特大生产安全事故的硬措施》的通知（安委</w:t>
      </w:r>
      <w:r>
        <w:rPr>
          <w:rFonts w:ascii="Times New Roman Regular" w:hAnsi="Times New Roman Regular" w:cs="Times New Roman Regular"/>
          <w:color w:val="auto"/>
          <w:sz w:val="28"/>
          <w:szCs w:val="28"/>
          <w:highlight w:val="none"/>
          <w:lang w:val="en-GB"/>
        </w:rPr>
        <w:t>[20</w:t>
      </w:r>
      <w:r>
        <w:rPr>
          <w:rFonts w:ascii="Times New Roman Regular" w:hAnsi="Times New Roman Regular" w:cs="Times New Roman Regular"/>
          <w:color w:val="auto"/>
          <w:sz w:val="28"/>
          <w:szCs w:val="28"/>
          <w:highlight w:val="none"/>
        </w:rPr>
        <w:t>24</w:t>
      </w:r>
      <w:r>
        <w:rPr>
          <w:rFonts w:ascii="Times New Roman Regular" w:hAnsi="Times New Roman Regular" w:cs="Times New Roman Regular"/>
          <w:color w:val="auto"/>
          <w:sz w:val="28"/>
          <w:szCs w:val="28"/>
          <w:highlight w:val="none"/>
          <w:lang w:val="en-GB"/>
        </w:rPr>
        <w:t>]</w:t>
      </w:r>
      <w:r>
        <w:rPr>
          <w:rFonts w:ascii="Times New Roman Regular" w:hAnsi="Times New Roman Regular" w:cs="Times New Roman Regular"/>
          <w:color w:val="auto"/>
          <w:sz w:val="28"/>
          <w:szCs w:val="28"/>
          <w:highlight w:val="none"/>
        </w:rPr>
        <w:t>1</w:t>
      </w:r>
      <w:r>
        <w:rPr>
          <w:rFonts w:ascii="Times New Roman Regular" w:hAnsi="Times New Roman Regular" w:cs="Times New Roman Regular"/>
          <w:color w:val="auto"/>
          <w:sz w:val="28"/>
          <w:szCs w:val="28"/>
          <w:highlight w:val="none"/>
          <w:lang w:val="en-GB"/>
        </w:rPr>
        <w:t>号</w:t>
      </w:r>
      <w:r>
        <w:rPr>
          <w:rFonts w:ascii="Times New Roman Regular" w:hAnsi="Times New Roman Regular" w:cs="Times New Roman Regular"/>
          <w:color w:val="auto"/>
          <w:sz w:val="28"/>
          <w:szCs w:val="28"/>
          <w:highlight w:val="none"/>
        </w:rPr>
        <w:t>）；</w:t>
      </w:r>
    </w:p>
    <w:p w14:paraId="4FFFD0D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w:t>
      </w:r>
      <w:r>
        <w:rPr>
          <w:rFonts w:hint="eastAsia" w:ascii="Times New Roman Regular" w:hAnsi="Times New Roman Regular" w:cs="Times New Roman Regular"/>
          <w:color w:val="auto"/>
          <w:sz w:val="28"/>
          <w:szCs w:val="28"/>
          <w:highlight w:val="none"/>
        </w:rPr>
        <w:t>8</w:t>
      </w:r>
      <w:r>
        <w:rPr>
          <w:rFonts w:ascii="Times New Roman Regular" w:hAnsi="Times New Roman Regular" w:cs="Times New Roman Regular"/>
          <w:color w:val="auto"/>
          <w:sz w:val="28"/>
          <w:szCs w:val="28"/>
          <w:highlight w:val="none"/>
        </w:rPr>
        <w:t>）《国家矿山安全监察局关于印发&lt;金属非金属矿山重大事故隐患判定标准补充情形&gt;的通知》（矿安〔2024〕41号，2024年4月23日发布）；</w:t>
      </w:r>
    </w:p>
    <w:p w14:paraId="23FC99B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19</w:t>
      </w:r>
      <w:r>
        <w:rPr>
          <w:rFonts w:ascii="Times New Roman Regular" w:hAnsi="Times New Roman Regular" w:cs="Times New Roman Regular"/>
          <w:color w:val="auto"/>
          <w:sz w:val="28"/>
          <w:szCs w:val="28"/>
          <w:highlight w:val="none"/>
        </w:rPr>
        <w:t>）《国家矿山安全监察局关于进一步加强非煤矿山安全生产行政许可工作的通知》（矿安〔2024〕70号）；</w:t>
      </w:r>
    </w:p>
    <w:p w14:paraId="2CA286E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w:t>
      </w:r>
      <w:r>
        <w:rPr>
          <w:rFonts w:hint="eastAsia" w:ascii="Times New Roman Regular" w:hAnsi="Times New Roman Regular" w:cs="Times New Roman Regular"/>
          <w:color w:val="auto"/>
          <w:sz w:val="28"/>
          <w:szCs w:val="28"/>
          <w:highlight w:val="none"/>
        </w:rPr>
        <w:t>0</w:t>
      </w:r>
      <w:r>
        <w:rPr>
          <w:rFonts w:ascii="Times New Roman Regular" w:hAnsi="Times New Roman Regular" w:cs="Times New Roman Regular"/>
          <w:color w:val="auto"/>
          <w:sz w:val="28"/>
          <w:szCs w:val="28"/>
          <w:highlight w:val="none"/>
        </w:rPr>
        <w:t>）《关于印发&lt;“学铁规、明责任、硬落实、保安全”专项活动方案&gt;的通知》（矿安〔2024〕72号）；</w:t>
      </w:r>
    </w:p>
    <w:p w14:paraId="721E424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w:t>
      </w:r>
      <w:r>
        <w:rPr>
          <w:rFonts w:hint="eastAsia" w:ascii="Times New Roman Regular" w:hAnsi="Times New Roman Regular" w:cs="Times New Roman Regular"/>
          <w:color w:val="auto"/>
          <w:sz w:val="28"/>
          <w:szCs w:val="28"/>
          <w:highlight w:val="none"/>
        </w:rPr>
        <w:t>1</w:t>
      </w:r>
      <w:r>
        <w:rPr>
          <w:rFonts w:ascii="Times New Roman Regular" w:hAnsi="Times New Roman Regular" w:cs="Times New Roman Regular"/>
          <w:color w:val="auto"/>
          <w:sz w:val="28"/>
          <w:szCs w:val="28"/>
          <w:highlight w:val="none"/>
        </w:rPr>
        <w:t>）《辽宁省人民政府关于进一步加强企业安全生产工作的实施意见》（辽政发[2010]36号，2010年11月23日发布）；</w:t>
      </w:r>
    </w:p>
    <w:p w14:paraId="0DE283E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w:t>
      </w:r>
      <w:r>
        <w:rPr>
          <w:rFonts w:hint="eastAsia" w:ascii="Times New Roman Regular" w:hAnsi="Times New Roman Regular" w:cs="Times New Roman Regular"/>
          <w:color w:val="auto"/>
          <w:sz w:val="28"/>
          <w:szCs w:val="28"/>
          <w:highlight w:val="none"/>
        </w:rPr>
        <w:t>2</w:t>
      </w:r>
      <w:r>
        <w:rPr>
          <w:rFonts w:ascii="Times New Roman Regular" w:hAnsi="Times New Roman Regular" w:cs="Times New Roman Regular"/>
          <w:color w:val="auto"/>
          <w:sz w:val="28"/>
          <w:szCs w:val="28"/>
          <w:highlight w:val="none"/>
        </w:rPr>
        <w:t>）《辽宁省安全生产监督管理局关于进一步规范非煤矿矿山安全生产行政许可管理工作的通知》（辽安监非煤）[2018]29号；</w:t>
      </w:r>
    </w:p>
    <w:p w14:paraId="01092190">
      <w:p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eastAsia="zh-CN"/>
        </w:rPr>
      </w:pPr>
      <w:r>
        <w:rPr>
          <w:rFonts w:ascii="Times New Roman Regular" w:hAnsi="Times New Roman Regular" w:cs="Times New Roman Regular"/>
          <w:color w:val="auto"/>
          <w:sz w:val="28"/>
          <w:szCs w:val="28"/>
          <w:highlight w:val="none"/>
        </w:rPr>
        <w:t>（2</w:t>
      </w:r>
      <w:r>
        <w:rPr>
          <w:rFonts w:hint="eastAsia" w:ascii="Times New Roman Regular" w:hAnsi="Times New Roman Regular" w:cs="Times New Roman Regular"/>
          <w:color w:val="auto"/>
          <w:sz w:val="28"/>
          <w:szCs w:val="28"/>
          <w:highlight w:val="none"/>
        </w:rPr>
        <w:t>3</w:t>
      </w:r>
      <w:r>
        <w:rPr>
          <w:rFonts w:ascii="Times New Roman Regular" w:hAnsi="Times New Roman Regular" w:cs="Times New Roman Regular"/>
          <w:color w:val="auto"/>
          <w:sz w:val="28"/>
          <w:szCs w:val="28"/>
          <w:highlight w:val="none"/>
        </w:rPr>
        <w:t>）《辽宁省人民政府办公厅关于推进辽宁省矿产资源管理改革若干事项的意见》（辽政办[2020]46号）</w:t>
      </w:r>
      <w:r>
        <w:rPr>
          <w:rFonts w:hint="eastAsia" w:ascii="Times New Roman Regular" w:hAnsi="Times New Roman Regular" w:cs="Times New Roman Regular"/>
          <w:color w:val="auto"/>
          <w:sz w:val="28"/>
          <w:szCs w:val="28"/>
          <w:highlight w:val="none"/>
          <w:lang w:eastAsia="zh-CN"/>
        </w:rPr>
        <w:t>。</w:t>
      </w:r>
    </w:p>
    <w:p w14:paraId="56594529">
      <w:pPr>
        <w:pStyle w:val="5"/>
        <w:rPr>
          <w:rFonts w:ascii="Times New Roman Regular" w:hAnsi="Times New Roman Regular" w:cs="Times New Roman Regular"/>
          <w:color w:val="auto"/>
          <w:highlight w:val="none"/>
        </w:rPr>
      </w:pPr>
      <w:bookmarkStart w:id="29" w:name="_Toc86052351"/>
      <w:r>
        <w:rPr>
          <w:rFonts w:ascii="Times New Roman Regular" w:hAnsi="Times New Roman Regular" w:cs="Times New Roman Regular"/>
          <w:color w:val="auto"/>
          <w:highlight w:val="none"/>
        </w:rPr>
        <w:t>1.2.7</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标准规范</w:t>
      </w:r>
      <w:bookmarkEnd w:id="29"/>
    </w:p>
    <w:p w14:paraId="39BF2A6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（1）《企业职工伤亡事故分类》（GB6441-1986）；</w:t>
      </w:r>
    </w:p>
    <w:p w14:paraId="75CACE6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（2）《厂矿道路设计规范》（GBJ22-1987）；</w:t>
      </w:r>
    </w:p>
    <w:p w14:paraId="005CC0C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（3）《金属非金属矿山安全生产管理人员安全生产考核标准》（AQ2011-2006）；</w:t>
      </w:r>
    </w:p>
    <w:p w14:paraId="015C3BE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（4）《矿用产品安全标志标识》（AQ1043-2007）；</w:t>
      </w:r>
    </w:p>
    <w:p w14:paraId="4A71F94F">
      <w:pPr>
        <w:adjustRightInd w:val="0"/>
        <w:snapToGrid w:val="0"/>
        <w:spacing w:line="360" w:lineRule="auto"/>
        <w:ind w:firstLine="560" w:firstLineChars="200"/>
        <w:jc w:val="lef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5</w:t>
      </w:r>
      <w:r>
        <w:rPr>
          <w:rFonts w:ascii="Times New Roman Regular" w:hAnsi="Times New Roman Regular" w:cs="Times New Roman Regular"/>
          <w:color w:val="auto"/>
          <w:sz w:val="28"/>
          <w:szCs w:val="28"/>
          <w:highlight w:val="none"/>
        </w:rPr>
        <w:t>）《工作场所有害因素职业接触限值：物理因素》（GBZ2.2-2007）；</w:t>
      </w:r>
    </w:p>
    <w:p w14:paraId="11763A5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（6）《安全标志及其使用导则》（GB2894-2008）；</w:t>
      </w:r>
    </w:p>
    <w:p w14:paraId="7FA98E5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（7）《矿山安全术语》（GB/T15259-2008）；</w:t>
      </w:r>
    </w:p>
    <w:p w14:paraId="26C7C02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（8）《矿山安全标志》（GB/T14161-2008）；</w:t>
      </w:r>
    </w:p>
    <w:p w14:paraId="5822A84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（9）《工业企业厂界环境噪声排放标准》（GB12348-2008）；</w:t>
      </w:r>
    </w:p>
    <w:p w14:paraId="449F648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（10）《高处作业分级》（GB/T3608-2008）；</w:t>
      </w:r>
    </w:p>
    <w:p w14:paraId="31E108C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（11）《工业企业总平面设计规范》（GB50187-2012）；</w:t>
      </w:r>
    </w:p>
    <w:p w14:paraId="211AA3C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（12）《工业企业噪声控制设计规范》（GB/T50087-2013）；</w:t>
      </w:r>
    </w:p>
    <w:p w14:paraId="160A72F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（13）《爆破安全规程》（GB6722-2014）；</w:t>
      </w:r>
    </w:p>
    <w:p w14:paraId="29EA68B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（14）《防洪标准》（GB50201-2014）；</w:t>
      </w:r>
    </w:p>
    <w:p w14:paraId="20C02AA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（15）《非煤露天矿边坡工程技术规范》（GB51016-2014）；</w:t>
      </w:r>
    </w:p>
    <w:p w14:paraId="0730C09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（16）《金属非金属矿山排土场安全生产规则》（</w:t>
      </w:r>
      <w:r>
        <w:rPr>
          <w:rFonts w:hint="eastAsia" w:ascii="Times New Roman Regular" w:hAnsi="Times New Roman Regular" w:cs="Times New Roman Regular"/>
          <w:color w:val="auto"/>
          <w:sz w:val="28"/>
          <w:szCs w:val="28"/>
          <w:highlight w:val="none"/>
        </w:rPr>
        <w:t>KA23</w:t>
      </w:r>
      <w:r>
        <w:rPr>
          <w:rFonts w:ascii="Times New Roman Regular" w:hAnsi="Times New Roman Regular" w:cs="Times New Roman Regular"/>
          <w:color w:val="auto"/>
          <w:sz w:val="28"/>
          <w:szCs w:val="28"/>
          <w:highlight w:val="none"/>
        </w:rPr>
        <w:t>-20</w:t>
      </w:r>
      <w:r>
        <w:rPr>
          <w:rFonts w:hint="eastAsia" w:ascii="Times New Roman Regular" w:hAnsi="Times New Roman Regular" w:cs="Times New Roman Regular"/>
          <w:color w:val="auto"/>
          <w:sz w:val="28"/>
          <w:szCs w:val="28"/>
          <w:highlight w:val="none"/>
        </w:rPr>
        <w:t>25</w:t>
      </w:r>
      <w:r>
        <w:rPr>
          <w:rFonts w:ascii="Times New Roman Regular" w:hAnsi="Times New Roman Regular" w:cs="Times New Roman Regular"/>
          <w:color w:val="auto"/>
          <w:sz w:val="28"/>
          <w:szCs w:val="28"/>
          <w:highlight w:val="none"/>
        </w:rPr>
        <w:t>）；</w:t>
      </w:r>
    </w:p>
    <w:p w14:paraId="7458AFE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（17）《金属非金属露天矿山高陡边坡安全监测技术规范》（</w:t>
      </w:r>
      <w:r>
        <w:rPr>
          <w:rFonts w:hint="eastAsia" w:ascii="Times New Roman Regular" w:hAnsi="Times New Roman Regular" w:cs="Times New Roman Regular"/>
          <w:color w:val="auto"/>
          <w:sz w:val="28"/>
          <w:szCs w:val="28"/>
          <w:highlight w:val="none"/>
        </w:rPr>
        <w:t>KA</w:t>
      </w:r>
      <w:r>
        <w:rPr>
          <w:rFonts w:ascii="Times New Roman Regular" w:hAnsi="Times New Roman Regular" w:cs="Times New Roman Regular"/>
          <w:color w:val="auto"/>
          <w:sz w:val="28"/>
          <w:szCs w:val="28"/>
          <w:highlight w:val="none"/>
        </w:rPr>
        <w:t>/T2063-2018）；</w:t>
      </w:r>
    </w:p>
    <w:p w14:paraId="0961FFD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（18）《危险化学品重大危险源辨识》（GB18218-2018）；</w:t>
      </w:r>
    </w:p>
    <w:p w14:paraId="0FA0FF4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（19）《金属非金属矿山安全规程》（GB16423-2020）；</w:t>
      </w:r>
    </w:p>
    <w:p w14:paraId="2E6DF94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（20）《生产经营单位生产安全事故应急预案编制导则》（GB/T29639-2020）；</w:t>
      </w:r>
    </w:p>
    <w:p w14:paraId="4C019C6B">
      <w:pPr>
        <w:adjustRightInd w:val="0"/>
        <w:snapToGrid w:val="0"/>
        <w:spacing w:line="360" w:lineRule="auto"/>
        <w:ind w:firstLine="560" w:firstLineChars="200"/>
        <w:rPr>
          <w:rFonts w:ascii="Times New Roman Regular" w:hAnsi="Times New Roman Regular" w:cs="Times New Roman Regular"/>
          <w:color w:val="auto"/>
          <w:highlight w:val="none"/>
        </w:rPr>
      </w:pPr>
      <w:r>
        <w:rPr>
          <w:rFonts w:ascii="Times New Roman Regular" w:hAnsi="Times New Roman Regular" w:cs="Times New Roman Regular"/>
          <w:color w:val="auto"/>
          <w:sz w:val="28"/>
          <w:szCs w:val="28"/>
          <w:highlight w:val="none"/>
        </w:rPr>
        <w:t>（21）《个体防护装备配备规范 第4部分：非煤矿山》（</w:t>
      </w:r>
      <w:r>
        <w:rPr>
          <w:rFonts w:ascii="Times New Roman Regular" w:hAnsi="Times New Roman Regular" w:cs="Times New Roman Regular"/>
          <w:color w:val="auto"/>
          <w:sz w:val="28"/>
          <w:szCs w:val="28"/>
          <w:highlight w:val="none"/>
        </w:rPr>
        <w:fldChar w:fldCharType="begin"/>
      </w:r>
      <w:r>
        <w:rPr>
          <w:rFonts w:ascii="Times New Roman Regular" w:hAnsi="Times New Roman Regular" w:cs="Times New Roman Regular"/>
          <w:color w:val="auto"/>
          <w:sz w:val="28"/>
          <w:szCs w:val="28"/>
          <w:highlight w:val="none"/>
        </w:rPr>
        <w:instrText xml:space="preserve"> HYPERLINK "http://csres.com/detail/357465.html" \t "http://csres.com/detail/_blank" </w:instrText>
      </w:r>
      <w:r>
        <w:rPr>
          <w:rFonts w:ascii="Times New Roman Regular" w:hAnsi="Times New Roman Regular" w:cs="Times New Roman Regular"/>
          <w:color w:val="auto"/>
          <w:sz w:val="28"/>
          <w:szCs w:val="28"/>
          <w:highlight w:val="none"/>
        </w:rPr>
        <w:fldChar w:fldCharType="separate"/>
      </w:r>
      <w:r>
        <w:rPr>
          <w:rFonts w:ascii="Times New Roman Regular" w:hAnsi="Times New Roman Regular" w:cs="Times New Roman Regular"/>
          <w:color w:val="auto"/>
          <w:sz w:val="28"/>
          <w:szCs w:val="28"/>
          <w:highlight w:val="none"/>
        </w:rPr>
        <w:t>GB 39800.4-2020</w:t>
      </w:r>
      <w:r>
        <w:rPr>
          <w:rFonts w:ascii="Times New Roman Regular" w:hAnsi="Times New Roman Regular" w:cs="Times New Roman Regular"/>
          <w:color w:val="auto"/>
          <w:sz w:val="28"/>
          <w:szCs w:val="28"/>
          <w:highlight w:val="none"/>
        </w:rPr>
        <w:fldChar w:fldCharType="end"/>
      </w:r>
      <w:r>
        <w:rPr>
          <w:rFonts w:ascii="Times New Roman Regular" w:hAnsi="Times New Roman Regular" w:cs="Times New Roman Regular"/>
          <w:color w:val="auto"/>
          <w:sz w:val="28"/>
          <w:szCs w:val="28"/>
          <w:highlight w:val="none"/>
        </w:rPr>
        <w:t>）。</w:t>
      </w:r>
    </w:p>
    <w:p w14:paraId="74DA9D7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（22）《金属非金属矿山在用空气压缩机安全检验规范 第2部分：移动式空气压缩机》（AQ 2056-2016）</w:t>
      </w:r>
    </w:p>
    <w:p w14:paraId="01D7F451">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sq-AL"/>
        </w:rPr>
      </w:pPr>
      <w:r>
        <w:rPr>
          <w:rFonts w:ascii="Times New Roman Regular" w:hAnsi="Times New Roman Regular" w:cs="Times New Roman Regular"/>
          <w:color w:val="auto"/>
          <w:sz w:val="28"/>
          <w:szCs w:val="28"/>
          <w:highlight w:val="none"/>
          <w:lang w:val="sq-AL"/>
        </w:rPr>
        <w:t>（</w:t>
      </w:r>
      <w:r>
        <w:rPr>
          <w:rFonts w:ascii="Times New Roman Regular" w:hAnsi="Times New Roman Regular" w:cs="Times New Roman Regular"/>
          <w:color w:val="auto"/>
          <w:sz w:val="28"/>
          <w:szCs w:val="28"/>
          <w:highlight w:val="none"/>
        </w:rPr>
        <w:t>23</w:t>
      </w:r>
      <w:r>
        <w:rPr>
          <w:rFonts w:ascii="Times New Roman Regular" w:hAnsi="Times New Roman Regular" w:cs="Times New Roman Regular"/>
          <w:color w:val="auto"/>
          <w:sz w:val="28"/>
          <w:szCs w:val="28"/>
          <w:highlight w:val="none"/>
          <w:lang w:val="sq-AL"/>
        </w:rPr>
        <w:t>）《供配电系统设计规范》（GB50052－2009）；</w:t>
      </w:r>
    </w:p>
    <w:p w14:paraId="54C4744F">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sq-AL"/>
        </w:rPr>
      </w:pPr>
      <w:r>
        <w:rPr>
          <w:rFonts w:ascii="Times New Roman Regular" w:hAnsi="Times New Roman Regular" w:cs="Times New Roman Regular"/>
          <w:color w:val="auto"/>
          <w:sz w:val="28"/>
          <w:szCs w:val="28"/>
          <w:highlight w:val="none"/>
          <w:lang w:val="sq-AL"/>
        </w:rPr>
        <w:t>（</w:t>
      </w:r>
      <w:r>
        <w:rPr>
          <w:rFonts w:ascii="Times New Roman Regular" w:hAnsi="Times New Roman Regular" w:cs="Times New Roman Regular"/>
          <w:color w:val="auto"/>
          <w:sz w:val="28"/>
          <w:szCs w:val="28"/>
          <w:highlight w:val="none"/>
        </w:rPr>
        <w:t>24</w:t>
      </w:r>
      <w:r>
        <w:rPr>
          <w:rFonts w:ascii="Times New Roman Regular" w:hAnsi="Times New Roman Regular" w:cs="Times New Roman Regular"/>
          <w:color w:val="auto"/>
          <w:sz w:val="28"/>
          <w:szCs w:val="28"/>
          <w:highlight w:val="none"/>
          <w:lang w:val="sq-AL"/>
        </w:rPr>
        <w:t>）《剩余电流动作保护装置安装和运行》（GB/T 13955-2017）；</w:t>
      </w:r>
    </w:p>
    <w:p w14:paraId="0FAECCFA">
      <w:pPr>
        <w:adjustRightInd w:val="0"/>
        <w:snapToGrid w:val="0"/>
        <w:spacing w:line="360" w:lineRule="auto"/>
        <w:ind w:firstLine="560" w:firstLineChars="200"/>
        <w:rPr>
          <w:rFonts w:ascii="Times New Roman Regular" w:hAnsi="Times New Roman Regular" w:cs="Times New Roman Regular"/>
          <w:color w:val="auto"/>
          <w:sz w:val="28"/>
          <w:szCs w:val="28"/>
          <w:highlight w:val="none"/>
          <w:lang w:val="sq-AL"/>
        </w:rPr>
      </w:pPr>
      <w:r>
        <w:rPr>
          <w:rFonts w:ascii="Times New Roman Regular" w:hAnsi="Times New Roman Regular" w:cs="Times New Roman Regular"/>
          <w:color w:val="auto"/>
          <w:sz w:val="28"/>
          <w:szCs w:val="28"/>
          <w:highlight w:val="none"/>
          <w:lang w:val="sq-AL"/>
        </w:rPr>
        <w:t>（</w:t>
      </w:r>
      <w:r>
        <w:rPr>
          <w:rFonts w:ascii="Times New Roman Regular" w:hAnsi="Times New Roman Regular" w:cs="Times New Roman Regular"/>
          <w:color w:val="auto"/>
          <w:sz w:val="28"/>
          <w:szCs w:val="28"/>
          <w:highlight w:val="none"/>
        </w:rPr>
        <w:t>25</w:t>
      </w:r>
      <w:r>
        <w:rPr>
          <w:rFonts w:ascii="Times New Roman Regular" w:hAnsi="Times New Roman Regular" w:cs="Times New Roman Regular"/>
          <w:color w:val="auto"/>
          <w:sz w:val="28"/>
          <w:szCs w:val="28"/>
          <w:highlight w:val="none"/>
          <w:lang w:val="sq-AL"/>
        </w:rPr>
        <w:t>）《用电安全导则》（GB/T 13869-2017）；</w:t>
      </w:r>
    </w:p>
    <w:p w14:paraId="3FFA47DF">
      <w:pPr>
        <w:pStyle w:val="5"/>
        <w:rPr>
          <w:rFonts w:ascii="Times New Roman Regular" w:hAnsi="Times New Roman Regular" w:cs="Times New Roman Regular"/>
          <w:color w:val="auto"/>
          <w:highlight w:val="none"/>
        </w:rPr>
      </w:pPr>
      <w:bookmarkStart w:id="30" w:name="_Toc86052352"/>
      <w:r>
        <w:rPr>
          <w:rFonts w:ascii="Times New Roman Regular" w:hAnsi="Times New Roman Regular" w:cs="Times New Roman Regular"/>
          <w:color w:val="auto"/>
          <w:highlight w:val="none"/>
        </w:rPr>
        <w:t>1.2.8</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建设项目合法证明文件</w:t>
      </w:r>
      <w:bookmarkEnd w:id="30"/>
    </w:p>
    <w:p w14:paraId="7FA4009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（1）采矿许可证（证号：C2100002009047120009523，本溪市自然资源局，有效期：2025年2月8日至2048年2月8日）；</w:t>
      </w:r>
    </w:p>
    <w:p w14:paraId="51B68A4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（2）营业执照（统一社会信用代码：912105057237187537，本溪市南芬区市场监督管理局，成立日期：2000年07月26日）；</w:t>
      </w:r>
    </w:p>
    <w:p w14:paraId="62E28F7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（3）《市应急管理局关于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（玻璃⽤⽯英岩）露天开采建设项⽬安全设施设计的批复》（本应急函[2025]7号）（本溪市应急管理局，2025年7月8日）；</w:t>
      </w:r>
    </w:p>
    <w:p w14:paraId="28A7B13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（4）安全评价技术服务合同。</w:t>
      </w:r>
    </w:p>
    <w:p w14:paraId="44472A2E">
      <w:pPr>
        <w:pStyle w:val="5"/>
        <w:rPr>
          <w:rFonts w:ascii="Times New Roman Regular" w:hAnsi="Times New Roman Regular" w:cs="Times New Roman Regular"/>
          <w:color w:val="auto"/>
          <w:highlight w:val="none"/>
        </w:rPr>
      </w:pPr>
      <w:bookmarkStart w:id="31" w:name="_Toc86052353"/>
      <w:r>
        <w:rPr>
          <w:rFonts w:ascii="Times New Roman Regular" w:hAnsi="Times New Roman Regular" w:cs="Times New Roman Regular"/>
          <w:color w:val="auto"/>
          <w:highlight w:val="none"/>
        </w:rPr>
        <w:t>1.2.9</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建设项目技术资料</w:t>
      </w:r>
      <w:bookmarkEnd w:id="31"/>
    </w:p>
    <w:p w14:paraId="792A095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1）《辽宁省本溪市小平顶山矿区玻璃用石英砂岩矿资源储量核实报告》，2022年10月，辽宁省第八地质大队有限责任公司；</w:t>
      </w:r>
    </w:p>
    <w:p w14:paraId="5CB443C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2）《辽宁省本溪市小平顶山矿区玻璃用石英砂岩矿资源储量核实报告评审备案证明》，（本自然资储备字［2023］001号），本溪市自然资源局2023年2月17日；</w:t>
      </w:r>
    </w:p>
    <w:p w14:paraId="0A9879D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3）《辽宁省本溪市小平顶山矿区玻璃用石英砂岩矿资源储量核实报告评审意见书》，2022年11月30日；</w:t>
      </w:r>
    </w:p>
    <w:p w14:paraId="1687EDF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4）《&lt;本溪星光硅质原料有限公司(玻璃用石英岩)矿产资源开发利用方案&gt;审查意见书》，本溪市矿产资源服务咨询有限公司，2023年5月；</w:t>
      </w:r>
    </w:p>
    <w:p w14:paraId="77C054D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5）《本溪星光硅质原料有限公司玻璃用石英岩露天开采建设项目可行性研究报告》，本溪星光硅质原料有限公司，2025年2月；</w:t>
      </w:r>
    </w:p>
    <w:p w14:paraId="2884E7C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6）《本溪星光硅质原料有限公司（玻璃用石英岩矿）露天开采建设项目安全预评价报告》，辽宁省安全科学研究院，2025年3月；</w:t>
      </w:r>
    </w:p>
    <w:p w14:paraId="329E06E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7</w:t>
      </w:r>
      <w:r>
        <w:rPr>
          <w:rFonts w:ascii="Times New Roman Regular" w:hAnsi="Times New Roman Regular" w:cs="Times New Roman Regular"/>
          <w:color w:val="auto"/>
          <w:sz w:val="28"/>
          <w:szCs w:val="28"/>
          <w:highlight w:val="none"/>
        </w:rPr>
        <w:t>）《本溪星光硅质原料有限公司玻璃用石英岩露天开采建设项目初步设计》，中国冶金矿业鞍山冶金设计研究院有限责任公司，2025年4月；</w:t>
      </w:r>
    </w:p>
    <w:p w14:paraId="737ADB9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8</w:t>
      </w:r>
      <w:r>
        <w:rPr>
          <w:rFonts w:ascii="Times New Roman Regular" w:hAnsi="Times New Roman Regular" w:cs="Times New Roman Regular"/>
          <w:color w:val="auto"/>
          <w:sz w:val="28"/>
          <w:szCs w:val="28"/>
          <w:highlight w:val="none"/>
        </w:rPr>
        <w:t>）《本溪星光硅质原料有限公司玻璃用石英岩露天开采建设项目</w:t>
      </w:r>
      <w:r>
        <w:rPr>
          <w:rFonts w:hint="eastAsia" w:ascii="Times New Roman Regular" w:hAnsi="Times New Roman Regular" w:cs="Times New Roman Regular"/>
          <w:color w:val="auto"/>
          <w:sz w:val="28"/>
          <w:szCs w:val="28"/>
          <w:highlight w:val="none"/>
        </w:rPr>
        <w:t>安全设施</w:t>
      </w:r>
      <w:r>
        <w:rPr>
          <w:rFonts w:ascii="Times New Roman Regular" w:hAnsi="Times New Roman Regular" w:cs="Times New Roman Regular"/>
          <w:color w:val="auto"/>
          <w:sz w:val="28"/>
          <w:szCs w:val="28"/>
          <w:highlight w:val="none"/>
        </w:rPr>
        <w:t>设计》，中国冶金矿业鞍山冶金设计研究院有限责任公司，2025年4月；</w:t>
      </w:r>
    </w:p>
    <w:p w14:paraId="4B47721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9</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zh-CN"/>
        </w:rPr>
        <w:t>本溪星光硅质原料有限公司（玻璃用石英岩矿）露天开采建设工程竣工报告</w:t>
      </w:r>
      <w:r>
        <w:rPr>
          <w:rFonts w:ascii="Times New Roman Regular" w:hAnsi="Times New Roman Regular" w:cs="Times New Roman Regular"/>
          <w:color w:val="auto"/>
          <w:sz w:val="28"/>
          <w:szCs w:val="28"/>
          <w:highlight w:val="none"/>
        </w:rPr>
        <w:t>》，浙江天增建设集团有限公司，2025年</w:t>
      </w:r>
      <w:r>
        <w:rPr>
          <w:rFonts w:hint="eastAsia" w:ascii="Times New Roman Regular" w:hAnsi="Times New Roman Regular" w:cs="Times New Roman Regular"/>
          <w:color w:val="auto"/>
          <w:sz w:val="28"/>
          <w:szCs w:val="28"/>
          <w:highlight w:val="none"/>
        </w:rPr>
        <w:t>12</w:t>
      </w:r>
      <w:r>
        <w:rPr>
          <w:rFonts w:ascii="Times New Roman Regular" w:hAnsi="Times New Roman Regular" w:cs="Times New Roman Regular"/>
          <w:color w:val="auto"/>
          <w:sz w:val="28"/>
          <w:szCs w:val="28"/>
          <w:highlight w:val="none"/>
        </w:rPr>
        <w:t>月；</w:t>
      </w:r>
    </w:p>
    <w:p w14:paraId="0EEFEF3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（1</w:t>
      </w:r>
      <w:r>
        <w:rPr>
          <w:rFonts w:hint="eastAsia" w:ascii="Times New Roman Regular" w:hAnsi="Times New Roman Regular" w:cs="Times New Roman Regular"/>
          <w:color w:val="auto"/>
          <w:sz w:val="28"/>
          <w:szCs w:val="28"/>
          <w:highlight w:val="none"/>
          <w:lang w:val="en-US" w:eastAsia="zh-CN"/>
        </w:rPr>
        <w:t>0</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zh-CN"/>
        </w:rPr>
        <w:t>本溪星光硅质原料有限公司（玻璃用石英岩矿）露天开采建设工程监理报告</w:t>
      </w:r>
      <w:r>
        <w:rPr>
          <w:rFonts w:ascii="Times New Roman Regular" w:hAnsi="Times New Roman Regular" w:cs="Times New Roman Regular"/>
          <w:color w:val="auto"/>
          <w:sz w:val="28"/>
          <w:szCs w:val="28"/>
          <w:highlight w:val="none"/>
        </w:rPr>
        <w:t>》，浙江秦核环境建设有限公司，2025年</w:t>
      </w:r>
      <w:r>
        <w:rPr>
          <w:rFonts w:hint="eastAsia" w:ascii="Times New Roman Regular" w:hAnsi="Times New Roman Regular" w:cs="Times New Roman Regular"/>
          <w:color w:val="auto"/>
          <w:sz w:val="28"/>
          <w:szCs w:val="28"/>
          <w:highlight w:val="none"/>
        </w:rPr>
        <w:t>12</w:t>
      </w:r>
      <w:r>
        <w:rPr>
          <w:rFonts w:ascii="Times New Roman Regular" w:hAnsi="Times New Roman Regular" w:cs="Times New Roman Regular"/>
          <w:color w:val="auto"/>
          <w:sz w:val="28"/>
          <w:szCs w:val="28"/>
          <w:highlight w:val="none"/>
        </w:rPr>
        <w:t>月；</w:t>
      </w:r>
    </w:p>
    <w:p w14:paraId="25B7C55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（1</w:t>
      </w:r>
      <w:r>
        <w:rPr>
          <w:rFonts w:hint="eastAsia" w:ascii="Times New Roman Regular" w:hAnsi="Times New Roman Regular" w:cs="Times New Roman Regular"/>
          <w:color w:val="auto"/>
          <w:sz w:val="28"/>
          <w:szCs w:val="28"/>
          <w:highlight w:val="none"/>
          <w:lang w:val="en-US" w:eastAsia="zh-CN"/>
        </w:rPr>
        <w:t>1</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zh-CN"/>
        </w:rPr>
        <w:t>本溪星光硅质原料有限公司</w:t>
      </w:r>
      <w:r>
        <w:rPr>
          <w:rFonts w:ascii="Times New Roman Regular" w:hAnsi="Times New Roman Regular" w:cs="Times New Roman Regular"/>
          <w:color w:val="auto"/>
          <w:sz w:val="28"/>
          <w:szCs w:val="28"/>
          <w:highlight w:val="none"/>
        </w:rPr>
        <w:t>提供的其他有关书面资料、文件和数据。</w:t>
      </w:r>
    </w:p>
    <w:p w14:paraId="1619E689">
      <w:pPr>
        <w:pStyle w:val="5"/>
        <w:rPr>
          <w:rFonts w:ascii="Times New Roman Regular" w:hAnsi="Times New Roman Regular" w:cs="Times New Roman Regular"/>
          <w:color w:val="auto"/>
          <w:highlight w:val="none"/>
        </w:rPr>
      </w:pPr>
      <w:bookmarkStart w:id="32" w:name="_Toc86052354"/>
      <w:r>
        <w:rPr>
          <w:rFonts w:ascii="Times New Roman Regular" w:hAnsi="Times New Roman Regular" w:cs="Times New Roman Regular"/>
          <w:color w:val="auto"/>
          <w:highlight w:val="none"/>
        </w:rPr>
        <w:t>1.2.10</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其他评价依据</w:t>
      </w:r>
      <w:bookmarkEnd w:id="32"/>
    </w:p>
    <w:p w14:paraId="7AADC00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（1）安全科文件；</w:t>
      </w:r>
    </w:p>
    <w:p w14:paraId="76ACB77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（2）全员安全生产责任制；</w:t>
      </w:r>
    </w:p>
    <w:p w14:paraId="5B0731D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（3）安全管理规章制度、操作规程；</w:t>
      </w:r>
    </w:p>
    <w:p w14:paraId="3E10B8D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（4）主要负责人安全生产知识和管理能力考试证明；</w:t>
      </w:r>
    </w:p>
    <w:p w14:paraId="228FC38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（5）安全管理人员安全生产知识和管理能力考试证明；</w:t>
      </w:r>
    </w:p>
    <w:p w14:paraId="004C1CE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（6）特种作业人员资格证；</w:t>
      </w:r>
    </w:p>
    <w:p w14:paraId="02FEB3F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（7）应急预案；</w:t>
      </w:r>
    </w:p>
    <w:p w14:paraId="004B255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（8）安全生产费用提取及使用计划；</w:t>
      </w:r>
    </w:p>
    <w:p w14:paraId="5DE3255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（9）从业人员缴纳保险凭证；</w:t>
      </w:r>
    </w:p>
    <w:p w14:paraId="6E1CA33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（10）爆破合同及爆破作业单位许可证。</w:t>
      </w:r>
    </w:p>
    <w:p w14:paraId="5BAEEA72">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color w:val="auto"/>
          <w:szCs w:val="32"/>
          <w:highlight w:val="none"/>
        </w:rPr>
      </w:pPr>
      <w:r>
        <w:rPr>
          <w:rFonts w:ascii="Times New Roman Regular" w:hAnsi="Times New Roman Regular" w:cs="Times New Roman Regular"/>
          <w:color w:val="auto"/>
          <w:highlight w:val="none"/>
        </w:rPr>
        <w:br w:type="page"/>
      </w:r>
      <w:bookmarkStart w:id="33" w:name="_Toc1930772744"/>
      <w:bookmarkStart w:id="34" w:name="_Toc10928"/>
      <w:bookmarkStart w:id="35" w:name="_Toc86052355"/>
      <w:bookmarkStart w:id="36" w:name="_Toc32750"/>
      <w:bookmarkStart w:id="37" w:name="_Toc9605"/>
      <w:r>
        <w:rPr>
          <w:rFonts w:ascii="Times New Roman Regular" w:hAnsi="Times New Roman Regular" w:eastAsia="黑体" w:cs="Times New Roman Regular"/>
          <w:b/>
          <w:bCs/>
          <w:color w:val="auto"/>
          <w:kern w:val="44"/>
          <w:sz w:val="32"/>
          <w:szCs w:val="44"/>
          <w:highlight w:val="none"/>
        </w:rPr>
        <w:t>2</w:t>
      </w:r>
      <w:r>
        <w:rPr>
          <w:rFonts w:hint="eastAsia" w:ascii="Times New Roman Regular" w:hAnsi="Times New Roman Regular" w:eastAsia="黑体" w:cs="Times New Roman Regular"/>
          <w:b/>
          <w:bCs/>
          <w:color w:val="auto"/>
          <w:kern w:val="44"/>
          <w:sz w:val="32"/>
          <w:szCs w:val="44"/>
          <w:highlight w:val="none"/>
        </w:rPr>
        <w:t xml:space="preserve"> </w:t>
      </w:r>
      <w:r>
        <w:rPr>
          <w:rFonts w:ascii="Times New Roman Regular" w:hAnsi="Times New Roman Regular" w:eastAsia="黑体" w:cs="Times New Roman Regular"/>
          <w:b/>
          <w:bCs/>
          <w:color w:val="auto"/>
          <w:kern w:val="44"/>
          <w:sz w:val="32"/>
          <w:szCs w:val="44"/>
          <w:highlight w:val="none"/>
        </w:rPr>
        <w:t>建设项目概述</w:t>
      </w:r>
      <w:bookmarkEnd w:id="33"/>
      <w:bookmarkEnd w:id="34"/>
      <w:bookmarkEnd w:id="35"/>
      <w:bookmarkEnd w:id="36"/>
      <w:bookmarkEnd w:id="37"/>
    </w:p>
    <w:p w14:paraId="6064F359">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38" w:name="_Toc26245"/>
      <w:bookmarkStart w:id="39" w:name="_Toc2019602238"/>
      <w:bookmarkStart w:id="40" w:name="_Toc3501"/>
      <w:bookmarkStart w:id="41" w:name="_Toc1767"/>
      <w:bookmarkStart w:id="42" w:name="_Toc86052356"/>
      <w:r>
        <w:rPr>
          <w:rFonts w:ascii="Times New Roman Regular" w:hAnsi="Times New Roman Regular" w:eastAsia="黑体" w:cs="Times New Roman Regular"/>
          <w:color w:val="auto"/>
          <w:sz w:val="30"/>
          <w:highlight w:val="none"/>
        </w:rPr>
        <w:t>2.1</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建设单位概况</w:t>
      </w:r>
      <w:bookmarkEnd w:id="38"/>
      <w:bookmarkEnd w:id="39"/>
      <w:bookmarkEnd w:id="40"/>
      <w:bookmarkEnd w:id="41"/>
      <w:bookmarkEnd w:id="42"/>
    </w:p>
    <w:p w14:paraId="1BD898AB">
      <w:pPr>
        <w:pStyle w:val="5"/>
        <w:rPr>
          <w:rFonts w:ascii="Times New Roman Regular" w:hAnsi="Times New Roman Regular" w:cs="Times New Roman Regular"/>
          <w:color w:val="auto"/>
          <w:highlight w:val="none"/>
        </w:rPr>
      </w:pPr>
      <w:bookmarkStart w:id="43" w:name="_Toc86052357"/>
      <w:r>
        <w:rPr>
          <w:rFonts w:ascii="Times New Roman Regular" w:hAnsi="Times New Roman Regular" w:cs="Times New Roman Regular"/>
          <w:color w:val="auto"/>
          <w:highlight w:val="none"/>
        </w:rPr>
        <w:t>2.1.1</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项目基本概况</w:t>
      </w:r>
      <w:bookmarkEnd w:id="43"/>
    </w:p>
    <w:p w14:paraId="5F658AD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（1）企业基本情况</w:t>
      </w:r>
    </w:p>
    <w:p w14:paraId="558C7F8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法定代表人：</w:t>
      </w:r>
      <w:r>
        <w:rPr>
          <w:rFonts w:hint="eastAsia" w:ascii="Times New Roman Regular" w:hAnsi="Times New Roman Regular" w:cs="Times New Roman Regular"/>
          <w:color w:val="auto"/>
          <w:sz w:val="28"/>
          <w:szCs w:val="28"/>
          <w:highlight w:val="none"/>
        </w:rPr>
        <w:t>韩建凯</w:t>
      </w:r>
      <w:r>
        <w:rPr>
          <w:rFonts w:ascii="Times New Roman Regular" w:hAnsi="Times New Roman Regular" w:cs="Times New Roman Regular"/>
          <w:color w:val="auto"/>
          <w:sz w:val="28"/>
          <w:szCs w:val="28"/>
          <w:highlight w:val="none"/>
        </w:rPr>
        <w:t>；</w:t>
      </w:r>
    </w:p>
    <w:p w14:paraId="0A05FA1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类    型：有限责任公司；</w:t>
      </w:r>
    </w:p>
    <w:p w14:paraId="22585B9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行政区划：本溪市南芬区</w:t>
      </w:r>
      <w:r>
        <w:rPr>
          <w:rFonts w:hint="eastAsia" w:ascii="Times New Roman Regular" w:hAnsi="Times New Roman Regular" w:cs="Times New Roman Regular"/>
          <w:color w:val="auto"/>
          <w:sz w:val="28"/>
          <w:szCs w:val="28"/>
          <w:highlight w:val="none"/>
        </w:rPr>
        <w:t>金坑</w:t>
      </w:r>
      <w:r>
        <w:rPr>
          <w:rFonts w:ascii="Times New Roman Regular" w:hAnsi="Times New Roman Regular" w:cs="Times New Roman Regular"/>
          <w:color w:val="auto"/>
          <w:sz w:val="28"/>
          <w:szCs w:val="28"/>
          <w:highlight w:val="none"/>
        </w:rPr>
        <w:t>村管辖；</w:t>
      </w:r>
    </w:p>
    <w:p w14:paraId="32BD6BEB">
      <w:pPr>
        <w:adjustRightInd w:val="0"/>
        <w:snapToGrid w:val="0"/>
        <w:spacing w:line="360" w:lineRule="auto"/>
        <w:ind w:firstLine="560" w:firstLineChars="200"/>
        <w:rPr>
          <w:rFonts w:hint="eastAsia" w:ascii="Times New Roman Regular" w:hAnsi="Times New Roman Regular" w:eastAsia="宋体" w:cs="Times New Roman Regular"/>
          <w:color w:val="auto"/>
          <w:sz w:val="28"/>
          <w:szCs w:val="28"/>
          <w:highlight w:val="none"/>
          <w:lang w:eastAsia="zh-CN"/>
        </w:rPr>
      </w:pPr>
      <w:r>
        <w:rPr>
          <w:rFonts w:ascii="Times New Roman Regular" w:hAnsi="Times New Roman Regular" w:cs="Times New Roman Regular"/>
          <w:color w:val="auto"/>
          <w:sz w:val="28"/>
          <w:szCs w:val="28"/>
          <w:highlight w:val="none"/>
        </w:rPr>
        <w:t>经营范围：玻璃用石英岩露天开采，玻璃用石英岩加工及制品销售，建筑材料销售，煤炭销售，纯碱销售（依法须经批准的项目，经相关部门批准后方可开展经营活动）</w:t>
      </w:r>
      <w:r>
        <w:rPr>
          <w:rFonts w:hint="eastAsia" w:ascii="Times New Roman Regular" w:hAnsi="Times New Roman Regular" w:cs="Times New Roman Regular"/>
          <w:color w:val="auto"/>
          <w:sz w:val="28"/>
          <w:szCs w:val="28"/>
          <w:highlight w:val="none"/>
          <w:lang w:eastAsia="zh-CN"/>
        </w:rPr>
        <w:t>。</w:t>
      </w:r>
    </w:p>
    <w:p w14:paraId="27E1F09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bookmarkStart w:id="44" w:name="_Toc86052358"/>
      <w:r>
        <w:rPr>
          <w:rFonts w:ascii="Times New Roman Regular" w:hAnsi="Times New Roman Regular" w:cs="Times New Roman Regular"/>
          <w:color w:val="auto"/>
          <w:sz w:val="28"/>
          <w:szCs w:val="28"/>
          <w:highlight w:val="none"/>
        </w:rPr>
        <w:t>（2）矿山历史沿革</w:t>
      </w:r>
    </w:p>
    <w:p w14:paraId="21D778A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矿山始建于1967年，为村集体所有。</w:t>
      </w:r>
    </w:p>
    <w:p w14:paraId="623C16B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2004年被人买断更名为“本溪市小平顶山硅石矿”。采矿权人为“马闯”，本矿山正式成为私营独资企业。</w:t>
      </w:r>
    </w:p>
    <w:p w14:paraId="3640ADA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2010年矿山采矿权延续，更名为“本溪星光硅质原料有限公司”玻璃用石英岩矿。</w:t>
      </w:r>
    </w:p>
    <w:p w14:paraId="6A5359A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2012年本企业被“河北迎新集团”收购，变为其名下的子公司。</w:t>
      </w:r>
    </w:p>
    <w:p w14:paraId="1AA24D8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2016年5月由沈阳一方正和工程技术咨询有限公司编制《本溪星光硅质原料有限公司(玻璃用石英岩矿)矿产资源开发利用方案》，确定矿山开采方式为露天开采，生产规模50万t/a，采用公路开拓、汽车运输方式；山坡露天矿顶标高250m，底标高190m，最大开采深度60m。</w:t>
      </w:r>
    </w:p>
    <w:p w14:paraId="5F851E4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2022年11月30日，矿山委托相关单位出具了《辽宁省本溪市小平顶山矿区玻璃用石英砂岩矿资源储量核实报告评审意见书》，2023年5月，矿山出具了《本溪星光硅质原料有限公司(玻璃用石英岩)矿产资源开发利用方案》并通过备案。</w:t>
      </w:r>
    </w:p>
    <w:p w14:paraId="10E7EC7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为办理采矿权延续、扩大生产规模（50万吨/年提高到100万吨/年）、变更矿区范围（调整开采上限标高和深部扩界），企业于2025年2月编制了《本溪星光硅质原料有限公司玻璃用石英岩露天开采建设项目可行性研究报告》，随后于2025年3月委托辽宁省安全科学研究院编制了《本溪星光硅质原料有限公司（玻璃用石英岩矿）露天开采建设项目安全预评价报告》，2025年4月由中国冶金矿业鞍山冶金设计研究院有限责任公司编制了《本溪星光硅质原料有限公司玻璃用石英岩露天开采建设项目初步设计》和《本溪星光硅质原料有限公司（玻璃用石英岩矿）露天开采建设项目安全设施设计》，《本溪星光硅质原料有限公司（玻璃用石英岩矿）露天开采建设项目安全设施设计》于2025年4月经本溪市应急局组织进行评审，并于2025年7月收到本溪市应急局下发的《市应急管理局关于本溪星光硅质原料有限公司（玻璃用石英岩矿）露天开采建设项目安全设施设计的批复》，批准采场基建期从2025年7月2日至2026年7月1日。</w:t>
      </w:r>
    </w:p>
    <w:p w14:paraId="2C66E36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取得批复后企业委托浙江天增建设集团有限公司按照《本溪星光硅质原料有限公司（玻璃用石英岩矿）露天开采建设项目安全设施设计》进行基建施工，同时委托浙江秦核环境建设有限公司对基建工程进行监理。基建工程于2025年12月竣工，浙江天增建设集团有限公司编写了《本溪星光硅质原料有限公司（玻璃用石英岩）露天开采建设项目竣工报告》；2025年12月，浙江秦核环境建设有限公司编写了《本溪星光硅质原料有限公司（玻璃用石英岩）露天开采建设项目监理报告》。</w:t>
      </w:r>
    </w:p>
    <w:p w14:paraId="022DAD6D">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2.1.2</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矿山位置</w:t>
      </w:r>
      <w:bookmarkEnd w:id="44"/>
    </w:p>
    <w:p w14:paraId="0BEAC1B8">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图</w:t>
      </w:r>
      <w:r>
        <w:rPr>
          <w:rFonts w:ascii="黑体" w:hAnsi="黑体" w:eastAsia="黑体" w:cs="黑体"/>
          <w:bCs/>
          <w:color w:val="auto"/>
          <w:sz w:val="24"/>
          <w:highlight w:val="none"/>
        </w:rPr>
        <w:t>2.1</w:t>
      </w:r>
      <w:r>
        <w:rPr>
          <w:rFonts w:ascii="黑体" w:hAnsi="黑体" w:eastAsia="黑体" w:cs="黑体"/>
          <w:bCs/>
          <w:color w:val="auto"/>
          <w:sz w:val="24"/>
          <w:highlight w:val="none"/>
          <w:lang w:val="zh-CN"/>
        </w:rPr>
        <w:t>-1 矿区交通位置图</w:t>
      </w:r>
    </w:p>
    <w:p w14:paraId="48166664">
      <w:pPr>
        <w:pStyle w:val="5"/>
        <w:rPr>
          <w:rFonts w:ascii="Times New Roman Regular" w:hAnsi="Times New Roman Regular" w:cs="Times New Roman Regular"/>
          <w:color w:val="auto"/>
          <w:highlight w:val="none"/>
        </w:rPr>
      </w:pPr>
      <w:bookmarkStart w:id="45" w:name="_Toc86052359"/>
      <w:r>
        <w:rPr>
          <w:rFonts w:ascii="Times New Roman Regular" w:hAnsi="Times New Roman Regular" w:cs="Times New Roman Regular"/>
          <w:color w:val="auto"/>
          <w:highlight w:val="none"/>
        </w:rPr>
        <w:t>2.1.3</w:t>
      </w:r>
      <w:r>
        <w:rPr>
          <w:rFonts w:hint="eastAsia" w:ascii="Times New Roman Regular" w:hAnsi="Times New Roman Regular" w:cs="Times New Roman Regular"/>
          <w:color w:val="auto"/>
          <w:highlight w:val="none"/>
        </w:rPr>
        <w:t xml:space="preserve"> </w:t>
      </w:r>
      <w:r>
        <w:rPr>
          <w:rFonts w:ascii="Times New Roman Regular" w:hAnsi="Times New Roman Regular" w:cs="Times New Roman Regular"/>
          <w:color w:val="auto"/>
          <w:highlight w:val="none"/>
        </w:rPr>
        <w:t>周边环境</w:t>
      </w:r>
      <w:bookmarkEnd w:id="45"/>
    </w:p>
    <w:p w14:paraId="334DC9A6">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p>
    <w:p w14:paraId="4A3DA392">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46" w:name="_Toc12492"/>
      <w:bookmarkStart w:id="47" w:name="_Toc4082"/>
      <w:bookmarkStart w:id="48" w:name="_Toc32717"/>
      <w:bookmarkStart w:id="49" w:name="_Toc86052360"/>
      <w:bookmarkStart w:id="50" w:name="_Toc328289584"/>
      <w:r>
        <w:rPr>
          <w:rFonts w:ascii="Times New Roman Regular" w:hAnsi="Times New Roman Regular" w:eastAsia="黑体" w:cs="Times New Roman Regular"/>
          <w:color w:val="auto"/>
          <w:sz w:val="30"/>
          <w:highlight w:val="none"/>
        </w:rPr>
        <w:t>2.2</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自然环境概况</w:t>
      </w:r>
      <w:bookmarkEnd w:id="46"/>
      <w:bookmarkEnd w:id="47"/>
      <w:bookmarkEnd w:id="48"/>
      <w:bookmarkEnd w:id="49"/>
      <w:bookmarkEnd w:id="50"/>
    </w:p>
    <w:p w14:paraId="39B8EFB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矿区属低山丘陵区，为细河侵蚀阶地。矿区为略向南倾斜的平缓山坡，平均坡度10°～13°，其最高海拔标高278.58m，最低海拔标高为160m，相对高差118.58m。总体地势北东高，南西低。</w:t>
      </w:r>
    </w:p>
    <w:p w14:paraId="06D0BA2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本区处于北中温带大陆性湿润季风气候区，四季分明，雨量充沛，光照充足，最高气温39℃（1941年7月16日），最低气温-32.3℃（1956年1月22日），月平均气温8月最高，1月最低。年平均日照数为2400小时；无霜期为162</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180天；最深冻土1.49m；最浅冻土0.6m；结冻期为140天。全年降水集中在七、八月，降水量约占全年的50%左右，年均降水量为800</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900</w:t>
      </w:r>
      <w:r>
        <w:rPr>
          <w:rFonts w:hint="eastAsia" w:ascii="Times New Roman Regular" w:hAnsi="Times New Roman Regular" w:cs="Times New Roman Regular"/>
          <w:color w:val="auto"/>
          <w:sz w:val="28"/>
          <w:szCs w:val="28"/>
          <w:highlight w:val="none"/>
        </w:rPr>
        <w:t>mm</w:t>
      </w:r>
      <w:r>
        <w:rPr>
          <w:rFonts w:ascii="Times New Roman Regular" w:hAnsi="Times New Roman Regular" w:cs="Times New Roman Regular"/>
          <w:color w:val="auto"/>
          <w:sz w:val="28"/>
          <w:szCs w:val="28"/>
          <w:highlight w:val="none"/>
        </w:rPr>
        <w:t>。春秋两季降水量均为120</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130mm，冬季为全年降水量最少的季节；年均蒸发量200</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300mm。春夏季多以东南风为主，风力1-2级；秋冬季多以西北风为主，风力一般2</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4级，最大可达5级。平均雪日数在30天左右，积雪日数25</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90天，最大积雪深度29</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49cm。</w:t>
      </w:r>
    </w:p>
    <w:p w14:paraId="108294B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区内矿产资源丰富，主要有铁矿、硅石矿。林业资源丰富，森林覆盖率75%，主要有落叶松、油松、马尾松、黑松等林种。水资源有本溪三大水系之一的细河流经。居民以汉族、满族为主，人口较稠密，劳动力充裕，可解决当地剩余劳动力问题。矿区内的供水、供电条件皆较好。工业用水可在区内河流就近解决，供水距离＜1km。矿区西侧有通往南芬的高压线路，电力供应比较充足。</w:t>
      </w:r>
    </w:p>
    <w:p w14:paraId="7C8FA71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根据《中国地震动参数区划图》(GB18306-2015)工作划分，本区地震烈度为Ⅵ度，峰值加速度分区为0.10g区，反应谱特征周期（Tg）分区为0.40区。据以往地震资料记载，规划区及周边地区地震较少，1970</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1985年间发生有震中坐标资料的地震30次，其中1974年12月22日，辽阳县孤家子乡发生Ms=4.8级地震，此次地震前后，出现一系列地震活动，总体为震前连续发生地震活动增强趋势，震后又出现地震渐次衰减趋势。1975年7月3日海城发生Ms=7.3级地震。1985-1999年无地震记录。1999年5月4日，海城发生Ms=5.4级地震，此后小震活动又较频繁。自2015年至今无大的地震活动，不完全统计，小震有16次。第四纪以来，区内未发生新构造活动现象，综上所述，本区区域稳定性较好。</w:t>
      </w:r>
    </w:p>
    <w:p w14:paraId="2E0AE8B1">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51" w:name="_Toc470"/>
      <w:bookmarkStart w:id="52" w:name="_Toc13982"/>
      <w:bookmarkStart w:id="53" w:name="_Toc677549145"/>
      <w:bookmarkStart w:id="54" w:name="_Toc13155"/>
      <w:bookmarkStart w:id="55" w:name="_Toc86052361"/>
      <w:r>
        <w:rPr>
          <w:rFonts w:ascii="Times New Roman Regular" w:hAnsi="Times New Roman Regular" w:eastAsia="黑体" w:cs="Times New Roman Regular"/>
          <w:color w:val="auto"/>
          <w:sz w:val="30"/>
          <w:highlight w:val="none"/>
        </w:rPr>
        <w:t>2.3</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地质概况</w:t>
      </w:r>
      <w:bookmarkEnd w:id="51"/>
      <w:bookmarkEnd w:id="52"/>
      <w:bookmarkEnd w:id="53"/>
      <w:bookmarkEnd w:id="54"/>
      <w:bookmarkEnd w:id="55"/>
    </w:p>
    <w:p w14:paraId="738D8A2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矿区大地构造位置属柴达木-华北板块（Ⅲ）华北陆块（Ⅲ-5）辽东新元古代-古生代坳陷带（Ⅲ-5-7）太子河新元古代-古生代坳陷带（Ⅲ-5-7-2）的中南部。</w:t>
      </w:r>
    </w:p>
    <w:p w14:paraId="17FA727C">
      <w:pPr>
        <w:pStyle w:val="5"/>
        <w:rPr>
          <w:rFonts w:ascii="Times New Roman Regular" w:hAnsi="Times New Roman Regular" w:cs="Times New Roman Regular"/>
          <w:color w:val="auto"/>
          <w:highlight w:val="none"/>
        </w:rPr>
      </w:pPr>
      <w:bookmarkStart w:id="56" w:name="_Toc86052363"/>
      <w:r>
        <w:rPr>
          <w:rFonts w:ascii="Times New Roman Regular" w:hAnsi="Times New Roman Regular" w:cs="Times New Roman Regular"/>
          <w:color w:val="auto"/>
          <w:highlight w:val="none"/>
        </w:rPr>
        <w:t>2.3.1 矿区地质</w:t>
      </w:r>
      <w:bookmarkEnd w:id="56"/>
    </w:p>
    <w:p w14:paraId="7E06B105">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2.3.1.1 地层</w:t>
      </w:r>
    </w:p>
    <w:p w14:paraId="61C212F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矿区出露地层，主要为青白口系钓鱼台组（pt</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1d)上部中厚层石英砂岩、厚层石英砂岩、南芬组（pt</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1</w:t>
      </w:r>
      <w:r>
        <w:rPr>
          <w:rFonts w:hint="eastAsia" w:ascii="Times New Roman Regular" w:hAnsi="Times New Roman Regular" w:cs="Times New Roman Regular"/>
          <w:color w:val="auto"/>
          <w:sz w:val="28"/>
          <w:szCs w:val="28"/>
          <w:highlight w:val="none"/>
        </w:rPr>
        <w:t>l</w:t>
      </w:r>
      <w:r>
        <w:rPr>
          <w:rFonts w:ascii="Times New Roman Regular" w:hAnsi="Times New Roman Regular" w:cs="Times New Roman Regular"/>
          <w:color w:val="auto"/>
          <w:sz w:val="28"/>
          <w:szCs w:val="28"/>
          <w:highlight w:val="none"/>
        </w:rPr>
        <w:t>n)下部灰岩、页岩地层和覆盖于上述地层之上的第四系粉质粘土。现将矿区地层特征自下而上分述如下：</w:t>
      </w:r>
    </w:p>
    <w:p w14:paraId="6D5D606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（1）青白口系（pt</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1）</w:t>
      </w:r>
    </w:p>
    <w:p w14:paraId="3248E3E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矿区内出露地层为青白口系钓鱼台组一段六层和七层，其地质特征分述如下：</w:t>
      </w:r>
    </w:p>
    <w:p w14:paraId="315BF8A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①钓鱼台组一段六层（pt</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1d16）厚层石英砂岩</w:t>
      </w:r>
    </w:p>
    <w:p w14:paraId="305EC91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本层顶部有一冲蚀面，层面颗粒粗，凸凹不平，与上覆岩层为整合接触。</w:t>
      </w:r>
    </w:p>
    <w:p w14:paraId="3F54D6C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该层是矿区范围内出露的主要地层之一，总厚度经钻探控制在110米以上，地层产状128°-139°∠5°-13°，核实钻孔中，该层均有揭露，是勘查区的赋矿层位。</w:t>
      </w:r>
    </w:p>
    <w:p w14:paraId="34BFD02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②钓鱼台组七段（pt</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1d17）中、厚层石英砂岩</w:t>
      </w:r>
    </w:p>
    <w:p w14:paraId="3DA155C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上部中-薄层石英砂岩，以薄层为主。石英砂岩单层厚一般10</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cs="Times New Roman Regular"/>
          <w:color w:val="auto"/>
          <w:sz w:val="28"/>
          <w:szCs w:val="28"/>
          <w:highlight w:val="none"/>
        </w:rPr>
        <w:t>15cm。岩层层面清晰平整，层间夹有极薄的绿色砂质页岩，一般厚0.5</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cs="Times New Roman Regular"/>
          <w:color w:val="auto"/>
          <w:sz w:val="28"/>
          <w:szCs w:val="28"/>
          <w:highlight w:val="none"/>
        </w:rPr>
        <w:t>5cm，地层产状135°∠6°，并见有波痕及泥裂。岩石新鲜面灰-灰白色，有时呈暗褐色，具明显的斜层理。</w:t>
      </w:r>
    </w:p>
    <w:p w14:paraId="7164F64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下部“小薄层”石英砂岩，层间为泥质层。单层厚0.5</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cs="Times New Roman Regular"/>
          <w:color w:val="auto"/>
          <w:sz w:val="28"/>
          <w:szCs w:val="28"/>
          <w:highlight w:val="none"/>
        </w:rPr>
        <w:t>6cm，最厚不超过10cm，厚度变化大，层理起伏不平。</w:t>
      </w:r>
    </w:p>
    <w:p w14:paraId="49480D9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底部0.6</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1.7m，以单层厚1cm的砂岩、泥质砂岩及青灰色-绿色泥质页岩组成互层，其下部为矿层。本层较稳定，可做为矿区内矿层与矿层顶板的标志层。</w:t>
      </w:r>
    </w:p>
    <w:p w14:paraId="6C3DCB3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③南芬组一段（pt</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1n1）黄色-紫色薄层板状页岩夹砂岩：</w:t>
      </w:r>
    </w:p>
    <w:p w14:paraId="19AAF99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矿区分布范围较少，仅在东南部及西北有少部分出露。与下部岩层整合接触。地层产状129°-137°∠9°-13°本层下部为浅黄-紫色页岩夹薄层泥质砂岩、页岩页理发育，层面较平整，性脆断口粗糙，层面常夹有1</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3mm的黄铁（已氧化成针铁矿）小晶体及扁椭球体的铁质团块，最大者直径曾见有4cm左右。砂岩薄层状，层理较发育，呈暗红-浅黄白色。本层上部为暗紫色（亦夹有黄、绿）页岩，常见有硅质细条带（小于1.0mm），页理发育。镜下鉴定：浅黄色页岩。具有砂泥质结构，由泥质（有时为白云母）、石英组成，前者为主。石英粒度大小不一，粒径多为0.26mm，粉砂状。氧化铁无固定形态，污染岩石，条纹状分布。紫色页岩：主要由泥质石英砂岩组成，并含有少量猛质、铁质矿物及海绿石（呈粒状集合体或短脉状）分布其中。砂泥质结构，显微层理构造。</w:t>
      </w:r>
    </w:p>
    <w:p w14:paraId="4F36F20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④南芬组二段（pt</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1n2）天青色泥质灰岩</w:t>
      </w:r>
    </w:p>
    <w:p w14:paraId="09F0936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岩层层面平整，层厚几到十几厘米。地层产状135°∠16°，呈板状，层理发育，并常有泥质条带。岩石新鲜面天青色—浅绿色，风化面灰—灰黄色，局部含硅质灰岩。</w:t>
      </w:r>
    </w:p>
    <w:p w14:paraId="6D5460A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（2）第四系（Qhlalp）</w:t>
      </w:r>
    </w:p>
    <w:p w14:paraId="590C353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粘土、亚粘土，广泛分布于矿区沟谷及低洼处。</w:t>
      </w:r>
    </w:p>
    <w:p w14:paraId="44625D51">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2.3.1.2 构造</w:t>
      </w:r>
    </w:p>
    <w:p w14:paraId="0CA2BA3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矿区内未见褶皱构造和断裂构造。</w:t>
      </w:r>
    </w:p>
    <w:p w14:paraId="59CE2532">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2.3.1.</w:t>
      </w:r>
      <w:r>
        <w:rPr>
          <w:rFonts w:hint="eastAsia" w:ascii="Times New Roman Regular" w:hAnsi="Times New Roman Regular" w:eastAsia="宋体" w:cs="Times New Roman Regular"/>
          <w:color w:val="auto"/>
          <w:szCs w:val="28"/>
          <w:highlight w:val="none"/>
        </w:rPr>
        <w:t>3</w:t>
      </w:r>
      <w:r>
        <w:rPr>
          <w:rFonts w:ascii="Times New Roman Regular" w:hAnsi="Times New Roman Regular" w:eastAsia="宋体" w:cs="Times New Roman Regular"/>
          <w:color w:val="auto"/>
          <w:szCs w:val="28"/>
          <w:highlight w:val="none"/>
        </w:rPr>
        <w:t xml:space="preserve"> </w:t>
      </w:r>
      <w:r>
        <w:rPr>
          <w:rFonts w:hint="eastAsia" w:ascii="Times New Roman Regular" w:hAnsi="Times New Roman Regular" w:eastAsia="宋体" w:cs="Times New Roman Regular"/>
          <w:color w:val="auto"/>
          <w:szCs w:val="28"/>
          <w:highlight w:val="none"/>
        </w:rPr>
        <w:t>岩浆岩</w:t>
      </w:r>
    </w:p>
    <w:p w14:paraId="5475D3D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矿区内未见岩浆岩。</w:t>
      </w:r>
    </w:p>
    <w:p w14:paraId="474DCA48">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2.3.2 矿层特征</w:t>
      </w:r>
    </w:p>
    <w:p w14:paraId="0E5615C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矿区内共圈定玻璃用石英砂岩矿体1条，编号为Ⅰ，赋存于青白口系钓鱼台组地层，分布在整个矿区，规模为大型。长700m，宽600m，厚11.93</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82.43m，矿体平均厚度53.52m，厚度变化系数30.61%，产状122°～136°，∠4°～13°，赋存标高为160～250m，埋深0～95m。矿体平均品位：SiO</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为98.94%，品位变化系数为0.26%；Fe</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为0.11%，品位变化系数为41.42%；Al</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为0.36%，品位变化系数为25.03%。</w:t>
      </w:r>
    </w:p>
    <w:p w14:paraId="178F5E06">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2.3.3 矿石特征</w:t>
      </w:r>
    </w:p>
    <w:p w14:paraId="7216CC04">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2.3.3.1</w:t>
      </w:r>
      <w:r>
        <w:rPr>
          <w:rFonts w:hint="eastAsia" w:ascii="Times New Roman Regular" w:hAnsi="Times New Roman Regular" w:eastAsia="宋体" w:cs="Times New Roman Regular"/>
          <w:color w:val="auto"/>
          <w:szCs w:val="28"/>
          <w:highlight w:val="none"/>
        </w:rPr>
        <w:t xml:space="preserve"> </w:t>
      </w:r>
      <w:r>
        <w:rPr>
          <w:rFonts w:ascii="Times New Roman Regular" w:hAnsi="Times New Roman Regular" w:eastAsia="宋体" w:cs="Times New Roman Regular"/>
          <w:color w:val="auto"/>
          <w:szCs w:val="28"/>
          <w:highlight w:val="none"/>
        </w:rPr>
        <w:t>矿石类型和品级</w:t>
      </w:r>
    </w:p>
    <w:p w14:paraId="6F9DAC5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（1）矿石物质组成：</w:t>
      </w:r>
    </w:p>
    <w:p w14:paraId="0EEA4FD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通过显微镜下对矿石进行岩矿鉴定研究查明，矿石中的非金属矿物主要为石英，石英裂隙中含少量泥质，泥质已绢云母化。矿石中金属矿物含量很少，主要为褐铁矿、黄铁矿、磁铁矿等。</w:t>
      </w:r>
    </w:p>
    <w:p w14:paraId="4E04CB4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石英：圆-次圆状，分选性好，部分具次生加大边，部分颗粒呈镶嵌状，具碎裂结构，粒径为0.3～0.7mm。</w:t>
      </w:r>
    </w:p>
    <w:p w14:paraId="28F7788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胶结物：为硅质及少量泥质。</w:t>
      </w:r>
    </w:p>
    <w:p w14:paraId="38D69D3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岩屑：圆状，为硅质岩岩屑，粒径为0.4mm。</w:t>
      </w:r>
    </w:p>
    <w:p w14:paraId="1C5940B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泥质：已绢云母化。</w:t>
      </w:r>
    </w:p>
    <w:p w14:paraId="27144CC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磁铁矿：半自形粒状，呈星散状分布于石英颗粒间，粒径为0.05～0.1mm。</w:t>
      </w:r>
    </w:p>
    <w:p w14:paraId="50D22CC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黄铁矿：半自形粒状，大部分已蚀变为褐铁矿，呈星散状分布于石英颗粒之间，粒径为0.1～0.2mm。</w:t>
      </w:r>
    </w:p>
    <w:p w14:paraId="2A0CE13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褐铁矿：他形粒状，分布于石英颗粒之间，粒径为0.1mm±。</w:t>
      </w:r>
    </w:p>
    <w:p w14:paraId="4B294F7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石结构构造较为简单，其中，石英表现为变余砂状结构，集合体为致密块状构造，少量泥质矿物分布在石英裂隙之中。矿石中的少量金属矿物（磁铁矿、褐铁矿、黄铁矿等）呈他形粒状结构和星散状构造分布在石英颗粒间。</w:t>
      </w:r>
    </w:p>
    <w:p w14:paraId="0ADADA4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（2）矿石化学成分：</w:t>
      </w:r>
    </w:p>
    <w:p w14:paraId="08F3CEC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矿区的矿石类型比较单一，主要为灰白色致密块状石英砂岩。从上表中可以看出：矿石化学成分一般都很稳定，有益有害组分变化幅度很小。有益组分SiO</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品位89.94%</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99.57%，有害组分Al</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品位0.15%</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3.90%，有害组分Fe</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品位0.04%</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2.30%。断层破碎带及节理裂隙发育地段，由于风化淋滤渗透作用使铁质氧化物富集，矿石表面呈浅褐、红褐、褐黄色薄膜，Fe</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含量明显增高，影响矿石质量。总体上来看，矿石质量较好。</w:t>
      </w:r>
    </w:p>
    <w:p w14:paraId="0C504FA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影响矿区矿石质量的因素如下：矿层近夹层或矿层间出现少量绿色水云母的微薄层时，致使Al</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增高，Fe</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成分也相应增高，进而降低矿石品质，绿色水云母呈疙瘩状或薄膜状存在于矿层层面及细小裂隙中时，对矿石质量影响不显著，而水云母聚集成层存在于夹石层中，影响明显，变为非矿层。</w:t>
      </w:r>
    </w:p>
    <w:p w14:paraId="000BBB3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断层破碎带及节理裂隙发育地段，由于风化淋滤渗透作用使铁质氧化物富集，矿石表面呈浅褐、红褐、褐黄色薄膜，Fe</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含量明显增高，影响矿石质量。</w:t>
      </w:r>
    </w:p>
    <w:p w14:paraId="5D190943">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2.3.3.2 矿石类型</w:t>
      </w:r>
    </w:p>
    <w:p w14:paraId="24852D9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（1）矿石自然类型</w:t>
      </w:r>
    </w:p>
    <w:p w14:paraId="2433416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①</w:t>
      </w:r>
      <w:r>
        <w:rPr>
          <w:rFonts w:ascii="Times New Roman Regular" w:hAnsi="Times New Roman Regular" w:cs="Times New Roman Regular"/>
          <w:color w:val="auto"/>
          <w:sz w:val="28"/>
          <w:szCs w:val="28"/>
          <w:highlight w:val="none"/>
        </w:rPr>
        <w:t>按组成矿石的岩石类型，矿区矿石自然类型为石英砂岩矿石。</w:t>
      </w:r>
    </w:p>
    <w:p w14:paraId="5D60680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②</w:t>
      </w:r>
      <w:r>
        <w:rPr>
          <w:rFonts w:ascii="Times New Roman Regular" w:hAnsi="Times New Roman Regular" w:cs="Times New Roman Regular"/>
          <w:color w:val="auto"/>
          <w:sz w:val="28"/>
          <w:szCs w:val="28"/>
          <w:highlight w:val="none"/>
        </w:rPr>
        <w:t>按矿石结构构造，矿区矿石自然类型为细粒块状石英砂岩矿石。</w:t>
      </w:r>
    </w:p>
    <w:p w14:paraId="5682BD9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（2）矿石工业类型</w:t>
      </w:r>
    </w:p>
    <w:p w14:paraId="70AF16ED">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矿区的石英砂岩矿石为原生矿石，工业类型为玻璃用石英砂岩矿石。</w:t>
      </w:r>
    </w:p>
    <w:p w14:paraId="080F653B">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2.3.3.3 矿体围岩及夹石</w:t>
      </w:r>
    </w:p>
    <w:p w14:paraId="51AB47E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（1）</w:t>
      </w:r>
      <w:r>
        <w:rPr>
          <w:rFonts w:ascii="Times New Roman Regular" w:hAnsi="Times New Roman Regular" w:cs="Times New Roman Regular"/>
          <w:color w:val="auto"/>
          <w:sz w:val="28"/>
          <w:szCs w:val="28"/>
          <w:highlight w:val="none"/>
        </w:rPr>
        <w:t>围岩地质特征</w:t>
      </w:r>
    </w:p>
    <w:p w14:paraId="32F216A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矿体围岩主要有顶板中-薄层石英砂岩及第四系覆盖和底板薄层含炭质石英砂岩。</w:t>
      </w:r>
    </w:p>
    <w:p w14:paraId="0C5ACA5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矿层顶板为中-薄层石英砂岩。底部近矿层0.6</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1.7米以单层厚1cm的石英砂岩，泥质砂岩及绿色泥质页岩组成互层。其上部为薄层状石英砂岩，层间含泥质。砂岩单层厚0.5～6cm。最厚10cm左右，变化较大，层面起伏不平，含有暗色矿物，具微细层理。矿层近夹层或矿层间出现少量绿色水云母的微薄层时，致使Al</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增高，Fe</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成分也相应增高，进而降低矿石品质，绿色水云母呈疙瘩状或薄膜状存在于矿层层面及细小裂隙中时，对矿石质量影响不显著，而水云母聚集成层存在于夹石层中，影响明显，变为非矿层。</w:t>
      </w:r>
    </w:p>
    <w:p w14:paraId="12108F9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（2）</w:t>
      </w:r>
      <w:r>
        <w:rPr>
          <w:rFonts w:ascii="Times New Roman Regular" w:hAnsi="Times New Roman Regular" w:cs="Times New Roman Regular"/>
          <w:color w:val="auto"/>
          <w:sz w:val="28"/>
          <w:szCs w:val="28"/>
          <w:highlight w:val="none"/>
        </w:rPr>
        <w:t>夹石地质特征</w:t>
      </w:r>
    </w:p>
    <w:p w14:paraId="206191F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夹层均以浅绿色为主，薄层状，层理发育，岩性较为简单，与矿层界线均较明显。化学成分总的特点是铝、铁高，硅低。主要由薄层石英砂岩、泥质砂岩和页岩组成，呈互层状出现，层理清楚，呈条带状，石英砂岩约占60%，泥质砂岩，砂质页岩约占25%，页岩约占15%，砂岩为砂状结构，页岩为泥质结构。矿物成分主要由石英和泥质组成，二者互为消长关系，石英高者可达90%以上，低者为10%，其次有褐铁矿分布于节理裂隙面上。</w:t>
      </w:r>
    </w:p>
    <w:p w14:paraId="5A2958B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（3）</w:t>
      </w:r>
      <w:r>
        <w:rPr>
          <w:rFonts w:ascii="Times New Roman Regular" w:hAnsi="Times New Roman Regular" w:cs="Times New Roman Regular"/>
          <w:color w:val="auto"/>
          <w:sz w:val="28"/>
          <w:szCs w:val="28"/>
          <w:highlight w:val="none"/>
        </w:rPr>
        <w:t>矿石风（氧）化特征</w:t>
      </w:r>
    </w:p>
    <w:p w14:paraId="7F3E4AB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矿石岩性为石英砂岩，区内该岩石仅存在弱风化带0～5m，随深度的增加裂隙逐渐减弱，根据岩心及岩心样品分析结果统计，岩石较致密，节理裂隙发育较弱，完整性较高</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并不影响风化带内矿石质量，可以作为矿体进行利用。</w:t>
      </w:r>
    </w:p>
    <w:p w14:paraId="13C51238">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2.3.4 水文地质概况</w:t>
      </w:r>
    </w:p>
    <w:p w14:paraId="0A58A99E">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2.3.4.1 岩（矿）层的富水性</w:t>
      </w:r>
    </w:p>
    <w:p w14:paraId="066FB98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（1）含水岩层（段）及其水文地质特征</w:t>
      </w:r>
    </w:p>
    <w:p w14:paraId="072CA96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勘探内出露的地层为第四系、青白口系钓鱼台岩组，根据岩层的储水方式、地下水水力特征、富水性、分布范围及其对矿床开采的影响因素，按含水层的性质分述如下：</w:t>
      </w:r>
    </w:p>
    <w:p w14:paraId="576B09C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①松散层孔隙潜水含水层</w:t>
      </w:r>
    </w:p>
    <w:p w14:paraId="4063678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主要为第四系粘土、砂土与砂砾层</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厚度为1～5m。地下水水位埋深3～4m，一般含水层厚度为0.8～8.3m，含水层分布狭窄，厚度较薄，属弱富水性。地下水水质良好，一般为重碳酸钙钠型水，矿化度小于0.5g/L</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涌水量3～25m</w:t>
      </w:r>
      <w:r>
        <w:rPr>
          <w:rFonts w:ascii="Times New Roman Regular" w:hAnsi="Times New Roman Regular" w:cs="Times New Roman Regular"/>
          <w:color w:val="auto"/>
          <w:sz w:val="28"/>
          <w:szCs w:val="28"/>
          <w:highlight w:val="none"/>
          <w:vertAlign w:val="superscript"/>
        </w:rPr>
        <w:t>3</w:t>
      </w:r>
      <w:r>
        <w:rPr>
          <w:rFonts w:ascii="Times New Roman Regular" w:hAnsi="Times New Roman Regular" w:cs="Times New Roman Regular"/>
          <w:color w:val="auto"/>
          <w:sz w:val="28"/>
          <w:szCs w:val="28"/>
          <w:highlight w:val="none"/>
        </w:rPr>
        <w:t>/h。</w:t>
      </w:r>
    </w:p>
    <w:p w14:paraId="40872AB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②基岩（石英砂岩）裂隙含水层</w:t>
      </w:r>
    </w:p>
    <w:p w14:paraId="1C7D85D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该组岩性在矿区出露面积较大，由于含水层的厚度不一，裂隙发育程度不同，以及断层的影响，存在着含水不均性。据提水资料统计显示：钻孔单位涌水量q=0.0005～0.0345</w:t>
      </w:r>
      <w:r>
        <w:rPr>
          <w:rFonts w:hint="eastAsia" w:ascii="Times New Roman Regular" w:hAnsi="Times New Roman Regular" w:cs="Times New Roman Regular"/>
          <w:color w:val="auto"/>
          <w:sz w:val="28"/>
          <w:szCs w:val="28"/>
          <w:highlight w:val="none"/>
        </w:rPr>
        <w:t>L</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s</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m</w:t>
      </w:r>
      <w:r>
        <w:rPr>
          <w:rFonts w:ascii="Times New Roman Regular" w:hAnsi="Times New Roman Regular" w:cs="Times New Roman Regular"/>
          <w:color w:val="auto"/>
          <w:sz w:val="28"/>
          <w:szCs w:val="28"/>
          <w:highlight w:val="none"/>
        </w:rPr>
        <w:t>，渗透系数K=0.00168～0.05606米/日，属HCO</w:t>
      </w:r>
      <w:r>
        <w:rPr>
          <w:rFonts w:ascii="Times New Roman Regular" w:hAnsi="Times New Roman Regular" w:cs="Times New Roman Regular"/>
          <w:color w:val="auto"/>
          <w:sz w:val="28"/>
          <w:szCs w:val="28"/>
          <w:highlight w:val="none"/>
          <w:vertAlign w:val="subscript"/>
        </w:rPr>
        <w:t>3</w:t>
      </w:r>
      <w:r>
        <w:rPr>
          <w:rFonts w:ascii="Times New Roman Regular" w:hAnsi="Times New Roman Regular" w:cs="Times New Roman Regular"/>
          <w:color w:val="auto"/>
          <w:sz w:val="28"/>
          <w:szCs w:val="28"/>
          <w:highlight w:val="none"/>
        </w:rPr>
        <w:t>·SO</w:t>
      </w:r>
      <w:r>
        <w:rPr>
          <w:rFonts w:ascii="Times New Roman Regular" w:hAnsi="Times New Roman Regular" w:cs="Times New Roman Regular"/>
          <w:color w:val="auto"/>
          <w:sz w:val="28"/>
          <w:szCs w:val="28"/>
          <w:highlight w:val="none"/>
          <w:vertAlign w:val="subscript"/>
        </w:rPr>
        <w:t>4</w:t>
      </w:r>
      <w:r>
        <w:rPr>
          <w:rFonts w:ascii="Times New Roman Regular" w:hAnsi="Times New Roman Regular" w:cs="Times New Roman Regular"/>
          <w:color w:val="auto"/>
          <w:sz w:val="28"/>
          <w:szCs w:val="28"/>
          <w:highlight w:val="none"/>
        </w:rPr>
        <w:t>～Ca·Na型水。</w:t>
      </w:r>
    </w:p>
    <w:p w14:paraId="168381A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结论：厚层石英砂岩含水层为一微弱基岩裂隙潜水含水层，主要受大气降水补给，属弱富水性。总体径流由高而向细河排泄，不会对矿山的露天开采构成大的威胁，从矿山几十年的开采经验说明：阶梯式开采以及地形的高差就会把厚层石英砂岩含水层中的水排泄出去。</w:t>
      </w:r>
    </w:p>
    <w:p w14:paraId="4E111478">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（2）隔水层及其水文地质特征</w:t>
      </w:r>
    </w:p>
    <w:p w14:paraId="004B19A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天青色泥灰岩、黄色-紫色薄板状页，一般不具富水性，起到了隔水岩墙的作用，隔水性良好。</w:t>
      </w:r>
    </w:p>
    <w:p w14:paraId="5C24289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（3）含水层补给、径流、水力联系</w:t>
      </w:r>
    </w:p>
    <w:p w14:paraId="7236B5B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补给条件：大气降水是该区含水层的主要的补给因素，矿区南、北部的岩溶裂隙水为次要补给因素。</w:t>
      </w:r>
    </w:p>
    <w:p w14:paraId="37E571C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径流方向：大气降水与地表水垂直入渗地下后，部分在入渗后水平运移，流入细河向区外排泄。</w:t>
      </w:r>
    </w:p>
    <w:p w14:paraId="784A28A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水力联系：受地层岩性的控制，其破碎带厚度、裂隙发育程度有限，透水性能差，阻碍了各含水层的渗入补给，各含水层的水力联系不大。</w:t>
      </w:r>
    </w:p>
    <w:p w14:paraId="5007185D">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2.3.4.2 构造破碎带的水温地质特征</w:t>
      </w:r>
    </w:p>
    <w:p w14:paraId="3B3E858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区内构造形态多表现为断裂构造。北部、东部为区域性次一级构造围绕，矿床整体为缓倾角的单斜构造。地层产状基本稳定，走向一般为15°～30°，倾向南东</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倾角7°～11°。矿区内小型断裂构造较发育，主要有北东向及北西向二组。由于断层构造的影响，节理裂隙发育。矿区局部地段可见有小型牵引褶曲。</w:t>
      </w:r>
    </w:p>
    <w:p w14:paraId="6895221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各方向断裂发育晚于成矿期，对于玻璃用石英砂岩矿有不同程度的破坏作用。</w:t>
      </w:r>
    </w:p>
    <w:p w14:paraId="3C48F5D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断裂带岩性多为闪长玢岩脉，断层周围伴生裂隙发育。目前开采状态下未见断裂带涌水。</w:t>
      </w:r>
    </w:p>
    <w:p w14:paraId="560B0E45">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2.3.4.3 地表水特征</w:t>
      </w:r>
    </w:p>
    <w:p w14:paraId="012F418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（1）矿区东南侧的细河支流，源头为白云村一带，汇水面积约13.5km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，由西南向北东流，河道西南向北东，落差较小，一般水面宽20～40m，水深0.5～1m。属长年性河流，流量随季节变化较大，最大流量1900m</w:t>
      </w:r>
      <w:r>
        <w:rPr>
          <w:rFonts w:ascii="Times New Roman Regular" w:hAnsi="Times New Roman Regular" w:cs="Times New Roman Regular"/>
          <w:color w:val="auto"/>
          <w:sz w:val="28"/>
          <w:szCs w:val="28"/>
          <w:highlight w:val="none"/>
          <w:vertAlign w:val="superscript"/>
        </w:rPr>
        <w:t>3</w:t>
      </w:r>
      <w:r>
        <w:rPr>
          <w:rFonts w:ascii="Times New Roman Regular" w:hAnsi="Times New Roman Regular" w:cs="Times New Roman Regular"/>
          <w:color w:val="auto"/>
          <w:sz w:val="28"/>
          <w:szCs w:val="28"/>
          <w:highlight w:val="none"/>
        </w:rPr>
        <w:t>/s，最小流量0.35m</w:t>
      </w:r>
      <w:r>
        <w:rPr>
          <w:rFonts w:ascii="Times New Roman Regular" w:hAnsi="Times New Roman Regular" w:cs="Times New Roman Regular"/>
          <w:color w:val="auto"/>
          <w:sz w:val="28"/>
          <w:szCs w:val="28"/>
          <w:highlight w:val="none"/>
          <w:vertAlign w:val="superscript"/>
        </w:rPr>
        <w:t>3</w:t>
      </w:r>
      <w:r>
        <w:rPr>
          <w:rFonts w:ascii="Times New Roman Regular" w:hAnsi="Times New Roman Regular" w:cs="Times New Roman Regular"/>
          <w:color w:val="auto"/>
          <w:sz w:val="28"/>
          <w:szCs w:val="28"/>
          <w:highlight w:val="none"/>
        </w:rPr>
        <w:t>/s。历史最高洪水位195.32m，矿区在河道的北侧，矿区建设的高程远大于河道洪水水位，河道与矿体无大的张性构造导通，含矿地层节理裂隙不发育，对矿床的开采不会造成影响。</w:t>
      </w:r>
    </w:p>
    <w:p w14:paraId="0CF10D4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（2）矿区北侧的细河支流，源头为老蚂子岗一带，汇水面积约1.8km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，河道西南向北东，落差较小，一般水面宽0.5</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3m，水深0.3m，属季节性河流，夏秋季为丰水期，流量0.2～0.5m</w:t>
      </w:r>
      <w:r>
        <w:rPr>
          <w:rFonts w:ascii="Times New Roman Regular" w:hAnsi="Times New Roman Regular" w:cs="Times New Roman Regular"/>
          <w:color w:val="auto"/>
          <w:sz w:val="28"/>
          <w:szCs w:val="28"/>
          <w:highlight w:val="none"/>
          <w:vertAlign w:val="superscript"/>
        </w:rPr>
        <w:t>3</w:t>
      </w:r>
      <w:r>
        <w:rPr>
          <w:rFonts w:ascii="Times New Roman Regular" w:hAnsi="Times New Roman Regular" w:cs="Times New Roman Regular"/>
          <w:color w:val="auto"/>
          <w:sz w:val="28"/>
          <w:szCs w:val="28"/>
          <w:highlight w:val="none"/>
        </w:rPr>
        <w:t>/s</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冬春季为枯水期，历史最高洪水位0.9m（1997年7月），矿区在河道的南侧，矿区建设的高程远大于河道洪水水位，河道与矿体无大的张性构造导通，含矿地层节理裂隙不发育，对矿床的开采不会较大造成影响。</w:t>
      </w:r>
    </w:p>
    <w:p w14:paraId="1696B8E8">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2.3.4.4 地下水动态及其补给、径流与排泄</w:t>
      </w:r>
    </w:p>
    <w:p w14:paraId="2F405B0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补给条件：区内地下水补给有两个方面，一是大气降水的渗入补给，第四系松散层补给后，垂直运移后补给深部基岩裂隙水。二是矿区北部地下基岩裂隙水的侧向径流补给，受地层岩性的控制，其破碎带厚度、裂隙发育程度有限，透水性能差，阻碍了侧向渗入补给。</w:t>
      </w:r>
    </w:p>
    <w:p w14:paraId="52F133A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径流方向：大气降水与地表水垂直入渗地下后，部分在入渗后水平运移，流入细河向区外排泄。</w:t>
      </w:r>
    </w:p>
    <w:p w14:paraId="0A58A6B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排泄方式：地下水以人工开采、大气与植被蒸发的方式排泄。</w:t>
      </w:r>
    </w:p>
    <w:p w14:paraId="060180DF">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2.3.4.</w:t>
      </w:r>
      <w:r>
        <w:rPr>
          <w:rFonts w:hint="eastAsia" w:ascii="Times New Roman Regular" w:hAnsi="Times New Roman Regular" w:eastAsia="宋体" w:cs="Times New Roman Regular"/>
          <w:color w:val="auto"/>
          <w:szCs w:val="28"/>
          <w:highlight w:val="none"/>
        </w:rPr>
        <w:t>5</w:t>
      </w:r>
      <w:r>
        <w:rPr>
          <w:rFonts w:ascii="Times New Roman Regular" w:hAnsi="Times New Roman Regular" w:eastAsia="宋体" w:cs="Times New Roman Regular"/>
          <w:color w:val="auto"/>
          <w:szCs w:val="28"/>
          <w:highlight w:val="none"/>
        </w:rPr>
        <w:t xml:space="preserve"> 水文地质类型</w:t>
      </w:r>
    </w:p>
    <w:p w14:paraId="02B9A72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地下水类型为第四系松散岩孔隙潜水和基岩裂隙水，主要矿体位于当地侵蚀基准面以上，地形条件有利于自然排水；主要充水含水层的补给条件差；第四系覆盖很少；水文地质边界条件简单；充水含水层富水性弱；存在良好的隔水层；疏干排水不会产生坍塌、沉降。</w:t>
      </w:r>
    </w:p>
    <w:p w14:paraId="274F641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根据《矿区水文地质工程地质勘查规范》（GB</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T12719-2021），确定水文地质条件勘探类型为第二类第一型，即以裂隙含水层充水为主的矿床，水文地质条件简单。</w:t>
      </w:r>
    </w:p>
    <w:p w14:paraId="2BBF4157">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2.3.5 工程地质概况</w:t>
      </w:r>
    </w:p>
    <w:p w14:paraId="633A6A90">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2.3.5.1 工程地质岩组及特征</w:t>
      </w:r>
    </w:p>
    <w:p w14:paraId="53170CD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根据岩土成因、岩性、结构特征、结构面发育程度和分布特点，以及岩石物理力学性质和对未来矿山开采的影响程度等，将矿区岩性划分为两个工程地质岩组。</w:t>
      </w:r>
    </w:p>
    <w:p w14:paraId="3654C84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1）松散软弱岩组</w:t>
      </w:r>
    </w:p>
    <w:p w14:paraId="6D95529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该岩组主要为第四系松散软弱层，分布在矿区的中低山坡与沟谷下部、堆积厚度在3～4m，山坡上富含腐殖质，沟谷地带主要以粉质粘土、砂土、卵砾石层组成。粉质粘土、砂土为黄色，湿到饱和，松散～稍密，可塑。不宜作为地基基础。卵砾石层为松散—稍密—中密，颗粒不均，卵砾石含量40～50%，卵石最大粒径1000mm，一般10～300mm，砾石最大粒径3000mm，一般10～100mm，该层颗粒较粗，富水性强，透水性好。</w:t>
      </w:r>
    </w:p>
    <w:p w14:paraId="148F620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工程地质特征为结构松散，固结度低，工程强度和稳固性差，第四系松散软弱层在风力与水力作用下容易搬移，形成扬尘或沙尘暴，遇到强降雨斜坡地带容易造成水土流失等地质灾害</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是本区次要工程岩组。</w:t>
      </w:r>
    </w:p>
    <w:p w14:paraId="5BB045F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2）坚硬块状岩组</w:t>
      </w:r>
    </w:p>
    <w:p w14:paraId="1477E62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分布于矿区大部，岩性为石英砂岩。岩石致密坚硬，节理裂隙发育一般，属较坚硬岩石，岩心以柱状、长柱状为主，岩石质量以好的、较好的为主，岩体破碎到较完整到完整，岩体为整体块状结构。</w:t>
      </w:r>
    </w:p>
    <w:p w14:paraId="56C5111A">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2.3.5.2 结构面特征</w:t>
      </w:r>
    </w:p>
    <w:p w14:paraId="612DEF5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矿区</w:t>
      </w:r>
      <w:r>
        <w:rPr>
          <w:rFonts w:ascii="Times New Roman Regular" w:hAnsi="Times New Roman Regular" w:cs="Times New Roman Regular"/>
          <w:color w:val="auto"/>
          <w:sz w:val="28"/>
          <w:szCs w:val="28"/>
          <w:highlight w:val="none"/>
        </w:rPr>
        <w:t>的石英砂岩矿床及顶底板大都为石英砂岩，属青白口系陆源碎屑海相沉积，主要有节理及接触带，现叙述如下：</w:t>
      </w:r>
    </w:p>
    <w:p w14:paraId="3A4458E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1）节理：岩石基岩强风化带深度一般0.30～1.50m，中等风化带深度1.5～50m，随深度的增加节理逐渐减弱，岩石节理发育较差，钻孔岩心大都较完整，呈柱状、长柱状，岩石完整度较高。</w:t>
      </w:r>
    </w:p>
    <w:p w14:paraId="6B12ECB5">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2）接触带：主要为东南部与南芬组接触带，属整合接触</w:t>
      </w:r>
      <w:r>
        <w:rPr>
          <w:rFonts w:hint="eastAsia" w:ascii="Times New Roman Regular" w:hAnsi="Times New Roman Regular" w:cs="Times New Roman Regular"/>
          <w:color w:val="auto"/>
          <w:sz w:val="28"/>
          <w:szCs w:val="28"/>
          <w:highlight w:val="none"/>
        </w:rPr>
        <w:t>。</w:t>
      </w:r>
    </w:p>
    <w:p w14:paraId="500FB957">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2.3.5.</w:t>
      </w:r>
      <w:r>
        <w:rPr>
          <w:rFonts w:hint="eastAsia" w:ascii="Times New Roman Regular" w:hAnsi="Times New Roman Regular" w:eastAsia="宋体" w:cs="Times New Roman Regular"/>
          <w:color w:val="auto"/>
          <w:szCs w:val="28"/>
          <w:highlight w:val="none"/>
        </w:rPr>
        <w:t>3</w:t>
      </w:r>
      <w:r>
        <w:rPr>
          <w:rFonts w:ascii="Times New Roman Regular" w:hAnsi="Times New Roman Regular" w:eastAsia="宋体" w:cs="Times New Roman Regular"/>
          <w:color w:val="auto"/>
          <w:szCs w:val="28"/>
          <w:highlight w:val="none"/>
        </w:rPr>
        <w:t xml:space="preserve"> 岩体质量</w:t>
      </w:r>
    </w:p>
    <w:p w14:paraId="0646138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石英砂岩矿床顶底板大都为紫红色砂质页岩及黄绿色含砂质页岩，岩石较致密，节理裂隙发育较差，岩石完整度较高，钓鱼台组石英砂岩，其单轴抗压强度91.50～96.67MPa，平均抗压强度93.50MPa，岩石为较坚硬-坚硬岩石，说明矿区基岩岩石强度较大。</w:t>
      </w:r>
    </w:p>
    <w:p w14:paraId="4966E79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本区各钻孔工程RQD值为72%-96%。结合岩石质量等级表，有17个钻孔RQD在90-100%之间，岩石质量等级极好；有11个钻孔RQD在75%-90%之间，岩体质量</w:t>
      </w:r>
      <w:r>
        <w:rPr>
          <w:rFonts w:hint="eastAsia" w:ascii="Times New Roman Regular" w:hAnsi="Times New Roman Regular" w:cs="Times New Roman Regular"/>
          <w:color w:val="auto"/>
          <w:sz w:val="28"/>
          <w:szCs w:val="28"/>
          <w:highlight w:val="none"/>
        </w:rPr>
        <w:t>为</w:t>
      </w:r>
      <w:r>
        <w:rPr>
          <w:rFonts w:ascii="Times New Roman Regular" w:hAnsi="Times New Roman Regular" w:cs="Times New Roman Regular"/>
          <w:color w:val="auto"/>
          <w:sz w:val="28"/>
          <w:szCs w:val="28"/>
          <w:highlight w:val="none"/>
        </w:rPr>
        <w:t>好；有1个钻孔RQD在50%-75%之间，岩体质量</w:t>
      </w:r>
      <w:r>
        <w:rPr>
          <w:rFonts w:hint="eastAsia" w:ascii="Times New Roman Regular" w:hAnsi="Times New Roman Regular" w:cs="Times New Roman Regular"/>
          <w:color w:val="auto"/>
          <w:sz w:val="28"/>
          <w:szCs w:val="28"/>
          <w:highlight w:val="none"/>
        </w:rPr>
        <w:t>为</w:t>
      </w:r>
      <w:r>
        <w:rPr>
          <w:rFonts w:ascii="Times New Roman Regular" w:hAnsi="Times New Roman Regular" w:cs="Times New Roman Regular"/>
          <w:color w:val="auto"/>
          <w:sz w:val="28"/>
          <w:szCs w:val="28"/>
          <w:highlight w:val="none"/>
        </w:rPr>
        <w:t>中等。</w:t>
      </w:r>
    </w:p>
    <w:p w14:paraId="0BD09B9A">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2.3.5.</w:t>
      </w:r>
      <w:r>
        <w:rPr>
          <w:rFonts w:hint="eastAsia" w:ascii="Times New Roman Regular" w:hAnsi="Times New Roman Regular" w:eastAsia="宋体" w:cs="Times New Roman Regular"/>
          <w:color w:val="auto"/>
          <w:szCs w:val="28"/>
          <w:highlight w:val="none"/>
        </w:rPr>
        <w:t>4</w:t>
      </w:r>
      <w:r>
        <w:rPr>
          <w:rFonts w:ascii="Times New Roman Regular" w:hAnsi="Times New Roman Regular" w:eastAsia="宋体" w:cs="Times New Roman Regular"/>
          <w:color w:val="auto"/>
          <w:szCs w:val="28"/>
          <w:highlight w:val="none"/>
        </w:rPr>
        <w:t xml:space="preserve"> 工程地质评价</w:t>
      </w:r>
    </w:p>
    <w:p w14:paraId="5CEE187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1）矿层顶底板稳定性评价</w:t>
      </w:r>
    </w:p>
    <w:p w14:paraId="352C9B6A">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开采模式为露天，大多数矿体顶底板为岩性为中-薄层石英岩，岩石较致密，节理裂隙较发育。根据2016年1月中国建筑材料工业地质勘查中心辽宁总队提交的《辽宁省本溪市南芬区小平顶山玻璃用石英砂岩矿资源储量核实报告》（辽国土资储备字【2016】045号）显示：矿层顶底板岩石抗压强度：垂直层理1316.31kg/c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；平行层理1341.30kg/cm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；抗剪强度512.67kg/cm</w:t>
      </w:r>
      <w:r>
        <w:rPr>
          <w:rFonts w:ascii="Times New Roman Regular" w:hAnsi="Times New Roman Regular" w:cs="Times New Roman Regular"/>
          <w:color w:val="auto"/>
          <w:sz w:val="28"/>
          <w:szCs w:val="28"/>
          <w:highlight w:val="none"/>
          <w:vertAlign w:val="superscript"/>
        </w:rPr>
        <w:t>2</w:t>
      </w:r>
      <w:r>
        <w:rPr>
          <w:rFonts w:ascii="Times New Roman Regular" w:hAnsi="Times New Roman Regular" w:cs="Times New Roman Regular"/>
          <w:color w:val="auto"/>
          <w:sz w:val="28"/>
          <w:szCs w:val="28"/>
          <w:highlight w:val="none"/>
        </w:rPr>
        <w:t>；体重2.586g/cm</w:t>
      </w:r>
      <w:r>
        <w:rPr>
          <w:rFonts w:ascii="Times New Roman Regular" w:hAnsi="Times New Roman Regular" w:cs="Times New Roman Regular"/>
          <w:color w:val="auto"/>
          <w:sz w:val="28"/>
          <w:szCs w:val="28"/>
          <w:highlight w:val="none"/>
          <w:vertAlign w:val="superscript"/>
        </w:rPr>
        <w:t>3</w:t>
      </w:r>
      <w:r>
        <w:rPr>
          <w:rFonts w:ascii="Times New Roman Regular" w:hAnsi="Times New Roman Regular" w:cs="Times New Roman Regular"/>
          <w:color w:val="auto"/>
          <w:sz w:val="28"/>
          <w:szCs w:val="28"/>
          <w:highlight w:val="none"/>
        </w:rPr>
        <w:t>。岩石完整度较高，矿体及顶、底板岩石力学强度较高，在化学成分上同矿石相比SiO</w:t>
      </w:r>
      <w:r>
        <w:rPr>
          <w:rFonts w:ascii="Times New Roman Regular" w:hAnsi="Times New Roman Regular" w:cs="Times New Roman Regular"/>
          <w:color w:val="auto"/>
          <w:sz w:val="28"/>
          <w:szCs w:val="28"/>
          <w:highlight w:val="none"/>
          <w:vertAlign w:val="subscript"/>
        </w:rPr>
        <w:t>2</w:t>
      </w:r>
      <w:r>
        <w:rPr>
          <w:rFonts w:ascii="Times New Roman Regular" w:hAnsi="Times New Roman Regular" w:cs="Times New Roman Regular"/>
          <w:color w:val="auto"/>
          <w:sz w:val="28"/>
          <w:szCs w:val="28"/>
          <w:highlight w:val="none"/>
        </w:rPr>
        <w:t>含量较低，铁含量稍高，岩性上有长石等其他矿物，单层厚度0.1～0.7m，夹有砂质薄层，该层底部0.6～1.7m有单层厚度1cm左右的砂岩、泥质砂岩、泥质页岩的互层，为与矿层分层的标志层。</w:t>
      </w:r>
    </w:p>
    <w:p w14:paraId="0B530EB9">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2）采场边坡、围岩的稳定性及剥离物强度</w:t>
      </w:r>
    </w:p>
    <w:p w14:paraId="0C68813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①</w:t>
      </w:r>
      <w:r>
        <w:rPr>
          <w:rFonts w:ascii="Times New Roman Regular" w:hAnsi="Times New Roman Regular" w:cs="Times New Roman Regular"/>
          <w:color w:val="auto"/>
          <w:sz w:val="28"/>
          <w:szCs w:val="28"/>
          <w:highlight w:val="none"/>
        </w:rPr>
        <w:t>采场边坡围岩的稳定性：岩性大都为石英砂岩，岩石较致密，节理裂隙发育较差，岩石完整度较高，岩石力学强度较高，属较坚硬岩石，岩石稳定性较好。</w:t>
      </w:r>
    </w:p>
    <w:p w14:paraId="2030C7D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②</w:t>
      </w:r>
      <w:r>
        <w:rPr>
          <w:rFonts w:ascii="Times New Roman Regular" w:hAnsi="Times New Roman Regular" w:cs="Times New Roman Regular"/>
          <w:color w:val="auto"/>
          <w:sz w:val="28"/>
          <w:szCs w:val="28"/>
          <w:highlight w:val="none"/>
        </w:rPr>
        <w:t>剥离物强度：岩性为石英砂岩及砂岩夹页岩与石英砂岩互层，岩石较致密，节理裂隙发育较差，岩石硬度较高，剥离物强度中等。</w:t>
      </w:r>
    </w:p>
    <w:p w14:paraId="0A6F1577">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2.3.5.</w:t>
      </w:r>
      <w:r>
        <w:rPr>
          <w:rFonts w:hint="eastAsia" w:ascii="Times New Roman Regular" w:hAnsi="Times New Roman Regular" w:eastAsia="宋体" w:cs="Times New Roman Regular"/>
          <w:color w:val="auto"/>
          <w:szCs w:val="28"/>
          <w:highlight w:val="none"/>
        </w:rPr>
        <w:t>5</w:t>
      </w:r>
      <w:r>
        <w:rPr>
          <w:rFonts w:ascii="Times New Roman Regular" w:hAnsi="Times New Roman Regular" w:eastAsia="宋体" w:cs="Times New Roman Regular"/>
          <w:color w:val="auto"/>
          <w:szCs w:val="28"/>
          <w:highlight w:val="none"/>
        </w:rPr>
        <w:t xml:space="preserve"> 工程地质类型</w:t>
      </w:r>
    </w:p>
    <w:p w14:paraId="62973CF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综上所述，矿区矿体赋存于青白口系钓鱼台组砂岩夹页岩与石英砂岩互层的地层中，为坚硬岩层为主的层状矿床。区内地质构造较发育，受构造影响局部岩体稳固性较差，不影响整体稳定性。</w:t>
      </w:r>
    </w:p>
    <w:p w14:paraId="5F0A953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依据GB</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T12719-2021《矿区水文地质工程地质勘查规范》，确定矿区工程地质勘探类型为第四类第一型，即层状岩类为主工程地质条件简单。</w:t>
      </w:r>
    </w:p>
    <w:p w14:paraId="340A3AE3">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2.3.6 环境地质概况</w:t>
      </w:r>
    </w:p>
    <w:p w14:paraId="0781F840">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根据《中国地震动参数区划图》(GB18306-2015)工作划分，本区地震烈度为Ⅵ度，峰值加速度分区为0.10g区，反应谱特征周期（Tg）分区为0.40区。据以往地震资料记载，规划区及周边地区地震较少，1970</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1985年间发生有震中坐标资料的地震30次，其中1974年12月22日，辽阳县孤家子乡发生Ms=4.8级地震，此次地震前后，出现一系列地震活动，总体为震前连续发生地震活动增强趋势，震后又出现地震渐次衰减趋势。1975年7月3日海城发生Ms=7.3级地震。1985</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1999年无地震记录。1999年5月4日，海城发生Ms=5.4级地震，此后小震活动又较频繁。自2015年至今无大的地震活动，不完全统计，小震有16次。第四纪以来，区内未发生新构造活动现象，综上所述，本区区域稳定性较好。</w:t>
      </w:r>
    </w:p>
    <w:p w14:paraId="201D644D">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w:t>
      </w:r>
      <w:r>
        <w:rPr>
          <w:rFonts w:hint="eastAsia" w:ascii="Times New Roman Regular" w:hAnsi="Times New Roman Regular" w:eastAsia="宋体" w:cs="Times New Roman Regular"/>
          <w:color w:val="auto"/>
          <w:szCs w:val="28"/>
          <w:highlight w:val="none"/>
        </w:rPr>
        <w:t>6</w:t>
      </w:r>
      <w:r>
        <w:rPr>
          <w:rFonts w:ascii="Times New Roman Regular" w:hAnsi="Times New Roman Regular" w:eastAsia="宋体" w:cs="Times New Roman Regular"/>
          <w:color w:val="auto"/>
          <w:szCs w:val="28"/>
          <w:highlight w:val="none"/>
        </w:rPr>
        <w:t>.1 地质环境现状</w:t>
      </w:r>
    </w:p>
    <w:p w14:paraId="229DA88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区属中低山区，地形坡度一般在15～25°之间。第四系为松散的残坡积沙砾石及腐植土，覆盖层约0.5～2m，其下部为基岩。目前区内未发生泥石流、滑坡等地质灾害，未对区内地表水及土壤造成污染，而附近居民点也只产生正常生活污水，对地表水污染较小。矿区内没有对地质环境有重要影响的地表建(构)筑物分布。</w:t>
      </w:r>
    </w:p>
    <w:p w14:paraId="1557129F">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w:t>
      </w:r>
      <w:r>
        <w:rPr>
          <w:rFonts w:hint="eastAsia" w:ascii="Times New Roman Regular" w:hAnsi="Times New Roman Regular" w:eastAsia="宋体" w:cs="Times New Roman Regular"/>
          <w:color w:val="auto"/>
          <w:szCs w:val="28"/>
          <w:highlight w:val="none"/>
        </w:rPr>
        <w:t>6</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rPr>
        <w:t>2</w:t>
      </w:r>
      <w:r>
        <w:rPr>
          <w:rFonts w:ascii="Times New Roman Regular" w:hAnsi="Times New Roman Regular" w:eastAsia="宋体" w:cs="Times New Roman Regular"/>
          <w:color w:val="auto"/>
          <w:szCs w:val="28"/>
          <w:highlight w:val="none"/>
        </w:rPr>
        <w:t xml:space="preserve"> 矿山开采地质环境影响</w:t>
      </w:r>
    </w:p>
    <w:p w14:paraId="48720D7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矿床开采必然导致自然环境破坏，依据本区实际情况，矿床开采可能引发地质环境破坏主要表现以下几个方面：</w:t>
      </w:r>
    </w:p>
    <w:p w14:paraId="5A7C694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（1）崩塌、滑坡、泥石流</w:t>
      </w:r>
    </w:p>
    <w:p w14:paraId="71E0703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矿区地貌类型为构造剥蚀低山地貌单元，相对高差较大，坡度15</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25°，第四系坡积物分布在地形缓坡地带，且土层薄，植被发育好，零星分布有少量崩塌体，规模较小，不会发生滑坡、泥石流等地质灾害。但矿区周边有废渣堆，属松散掩体，当雨季雨量较大时，可能会发生滑坡、泥石流等现象，建议对废渣堆采取地质灾害防治措施，以防止和降低其发生的可能性。</w:t>
      </w:r>
    </w:p>
    <w:p w14:paraId="4A3E8FA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（2）河水和浅层地下水</w:t>
      </w:r>
    </w:p>
    <w:p w14:paraId="5D19DC3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附近无工业污染源，矿石及渣堆不易分解出有害成分，矿山产生的废水(包括生产用水、生活用水等)会对地表水、地下水、土壤环境产生一定影响，建议对矿山废水进行污水处理后并达到GB/T14848《地下水质量标准》、GB/3838-2002《地下水环境质量标准》的要求后排放。</w:t>
      </w:r>
    </w:p>
    <w:p w14:paraId="442164E6">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（3）地形地貌和土地资源</w:t>
      </w:r>
    </w:p>
    <w:p w14:paraId="5028934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矿山开采会造成地形地貌和土地资源进一步挖损和压占，破坏了可视范围内地形地貌及植被景观，建议矿山闭坑后应进行回填，植树造林，维护生态环境。</w:t>
      </w:r>
    </w:p>
    <w:p w14:paraId="3FA644A9">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2.3.</w:t>
      </w:r>
      <w:r>
        <w:rPr>
          <w:rFonts w:hint="eastAsia" w:ascii="Times New Roman Regular" w:hAnsi="Times New Roman Regular" w:eastAsia="宋体" w:cs="Times New Roman Regular"/>
          <w:color w:val="auto"/>
          <w:szCs w:val="28"/>
          <w:highlight w:val="none"/>
        </w:rPr>
        <w:t>6</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rPr>
        <w:t>3</w:t>
      </w:r>
      <w:r>
        <w:rPr>
          <w:rFonts w:ascii="Times New Roman Regular" w:hAnsi="Times New Roman Regular" w:eastAsia="宋体" w:cs="Times New Roman Regular"/>
          <w:color w:val="auto"/>
          <w:szCs w:val="28"/>
          <w:highlight w:val="none"/>
        </w:rPr>
        <w:t xml:space="preserve"> 地质环境质量</w:t>
      </w:r>
    </w:p>
    <w:p w14:paraId="68A4E0A2">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矿区内及其附近主要为普通的自然环境状态，没有旅游区、重点文物保护区与自然保护区。矿产勘查、开发会对环境造成一定程度的影响与破坏。环境地质条件复杂程度属中等型。</w:t>
      </w:r>
    </w:p>
    <w:p w14:paraId="184A8D82">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2.3.</w:t>
      </w:r>
      <w:r>
        <w:rPr>
          <w:rFonts w:hint="eastAsia" w:ascii="Times New Roman Regular" w:hAnsi="Times New Roman Regular" w:cs="Times New Roman Regular"/>
          <w:color w:val="auto"/>
          <w:highlight w:val="none"/>
        </w:rPr>
        <w:t>7</w:t>
      </w:r>
      <w:r>
        <w:rPr>
          <w:rFonts w:ascii="Times New Roman Regular" w:hAnsi="Times New Roman Regular" w:cs="Times New Roman Regular"/>
          <w:color w:val="auto"/>
          <w:highlight w:val="none"/>
        </w:rPr>
        <w:t xml:space="preserve"> 地质</w:t>
      </w:r>
      <w:r>
        <w:rPr>
          <w:rFonts w:hint="eastAsia" w:ascii="Times New Roman Regular" w:hAnsi="Times New Roman Regular" w:cs="Times New Roman Regular"/>
          <w:color w:val="auto"/>
          <w:highlight w:val="none"/>
        </w:rPr>
        <w:t>条件小结</w:t>
      </w:r>
    </w:p>
    <w:p w14:paraId="7F2361D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综合评价，本矿床水文地质条件复杂程度为简单，工程地质条件复杂程度为简单，环境地质条件复杂程度为中等，根据中华人民共和国国家标准GB/T13908-2020《固体矿产地质勘查规范总则》中的“固体矿产开采技术条件勘查类型划分及工作要求表”中的勘查类型划分标准，确定矿区矿床开采技术条件为以环境地质问题为主的中等类型（Ⅱ－3）。</w:t>
      </w:r>
    </w:p>
    <w:p w14:paraId="0B6E002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在矿区开采中坚持“安全第一、预防为主、治理治理”的原则，贯彻水害防治“预测预报，有疑必探，先探后掘，先治后采”的十六字方针和“防、堵、疏、排、截”五项综合治理措施。</w:t>
      </w:r>
    </w:p>
    <w:p w14:paraId="160899BC">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57" w:name="_Toc6866"/>
      <w:bookmarkStart w:id="58" w:name="_Toc1610183621"/>
      <w:bookmarkStart w:id="59" w:name="_Toc31783"/>
      <w:r>
        <w:rPr>
          <w:rFonts w:ascii="Times New Roman Regular" w:hAnsi="Times New Roman Regular" w:eastAsia="黑体" w:cs="Times New Roman Regular"/>
          <w:color w:val="auto"/>
          <w:sz w:val="30"/>
          <w:highlight w:val="none"/>
        </w:rPr>
        <w:t>2.4</w:t>
      </w:r>
      <w:r>
        <w:rPr>
          <w:rFonts w:hint="eastAsia" w:ascii="Times New Roman Regular" w:hAnsi="Times New Roman Regular" w:eastAsia="黑体" w:cs="Times New Roman Regular"/>
          <w:color w:val="auto"/>
          <w:sz w:val="30"/>
          <w:highlight w:val="none"/>
        </w:rPr>
        <w:t xml:space="preserve"> </w:t>
      </w:r>
      <w:r>
        <w:rPr>
          <w:rFonts w:ascii="Times New Roman Regular" w:hAnsi="Times New Roman Regular" w:eastAsia="黑体" w:cs="Times New Roman Regular"/>
          <w:color w:val="auto"/>
          <w:sz w:val="30"/>
          <w:highlight w:val="none"/>
        </w:rPr>
        <w:t>设计概况</w:t>
      </w:r>
      <w:bookmarkEnd w:id="57"/>
      <w:bookmarkEnd w:id="58"/>
      <w:bookmarkEnd w:id="59"/>
    </w:p>
    <w:p w14:paraId="62FE724C">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本节内容为</w:t>
      </w:r>
      <w:r>
        <w:rPr>
          <w:rFonts w:ascii="Times New Roman Regular" w:hAnsi="Times New Roman Regular" w:cs="Times New Roman Regular"/>
          <w:color w:val="auto"/>
          <w:sz w:val="28"/>
          <w:szCs w:val="28"/>
          <w:highlight w:val="none"/>
          <w:lang w:val="zh-CN"/>
        </w:rPr>
        <w:t>中国冶金矿业鞍山冶金设计研究院有限责任公司202</w:t>
      </w:r>
      <w:r>
        <w:rPr>
          <w:rFonts w:ascii="Times New Roman Regular" w:hAnsi="Times New Roman Regular" w:cs="Times New Roman Regular"/>
          <w:color w:val="auto"/>
          <w:sz w:val="28"/>
          <w:szCs w:val="28"/>
          <w:highlight w:val="none"/>
        </w:rPr>
        <w:t>5</w:t>
      </w:r>
      <w:r>
        <w:rPr>
          <w:rFonts w:ascii="Times New Roman Regular" w:hAnsi="Times New Roman Regular" w:cs="Times New Roman Regular"/>
          <w:color w:val="auto"/>
          <w:sz w:val="28"/>
          <w:szCs w:val="28"/>
          <w:highlight w:val="none"/>
          <w:lang w:val="zh-CN"/>
        </w:rPr>
        <w:t>年</w:t>
      </w:r>
      <w:r>
        <w:rPr>
          <w:rFonts w:hint="eastAsia" w:ascii="Times New Roman Regular" w:hAnsi="Times New Roman Regular" w:cs="Times New Roman Regular"/>
          <w:color w:val="auto"/>
          <w:sz w:val="28"/>
          <w:szCs w:val="28"/>
          <w:highlight w:val="none"/>
        </w:rPr>
        <w:t>4</w:t>
      </w:r>
      <w:r>
        <w:rPr>
          <w:rFonts w:ascii="Times New Roman Regular" w:hAnsi="Times New Roman Regular" w:cs="Times New Roman Regular"/>
          <w:color w:val="auto"/>
          <w:sz w:val="28"/>
          <w:szCs w:val="28"/>
          <w:highlight w:val="none"/>
          <w:lang w:val="zh-CN"/>
        </w:rPr>
        <w:t>月</w:t>
      </w:r>
      <w:r>
        <w:rPr>
          <w:rFonts w:ascii="Times New Roman Regular" w:hAnsi="Times New Roman Regular" w:cs="Times New Roman Regular"/>
          <w:color w:val="auto"/>
          <w:sz w:val="28"/>
          <w:szCs w:val="28"/>
          <w:highlight w:val="none"/>
        </w:rPr>
        <w:t>编制的《</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（玻璃用石英岩）露天开采建设项目安全设施设计》</w:t>
      </w:r>
      <w:r>
        <w:rPr>
          <w:rFonts w:ascii="Times New Roman Regular" w:hAnsi="Times New Roman Regular" w:cs="Times New Roman Regular"/>
          <w:color w:val="auto"/>
          <w:sz w:val="28"/>
          <w:szCs w:val="28"/>
          <w:highlight w:val="none"/>
          <w:lang w:val="zh-CN"/>
        </w:rPr>
        <w:t>，</w:t>
      </w:r>
      <w:r>
        <w:rPr>
          <w:rFonts w:ascii="Times New Roman Regular" w:hAnsi="Times New Roman Regular" w:cs="Times New Roman Regular"/>
          <w:color w:val="auto"/>
          <w:sz w:val="28"/>
          <w:szCs w:val="28"/>
          <w:highlight w:val="none"/>
        </w:rPr>
        <w:t>以下简称《</w:t>
      </w:r>
      <w:r>
        <w:rPr>
          <w:rFonts w:ascii="Times New Roman Regular" w:hAnsi="Times New Roman Regular" w:cs="Times New Roman Regular"/>
          <w:color w:val="auto"/>
          <w:sz w:val="28"/>
          <w:szCs w:val="28"/>
          <w:highlight w:val="none"/>
          <w:lang w:val="zh-CN"/>
        </w:rPr>
        <w:t>安全设施设计</w:t>
      </w:r>
      <w:r>
        <w:rPr>
          <w:rFonts w:ascii="Times New Roman Regular" w:hAnsi="Times New Roman Regular" w:cs="Times New Roman Regular"/>
          <w:color w:val="auto"/>
          <w:sz w:val="28"/>
          <w:szCs w:val="28"/>
          <w:highlight w:val="none"/>
        </w:rPr>
        <w:t>》。</w:t>
      </w:r>
    </w:p>
    <w:p w14:paraId="5673C5DE">
      <w:pPr>
        <w:pStyle w:val="5"/>
        <w:rPr>
          <w:rFonts w:ascii="Times New Roman" w:hAnsi="Times New Roman"/>
          <w:color w:val="auto"/>
          <w:highlight w:val="none"/>
        </w:rPr>
      </w:pPr>
      <w:r>
        <w:rPr>
          <w:rFonts w:ascii="Times New Roman" w:hAnsi="Times New Roman"/>
          <w:color w:val="auto"/>
          <w:highlight w:val="none"/>
        </w:rPr>
        <w:t>2.4.1</w:t>
      </w:r>
      <w:r>
        <w:rPr>
          <w:rFonts w:hint="eastAsia" w:ascii="Times New Roman" w:hAnsi="Times New Roman"/>
          <w:color w:val="auto"/>
          <w:highlight w:val="none"/>
        </w:rPr>
        <w:t xml:space="preserve"> </w:t>
      </w:r>
      <w:r>
        <w:rPr>
          <w:rFonts w:ascii="Times New Roman" w:hAnsi="Times New Roman"/>
          <w:color w:val="auto"/>
          <w:highlight w:val="none"/>
        </w:rPr>
        <w:t>总平面布置</w:t>
      </w:r>
    </w:p>
    <w:p w14:paraId="327AC3F2">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（1）区域概况</w:t>
      </w:r>
    </w:p>
    <w:p w14:paraId="2ABBDCC7">
      <w:pPr>
        <w:adjustRightInd w:val="0"/>
        <w:snapToGrid w:val="0"/>
        <w:spacing w:line="360" w:lineRule="auto"/>
        <w:ind w:firstLine="560" w:firstLineChars="200"/>
        <w:rPr>
          <w:rFonts w:ascii="Times New Roman" w:hAnsi="Times New Roman"/>
          <w:color w:val="auto"/>
          <w:sz w:val="28"/>
          <w:szCs w:val="28"/>
          <w:highlight w:val="none"/>
        </w:rPr>
      </w:pPr>
    </w:p>
    <w:p w14:paraId="04118B2C">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（2）总平面布置</w:t>
      </w:r>
    </w:p>
    <w:p w14:paraId="3014D866">
      <w:pPr>
        <w:adjustRightInd w:val="0"/>
        <w:snapToGrid w:val="0"/>
        <w:spacing w:line="360" w:lineRule="auto"/>
        <w:ind w:firstLine="560" w:firstLineChars="200"/>
        <w:rPr>
          <w:rFonts w:ascii="Times New Roman" w:hAnsi="Times New Roman"/>
          <w:color w:val="auto"/>
          <w:sz w:val="28"/>
          <w:szCs w:val="28"/>
          <w:highlight w:val="none"/>
        </w:rPr>
      </w:pPr>
    </w:p>
    <w:p w14:paraId="2ABE8A7C">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（3）</w:t>
      </w:r>
      <w:r>
        <w:rPr>
          <w:rFonts w:hint="eastAsia" w:ascii="Times New Roman" w:hAnsi="Times New Roman"/>
          <w:color w:val="auto"/>
          <w:sz w:val="28"/>
          <w:szCs w:val="28"/>
          <w:highlight w:val="none"/>
        </w:rPr>
        <w:t>露天采场</w:t>
      </w:r>
    </w:p>
    <w:p w14:paraId="6AD3912F">
      <w:pPr>
        <w:adjustRightInd w:val="0"/>
        <w:snapToGrid w:val="0"/>
        <w:spacing w:line="360" w:lineRule="auto"/>
        <w:ind w:firstLine="560" w:firstLineChars="200"/>
        <w:rPr>
          <w:rFonts w:ascii="Times New Roman" w:hAnsi="Times New Roman"/>
          <w:color w:val="auto"/>
          <w:sz w:val="28"/>
          <w:szCs w:val="28"/>
          <w:highlight w:val="none"/>
        </w:rPr>
      </w:pPr>
    </w:p>
    <w:p w14:paraId="5175A59E">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（3）工业场地</w:t>
      </w:r>
    </w:p>
    <w:p w14:paraId="51D06896">
      <w:pPr>
        <w:adjustRightInd w:val="0"/>
        <w:snapToGrid w:val="0"/>
        <w:spacing w:line="360" w:lineRule="auto"/>
        <w:ind w:firstLine="560" w:firstLineChars="200"/>
        <w:rPr>
          <w:rFonts w:ascii="Times New Roman" w:hAnsi="Times New Roman"/>
          <w:color w:val="auto"/>
          <w:sz w:val="28"/>
          <w:szCs w:val="28"/>
          <w:highlight w:val="none"/>
        </w:rPr>
      </w:pPr>
    </w:p>
    <w:p w14:paraId="43491E48">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（4）内外部运输</w:t>
      </w:r>
    </w:p>
    <w:p w14:paraId="671B7730">
      <w:pPr>
        <w:adjustRightInd w:val="0"/>
        <w:snapToGrid w:val="0"/>
        <w:spacing w:line="360" w:lineRule="auto"/>
        <w:ind w:firstLine="560" w:firstLineChars="200"/>
        <w:rPr>
          <w:rFonts w:ascii="Times New Roman" w:hAnsi="Times New Roman"/>
          <w:color w:val="auto"/>
          <w:sz w:val="28"/>
          <w:szCs w:val="28"/>
          <w:highlight w:val="none"/>
        </w:rPr>
      </w:pPr>
    </w:p>
    <w:p w14:paraId="23B84DC5">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（5）排土场</w:t>
      </w:r>
    </w:p>
    <w:p w14:paraId="708C5688">
      <w:pPr>
        <w:adjustRightInd w:val="0"/>
        <w:snapToGrid w:val="0"/>
        <w:spacing w:line="360" w:lineRule="auto"/>
        <w:ind w:firstLine="560" w:firstLineChars="200"/>
        <w:rPr>
          <w:rFonts w:ascii="Times New Roman" w:hAnsi="Times New Roman"/>
          <w:color w:val="auto"/>
          <w:sz w:val="28"/>
          <w:szCs w:val="28"/>
          <w:highlight w:val="none"/>
        </w:rPr>
      </w:pPr>
    </w:p>
    <w:p w14:paraId="0A026758">
      <w:pPr>
        <w:pStyle w:val="5"/>
        <w:rPr>
          <w:rFonts w:ascii="Times New Roman" w:hAnsi="Times New Roman"/>
          <w:color w:val="auto"/>
          <w:highlight w:val="none"/>
        </w:rPr>
      </w:pPr>
      <w:r>
        <w:rPr>
          <w:rFonts w:ascii="Times New Roman" w:hAnsi="Times New Roman"/>
          <w:color w:val="auto"/>
          <w:highlight w:val="none"/>
        </w:rPr>
        <w:t>2.4.2</w:t>
      </w:r>
      <w:r>
        <w:rPr>
          <w:rFonts w:hint="eastAsia" w:ascii="Times New Roman" w:hAnsi="Times New Roman"/>
          <w:color w:val="auto"/>
          <w:highlight w:val="none"/>
        </w:rPr>
        <w:t xml:space="preserve"> </w:t>
      </w:r>
      <w:r>
        <w:rPr>
          <w:rFonts w:ascii="Times New Roman" w:hAnsi="Times New Roman"/>
          <w:color w:val="auto"/>
          <w:highlight w:val="none"/>
        </w:rPr>
        <w:t>开采范围</w:t>
      </w:r>
    </w:p>
    <w:p w14:paraId="19434070">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（1）开采方式</w:t>
      </w:r>
    </w:p>
    <w:p w14:paraId="440BB545">
      <w:pPr>
        <w:adjustRightInd w:val="0"/>
        <w:snapToGrid w:val="0"/>
        <w:spacing w:line="360" w:lineRule="auto"/>
        <w:ind w:firstLine="560" w:firstLineChars="200"/>
        <w:rPr>
          <w:rFonts w:ascii="Times New Roman" w:hAnsi="Times New Roman"/>
          <w:color w:val="auto"/>
          <w:sz w:val="28"/>
          <w:szCs w:val="28"/>
          <w:highlight w:val="none"/>
        </w:rPr>
      </w:pPr>
    </w:p>
    <w:p w14:paraId="1035F4D5">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（2）开采范围</w:t>
      </w:r>
    </w:p>
    <w:p w14:paraId="00FE3DEA">
      <w:pPr>
        <w:adjustRightInd w:val="0"/>
        <w:snapToGrid w:val="0"/>
        <w:spacing w:line="360" w:lineRule="auto"/>
        <w:ind w:firstLine="560" w:firstLineChars="200"/>
        <w:rPr>
          <w:rFonts w:ascii="Times New Roman" w:hAnsi="Times New Roman"/>
          <w:color w:val="auto"/>
          <w:sz w:val="28"/>
          <w:szCs w:val="28"/>
          <w:highlight w:val="none"/>
        </w:rPr>
      </w:pPr>
    </w:p>
    <w:p w14:paraId="3499E5C4">
      <w:pPr>
        <w:adjustRightInd w:val="0"/>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（3）开采顺序</w:t>
      </w:r>
    </w:p>
    <w:p w14:paraId="0F106D0B">
      <w:pPr>
        <w:adjustRightInd w:val="0"/>
        <w:snapToGrid w:val="0"/>
        <w:spacing w:line="360" w:lineRule="auto"/>
        <w:ind w:firstLine="560" w:firstLineChars="200"/>
        <w:rPr>
          <w:rFonts w:ascii="Times New Roman" w:hAnsi="Times New Roman"/>
          <w:color w:val="auto"/>
          <w:position w:val="6"/>
          <w:sz w:val="28"/>
          <w:szCs w:val="28"/>
          <w:highlight w:val="none"/>
        </w:rPr>
      </w:pPr>
    </w:p>
    <w:p w14:paraId="04340000">
      <w:pPr>
        <w:pStyle w:val="5"/>
        <w:rPr>
          <w:rFonts w:ascii="Times New Roman" w:hAnsi="Times New Roman"/>
          <w:color w:val="auto"/>
          <w:highlight w:val="none"/>
        </w:rPr>
      </w:pPr>
      <w:r>
        <w:rPr>
          <w:rFonts w:ascii="Times New Roman" w:hAnsi="Times New Roman"/>
          <w:color w:val="auto"/>
          <w:highlight w:val="none"/>
        </w:rPr>
        <w:t>2.4.3</w:t>
      </w:r>
      <w:r>
        <w:rPr>
          <w:rFonts w:hint="eastAsia" w:ascii="Times New Roman" w:hAnsi="Times New Roman"/>
          <w:color w:val="auto"/>
          <w:highlight w:val="none"/>
        </w:rPr>
        <w:t xml:space="preserve"> </w:t>
      </w:r>
      <w:r>
        <w:rPr>
          <w:rFonts w:ascii="Times New Roman" w:hAnsi="Times New Roman"/>
          <w:color w:val="auto"/>
          <w:highlight w:val="none"/>
        </w:rPr>
        <w:t>生产规模及工作制度</w:t>
      </w:r>
    </w:p>
    <w:p w14:paraId="59F0B649">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（1）生产规模</w:t>
      </w:r>
    </w:p>
    <w:p w14:paraId="028DEC26">
      <w:pPr>
        <w:adjustRightInd w:val="0"/>
        <w:snapToGrid w:val="0"/>
        <w:spacing w:line="360" w:lineRule="auto"/>
        <w:ind w:firstLine="560" w:firstLineChars="200"/>
        <w:rPr>
          <w:rFonts w:ascii="Times New Roman" w:hAnsi="Times New Roman"/>
          <w:color w:val="auto"/>
          <w:position w:val="6"/>
          <w:sz w:val="28"/>
          <w:szCs w:val="28"/>
          <w:highlight w:val="none"/>
        </w:rPr>
      </w:pPr>
    </w:p>
    <w:p w14:paraId="19A90C87">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w:t>
      </w:r>
      <w:r>
        <w:rPr>
          <w:rFonts w:hint="eastAsia" w:ascii="Times New Roman" w:hAnsi="Times New Roman"/>
          <w:color w:val="auto"/>
          <w:position w:val="6"/>
          <w:sz w:val="28"/>
          <w:szCs w:val="28"/>
          <w:highlight w:val="none"/>
        </w:rPr>
        <w:t>2</w:t>
      </w:r>
      <w:r>
        <w:rPr>
          <w:rFonts w:ascii="Times New Roman" w:hAnsi="Times New Roman"/>
          <w:color w:val="auto"/>
          <w:position w:val="6"/>
          <w:sz w:val="28"/>
          <w:szCs w:val="28"/>
          <w:highlight w:val="none"/>
        </w:rPr>
        <w:t>）服务年限</w:t>
      </w:r>
    </w:p>
    <w:p w14:paraId="05525CA8">
      <w:pPr>
        <w:adjustRightInd w:val="0"/>
        <w:snapToGrid w:val="0"/>
        <w:spacing w:line="360" w:lineRule="auto"/>
        <w:ind w:firstLine="560" w:firstLineChars="200"/>
        <w:rPr>
          <w:rFonts w:ascii="Times New Roman" w:hAnsi="Times New Roman"/>
          <w:color w:val="auto"/>
          <w:position w:val="6"/>
          <w:sz w:val="28"/>
          <w:szCs w:val="28"/>
          <w:highlight w:val="none"/>
        </w:rPr>
      </w:pPr>
    </w:p>
    <w:p w14:paraId="43B959B2">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w:t>
      </w:r>
      <w:r>
        <w:rPr>
          <w:rFonts w:hint="eastAsia" w:ascii="Times New Roman" w:hAnsi="Times New Roman"/>
          <w:color w:val="auto"/>
          <w:position w:val="6"/>
          <w:sz w:val="28"/>
          <w:szCs w:val="28"/>
          <w:highlight w:val="none"/>
        </w:rPr>
        <w:t>3</w:t>
      </w:r>
      <w:r>
        <w:rPr>
          <w:rFonts w:ascii="Times New Roman" w:hAnsi="Times New Roman"/>
          <w:color w:val="auto"/>
          <w:position w:val="6"/>
          <w:sz w:val="28"/>
          <w:szCs w:val="28"/>
          <w:highlight w:val="none"/>
        </w:rPr>
        <w:t>）工作制度</w:t>
      </w:r>
    </w:p>
    <w:p w14:paraId="38B2D223">
      <w:pPr>
        <w:adjustRightInd w:val="0"/>
        <w:snapToGrid w:val="0"/>
        <w:spacing w:line="360" w:lineRule="auto"/>
        <w:ind w:firstLine="560" w:firstLineChars="200"/>
        <w:rPr>
          <w:rFonts w:ascii="Times New Roman" w:hAnsi="Times New Roman"/>
          <w:color w:val="auto"/>
          <w:position w:val="6"/>
          <w:sz w:val="28"/>
          <w:szCs w:val="28"/>
          <w:highlight w:val="none"/>
        </w:rPr>
      </w:pPr>
    </w:p>
    <w:p w14:paraId="3F3465B4">
      <w:pPr>
        <w:pStyle w:val="5"/>
        <w:rPr>
          <w:rFonts w:ascii="Times New Roman" w:hAnsi="Times New Roman"/>
          <w:color w:val="auto"/>
          <w:highlight w:val="none"/>
        </w:rPr>
      </w:pPr>
      <w:r>
        <w:rPr>
          <w:rFonts w:ascii="Times New Roman" w:hAnsi="Times New Roman"/>
          <w:color w:val="auto"/>
          <w:highlight w:val="none"/>
        </w:rPr>
        <w:t>2.4.4</w:t>
      </w:r>
      <w:r>
        <w:rPr>
          <w:rFonts w:hint="eastAsia" w:ascii="Times New Roman" w:hAnsi="Times New Roman"/>
          <w:color w:val="auto"/>
          <w:highlight w:val="none"/>
        </w:rPr>
        <w:t xml:space="preserve"> </w:t>
      </w:r>
      <w:r>
        <w:rPr>
          <w:rFonts w:ascii="Times New Roman" w:hAnsi="Times New Roman"/>
          <w:color w:val="auto"/>
          <w:highlight w:val="none"/>
        </w:rPr>
        <w:t>采矿方法</w:t>
      </w:r>
    </w:p>
    <w:p w14:paraId="582E6DD3">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（1）露天开采境界</w:t>
      </w:r>
    </w:p>
    <w:p w14:paraId="07D61CF3">
      <w:pPr>
        <w:adjustRightInd w:val="0"/>
        <w:snapToGrid w:val="0"/>
        <w:spacing w:line="360" w:lineRule="auto"/>
        <w:ind w:firstLine="560" w:firstLineChars="200"/>
        <w:rPr>
          <w:rFonts w:ascii="Times New Roman" w:hAnsi="Times New Roman"/>
          <w:color w:val="auto"/>
          <w:position w:val="6"/>
          <w:sz w:val="28"/>
          <w:szCs w:val="28"/>
          <w:highlight w:val="none"/>
        </w:rPr>
      </w:pPr>
    </w:p>
    <w:p w14:paraId="7D15DD6E">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（2）</w:t>
      </w:r>
      <w:r>
        <w:rPr>
          <w:rFonts w:hint="eastAsia" w:ascii="Times New Roman" w:hAnsi="Times New Roman"/>
          <w:color w:val="auto"/>
          <w:position w:val="6"/>
          <w:sz w:val="28"/>
          <w:szCs w:val="28"/>
          <w:highlight w:val="none"/>
        </w:rPr>
        <w:t>采矿工艺</w:t>
      </w:r>
    </w:p>
    <w:p w14:paraId="5985EA85">
      <w:pPr>
        <w:adjustRightInd w:val="0"/>
        <w:snapToGrid w:val="0"/>
        <w:spacing w:line="360" w:lineRule="auto"/>
        <w:ind w:firstLine="560" w:firstLineChars="200"/>
        <w:rPr>
          <w:rFonts w:ascii="Times New Roman" w:hAnsi="Times New Roman"/>
          <w:color w:val="auto"/>
          <w:position w:val="6"/>
          <w:sz w:val="28"/>
          <w:szCs w:val="28"/>
          <w:highlight w:val="none"/>
        </w:rPr>
      </w:pPr>
    </w:p>
    <w:p w14:paraId="0182C703">
      <w:pPr>
        <w:pStyle w:val="5"/>
        <w:rPr>
          <w:rFonts w:ascii="Times New Roman" w:hAnsi="Times New Roman"/>
          <w:color w:val="auto"/>
          <w:highlight w:val="none"/>
        </w:rPr>
      </w:pPr>
      <w:r>
        <w:rPr>
          <w:rFonts w:ascii="Times New Roman" w:hAnsi="Times New Roman"/>
          <w:color w:val="auto"/>
          <w:highlight w:val="none"/>
        </w:rPr>
        <w:t>2.4.5</w:t>
      </w:r>
      <w:r>
        <w:rPr>
          <w:rFonts w:hint="eastAsia" w:ascii="Times New Roman" w:hAnsi="Times New Roman"/>
          <w:color w:val="auto"/>
          <w:highlight w:val="none"/>
        </w:rPr>
        <w:t xml:space="preserve"> </w:t>
      </w:r>
      <w:r>
        <w:rPr>
          <w:rFonts w:ascii="Times New Roman" w:hAnsi="Times New Roman"/>
          <w:color w:val="auto"/>
          <w:highlight w:val="none"/>
        </w:rPr>
        <w:t>开拓运输</w:t>
      </w:r>
    </w:p>
    <w:p w14:paraId="190F6EE0">
      <w:pPr>
        <w:adjustRightInd w:val="0"/>
        <w:snapToGrid w:val="0"/>
        <w:spacing w:line="360" w:lineRule="auto"/>
        <w:ind w:firstLine="560" w:firstLineChars="200"/>
        <w:rPr>
          <w:rFonts w:ascii="Times New Roman" w:hAnsi="Times New Roman"/>
          <w:color w:val="auto"/>
          <w:position w:val="6"/>
          <w:sz w:val="28"/>
          <w:szCs w:val="28"/>
          <w:highlight w:val="none"/>
        </w:rPr>
      </w:pPr>
    </w:p>
    <w:p w14:paraId="001D515F">
      <w:pPr>
        <w:pStyle w:val="5"/>
        <w:rPr>
          <w:rFonts w:ascii="Times New Roman" w:hAnsi="Times New Roman"/>
          <w:color w:val="auto"/>
          <w:highlight w:val="none"/>
        </w:rPr>
      </w:pPr>
      <w:r>
        <w:rPr>
          <w:rFonts w:ascii="Times New Roman" w:hAnsi="Times New Roman"/>
          <w:color w:val="auto"/>
          <w:highlight w:val="none"/>
        </w:rPr>
        <w:t>2.4.6</w:t>
      </w:r>
      <w:r>
        <w:rPr>
          <w:rFonts w:hint="eastAsia" w:ascii="Times New Roman" w:hAnsi="Times New Roman"/>
          <w:color w:val="auto"/>
          <w:highlight w:val="none"/>
        </w:rPr>
        <w:t xml:space="preserve"> </w:t>
      </w:r>
      <w:r>
        <w:rPr>
          <w:rFonts w:ascii="Times New Roman" w:hAnsi="Times New Roman"/>
          <w:color w:val="auto"/>
          <w:highlight w:val="none"/>
        </w:rPr>
        <w:t>采场防排水及防灭火</w:t>
      </w:r>
    </w:p>
    <w:p w14:paraId="7FC75800">
      <w:pPr>
        <w:adjustRightInd w:val="0"/>
        <w:snapToGrid w:val="0"/>
        <w:spacing w:line="360" w:lineRule="auto"/>
        <w:ind w:firstLine="560" w:firstLineChars="200"/>
        <w:rPr>
          <w:color w:val="auto"/>
          <w:highlight w:val="none"/>
        </w:rPr>
      </w:pPr>
      <w:r>
        <w:rPr>
          <w:rFonts w:ascii="Times New Roman" w:hAnsi="Times New Roman"/>
          <w:color w:val="auto"/>
          <w:position w:val="6"/>
          <w:sz w:val="28"/>
          <w:szCs w:val="28"/>
          <w:highlight w:val="none"/>
        </w:rPr>
        <w:t>（</w:t>
      </w:r>
      <w:r>
        <w:rPr>
          <w:rFonts w:hint="eastAsia" w:ascii="Times New Roman" w:hAnsi="Times New Roman"/>
          <w:color w:val="auto"/>
          <w:position w:val="6"/>
          <w:sz w:val="28"/>
          <w:szCs w:val="28"/>
          <w:highlight w:val="none"/>
        </w:rPr>
        <w:t>1</w:t>
      </w:r>
      <w:r>
        <w:rPr>
          <w:rFonts w:ascii="Times New Roman" w:hAnsi="Times New Roman"/>
          <w:color w:val="auto"/>
          <w:position w:val="6"/>
          <w:sz w:val="28"/>
          <w:szCs w:val="28"/>
          <w:highlight w:val="none"/>
        </w:rPr>
        <w:t>）防排水</w:t>
      </w:r>
    </w:p>
    <w:p w14:paraId="057BE538">
      <w:pPr>
        <w:adjustRightInd w:val="0"/>
        <w:snapToGrid w:val="0"/>
        <w:spacing w:line="360" w:lineRule="auto"/>
        <w:ind w:firstLine="560" w:firstLineChars="200"/>
        <w:rPr>
          <w:rFonts w:ascii="Times New Roman" w:hAnsi="Times New Roman"/>
          <w:color w:val="auto"/>
          <w:position w:val="6"/>
          <w:sz w:val="28"/>
          <w:szCs w:val="28"/>
          <w:highlight w:val="none"/>
        </w:rPr>
      </w:pPr>
    </w:p>
    <w:p w14:paraId="7D153629">
      <w:pPr>
        <w:adjustRightInd w:val="0"/>
        <w:snapToGrid w:val="0"/>
        <w:spacing w:line="360" w:lineRule="auto"/>
        <w:ind w:firstLine="560" w:firstLineChars="200"/>
        <w:rPr>
          <w:color w:val="auto"/>
          <w:highlight w:val="none"/>
        </w:rPr>
      </w:pPr>
      <w:r>
        <w:rPr>
          <w:rFonts w:ascii="Times New Roman" w:hAnsi="Times New Roman"/>
          <w:color w:val="auto"/>
          <w:position w:val="6"/>
          <w:sz w:val="28"/>
          <w:szCs w:val="28"/>
          <w:highlight w:val="none"/>
        </w:rPr>
        <w:t>（</w:t>
      </w:r>
      <w:r>
        <w:rPr>
          <w:rFonts w:hint="eastAsia" w:ascii="Times New Roman" w:hAnsi="Times New Roman"/>
          <w:color w:val="auto"/>
          <w:position w:val="6"/>
          <w:sz w:val="28"/>
          <w:szCs w:val="28"/>
          <w:highlight w:val="none"/>
        </w:rPr>
        <w:t>2</w:t>
      </w:r>
      <w:r>
        <w:rPr>
          <w:rFonts w:ascii="Times New Roman" w:hAnsi="Times New Roman"/>
          <w:color w:val="auto"/>
          <w:position w:val="6"/>
          <w:sz w:val="28"/>
          <w:szCs w:val="28"/>
          <w:highlight w:val="none"/>
        </w:rPr>
        <w:t>）防灭火</w:t>
      </w:r>
    </w:p>
    <w:p w14:paraId="31CBB22A">
      <w:pPr>
        <w:adjustRightInd w:val="0"/>
        <w:snapToGrid w:val="0"/>
        <w:spacing w:line="360" w:lineRule="auto"/>
        <w:ind w:firstLine="560" w:firstLineChars="200"/>
        <w:rPr>
          <w:rFonts w:ascii="Times New Roman" w:hAnsi="Times New Roman"/>
          <w:color w:val="auto"/>
          <w:position w:val="6"/>
          <w:sz w:val="28"/>
          <w:szCs w:val="28"/>
          <w:highlight w:val="none"/>
        </w:rPr>
      </w:pPr>
    </w:p>
    <w:p w14:paraId="6E7EC50E">
      <w:pPr>
        <w:pStyle w:val="5"/>
        <w:rPr>
          <w:rFonts w:ascii="Times New Roman" w:hAnsi="Times New Roman"/>
          <w:color w:val="auto"/>
          <w:highlight w:val="none"/>
        </w:rPr>
      </w:pPr>
      <w:r>
        <w:rPr>
          <w:rFonts w:ascii="Times New Roman" w:hAnsi="Times New Roman"/>
          <w:color w:val="auto"/>
          <w:highlight w:val="none"/>
        </w:rPr>
        <w:t>2.4.7</w:t>
      </w:r>
      <w:r>
        <w:rPr>
          <w:rFonts w:hint="eastAsia" w:ascii="Times New Roman" w:hAnsi="Times New Roman"/>
          <w:color w:val="auto"/>
          <w:highlight w:val="none"/>
        </w:rPr>
        <w:t xml:space="preserve"> </w:t>
      </w:r>
      <w:r>
        <w:rPr>
          <w:rFonts w:ascii="Times New Roman" w:hAnsi="Times New Roman"/>
          <w:color w:val="auto"/>
          <w:highlight w:val="none"/>
        </w:rPr>
        <w:t>供配电</w:t>
      </w:r>
      <w:r>
        <w:rPr>
          <w:rFonts w:hint="eastAsia" w:ascii="Times New Roman" w:hAnsi="Times New Roman"/>
          <w:color w:val="auto"/>
          <w:highlight w:val="none"/>
          <w:lang w:val="en-US" w:eastAsia="zh-CN"/>
        </w:rPr>
        <w:t>系统</w:t>
      </w:r>
    </w:p>
    <w:p w14:paraId="341BD3EB">
      <w:pPr>
        <w:adjustRightInd w:val="0"/>
        <w:snapToGrid w:val="0"/>
        <w:spacing w:line="360" w:lineRule="auto"/>
        <w:ind w:firstLine="560" w:firstLineChars="200"/>
        <w:rPr>
          <w:rFonts w:ascii="Times New Roman" w:hAnsi="Times New Roman"/>
          <w:color w:val="auto"/>
          <w:position w:val="6"/>
          <w:sz w:val="28"/>
          <w:szCs w:val="28"/>
          <w:highlight w:val="none"/>
        </w:rPr>
      </w:pPr>
      <w:bookmarkStart w:id="60" w:name="_Toc198785697"/>
    </w:p>
    <w:bookmarkEnd w:id="60"/>
    <w:p w14:paraId="2A9DB5D0">
      <w:pPr>
        <w:pStyle w:val="5"/>
        <w:rPr>
          <w:rFonts w:ascii="Times New Roman" w:hAnsi="Times New Roman"/>
          <w:color w:val="auto"/>
          <w:highlight w:val="none"/>
        </w:rPr>
      </w:pPr>
      <w:r>
        <w:rPr>
          <w:rFonts w:ascii="Times New Roman" w:hAnsi="Times New Roman"/>
          <w:color w:val="auto"/>
          <w:highlight w:val="none"/>
        </w:rPr>
        <w:t>2.4.8</w:t>
      </w:r>
      <w:r>
        <w:rPr>
          <w:rFonts w:hint="eastAsia" w:ascii="Times New Roman" w:hAnsi="Times New Roman"/>
          <w:color w:val="auto"/>
          <w:highlight w:val="none"/>
        </w:rPr>
        <w:t xml:space="preserve"> </w:t>
      </w:r>
      <w:r>
        <w:rPr>
          <w:rFonts w:ascii="Times New Roman" w:hAnsi="Times New Roman"/>
          <w:color w:val="auto"/>
          <w:highlight w:val="none"/>
        </w:rPr>
        <w:t>通信系统</w:t>
      </w:r>
    </w:p>
    <w:p w14:paraId="7F54C56D">
      <w:pPr>
        <w:adjustRightInd w:val="0"/>
        <w:snapToGrid w:val="0"/>
        <w:spacing w:line="360" w:lineRule="auto"/>
        <w:ind w:firstLine="560" w:firstLineChars="200"/>
        <w:rPr>
          <w:rFonts w:ascii="Times New Roman" w:hAnsi="Times New Roman"/>
          <w:color w:val="auto"/>
          <w:position w:val="6"/>
          <w:sz w:val="28"/>
          <w:szCs w:val="28"/>
          <w:highlight w:val="none"/>
        </w:rPr>
      </w:pPr>
    </w:p>
    <w:p w14:paraId="7226D0C5">
      <w:pPr>
        <w:pStyle w:val="5"/>
        <w:rPr>
          <w:rFonts w:ascii="Times New Roman" w:hAnsi="Times New Roman"/>
          <w:color w:val="auto"/>
          <w:highlight w:val="none"/>
        </w:rPr>
      </w:pPr>
      <w:r>
        <w:rPr>
          <w:rFonts w:ascii="Times New Roman" w:hAnsi="Times New Roman"/>
          <w:color w:val="auto"/>
          <w:highlight w:val="none"/>
        </w:rPr>
        <w:t>2.4.9个人安全防护</w:t>
      </w:r>
    </w:p>
    <w:p w14:paraId="5623FE3D">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按照该矿生产工艺和各工种接触的职业病危害因素，按照《个体防护装备配备规范 第4部分:非煤矿山》(GB39800-2020)要求，矿山各工序个体防护如表</w:t>
      </w:r>
      <w:r>
        <w:rPr>
          <w:rFonts w:hint="eastAsia" w:ascii="Times New Roman" w:hAnsi="Times New Roman"/>
          <w:color w:val="auto"/>
          <w:position w:val="6"/>
          <w:sz w:val="28"/>
          <w:szCs w:val="28"/>
          <w:highlight w:val="none"/>
        </w:rPr>
        <w:t>2.4-2所示</w:t>
      </w:r>
      <w:r>
        <w:rPr>
          <w:rFonts w:ascii="Times New Roman" w:hAnsi="Times New Roman"/>
          <w:color w:val="auto"/>
          <w:position w:val="6"/>
          <w:sz w:val="28"/>
          <w:szCs w:val="28"/>
          <w:highlight w:val="none"/>
        </w:rPr>
        <w:t>。</w:t>
      </w:r>
    </w:p>
    <w:p w14:paraId="3DDD60EC">
      <w:pPr>
        <w:adjustRightInd w:val="0"/>
        <w:snapToGrid w:val="0"/>
        <w:spacing w:line="400" w:lineRule="exact"/>
        <w:jc w:val="center"/>
        <w:rPr>
          <w:rFonts w:hint="eastAsia" w:ascii="黑体" w:hAnsi="黑体" w:eastAsia="黑体" w:cs="黑体"/>
          <w:bCs/>
          <w:color w:val="auto"/>
          <w:sz w:val="24"/>
          <w:highlight w:val="none"/>
          <w:lang w:val="zh-CN"/>
        </w:rPr>
      </w:pPr>
      <w:r>
        <w:rPr>
          <w:rFonts w:hint="eastAsia" w:ascii="黑体" w:hAnsi="黑体" w:eastAsia="黑体" w:cs="黑体"/>
          <w:bCs/>
          <w:color w:val="auto"/>
          <w:sz w:val="24"/>
          <w:highlight w:val="none"/>
          <w:lang w:val="zh-CN"/>
        </w:rPr>
        <w:t>表2.4-</w:t>
      </w:r>
      <w:r>
        <w:rPr>
          <w:rFonts w:hint="eastAsia" w:ascii="黑体" w:hAnsi="黑体" w:eastAsia="黑体" w:cs="黑体"/>
          <w:bCs/>
          <w:color w:val="auto"/>
          <w:sz w:val="24"/>
          <w:highlight w:val="none"/>
        </w:rPr>
        <w:t>2</w:t>
      </w:r>
      <w:r>
        <w:rPr>
          <w:rFonts w:hint="eastAsia" w:ascii="黑体" w:hAnsi="黑体" w:eastAsia="黑体" w:cs="黑体"/>
          <w:bCs/>
          <w:color w:val="auto"/>
          <w:sz w:val="24"/>
          <w:highlight w:val="none"/>
          <w:lang w:val="zh-CN"/>
        </w:rPr>
        <w:t xml:space="preserve"> 个体防护措施</w:t>
      </w:r>
    </w:p>
    <w:p w14:paraId="1811F52B">
      <w:pPr>
        <w:rPr>
          <w:color w:val="auto"/>
          <w:highlight w:val="none"/>
        </w:rPr>
      </w:pPr>
    </w:p>
    <w:p w14:paraId="03F72534">
      <w:pPr>
        <w:pStyle w:val="5"/>
        <w:rPr>
          <w:rFonts w:ascii="Times New Roman" w:hAnsi="Times New Roman"/>
          <w:color w:val="auto"/>
          <w:highlight w:val="none"/>
        </w:rPr>
      </w:pPr>
      <w:r>
        <w:rPr>
          <w:rFonts w:ascii="Times New Roman" w:hAnsi="Times New Roman"/>
          <w:color w:val="auto"/>
          <w:highlight w:val="none"/>
        </w:rPr>
        <w:t>2.4.10安全标志</w:t>
      </w:r>
    </w:p>
    <w:p w14:paraId="3B5AE04E">
      <w:pPr>
        <w:adjustRightInd w:val="0"/>
        <w:snapToGrid w:val="0"/>
        <w:spacing w:line="360" w:lineRule="auto"/>
        <w:ind w:firstLine="560" w:firstLineChars="200"/>
        <w:rPr>
          <w:rFonts w:ascii="Times New Roman" w:hAnsi="Times New Roman"/>
          <w:color w:val="auto"/>
          <w:position w:val="6"/>
          <w:sz w:val="28"/>
          <w:szCs w:val="28"/>
          <w:highlight w:val="none"/>
        </w:rPr>
      </w:pPr>
      <w:r>
        <w:rPr>
          <w:rFonts w:ascii="Times New Roman" w:hAnsi="Times New Roman"/>
          <w:color w:val="auto"/>
          <w:position w:val="6"/>
          <w:sz w:val="28"/>
          <w:szCs w:val="28"/>
          <w:highlight w:val="none"/>
        </w:rPr>
        <w:t>根据《安全标志及其使用导则》（GB2894-2008）要求，在有必要提醒人们注意安全的场所，设置安全警示标志，并有中文警示说明。</w:t>
      </w:r>
    </w:p>
    <w:p w14:paraId="285BF4D1">
      <w:pPr>
        <w:adjustRightInd w:val="0"/>
        <w:snapToGrid w:val="0"/>
        <w:spacing w:line="360" w:lineRule="auto"/>
        <w:ind w:firstLine="560" w:firstLineChars="200"/>
        <w:rPr>
          <w:rFonts w:ascii="Times New Roman" w:hAnsi="Times New Roman"/>
          <w:color w:val="auto"/>
          <w:position w:val="6"/>
          <w:sz w:val="28"/>
          <w:szCs w:val="28"/>
          <w:highlight w:val="none"/>
          <w:lang w:val="zh-CN"/>
        </w:rPr>
      </w:pPr>
      <w:r>
        <w:rPr>
          <w:rFonts w:hint="eastAsia" w:ascii="Times New Roman" w:hAnsi="Times New Roman"/>
          <w:color w:val="auto"/>
          <w:position w:val="6"/>
          <w:sz w:val="28"/>
          <w:szCs w:val="28"/>
          <w:highlight w:val="none"/>
          <w:lang w:val="zh-CN"/>
        </w:rPr>
        <w:t>在矿山入口、高处作业处设置“注意安全”</w:t>
      </w:r>
      <w:r>
        <w:rPr>
          <w:rFonts w:hint="eastAsia" w:ascii="Times New Roman" w:hAnsi="Times New Roman"/>
          <w:color w:val="auto"/>
          <w:position w:val="6"/>
          <w:sz w:val="28"/>
          <w:szCs w:val="28"/>
          <w:highlight w:val="none"/>
        </w:rPr>
        <w:t>安全</w:t>
      </w:r>
      <w:r>
        <w:rPr>
          <w:rFonts w:hint="eastAsia" w:ascii="Times New Roman" w:hAnsi="Times New Roman"/>
          <w:color w:val="auto"/>
          <w:position w:val="6"/>
          <w:sz w:val="28"/>
          <w:szCs w:val="28"/>
          <w:highlight w:val="none"/>
          <w:lang w:val="zh-CN"/>
        </w:rPr>
        <w:t>标识，在采场作业场所设置“当心塌方”、“当心落物”等警示标识。</w:t>
      </w:r>
    </w:p>
    <w:p w14:paraId="6ACBBFA7">
      <w:pPr>
        <w:pStyle w:val="5"/>
        <w:rPr>
          <w:rFonts w:ascii="Times New Roman" w:hAnsi="Times New Roman"/>
          <w:color w:val="auto"/>
          <w:highlight w:val="none"/>
        </w:rPr>
      </w:pPr>
      <w:r>
        <w:rPr>
          <w:rFonts w:ascii="Times New Roman" w:hAnsi="Times New Roman"/>
          <w:color w:val="auto"/>
          <w:highlight w:val="none"/>
        </w:rPr>
        <w:t>2.4.11安全管理</w:t>
      </w:r>
    </w:p>
    <w:p w14:paraId="7B91088B">
      <w:pPr>
        <w:adjustRightInd w:val="0"/>
        <w:snapToGrid w:val="0"/>
        <w:spacing w:line="360" w:lineRule="auto"/>
        <w:ind w:firstLine="560" w:firstLineChars="200"/>
        <w:rPr>
          <w:rFonts w:ascii="Times New Roman" w:hAnsi="Times New Roman"/>
          <w:color w:val="auto"/>
          <w:position w:val="6"/>
          <w:sz w:val="28"/>
          <w:szCs w:val="28"/>
          <w:highlight w:val="none"/>
        </w:rPr>
      </w:pPr>
    </w:p>
    <w:p w14:paraId="0601BCED">
      <w:pPr>
        <w:pStyle w:val="5"/>
        <w:rPr>
          <w:rFonts w:ascii="Times New Roman" w:hAnsi="Times New Roman"/>
          <w:color w:val="auto"/>
          <w:highlight w:val="none"/>
        </w:rPr>
      </w:pPr>
      <w:r>
        <w:rPr>
          <w:rFonts w:ascii="Times New Roman" w:hAnsi="Times New Roman"/>
          <w:color w:val="auto"/>
          <w:highlight w:val="none"/>
        </w:rPr>
        <w:t>2.4.12设计变更</w:t>
      </w:r>
    </w:p>
    <w:p w14:paraId="0BB99077">
      <w:pPr>
        <w:adjustRightInd w:val="0"/>
        <w:snapToGrid w:val="0"/>
        <w:spacing w:line="360" w:lineRule="auto"/>
        <w:ind w:firstLine="560" w:firstLineChars="200"/>
        <w:rPr>
          <w:rFonts w:ascii="Times New Roman" w:hAnsi="Times New Roman"/>
          <w:color w:val="auto"/>
          <w:position w:val="6"/>
          <w:sz w:val="28"/>
          <w:szCs w:val="28"/>
          <w:highlight w:val="none"/>
        </w:rPr>
      </w:pPr>
      <w:r>
        <w:rPr>
          <w:rFonts w:hint="eastAsia" w:ascii="Times New Roman" w:hAnsi="Times New Roman"/>
          <w:color w:val="auto"/>
          <w:position w:val="6"/>
          <w:sz w:val="28"/>
          <w:szCs w:val="28"/>
          <w:highlight w:val="none"/>
        </w:rPr>
        <w:t>无。</w:t>
      </w:r>
    </w:p>
    <w:p w14:paraId="68E7D9D4">
      <w:pPr>
        <w:pStyle w:val="5"/>
        <w:rPr>
          <w:rFonts w:ascii="Times New Roman" w:hAnsi="Times New Roman"/>
          <w:color w:val="auto"/>
          <w:highlight w:val="none"/>
        </w:rPr>
      </w:pPr>
      <w:r>
        <w:rPr>
          <w:rFonts w:ascii="Times New Roman" w:hAnsi="Times New Roman"/>
          <w:color w:val="auto"/>
          <w:highlight w:val="none"/>
        </w:rPr>
        <w:t>2.4.1</w:t>
      </w:r>
      <w:r>
        <w:rPr>
          <w:rFonts w:hint="eastAsia" w:ascii="Times New Roman" w:hAnsi="Times New Roman"/>
          <w:color w:val="auto"/>
          <w:highlight w:val="none"/>
        </w:rPr>
        <w:t>3基建工程量</w:t>
      </w:r>
    </w:p>
    <w:p w14:paraId="219C877D">
      <w:pPr>
        <w:adjustRightInd w:val="0"/>
        <w:snapToGrid w:val="0"/>
        <w:spacing w:line="360" w:lineRule="auto"/>
        <w:ind w:firstLine="521" w:firstLineChars="200"/>
        <w:rPr>
          <w:b/>
          <w:color w:val="auto"/>
          <w:sz w:val="26"/>
          <w:szCs w:val="26"/>
          <w:highlight w:val="none"/>
        </w:rPr>
      </w:pPr>
    </w:p>
    <w:p w14:paraId="0D06885A">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61" w:name="_Toc1914682300"/>
      <w:r>
        <w:rPr>
          <w:rFonts w:ascii="Times New Roman Regular" w:hAnsi="Times New Roman Regular" w:eastAsia="黑体" w:cs="Times New Roman Regular"/>
          <w:color w:val="auto"/>
          <w:sz w:val="30"/>
          <w:highlight w:val="none"/>
        </w:rPr>
        <w:t>2.5建设概况</w:t>
      </w:r>
      <w:bookmarkEnd w:id="61"/>
    </w:p>
    <w:p w14:paraId="4EA9922D">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lang w:val="zh-CN"/>
        </w:rPr>
      </w:pPr>
      <w:r>
        <w:rPr>
          <w:rFonts w:hint="eastAsia" w:ascii="Times New Roman" w:hAnsi="Times New Roman"/>
          <w:color w:val="auto"/>
          <w:position w:val="6"/>
          <w:sz w:val="28"/>
          <w:szCs w:val="28"/>
          <w:highlight w:val="none"/>
        </w:rPr>
        <w:t>根据《</w:t>
      </w:r>
      <w:r>
        <w:rPr>
          <w:rFonts w:ascii="Times New Roman" w:hAnsi="Times New Roman"/>
          <w:color w:val="auto"/>
          <w:position w:val="6"/>
          <w:sz w:val="28"/>
          <w:szCs w:val="28"/>
          <w:highlight w:val="none"/>
        </w:rPr>
        <w:t>关于</w:t>
      </w:r>
      <w:r>
        <w:rPr>
          <w:rFonts w:hint="eastAsia" w:ascii="Times New Roman" w:hAnsi="Times New Roman"/>
          <w:color w:val="auto"/>
          <w:position w:val="6"/>
          <w:sz w:val="28"/>
          <w:szCs w:val="28"/>
          <w:highlight w:val="none"/>
        </w:rPr>
        <w:t>&lt;</w:t>
      </w:r>
      <w:r>
        <w:rPr>
          <w:rFonts w:ascii="Times New Roman" w:hAnsi="Times New Roman"/>
          <w:color w:val="auto"/>
          <w:position w:val="6"/>
          <w:sz w:val="28"/>
          <w:szCs w:val="28"/>
          <w:highlight w:val="none"/>
        </w:rPr>
        <w:t>本溪星光硅质原料有限公司年产100万吨玻璃用石英岩矿扩建工程</w:t>
      </w:r>
      <w:r>
        <w:rPr>
          <w:rFonts w:hint="eastAsia" w:ascii="Times New Roman" w:hAnsi="Times New Roman"/>
          <w:color w:val="auto"/>
          <w:position w:val="6"/>
          <w:sz w:val="28"/>
          <w:szCs w:val="28"/>
          <w:highlight w:val="none"/>
        </w:rPr>
        <w:t>&gt;</w:t>
      </w:r>
      <w:r>
        <w:rPr>
          <w:rFonts w:ascii="Times New Roman" w:hAnsi="Times New Roman"/>
          <w:color w:val="auto"/>
          <w:position w:val="6"/>
          <w:sz w:val="28"/>
          <w:szCs w:val="28"/>
          <w:highlight w:val="none"/>
        </w:rPr>
        <w:t>项目备案证明</w:t>
      </w:r>
      <w:r>
        <w:rPr>
          <w:rFonts w:hint="eastAsia" w:ascii="Times New Roman" w:hAnsi="Times New Roman"/>
          <w:color w:val="auto"/>
          <w:position w:val="6"/>
          <w:sz w:val="28"/>
          <w:szCs w:val="28"/>
          <w:highlight w:val="none"/>
        </w:rPr>
        <w:t>》可知，</w:t>
      </w:r>
      <w:r>
        <w:rPr>
          <w:rFonts w:ascii="Times New Roman" w:hAnsi="Times New Roman"/>
          <w:color w:val="auto"/>
          <w:position w:val="6"/>
          <w:sz w:val="28"/>
          <w:szCs w:val="28"/>
          <w:highlight w:val="none"/>
        </w:rPr>
        <w:t>该项目为</w:t>
      </w:r>
      <w:r>
        <w:rPr>
          <w:rFonts w:hint="eastAsia" w:ascii="Times New Roman" w:hAnsi="Times New Roman"/>
          <w:color w:val="auto"/>
          <w:position w:val="6"/>
          <w:sz w:val="28"/>
          <w:szCs w:val="28"/>
          <w:highlight w:val="none"/>
        </w:rPr>
        <w:t>扩建</w:t>
      </w:r>
      <w:r>
        <w:rPr>
          <w:rFonts w:ascii="Times New Roman" w:hAnsi="Times New Roman"/>
          <w:color w:val="auto"/>
          <w:position w:val="6"/>
          <w:sz w:val="28"/>
          <w:szCs w:val="28"/>
          <w:highlight w:val="none"/>
        </w:rPr>
        <w:t>项目。</w:t>
      </w:r>
    </w:p>
    <w:p w14:paraId="5A59AC00">
      <w:pPr>
        <w:pStyle w:val="5"/>
        <w:rPr>
          <w:rFonts w:ascii="Times New Roman Regular" w:hAnsi="Times New Roman Regular" w:cs="Times New Roman Regular"/>
          <w:color w:val="auto"/>
          <w:highlight w:val="none"/>
        </w:rPr>
      </w:pPr>
      <w:bookmarkStart w:id="62" w:name="_Toc86052370"/>
      <w:r>
        <w:rPr>
          <w:rFonts w:ascii="Times New Roman Regular" w:hAnsi="Times New Roman Regular" w:cs="Times New Roman Regular"/>
          <w:color w:val="auto"/>
          <w:highlight w:val="none"/>
        </w:rPr>
        <w:t>2.5.1矿山开采现状</w:t>
      </w:r>
      <w:bookmarkEnd w:id="62"/>
    </w:p>
    <w:p w14:paraId="3D286C2B">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lang w:val="zh-CN"/>
        </w:rPr>
        <w:t>（</w:t>
      </w:r>
      <w:r>
        <w:rPr>
          <w:rFonts w:ascii="Times New Roman Regular" w:hAnsi="Times New Roman Regular" w:cs="Times New Roman Regular"/>
          <w:color w:val="auto"/>
          <w:position w:val="6"/>
          <w:sz w:val="28"/>
          <w:szCs w:val="28"/>
          <w:highlight w:val="none"/>
        </w:rPr>
        <w:t>1</w:t>
      </w:r>
      <w:r>
        <w:rPr>
          <w:rFonts w:ascii="Times New Roman Regular" w:hAnsi="Times New Roman Regular" w:cs="Times New Roman Regular"/>
          <w:color w:val="auto"/>
          <w:position w:val="6"/>
          <w:sz w:val="28"/>
          <w:szCs w:val="28"/>
          <w:highlight w:val="none"/>
          <w:lang w:val="zh-CN"/>
        </w:rPr>
        <w:t>）</w:t>
      </w:r>
      <w:r>
        <w:rPr>
          <w:rFonts w:ascii="Times New Roman Regular" w:hAnsi="Times New Roman Regular" w:cs="Times New Roman Regular"/>
          <w:color w:val="auto"/>
          <w:position w:val="6"/>
          <w:sz w:val="28"/>
          <w:szCs w:val="28"/>
          <w:highlight w:val="none"/>
        </w:rPr>
        <w:t>矿山原有情况</w:t>
      </w:r>
    </w:p>
    <w:p w14:paraId="52CA843D">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lang w:val="zh-CN"/>
        </w:rPr>
      </w:pPr>
    </w:p>
    <w:p w14:paraId="3E3FF11A">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w:t>
      </w:r>
      <w:r>
        <w:rPr>
          <w:rFonts w:hint="eastAsia" w:ascii="Times New Roman Regular" w:hAnsi="Times New Roman Regular" w:cs="Times New Roman Regular"/>
          <w:color w:val="auto"/>
          <w:position w:val="6"/>
          <w:sz w:val="28"/>
          <w:szCs w:val="28"/>
          <w:highlight w:val="none"/>
        </w:rPr>
        <w:t>2</w:t>
      </w:r>
      <w:r>
        <w:rPr>
          <w:rFonts w:ascii="Times New Roman Regular" w:hAnsi="Times New Roman Regular" w:cs="Times New Roman Regular"/>
          <w:color w:val="auto"/>
          <w:position w:val="6"/>
          <w:sz w:val="28"/>
          <w:szCs w:val="28"/>
          <w:highlight w:val="none"/>
        </w:rPr>
        <w:t>）利旧工程</w:t>
      </w:r>
    </w:p>
    <w:p w14:paraId="36113D3A">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lang w:val="zh-CN"/>
        </w:rPr>
      </w:pPr>
    </w:p>
    <w:p w14:paraId="4E66982F">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w:t>
      </w:r>
      <w:r>
        <w:rPr>
          <w:rFonts w:hint="eastAsia" w:ascii="Times New Roman Regular" w:hAnsi="Times New Roman Regular" w:cs="Times New Roman Regular"/>
          <w:color w:val="auto"/>
          <w:position w:val="6"/>
          <w:sz w:val="28"/>
          <w:szCs w:val="28"/>
          <w:highlight w:val="none"/>
        </w:rPr>
        <w:t>3</w:t>
      </w:r>
      <w:r>
        <w:rPr>
          <w:rFonts w:ascii="Times New Roman Regular" w:hAnsi="Times New Roman Regular" w:cs="Times New Roman Regular"/>
          <w:color w:val="auto"/>
          <w:position w:val="6"/>
          <w:sz w:val="28"/>
          <w:szCs w:val="28"/>
          <w:highlight w:val="none"/>
        </w:rPr>
        <w:t>）利旧设备</w:t>
      </w:r>
    </w:p>
    <w:p w14:paraId="2F77E1C7">
      <w:pPr>
        <w:pStyle w:val="5"/>
        <w:rPr>
          <w:rFonts w:ascii="Times New Roman Regular" w:hAnsi="Times New Roman Regular" w:cs="Times New Roman Regular"/>
          <w:color w:val="auto"/>
          <w:highlight w:val="none"/>
        </w:rPr>
      </w:pPr>
      <w:bookmarkStart w:id="63" w:name="_Toc86052376"/>
      <w:r>
        <w:rPr>
          <w:rFonts w:ascii="Times New Roman Regular" w:hAnsi="Times New Roman Regular" w:cs="Times New Roman Regular"/>
          <w:color w:val="auto"/>
          <w:highlight w:val="none"/>
        </w:rPr>
        <w:t>2.5.2总平面布置</w:t>
      </w:r>
      <w:bookmarkEnd w:id="63"/>
    </w:p>
    <w:p w14:paraId="251D632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（1）区域概况</w:t>
      </w:r>
    </w:p>
    <w:p w14:paraId="7371195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p>
    <w:p w14:paraId="54E71B5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（2）工业场地</w:t>
      </w:r>
    </w:p>
    <w:p w14:paraId="410FC91E">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p>
    <w:p w14:paraId="15A363CF">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（3）内外部运输</w:t>
      </w:r>
    </w:p>
    <w:p w14:paraId="0D8618B8">
      <w:pPr>
        <w:adjustRightInd w:val="0"/>
        <w:snapToGrid w:val="0"/>
        <w:spacing w:line="360" w:lineRule="auto"/>
        <w:rPr>
          <w:rFonts w:ascii="Times New Roman Regular" w:hAnsi="Times New Roman Regular" w:cs="Times New Roman Regular"/>
          <w:color w:val="auto"/>
          <w:sz w:val="28"/>
          <w:szCs w:val="28"/>
          <w:highlight w:val="none"/>
        </w:rPr>
      </w:pPr>
    </w:p>
    <w:p w14:paraId="6C6F05F6">
      <w:pPr>
        <w:adjustRightInd w:val="0"/>
        <w:snapToGrid w:val="0"/>
        <w:spacing w:line="360" w:lineRule="auto"/>
        <w:jc w:val="center"/>
        <w:rPr>
          <w:rFonts w:ascii="Times New Roman Regular" w:hAnsi="Times New Roman Regular" w:cs="Times New Roman Regular"/>
          <w:color w:val="auto"/>
          <w:sz w:val="28"/>
          <w:szCs w:val="28"/>
          <w:highlight w:val="none"/>
        </w:rPr>
      </w:pPr>
      <w:r>
        <w:rPr>
          <w:rFonts w:hint="eastAsia" w:ascii="黑体" w:hAnsi="黑体" w:eastAsia="黑体" w:cs="黑体"/>
          <w:bCs/>
          <w:color w:val="auto"/>
          <w:sz w:val="24"/>
          <w:highlight w:val="none"/>
          <w:lang w:val="zh-CN"/>
        </w:rPr>
        <w:t xml:space="preserve">图2.5-1 </w:t>
      </w:r>
      <w:r>
        <w:rPr>
          <w:rFonts w:hint="eastAsia" w:ascii="黑体" w:hAnsi="黑体" w:eastAsia="黑体" w:cs="黑体"/>
          <w:bCs/>
          <w:color w:val="auto"/>
          <w:sz w:val="24"/>
          <w:highlight w:val="none"/>
        </w:rPr>
        <w:t>进矿道路</w:t>
      </w:r>
    </w:p>
    <w:p w14:paraId="7A449444">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（4）排土场</w:t>
      </w:r>
    </w:p>
    <w:p w14:paraId="33F8F61B">
      <w:pPr>
        <w:adjustRightInd w:val="0"/>
        <w:snapToGrid w:val="0"/>
        <w:spacing w:line="360" w:lineRule="auto"/>
        <w:ind w:firstLine="420" w:firstLineChars="200"/>
        <w:rPr>
          <w:rFonts w:hint="eastAsia" w:eastAsia="宋体"/>
          <w:color w:val="auto"/>
          <w:highlight w:val="none"/>
          <w:lang w:eastAsia="zh-CN"/>
        </w:rPr>
      </w:pPr>
    </w:p>
    <w:p w14:paraId="710637F5">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2.5.3开采范围</w:t>
      </w:r>
    </w:p>
    <w:p w14:paraId="169D9D27">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（1）开采方式</w:t>
      </w:r>
    </w:p>
    <w:p w14:paraId="37A2B16B">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p>
    <w:p w14:paraId="777D1DF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（2）开采范围</w:t>
      </w:r>
    </w:p>
    <w:p w14:paraId="15F2E971">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p>
    <w:p w14:paraId="22F258C3">
      <w:pPr>
        <w:adjustRightInd w:val="0"/>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（3）开采顺序</w:t>
      </w:r>
    </w:p>
    <w:p w14:paraId="4643F9F8">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p>
    <w:p w14:paraId="38D983B9">
      <w:pPr>
        <w:pStyle w:val="5"/>
        <w:spacing w:before="120"/>
        <w:rPr>
          <w:rFonts w:ascii="Times New Roman Regular" w:hAnsi="Times New Roman Regular" w:cs="Times New Roman Regular"/>
          <w:color w:val="auto"/>
          <w:szCs w:val="30"/>
          <w:highlight w:val="none"/>
        </w:rPr>
      </w:pPr>
      <w:r>
        <w:rPr>
          <w:rFonts w:ascii="Times New Roman Regular" w:hAnsi="Times New Roman Regular" w:cs="Times New Roman Regular"/>
          <w:color w:val="auto"/>
          <w:highlight w:val="none"/>
        </w:rPr>
        <w:t>2.5.4生产规模及工作制度</w:t>
      </w:r>
    </w:p>
    <w:p w14:paraId="0B9F27E0">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（1）矿山生产规模</w:t>
      </w:r>
    </w:p>
    <w:p w14:paraId="73C983C7">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p>
    <w:p w14:paraId="14D16D78">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（2）工作制度</w:t>
      </w:r>
    </w:p>
    <w:p w14:paraId="416157F4">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p>
    <w:p w14:paraId="4E7810CB">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64" w:name="_Toc86052373"/>
      <w:r>
        <w:rPr>
          <w:rFonts w:ascii="Times New Roman Regular" w:hAnsi="Times New Roman Regular" w:cs="Times New Roman Regular"/>
          <w:b/>
          <w:color w:val="auto"/>
          <w:sz w:val="28"/>
          <w:szCs w:val="28"/>
          <w:highlight w:val="none"/>
        </w:rPr>
        <w:t>2.5.5采矿方法</w:t>
      </w:r>
      <w:bookmarkEnd w:id="64"/>
    </w:p>
    <w:p w14:paraId="6F291DD3">
      <w:pPr>
        <w:adjustRightInd w:val="0"/>
        <w:snapToGrid w:val="0"/>
        <w:spacing w:line="360" w:lineRule="auto"/>
        <w:ind w:firstLine="425" w:firstLineChars="152"/>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（1）露天采场</w:t>
      </w:r>
    </w:p>
    <w:p w14:paraId="4F6AD2BF">
      <w:pPr>
        <w:adjustRightInd w:val="0"/>
        <w:snapToGrid w:val="0"/>
        <w:spacing w:line="360" w:lineRule="auto"/>
        <w:ind w:firstLine="420" w:firstLineChars="200"/>
        <w:rPr>
          <w:rFonts w:ascii="Times New Roman Regular" w:hAnsi="Times New Roman Regular" w:cs="Times New Roman Regular"/>
          <w:color w:val="auto"/>
          <w:highlight w:val="none"/>
        </w:rPr>
      </w:pPr>
    </w:p>
    <w:p w14:paraId="5023D894">
      <w:pPr>
        <w:adjustRightInd w:val="0"/>
        <w:snapToGrid w:val="0"/>
        <w:spacing w:line="360" w:lineRule="auto"/>
        <w:jc w:val="center"/>
        <w:rPr>
          <w:rFonts w:ascii="Times New Roman Regular" w:hAnsi="Times New Roman Regular" w:cs="Times New Roman Regular"/>
          <w:color w:val="auto"/>
          <w:highlight w:val="none"/>
        </w:rPr>
      </w:pPr>
    </w:p>
    <w:p w14:paraId="0A3894E3">
      <w:pPr>
        <w:adjustRightInd w:val="0"/>
        <w:snapToGrid w:val="0"/>
        <w:spacing w:line="400" w:lineRule="exact"/>
        <w:jc w:val="center"/>
        <w:rPr>
          <w:rFonts w:hint="eastAsia" w:ascii="黑体" w:hAnsi="黑体" w:eastAsia="黑体" w:cs="黑体"/>
          <w:bCs/>
          <w:color w:val="auto"/>
          <w:sz w:val="24"/>
          <w:highlight w:val="none"/>
        </w:rPr>
      </w:pPr>
      <w:r>
        <w:rPr>
          <w:rFonts w:hint="eastAsia" w:ascii="黑体" w:hAnsi="黑体" w:eastAsia="黑体" w:cs="黑体"/>
          <w:bCs/>
          <w:color w:val="auto"/>
          <w:sz w:val="24"/>
          <w:highlight w:val="none"/>
          <w:lang w:val="zh-CN"/>
        </w:rPr>
        <w:t>图2.5-</w:t>
      </w:r>
      <w:r>
        <w:rPr>
          <w:rFonts w:hint="eastAsia" w:ascii="黑体" w:hAnsi="黑体" w:eastAsia="黑体" w:cs="黑体"/>
          <w:bCs/>
          <w:color w:val="auto"/>
          <w:sz w:val="24"/>
          <w:highlight w:val="none"/>
        </w:rPr>
        <w:t>2</w:t>
      </w:r>
      <w:r>
        <w:rPr>
          <w:rFonts w:hint="eastAsia" w:ascii="黑体" w:hAnsi="黑体" w:eastAsia="黑体" w:cs="黑体"/>
          <w:bCs/>
          <w:color w:val="auto"/>
          <w:sz w:val="24"/>
          <w:highlight w:val="none"/>
          <w:lang w:val="zh-CN"/>
        </w:rPr>
        <w:t xml:space="preserve"> </w:t>
      </w:r>
      <w:r>
        <w:rPr>
          <w:rFonts w:hint="eastAsia" w:ascii="黑体" w:hAnsi="黑体" w:eastAsia="黑体" w:cs="黑体"/>
          <w:bCs/>
          <w:color w:val="auto"/>
          <w:sz w:val="24"/>
          <w:highlight w:val="none"/>
        </w:rPr>
        <w:t>220装运平台</w:t>
      </w:r>
    </w:p>
    <w:p w14:paraId="37B48A41">
      <w:pPr>
        <w:pStyle w:val="2"/>
        <w:ind w:firstLine="0"/>
        <w:jc w:val="center"/>
        <w:rPr>
          <w:rFonts w:hint="eastAsia" w:ascii="黑体" w:hAnsi="黑体" w:eastAsia="黑体" w:cs="黑体"/>
          <w:color w:val="auto"/>
          <w:position w:val="6"/>
          <w:szCs w:val="21"/>
          <w:highlight w:val="none"/>
        </w:rPr>
      </w:pPr>
    </w:p>
    <w:p w14:paraId="2428A586">
      <w:pPr>
        <w:adjustRightInd w:val="0"/>
        <w:snapToGrid w:val="0"/>
        <w:spacing w:line="360" w:lineRule="auto"/>
        <w:jc w:val="center"/>
        <w:rPr>
          <w:rFonts w:hint="eastAsia" w:ascii="黑体" w:hAnsi="黑体" w:eastAsia="黑体" w:cs="黑体"/>
          <w:color w:val="auto"/>
          <w:position w:val="6"/>
          <w:szCs w:val="21"/>
          <w:highlight w:val="none"/>
        </w:rPr>
      </w:pPr>
      <w:r>
        <w:rPr>
          <w:rFonts w:hint="eastAsia" w:ascii="黑体" w:hAnsi="黑体" w:eastAsia="黑体" w:cs="黑体"/>
          <w:bCs/>
          <w:color w:val="auto"/>
          <w:sz w:val="24"/>
          <w:highlight w:val="none"/>
          <w:lang w:val="zh-CN"/>
        </w:rPr>
        <w:t>图2.5-</w:t>
      </w:r>
      <w:r>
        <w:rPr>
          <w:rFonts w:hint="eastAsia" w:ascii="黑体" w:hAnsi="黑体" w:eastAsia="黑体" w:cs="黑体"/>
          <w:bCs/>
          <w:color w:val="auto"/>
          <w:sz w:val="24"/>
          <w:highlight w:val="none"/>
        </w:rPr>
        <w:t>3</w:t>
      </w:r>
      <w:r>
        <w:rPr>
          <w:rFonts w:hint="eastAsia" w:ascii="黑体" w:hAnsi="黑体" w:eastAsia="黑体" w:cs="黑体"/>
          <w:bCs/>
          <w:color w:val="auto"/>
          <w:sz w:val="24"/>
          <w:highlight w:val="none"/>
          <w:lang w:val="zh-CN"/>
        </w:rPr>
        <w:t xml:space="preserve"> </w:t>
      </w:r>
      <w:r>
        <w:rPr>
          <w:rFonts w:hint="eastAsia" w:ascii="黑体" w:hAnsi="黑体" w:eastAsia="黑体" w:cs="黑体"/>
          <w:bCs/>
          <w:color w:val="auto"/>
          <w:sz w:val="24"/>
          <w:highlight w:val="none"/>
        </w:rPr>
        <w:t>220装运平台边坡</w:t>
      </w:r>
    </w:p>
    <w:p w14:paraId="39185922">
      <w:pPr>
        <w:adjustRightInd w:val="0"/>
        <w:snapToGrid w:val="0"/>
        <w:spacing w:line="400" w:lineRule="exact"/>
        <w:jc w:val="center"/>
        <w:rPr>
          <w:rFonts w:hint="eastAsia" w:ascii="黑体" w:hAnsi="黑体" w:eastAsia="黑体" w:cs="黑体"/>
          <w:bCs/>
          <w:color w:val="auto"/>
          <w:sz w:val="24"/>
          <w:highlight w:val="none"/>
          <w:lang w:val="zh-CN"/>
        </w:rPr>
      </w:pPr>
    </w:p>
    <w:p w14:paraId="4662CB37">
      <w:pPr>
        <w:adjustRightInd w:val="0"/>
        <w:snapToGrid w:val="0"/>
        <w:spacing w:line="400" w:lineRule="exact"/>
        <w:jc w:val="center"/>
        <w:rPr>
          <w:rFonts w:hint="eastAsia" w:ascii="黑体" w:hAnsi="黑体" w:eastAsia="黑体" w:cs="黑体"/>
          <w:bCs/>
          <w:color w:val="auto"/>
          <w:sz w:val="24"/>
          <w:highlight w:val="none"/>
        </w:rPr>
      </w:pPr>
      <w:r>
        <w:rPr>
          <w:rFonts w:hint="eastAsia" w:ascii="黑体" w:hAnsi="黑体" w:eastAsia="黑体" w:cs="黑体"/>
          <w:bCs/>
          <w:color w:val="auto"/>
          <w:sz w:val="24"/>
          <w:highlight w:val="none"/>
          <w:lang w:val="zh-CN"/>
        </w:rPr>
        <w:t>图2.5-</w:t>
      </w:r>
      <w:r>
        <w:rPr>
          <w:rFonts w:hint="eastAsia" w:ascii="黑体" w:hAnsi="黑体" w:eastAsia="黑体" w:cs="黑体"/>
          <w:bCs/>
          <w:color w:val="auto"/>
          <w:sz w:val="24"/>
          <w:highlight w:val="none"/>
        </w:rPr>
        <w:t>4</w:t>
      </w:r>
      <w:r>
        <w:rPr>
          <w:rFonts w:hint="eastAsia" w:ascii="黑体" w:hAnsi="黑体" w:eastAsia="黑体" w:cs="黑体"/>
          <w:bCs/>
          <w:color w:val="auto"/>
          <w:sz w:val="24"/>
          <w:highlight w:val="none"/>
          <w:lang w:val="zh-CN"/>
        </w:rPr>
        <w:t xml:space="preserve"> </w:t>
      </w:r>
      <w:r>
        <w:rPr>
          <w:rFonts w:hint="eastAsia" w:ascii="黑体" w:hAnsi="黑体" w:eastAsia="黑体" w:cs="黑体"/>
          <w:bCs/>
          <w:color w:val="auto"/>
          <w:sz w:val="24"/>
          <w:highlight w:val="none"/>
        </w:rPr>
        <w:t>230穿孔平台挡墙</w:t>
      </w:r>
    </w:p>
    <w:p w14:paraId="571AC609">
      <w:pPr>
        <w:pStyle w:val="2"/>
        <w:rPr>
          <w:rFonts w:hint="eastAsia" w:ascii="黑体" w:hAnsi="黑体" w:eastAsia="黑体" w:cs="黑体"/>
          <w:color w:val="auto"/>
          <w:position w:val="6"/>
          <w:szCs w:val="21"/>
          <w:highlight w:val="none"/>
        </w:rPr>
      </w:pPr>
    </w:p>
    <w:p w14:paraId="392C24EE">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（2）穿孔作业及设备</w:t>
      </w:r>
    </w:p>
    <w:p w14:paraId="6D919A3F">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bookmarkStart w:id="65" w:name="_Hlk205804121"/>
    </w:p>
    <w:p w14:paraId="05D75049">
      <w:pPr>
        <w:pStyle w:val="2"/>
        <w:rPr>
          <w:color w:val="auto"/>
          <w:highlight w:val="none"/>
        </w:rPr>
      </w:pPr>
    </w:p>
    <w:p w14:paraId="302FBB7D">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rPr>
        <w:t>5</w:t>
      </w:r>
      <w:r>
        <w:rPr>
          <w:rFonts w:ascii="黑体" w:hAnsi="黑体" w:eastAsia="黑体" w:cs="黑体"/>
          <w:bCs/>
          <w:color w:val="auto"/>
          <w:sz w:val="24"/>
          <w:highlight w:val="none"/>
          <w:lang w:val="zh-CN"/>
        </w:rPr>
        <w:t xml:space="preserve"> 潜孔钻机</w:t>
      </w:r>
    </w:p>
    <w:p w14:paraId="32388261">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hint="eastAsia" w:ascii="Times New Roman Regular" w:hAnsi="Times New Roman Regular" w:cs="Times New Roman Regular"/>
          <w:color w:val="auto"/>
          <w:position w:val="6"/>
          <w:sz w:val="28"/>
          <w:szCs w:val="28"/>
          <w:highlight w:val="none"/>
        </w:rPr>
        <w:t>（3）</w:t>
      </w:r>
      <w:r>
        <w:rPr>
          <w:rFonts w:ascii="Times New Roman Regular" w:hAnsi="Times New Roman Regular" w:cs="Times New Roman Regular"/>
          <w:color w:val="auto"/>
          <w:position w:val="6"/>
          <w:sz w:val="28"/>
          <w:szCs w:val="28"/>
          <w:highlight w:val="none"/>
        </w:rPr>
        <w:t>爆破作业</w:t>
      </w:r>
    </w:p>
    <w:p w14:paraId="24B74BDC">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p>
    <w:p w14:paraId="26E5FBC8">
      <w:pPr>
        <w:adjustRightInd w:val="0"/>
        <w:snapToGrid w:val="0"/>
        <w:spacing w:line="360" w:lineRule="auto"/>
        <w:jc w:val="center"/>
        <w:rPr>
          <w:rFonts w:ascii="Times New Roman Regular" w:hAnsi="Times New Roman Regular" w:cs="Times New Roman Regular"/>
          <w:color w:val="auto"/>
          <w:position w:val="6"/>
          <w:szCs w:val="21"/>
          <w:highlight w:val="none"/>
        </w:rPr>
      </w:pPr>
    </w:p>
    <w:p w14:paraId="5FF8FEB9">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rPr>
        <w:t>6</w:t>
      </w:r>
      <w:r>
        <w:rPr>
          <w:rFonts w:ascii="黑体" w:hAnsi="黑体" w:eastAsia="黑体" w:cs="黑体"/>
          <w:bCs/>
          <w:color w:val="auto"/>
          <w:sz w:val="24"/>
          <w:highlight w:val="none"/>
          <w:lang w:val="zh-CN"/>
        </w:rPr>
        <w:t xml:space="preserve"> 移动避炮棚</w:t>
      </w:r>
    </w:p>
    <w:bookmarkEnd w:id="65"/>
    <w:p w14:paraId="6E50DB97">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r>
        <w:rPr>
          <w:rFonts w:ascii="Times New Roman Regular" w:hAnsi="Times New Roman Regular" w:cs="Times New Roman Regular"/>
          <w:color w:val="auto"/>
          <w:position w:val="6"/>
          <w:sz w:val="28"/>
          <w:szCs w:val="28"/>
          <w:highlight w:val="none"/>
        </w:rPr>
        <w:t>（4）铲装作业</w:t>
      </w:r>
    </w:p>
    <w:p w14:paraId="3A939153">
      <w:pPr>
        <w:adjustRightInd w:val="0"/>
        <w:snapToGrid w:val="0"/>
        <w:spacing w:line="360" w:lineRule="auto"/>
        <w:rPr>
          <w:rFonts w:hint="eastAsia" w:ascii="Times New Roman Regular" w:hAnsi="Times New Roman Regular" w:eastAsia="宋体" w:cs="Times New Roman Regular"/>
          <w:color w:val="auto"/>
          <w:position w:val="6"/>
          <w:sz w:val="28"/>
          <w:szCs w:val="28"/>
          <w:highlight w:val="none"/>
          <w:lang w:eastAsia="zh-CN"/>
        </w:rPr>
      </w:pPr>
    </w:p>
    <w:p w14:paraId="340ED1DC">
      <w:pPr>
        <w:adjustRightInd w:val="0"/>
        <w:snapToGrid w:val="0"/>
        <w:spacing w:line="360" w:lineRule="auto"/>
        <w:jc w:val="center"/>
        <w:rPr>
          <w:rFonts w:hint="eastAsia" w:ascii="Times New Roman Regular" w:hAnsi="Times New Roman Regular" w:eastAsia="黑体" w:cs="Times New Roman Regular"/>
          <w:color w:val="auto"/>
          <w:position w:val="6"/>
          <w:sz w:val="28"/>
          <w:szCs w:val="28"/>
          <w:highlight w:val="none"/>
          <w:lang w:eastAsia="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lang w:val="en-US" w:eastAsia="zh-CN"/>
        </w:rPr>
        <w:t>7</w:t>
      </w:r>
      <w:r>
        <w:rPr>
          <w:rFonts w:ascii="黑体" w:hAnsi="黑体" w:eastAsia="黑体" w:cs="黑体"/>
          <w:bCs/>
          <w:color w:val="auto"/>
          <w:sz w:val="24"/>
          <w:highlight w:val="none"/>
          <w:lang w:val="zh-CN"/>
        </w:rPr>
        <w:t xml:space="preserve"> </w:t>
      </w:r>
      <w:r>
        <w:rPr>
          <w:rFonts w:hint="eastAsia" w:ascii="黑体" w:hAnsi="黑体" w:eastAsia="黑体" w:cs="黑体"/>
          <w:bCs/>
          <w:color w:val="auto"/>
          <w:sz w:val="24"/>
          <w:highlight w:val="none"/>
          <w:lang w:val="en-US" w:eastAsia="zh-CN"/>
        </w:rPr>
        <w:t>挖掘机</w:t>
      </w:r>
    </w:p>
    <w:p w14:paraId="74DAE393">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r>
        <w:rPr>
          <w:rFonts w:ascii="Times New Roman Regular" w:hAnsi="Times New Roman Regular" w:cs="Times New Roman Regular"/>
          <w:b/>
          <w:color w:val="auto"/>
          <w:sz w:val="28"/>
          <w:szCs w:val="28"/>
          <w:highlight w:val="none"/>
        </w:rPr>
        <w:t>2.5.6开拓运输</w:t>
      </w:r>
    </w:p>
    <w:p w14:paraId="6085F030">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p>
    <w:p w14:paraId="0D5C57AE">
      <w:pPr>
        <w:pStyle w:val="2"/>
        <w:rPr>
          <w:rFonts w:ascii="Times New Roman Regular" w:hAnsi="Times New Roman Regular" w:eastAsia="宋体" w:cs="Times New Roman Regular"/>
          <w:color w:val="auto"/>
          <w:position w:val="6"/>
          <w:sz w:val="28"/>
          <w:szCs w:val="28"/>
          <w:highlight w:val="none"/>
        </w:rPr>
      </w:pPr>
    </w:p>
    <w:p w14:paraId="2A9C5374">
      <w:pPr>
        <w:adjustRightInd w:val="0"/>
        <w:snapToGrid w:val="0"/>
        <w:spacing w:line="400" w:lineRule="exact"/>
        <w:jc w:val="center"/>
        <w:rPr>
          <w:rFonts w:hint="eastAsia" w:ascii="黑体" w:hAnsi="黑体" w:eastAsia="黑体" w:cs="黑体"/>
          <w:bCs/>
          <w:color w:val="auto"/>
          <w:sz w:val="24"/>
          <w:highlight w:val="none"/>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lang w:val="en-US" w:eastAsia="zh-CN"/>
        </w:rPr>
        <w:t>8</w:t>
      </w:r>
      <w:r>
        <w:rPr>
          <w:rFonts w:ascii="黑体" w:hAnsi="黑体" w:eastAsia="黑体" w:cs="黑体"/>
          <w:bCs/>
          <w:color w:val="auto"/>
          <w:sz w:val="24"/>
          <w:highlight w:val="none"/>
          <w:lang w:val="zh-CN"/>
        </w:rPr>
        <w:t xml:space="preserve"> </w:t>
      </w:r>
      <w:r>
        <w:rPr>
          <w:rFonts w:hint="eastAsia" w:ascii="黑体" w:hAnsi="黑体" w:eastAsia="黑体" w:cs="黑体"/>
          <w:bCs/>
          <w:color w:val="auto"/>
          <w:sz w:val="24"/>
          <w:highlight w:val="none"/>
        </w:rPr>
        <w:t>现场测量挡车墙</w:t>
      </w:r>
    </w:p>
    <w:p w14:paraId="4A3A472E">
      <w:pPr>
        <w:pStyle w:val="2"/>
        <w:ind w:firstLine="0"/>
        <w:jc w:val="center"/>
        <w:rPr>
          <w:rFonts w:ascii="Times New Roman Regular" w:hAnsi="Times New Roman Regular" w:eastAsia="宋体" w:cs="Times New Roman Regular"/>
          <w:color w:val="auto"/>
          <w:position w:val="6"/>
          <w:sz w:val="28"/>
          <w:szCs w:val="28"/>
          <w:highlight w:val="none"/>
        </w:rPr>
      </w:pPr>
    </w:p>
    <w:p w14:paraId="38C998D6">
      <w:pPr>
        <w:adjustRightInd w:val="0"/>
        <w:snapToGrid w:val="0"/>
        <w:spacing w:line="400" w:lineRule="exact"/>
        <w:jc w:val="center"/>
        <w:rPr>
          <w:rFonts w:hint="eastAsia" w:ascii="黑体" w:hAnsi="黑体" w:eastAsia="黑体" w:cs="黑体"/>
          <w:bCs/>
          <w:color w:val="auto"/>
          <w:sz w:val="24"/>
          <w:highlight w:val="none"/>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lang w:val="en-US" w:eastAsia="zh-CN"/>
        </w:rPr>
        <w:t>9</w:t>
      </w:r>
      <w:r>
        <w:rPr>
          <w:rFonts w:ascii="黑体" w:hAnsi="黑体" w:eastAsia="黑体" w:cs="黑体"/>
          <w:bCs/>
          <w:color w:val="auto"/>
          <w:sz w:val="24"/>
          <w:highlight w:val="none"/>
          <w:lang w:val="zh-CN"/>
        </w:rPr>
        <w:t xml:space="preserve"> </w:t>
      </w:r>
      <w:r>
        <w:rPr>
          <w:rFonts w:hint="eastAsia" w:ascii="黑体" w:hAnsi="黑体" w:eastAsia="黑体" w:cs="黑体"/>
          <w:bCs/>
          <w:color w:val="auto"/>
          <w:sz w:val="24"/>
          <w:highlight w:val="none"/>
        </w:rPr>
        <w:t>现场测量道路</w:t>
      </w:r>
    </w:p>
    <w:p w14:paraId="28F91D84">
      <w:pPr>
        <w:adjustRightInd w:val="0"/>
        <w:snapToGrid w:val="0"/>
        <w:spacing w:line="400" w:lineRule="exact"/>
        <w:jc w:val="center"/>
        <w:rPr>
          <w:rFonts w:hint="eastAsia" w:ascii="黑体" w:hAnsi="黑体" w:eastAsia="黑体" w:cs="黑体"/>
          <w:bCs/>
          <w:color w:val="auto"/>
          <w:sz w:val="24"/>
          <w:highlight w:val="none"/>
          <w:lang w:val="zh-CN"/>
        </w:rPr>
      </w:pPr>
    </w:p>
    <w:p w14:paraId="77EE0746">
      <w:pPr>
        <w:adjustRightInd w:val="0"/>
        <w:snapToGrid w:val="0"/>
        <w:spacing w:line="360" w:lineRule="auto"/>
        <w:jc w:val="center"/>
        <w:rPr>
          <w:rFonts w:ascii="Times New Roman Regular" w:hAnsi="Times New Roman Regular" w:cs="Times New Roman Regular"/>
          <w:color w:val="auto"/>
          <w:highlight w:val="none"/>
        </w:rPr>
      </w:pPr>
    </w:p>
    <w:p w14:paraId="0199FCB9">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lang w:val="en-US" w:eastAsia="zh-CN"/>
        </w:rPr>
        <w:t>10</w:t>
      </w:r>
      <w:r>
        <w:rPr>
          <w:rFonts w:ascii="黑体" w:hAnsi="黑体" w:eastAsia="黑体" w:cs="黑体"/>
          <w:bCs/>
          <w:color w:val="auto"/>
          <w:sz w:val="24"/>
          <w:highlight w:val="none"/>
          <w:lang w:val="zh-CN"/>
        </w:rPr>
        <w:t xml:space="preserve"> 运输道路车</w:t>
      </w:r>
      <w:r>
        <w:rPr>
          <w:rFonts w:hint="eastAsia" w:ascii="黑体" w:hAnsi="黑体" w:eastAsia="黑体" w:cs="黑体"/>
          <w:bCs/>
          <w:color w:val="auto"/>
          <w:sz w:val="24"/>
          <w:highlight w:val="none"/>
        </w:rPr>
        <w:t>挡</w:t>
      </w:r>
    </w:p>
    <w:p w14:paraId="0B80F517">
      <w:pPr>
        <w:adjustRightInd w:val="0"/>
        <w:snapToGrid w:val="0"/>
        <w:spacing w:line="400" w:lineRule="exact"/>
        <w:jc w:val="center"/>
        <w:rPr>
          <w:rFonts w:hint="eastAsia" w:ascii="黑体" w:hAnsi="黑体" w:eastAsia="黑体" w:cs="黑体"/>
          <w:bCs/>
          <w:color w:val="auto"/>
          <w:sz w:val="24"/>
          <w:highlight w:val="none"/>
          <w:lang w:val="zh-CN"/>
        </w:rPr>
      </w:pPr>
    </w:p>
    <w:p w14:paraId="6D472974">
      <w:pPr>
        <w:adjustRightInd w:val="0"/>
        <w:snapToGrid w:val="0"/>
        <w:spacing w:line="360" w:lineRule="auto"/>
        <w:rPr>
          <w:rFonts w:ascii="Times New Roman Regular" w:hAnsi="Times New Roman Regular" w:cs="Times New Roman Regular"/>
          <w:color w:val="auto"/>
          <w:position w:val="6"/>
          <w:szCs w:val="21"/>
          <w:highlight w:val="none"/>
        </w:rPr>
      </w:pPr>
    </w:p>
    <w:p w14:paraId="5E0E3206">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rPr>
        <w:t>1</w:t>
      </w:r>
      <w:r>
        <w:rPr>
          <w:rFonts w:hint="eastAsia" w:ascii="黑体" w:hAnsi="黑体" w:eastAsia="黑体" w:cs="黑体"/>
          <w:bCs/>
          <w:color w:val="auto"/>
          <w:sz w:val="24"/>
          <w:highlight w:val="none"/>
          <w:lang w:val="en-US" w:eastAsia="zh-CN"/>
        </w:rPr>
        <w:t>1</w:t>
      </w:r>
      <w:r>
        <w:rPr>
          <w:rFonts w:ascii="黑体" w:hAnsi="黑体" w:eastAsia="黑体" w:cs="黑体"/>
          <w:bCs/>
          <w:color w:val="auto"/>
          <w:sz w:val="24"/>
          <w:highlight w:val="none"/>
          <w:lang w:val="zh-CN"/>
        </w:rPr>
        <w:t xml:space="preserve"> 自卸运输车</w:t>
      </w:r>
    </w:p>
    <w:p w14:paraId="61A2018B">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66" w:name="_Toc86052375"/>
      <w:r>
        <w:rPr>
          <w:rFonts w:ascii="Times New Roman Regular" w:hAnsi="Times New Roman Regular" w:cs="Times New Roman Regular"/>
          <w:b/>
          <w:color w:val="auto"/>
          <w:sz w:val="28"/>
          <w:szCs w:val="28"/>
          <w:highlight w:val="none"/>
        </w:rPr>
        <w:t>2.5.7采场防排水</w:t>
      </w:r>
      <w:bookmarkEnd w:id="66"/>
      <w:r>
        <w:rPr>
          <w:rFonts w:hint="eastAsia" w:ascii="Times New Roman Regular" w:hAnsi="Times New Roman Regular" w:cs="Times New Roman Regular"/>
          <w:b/>
          <w:color w:val="auto"/>
          <w:sz w:val="28"/>
          <w:szCs w:val="28"/>
          <w:highlight w:val="none"/>
        </w:rPr>
        <w:t>及防灭火</w:t>
      </w:r>
    </w:p>
    <w:p w14:paraId="7CD3DD77">
      <w:pPr>
        <w:pStyle w:val="6"/>
        <w:tabs>
          <w:tab w:val="left" w:pos="0"/>
        </w:tabs>
        <w:spacing w:before="60" w:after="60"/>
        <w:rPr>
          <w:rFonts w:ascii="Times New Roman Regular" w:hAnsi="Times New Roman Regular" w:cs="Times New Roman Regular"/>
          <w:color w:val="auto"/>
          <w:position w:val="6"/>
          <w:sz w:val="28"/>
          <w:szCs w:val="28"/>
          <w:highlight w:val="none"/>
        </w:rPr>
      </w:pPr>
      <w:r>
        <w:rPr>
          <w:rFonts w:ascii="Times New Roman Regular" w:hAnsi="Times New Roman Regular" w:eastAsia="宋体" w:cs="Times New Roman Regular"/>
          <w:color w:val="auto"/>
          <w:szCs w:val="28"/>
          <w:highlight w:val="none"/>
        </w:rPr>
        <w:t>2.</w:t>
      </w:r>
      <w:r>
        <w:rPr>
          <w:rFonts w:hint="eastAsia" w:ascii="Times New Roman Regular" w:hAnsi="Times New Roman Regular" w:eastAsia="宋体" w:cs="Times New Roman Regular"/>
          <w:color w:val="auto"/>
          <w:szCs w:val="28"/>
          <w:highlight w:val="none"/>
        </w:rPr>
        <w:t>5</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rPr>
        <w:t>7</w:t>
      </w:r>
      <w:r>
        <w:rPr>
          <w:rFonts w:ascii="Times New Roman Regular" w:hAnsi="Times New Roman Regular" w:eastAsia="宋体" w:cs="Times New Roman Regular"/>
          <w:color w:val="auto"/>
          <w:szCs w:val="28"/>
          <w:highlight w:val="none"/>
        </w:rPr>
        <w:t>.1 防排水</w:t>
      </w:r>
    </w:p>
    <w:p w14:paraId="27607704">
      <w:pPr>
        <w:pStyle w:val="2"/>
        <w:ind w:firstLine="0"/>
        <w:jc w:val="center"/>
        <w:rPr>
          <w:rFonts w:ascii="Times New Roman Regular" w:hAnsi="Times New Roman Regular" w:eastAsia="宋体" w:cs="Times New Roman Regular"/>
          <w:color w:val="auto"/>
          <w:highlight w:val="none"/>
        </w:rPr>
      </w:pPr>
    </w:p>
    <w:p w14:paraId="3AC2A514">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图2.5-</w:t>
      </w:r>
      <w:r>
        <w:rPr>
          <w:rFonts w:hint="eastAsia" w:ascii="黑体" w:hAnsi="黑体" w:eastAsia="黑体" w:cs="黑体"/>
          <w:bCs/>
          <w:color w:val="auto"/>
          <w:sz w:val="24"/>
          <w:highlight w:val="none"/>
        </w:rPr>
        <w:t>1</w:t>
      </w:r>
      <w:r>
        <w:rPr>
          <w:rFonts w:hint="eastAsia" w:ascii="黑体" w:hAnsi="黑体" w:eastAsia="黑体" w:cs="黑体"/>
          <w:bCs/>
          <w:color w:val="auto"/>
          <w:sz w:val="24"/>
          <w:highlight w:val="none"/>
          <w:lang w:val="en-US" w:eastAsia="zh-CN"/>
        </w:rPr>
        <w:t>2</w:t>
      </w:r>
      <w:r>
        <w:rPr>
          <w:rFonts w:ascii="黑体" w:hAnsi="黑体" w:eastAsia="黑体" w:cs="黑体"/>
          <w:bCs/>
          <w:color w:val="auto"/>
          <w:sz w:val="24"/>
          <w:highlight w:val="none"/>
          <w:lang w:val="zh-CN"/>
        </w:rPr>
        <w:t xml:space="preserve"> 集水坑及排水管路</w:t>
      </w:r>
    </w:p>
    <w:p w14:paraId="5843B4D3">
      <w:pPr>
        <w:pStyle w:val="6"/>
        <w:tabs>
          <w:tab w:val="left" w:pos="0"/>
        </w:tabs>
        <w:spacing w:before="60" w:after="60"/>
        <w:rPr>
          <w:rFonts w:ascii="Times New Roman Regular" w:hAnsi="Times New Roman Regular" w:eastAsia="宋体" w:cs="Times New Roman Regular"/>
          <w:color w:val="auto"/>
          <w:szCs w:val="28"/>
          <w:highlight w:val="none"/>
        </w:rPr>
      </w:pPr>
      <w:r>
        <w:rPr>
          <w:rFonts w:ascii="Times New Roman Regular" w:hAnsi="Times New Roman Regular" w:eastAsia="宋体" w:cs="Times New Roman Regular"/>
          <w:color w:val="auto"/>
          <w:szCs w:val="28"/>
          <w:highlight w:val="none"/>
        </w:rPr>
        <w:t>2.</w:t>
      </w:r>
      <w:r>
        <w:rPr>
          <w:rFonts w:hint="eastAsia" w:ascii="Times New Roman Regular" w:hAnsi="Times New Roman Regular" w:eastAsia="宋体" w:cs="Times New Roman Regular"/>
          <w:color w:val="auto"/>
          <w:szCs w:val="28"/>
          <w:highlight w:val="none"/>
        </w:rPr>
        <w:t>5</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rPr>
        <w:t>7</w:t>
      </w:r>
      <w:r>
        <w:rPr>
          <w:rFonts w:ascii="Times New Roman Regular" w:hAnsi="Times New Roman Regular" w:eastAsia="宋体" w:cs="Times New Roman Regular"/>
          <w:color w:val="auto"/>
          <w:szCs w:val="28"/>
          <w:highlight w:val="none"/>
        </w:rPr>
        <w:t>.</w:t>
      </w:r>
      <w:r>
        <w:rPr>
          <w:rFonts w:hint="eastAsia" w:ascii="Times New Roman Regular" w:hAnsi="Times New Roman Regular" w:eastAsia="宋体" w:cs="Times New Roman Regular"/>
          <w:color w:val="auto"/>
          <w:szCs w:val="28"/>
          <w:highlight w:val="none"/>
        </w:rPr>
        <w:t>2</w:t>
      </w:r>
      <w:r>
        <w:rPr>
          <w:rFonts w:ascii="Times New Roman Regular" w:hAnsi="Times New Roman Regular" w:eastAsia="宋体" w:cs="Times New Roman Regular"/>
          <w:color w:val="auto"/>
          <w:szCs w:val="28"/>
          <w:highlight w:val="none"/>
        </w:rPr>
        <w:t xml:space="preserve"> 防</w:t>
      </w:r>
      <w:r>
        <w:rPr>
          <w:rFonts w:hint="eastAsia" w:ascii="Times New Roman Regular" w:hAnsi="Times New Roman Regular" w:eastAsia="宋体" w:cs="Times New Roman Regular"/>
          <w:color w:val="auto"/>
          <w:szCs w:val="28"/>
          <w:highlight w:val="none"/>
        </w:rPr>
        <w:t>灭火</w:t>
      </w:r>
    </w:p>
    <w:p w14:paraId="387CE436">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p>
    <w:p w14:paraId="2A4BB220">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67" w:name="_Toc86052377"/>
      <w:r>
        <w:rPr>
          <w:rFonts w:ascii="Times New Roman Regular" w:hAnsi="Times New Roman Regular" w:cs="Times New Roman Regular"/>
          <w:b/>
          <w:color w:val="auto"/>
          <w:sz w:val="28"/>
          <w:szCs w:val="28"/>
          <w:highlight w:val="none"/>
        </w:rPr>
        <w:t>2.5.8供配电系统</w:t>
      </w:r>
      <w:bookmarkEnd w:id="67"/>
    </w:p>
    <w:p w14:paraId="34FD4C8B">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bookmarkStart w:id="68" w:name="_Toc86052378"/>
    </w:p>
    <w:p w14:paraId="746E3EF1">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r>
        <w:rPr>
          <w:rFonts w:ascii="Times New Roman Regular" w:hAnsi="Times New Roman Regular" w:cs="Times New Roman Regular"/>
          <w:b/>
          <w:color w:val="auto"/>
          <w:sz w:val="28"/>
          <w:szCs w:val="28"/>
          <w:highlight w:val="none"/>
        </w:rPr>
        <w:t>2.5.9通信系统</w:t>
      </w:r>
      <w:bookmarkEnd w:id="68"/>
    </w:p>
    <w:p w14:paraId="4471AA92">
      <w:pPr>
        <w:adjustRightInd w:val="0"/>
        <w:snapToGrid w:val="0"/>
        <w:spacing w:line="360" w:lineRule="auto"/>
        <w:ind w:firstLine="560" w:firstLineChars="200"/>
        <w:rPr>
          <w:rFonts w:ascii="Times New Roman Regular" w:hAnsi="Times New Roman Regular" w:cs="Times New Roman Regular"/>
          <w:color w:val="auto"/>
          <w:position w:val="6"/>
          <w:sz w:val="28"/>
          <w:szCs w:val="28"/>
          <w:highlight w:val="none"/>
        </w:rPr>
      </w:pPr>
      <w:bookmarkStart w:id="69" w:name="_Toc86052379"/>
    </w:p>
    <w:p w14:paraId="57A9892A">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r>
        <w:rPr>
          <w:rFonts w:ascii="Times New Roman Regular" w:hAnsi="Times New Roman Regular" w:cs="Times New Roman Regular"/>
          <w:b/>
          <w:color w:val="auto"/>
          <w:sz w:val="28"/>
          <w:szCs w:val="28"/>
          <w:highlight w:val="none"/>
        </w:rPr>
        <w:t>2.5.</w:t>
      </w:r>
      <w:r>
        <w:rPr>
          <w:rFonts w:hint="eastAsia" w:ascii="Times New Roman Regular" w:hAnsi="Times New Roman Regular" w:cs="Times New Roman Regular"/>
          <w:b/>
          <w:color w:val="auto"/>
          <w:sz w:val="28"/>
          <w:szCs w:val="28"/>
          <w:highlight w:val="none"/>
        </w:rPr>
        <w:t>10监测</w:t>
      </w:r>
      <w:r>
        <w:rPr>
          <w:rFonts w:ascii="Times New Roman Regular" w:hAnsi="Times New Roman Regular" w:cs="Times New Roman Regular"/>
          <w:b/>
          <w:color w:val="auto"/>
          <w:sz w:val="28"/>
          <w:szCs w:val="28"/>
          <w:highlight w:val="none"/>
        </w:rPr>
        <w:t>系统</w:t>
      </w:r>
    </w:p>
    <w:p w14:paraId="01148C9B">
      <w:pPr>
        <w:jc w:val="center"/>
        <w:rPr>
          <w:rFonts w:hint="eastAsia" w:eastAsia="宋体"/>
          <w:color w:val="auto"/>
          <w:highlight w:val="none"/>
          <w:lang w:eastAsia="zh-CN"/>
        </w:rPr>
      </w:pPr>
    </w:p>
    <w:p w14:paraId="0C62D540">
      <w:pPr>
        <w:adjustRightInd w:val="0"/>
        <w:snapToGrid w:val="0"/>
        <w:spacing w:line="400" w:lineRule="exact"/>
        <w:jc w:val="center"/>
        <w:rPr>
          <w:rFonts w:hint="eastAsia" w:ascii="黑体" w:hAnsi="黑体" w:eastAsia="黑体" w:cs="黑体"/>
          <w:bCs/>
          <w:color w:val="auto"/>
          <w:sz w:val="24"/>
          <w:highlight w:val="none"/>
        </w:rPr>
      </w:pPr>
      <w:r>
        <w:rPr>
          <w:rFonts w:hint="eastAsia" w:ascii="黑体" w:hAnsi="黑体" w:eastAsia="黑体" w:cs="黑体"/>
          <w:bCs/>
          <w:color w:val="auto"/>
          <w:sz w:val="24"/>
          <w:highlight w:val="none"/>
          <w:lang w:val="zh-CN"/>
        </w:rPr>
        <w:t>图</w:t>
      </w:r>
      <w:r>
        <w:rPr>
          <w:rFonts w:hint="eastAsia" w:ascii="黑体" w:hAnsi="黑体" w:eastAsia="黑体" w:cs="黑体"/>
          <w:bCs/>
          <w:color w:val="auto"/>
          <w:sz w:val="24"/>
          <w:highlight w:val="none"/>
        </w:rPr>
        <w:t>2.</w:t>
      </w:r>
      <w:r>
        <w:rPr>
          <w:rFonts w:hint="eastAsia" w:ascii="黑体" w:hAnsi="黑体" w:eastAsia="黑体" w:cs="黑体"/>
          <w:bCs/>
          <w:color w:val="auto"/>
          <w:sz w:val="24"/>
          <w:highlight w:val="none"/>
          <w:lang w:val="zh-CN"/>
        </w:rPr>
        <w:t>5-</w:t>
      </w:r>
      <w:r>
        <w:rPr>
          <w:rFonts w:hint="eastAsia" w:ascii="黑体" w:hAnsi="黑体" w:eastAsia="黑体" w:cs="黑体"/>
          <w:bCs/>
          <w:color w:val="auto"/>
          <w:sz w:val="24"/>
          <w:highlight w:val="none"/>
        </w:rPr>
        <w:t>1</w:t>
      </w:r>
      <w:r>
        <w:rPr>
          <w:rFonts w:hint="eastAsia" w:ascii="黑体" w:hAnsi="黑体" w:eastAsia="黑体" w:cs="黑体"/>
          <w:bCs/>
          <w:color w:val="auto"/>
          <w:sz w:val="24"/>
          <w:highlight w:val="none"/>
          <w:lang w:val="en-US" w:eastAsia="zh-CN"/>
        </w:rPr>
        <w:t>3</w:t>
      </w:r>
      <w:r>
        <w:rPr>
          <w:rFonts w:hint="eastAsia" w:ascii="黑体" w:hAnsi="黑体" w:eastAsia="黑体" w:cs="黑体"/>
          <w:bCs/>
          <w:color w:val="auto"/>
          <w:sz w:val="24"/>
          <w:highlight w:val="none"/>
          <w:lang w:val="zh-CN"/>
        </w:rPr>
        <w:t xml:space="preserve"> 人工监测点位</w:t>
      </w:r>
      <w:r>
        <w:rPr>
          <w:rFonts w:hint="eastAsia" w:ascii="黑体" w:hAnsi="黑体" w:eastAsia="黑体" w:cs="黑体"/>
          <w:bCs/>
          <w:color w:val="auto"/>
          <w:sz w:val="24"/>
          <w:highlight w:val="none"/>
        </w:rPr>
        <w:t>摄像头</w:t>
      </w:r>
      <w:r>
        <w:rPr>
          <w:rFonts w:hint="eastAsia" w:ascii="黑体" w:hAnsi="黑体" w:eastAsia="黑体" w:cs="黑体"/>
          <w:bCs/>
          <w:color w:val="auto"/>
          <w:sz w:val="24"/>
          <w:highlight w:val="none"/>
          <w:lang w:val="zh-CN"/>
        </w:rPr>
        <w:t>布置图</w:t>
      </w:r>
    </w:p>
    <w:p w14:paraId="469BC1E8">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rPr>
        <w:t>1</w:t>
      </w:r>
      <w:r>
        <w:rPr>
          <w:rFonts w:ascii="Times New Roman Regular" w:hAnsi="Times New Roman Regular" w:cs="Times New Roman Regular"/>
          <w:b/>
          <w:color w:val="auto"/>
          <w:sz w:val="28"/>
          <w:szCs w:val="28"/>
          <w:highlight w:val="none"/>
        </w:rPr>
        <w:t>个人安全防护</w:t>
      </w:r>
      <w:bookmarkEnd w:id="69"/>
    </w:p>
    <w:p w14:paraId="606AB576">
      <w:pPr>
        <w:autoSpaceDE w:val="0"/>
        <w:autoSpaceDN w:val="0"/>
        <w:adjustRightInd w:val="0"/>
        <w:snapToGrid w:val="0"/>
        <w:spacing w:line="360" w:lineRule="auto"/>
        <w:ind w:firstLine="560" w:firstLineChars="200"/>
        <w:rPr>
          <w:rFonts w:ascii="Times New Roman Regular" w:hAnsi="Times New Roman Regular" w:cs="Times New Roman Regular"/>
          <w:color w:val="auto"/>
          <w:sz w:val="28"/>
          <w:szCs w:val="30"/>
          <w:highlight w:val="none"/>
        </w:rPr>
      </w:pPr>
      <w:r>
        <w:rPr>
          <w:rFonts w:ascii="Times New Roman Regular" w:hAnsi="Times New Roman Regular" w:cs="Times New Roman Regular"/>
          <w:color w:val="auto"/>
          <w:sz w:val="28"/>
          <w:szCs w:val="30"/>
          <w:highlight w:val="none"/>
        </w:rPr>
        <w:t>矿山按照规定为工作人员足额配备了安全帽、工作服、防尘口罩等防护用品，且留有备用护具，另外为特殊工种配备电焊眼镜、电焊手套、护目镜、耳塞等专用防护用品。矿山有健全劳动防护用品的采购、验收、保管、发放、使用、更换、报废等管理制度。安全管理人员对购进的劳动防护用品进行检验。</w:t>
      </w:r>
    </w:p>
    <w:p w14:paraId="78C05FA8">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0" w:name="_Toc86052380"/>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rPr>
        <w:t>2</w:t>
      </w:r>
      <w:r>
        <w:rPr>
          <w:rFonts w:ascii="Times New Roman Regular" w:hAnsi="Times New Roman Regular" w:cs="Times New Roman Regular"/>
          <w:b/>
          <w:color w:val="auto"/>
          <w:sz w:val="28"/>
          <w:szCs w:val="28"/>
          <w:highlight w:val="none"/>
        </w:rPr>
        <w:t>安全标志</w:t>
      </w:r>
      <w:bookmarkEnd w:id="70"/>
    </w:p>
    <w:p w14:paraId="0722B089">
      <w:pPr>
        <w:autoSpaceDE w:val="0"/>
        <w:autoSpaceDN w:val="0"/>
        <w:adjustRightInd w:val="0"/>
        <w:snapToGrid w:val="0"/>
        <w:spacing w:line="360" w:lineRule="auto"/>
        <w:ind w:firstLine="560" w:firstLineChars="200"/>
        <w:rPr>
          <w:rFonts w:ascii="Times New Roman Regular" w:hAnsi="Times New Roman Regular" w:cs="Times New Roman Regular"/>
          <w:color w:val="auto"/>
          <w:sz w:val="28"/>
          <w:szCs w:val="30"/>
          <w:highlight w:val="none"/>
        </w:rPr>
      </w:pPr>
      <w:r>
        <w:rPr>
          <w:rFonts w:ascii="Times New Roman Regular" w:hAnsi="Times New Roman Regular" w:cs="Times New Roman Regular"/>
          <w:color w:val="auto"/>
          <w:sz w:val="28"/>
          <w:szCs w:val="30"/>
          <w:highlight w:val="none"/>
        </w:rPr>
        <w:t>在采区各工作场所根据工作性质及工作区域设置安全标志，矿山在采场设置了注意安全的安全标志，在运输道路处设置了限速，转弯慢行的安全标志，在台阶边坡处设置了高陡边坡严禁靠近安全标识，在矿区入口处设置采矿重地闲人免进的安全标志。安全标志放在醒目固定的地方，并定期检查以保证安全标志不缺失、不遮挡。</w:t>
      </w:r>
    </w:p>
    <w:p w14:paraId="47004B39">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图2.5-</w:t>
      </w:r>
      <w:r>
        <w:rPr>
          <w:rFonts w:ascii="黑体" w:hAnsi="黑体" w:eastAsia="黑体" w:cs="黑体"/>
          <w:bCs/>
          <w:color w:val="auto"/>
          <w:sz w:val="24"/>
          <w:highlight w:val="none"/>
        </w:rPr>
        <w:t>1</w:t>
      </w:r>
      <w:r>
        <w:rPr>
          <w:rFonts w:hint="eastAsia" w:ascii="黑体" w:hAnsi="黑体" w:eastAsia="黑体" w:cs="黑体"/>
          <w:bCs/>
          <w:color w:val="auto"/>
          <w:sz w:val="24"/>
          <w:highlight w:val="none"/>
        </w:rPr>
        <w:t>2</w:t>
      </w:r>
      <w:r>
        <w:rPr>
          <w:rFonts w:ascii="黑体" w:hAnsi="黑体" w:eastAsia="黑体" w:cs="黑体"/>
          <w:bCs/>
          <w:color w:val="auto"/>
          <w:sz w:val="24"/>
          <w:highlight w:val="none"/>
          <w:lang w:val="zh-CN"/>
        </w:rPr>
        <w:t xml:space="preserve"> 安全警示标志</w:t>
      </w:r>
    </w:p>
    <w:p w14:paraId="71529229">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1" w:name="_Toc86052381"/>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rPr>
        <w:t>3</w:t>
      </w:r>
      <w:r>
        <w:rPr>
          <w:rFonts w:ascii="Times New Roman Regular" w:hAnsi="Times New Roman Regular" w:cs="Times New Roman Regular"/>
          <w:b/>
          <w:color w:val="auto"/>
          <w:sz w:val="28"/>
          <w:szCs w:val="28"/>
          <w:highlight w:val="none"/>
        </w:rPr>
        <w:t>安全管理</w:t>
      </w:r>
      <w:bookmarkEnd w:id="71"/>
    </w:p>
    <w:p w14:paraId="07BE218A">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rPr>
      </w:pPr>
      <w:r>
        <w:rPr>
          <w:rFonts w:ascii="Times New Roman Regular" w:hAnsi="Times New Roman Regular" w:cs="Times New Roman Regular"/>
          <w:color w:val="auto"/>
          <w:sz w:val="28"/>
          <w:szCs w:val="30"/>
          <w:highlight w:val="none"/>
        </w:rPr>
        <w:t>（1）组织与制度</w:t>
      </w:r>
    </w:p>
    <w:p w14:paraId="21F34EF7">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rPr>
      </w:pPr>
    </w:p>
    <w:p w14:paraId="0E2912D4">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rPr>
      </w:pPr>
      <w:r>
        <w:rPr>
          <w:rFonts w:ascii="Times New Roman Regular" w:hAnsi="Times New Roman Regular" w:cs="Times New Roman Regular"/>
          <w:color w:val="auto"/>
          <w:sz w:val="28"/>
          <w:szCs w:val="30"/>
          <w:highlight w:val="none"/>
        </w:rPr>
        <w:t>（2）安全运行管理</w:t>
      </w:r>
    </w:p>
    <w:p w14:paraId="74FC1249">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lang w:val="zh-TW"/>
        </w:rPr>
      </w:pPr>
    </w:p>
    <w:p w14:paraId="055664D9">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rPr>
      </w:pPr>
      <w:r>
        <w:rPr>
          <w:rFonts w:ascii="Times New Roman Regular" w:hAnsi="Times New Roman Regular" w:cs="Times New Roman Regular"/>
          <w:color w:val="auto"/>
          <w:sz w:val="28"/>
          <w:szCs w:val="30"/>
          <w:highlight w:val="none"/>
        </w:rPr>
        <w:t>（3）应急救援</w:t>
      </w:r>
    </w:p>
    <w:p w14:paraId="440E94ED">
      <w:pPr>
        <w:autoSpaceDE w:val="0"/>
        <w:autoSpaceDN w:val="0"/>
        <w:adjustRightInd w:val="0"/>
        <w:snapToGrid w:val="0"/>
        <w:spacing w:line="360" w:lineRule="auto"/>
        <w:ind w:firstLine="560" w:firstLineChars="200"/>
        <w:jc w:val="left"/>
        <w:rPr>
          <w:rFonts w:ascii="Times New Roman Regular" w:hAnsi="Times New Roman Regular" w:cs="Times New Roman Regular"/>
          <w:color w:val="auto"/>
          <w:sz w:val="28"/>
          <w:szCs w:val="30"/>
          <w:highlight w:val="none"/>
          <w:lang w:val="zh-TW"/>
        </w:rPr>
      </w:pPr>
    </w:p>
    <w:p w14:paraId="7E7417E5">
      <w:pPr>
        <w:keepNext/>
        <w:keepLines/>
        <w:numPr>
          <w:ilvl w:val="2"/>
          <w:numId w:val="1"/>
        </w:numPr>
        <w:spacing w:before="60" w:after="60" w:line="360" w:lineRule="auto"/>
        <w:outlineLvl w:val="2"/>
        <w:rPr>
          <w:rFonts w:ascii="Times New Roman Regular" w:hAnsi="Times New Roman Regular" w:cs="Times New Roman Regular"/>
          <w:b/>
          <w:color w:val="auto"/>
          <w:sz w:val="28"/>
          <w:szCs w:val="28"/>
          <w:highlight w:val="none"/>
        </w:rPr>
      </w:pPr>
      <w:bookmarkStart w:id="72" w:name="_Toc86052382"/>
      <w:r>
        <w:rPr>
          <w:rFonts w:ascii="Times New Roman Regular" w:hAnsi="Times New Roman Regular" w:cs="Times New Roman Regular"/>
          <w:b/>
          <w:color w:val="auto"/>
          <w:sz w:val="28"/>
          <w:szCs w:val="28"/>
          <w:highlight w:val="none"/>
        </w:rPr>
        <w:t>2.5.1</w:t>
      </w:r>
      <w:r>
        <w:rPr>
          <w:rFonts w:hint="eastAsia" w:ascii="Times New Roman Regular" w:hAnsi="Times New Roman Regular" w:cs="Times New Roman Regular"/>
          <w:b/>
          <w:color w:val="auto"/>
          <w:sz w:val="28"/>
          <w:szCs w:val="28"/>
          <w:highlight w:val="none"/>
        </w:rPr>
        <w:t>4</w:t>
      </w:r>
      <w:r>
        <w:rPr>
          <w:rFonts w:ascii="Times New Roman Regular" w:hAnsi="Times New Roman Regular" w:cs="Times New Roman Regular"/>
          <w:b/>
          <w:color w:val="auto"/>
          <w:sz w:val="28"/>
          <w:szCs w:val="28"/>
          <w:highlight w:val="none"/>
        </w:rPr>
        <w:t>安全设施投入</w:t>
      </w:r>
      <w:bookmarkEnd w:id="72"/>
    </w:p>
    <w:p w14:paraId="2545F4F7">
      <w:pPr>
        <w:adjustRightInd w:val="0"/>
        <w:snapToGrid w:val="0"/>
        <w:spacing w:line="400" w:lineRule="exact"/>
        <w:jc w:val="center"/>
        <w:rPr>
          <w:rFonts w:hint="eastAsia" w:ascii="黑体" w:hAnsi="黑体" w:eastAsia="黑体" w:cs="黑体"/>
          <w:bCs/>
          <w:color w:val="auto"/>
          <w:sz w:val="24"/>
          <w:highlight w:val="none"/>
        </w:rPr>
      </w:pPr>
      <w:r>
        <w:rPr>
          <w:rFonts w:ascii="黑体" w:hAnsi="黑体" w:eastAsia="黑体" w:cs="黑体"/>
          <w:bCs/>
          <w:color w:val="auto"/>
          <w:sz w:val="24"/>
          <w:highlight w:val="none"/>
        </w:rPr>
        <w:t>表2.5-1 矿山安全设施的投资表</w:t>
      </w:r>
    </w:p>
    <w:p w14:paraId="7A24E707">
      <w:pPr>
        <w:pStyle w:val="2"/>
        <w:rPr>
          <w:rFonts w:hint="eastAsia" w:ascii="黑体" w:hAnsi="黑体" w:eastAsia="黑体" w:cs="黑体"/>
          <w:color w:val="auto"/>
          <w:position w:val="6"/>
          <w:szCs w:val="21"/>
          <w:highlight w:val="none"/>
        </w:rPr>
      </w:pPr>
    </w:p>
    <w:p w14:paraId="74BFECC4">
      <w:pPr>
        <w:keepNext/>
        <w:keepLines/>
        <w:adjustRightInd w:val="0"/>
        <w:snapToGrid w:val="0"/>
        <w:spacing w:before="156" w:beforeLines="50" w:after="156" w:afterLines="50" w:line="336" w:lineRule="auto"/>
        <w:jc w:val="center"/>
        <w:outlineLvl w:val="1"/>
        <w:rPr>
          <w:rFonts w:ascii="Times New Roman Regular" w:hAnsi="Times New Roman Regular" w:eastAsia="黑体" w:cs="Times New Roman Regular"/>
          <w:b/>
          <w:bCs/>
          <w:color w:val="auto"/>
          <w:sz w:val="30"/>
          <w:szCs w:val="32"/>
          <w:highlight w:val="none"/>
        </w:rPr>
      </w:pPr>
      <w:bookmarkStart w:id="73" w:name="_Toc22965805"/>
      <w:bookmarkStart w:id="74" w:name="_Toc183175333"/>
      <w:bookmarkStart w:id="75" w:name="_Toc15258"/>
      <w:bookmarkStart w:id="76" w:name="_Toc17058"/>
      <w:r>
        <w:rPr>
          <w:rFonts w:ascii="Times New Roman Regular" w:hAnsi="Times New Roman Regular" w:eastAsia="黑体" w:cs="Times New Roman Regular"/>
          <w:b/>
          <w:bCs/>
          <w:color w:val="auto"/>
          <w:sz w:val="30"/>
          <w:szCs w:val="32"/>
          <w:highlight w:val="none"/>
        </w:rPr>
        <w:t>2.6施工及监理概况</w:t>
      </w:r>
      <w:bookmarkEnd w:id="73"/>
      <w:bookmarkEnd w:id="74"/>
      <w:bookmarkEnd w:id="75"/>
      <w:bookmarkEnd w:id="76"/>
    </w:p>
    <w:p w14:paraId="72015696">
      <w:pPr>
        <w:snapToGrid w:val="0"/>
        <w:spacing w:line="360" w:lineRule="auto"/>
        <w:ind w:firstLine="560" w:firstLineChars="200"/>
        <w:rPr>
          <w:rFonts w:ascii="Times New Roman Regular" w:hAnsi="Times New Roman Regular" w:cs="Times New Roman Regular"/>
          <w:color w:val="auto"/>
          <w:sz w:val="28"/>
          <w:highlight w:val="none"/>
        </w:rPr>
      </w:pPr>
    </w:p>
    <w:p w14:paraId="3863AB6F">
      <w:pPr>
        <w:keepNext/>
        <w:keepLines/>
        <w:adjustRightInd w:val="0"/>
        <w:snapToGrid w:val="0"/>
        <w:spacing w:before="156" w:beforeLines="50" w:after="156" w:afterLines="50" w:line="336" w:lineRule="auto"/>
        <w:jc w:val="center"/>
        <w:outlineLvl w:val="1"/>
        <w:rPr>
          <w:rFonts w:ascii="Times New Roman Regular" w:hAnsi="Times New Roman Regular" w:eastAsia="黑体" w:cs="Times New Roman Regular"/>
          <w:b/>
          <w:bCs/>
          <w:color w:val="auto"/>
          <w:sz w:val="30"/>
          <w:szCs w:val="32"/>
          <w:highlight w:val="none"/>
        </w:rPr>
      </w:pPr>
      <w:bookmarkStart w:id="77" w:name="_Toc66"/>
      <w:bookmarkStart w:id="78" w:name="_Toc1586711822"/>
      <w:bookmarkStart w:id="79" w:name="_Toc86052386"/>
      <w:bookmarkStart w:id="80" w:name="_Toc20961"/>
      <w:bookmarkStart w:id="81" w:name="_Toc183175334"/>
      <w:r>
        <w:rPr>
          <w:rFonts w:ascii="Times New Roman Regular" w:hAnsi="Times New Roman Regular" w:eastAsia="黑体" w:cs="Times New Roman Regular"/>
          <w:b/>
          <w:bCs/>
          <w:color w:val="auto"/>
          <w:sz w:val="30"/>
          <w:szCs w:val="32"/>
          <w:highlight w:val="none"/>
        </w:rPr>
        <w:t>2.7 试运行概况</w:t>
      </w:r>
      <w:bookmarkEnd w:id="77"/>
      <w:bookmarkEnd w:id="78"/>
      <w:bookmarkEnd w:id="79"/>
      <w:bookmarkEnd w:id="80"/>
      <w:bookmarkEnd w:id="81"/>
    </w:p>
    <w:p w14:paraId="5217B3C1">
      <w:pPr>
        <w:snapToGrid w:val="0"/>
        <w:spacing w:line="360" w:lineRule="auto"/>
        <w:ind w:firstLine="560" w:firstLineChars="200"/>
        <w:rPr>
          <w:rFonts w:ascii="Times New Roman Regular" w:hAnsi="Times New Roman Regular" w:cs="Times New Roman Regular"/>
          <w:color w:val="auto"/>
          <w:sz w:val="28"/>
          <w:szCs w:val="28"/>
          <w:highlight w:val="none"/>
        </w:rPr>
      </w:pPr>
    </w:p>
    <w:p w14:paraId="7257C41C">
      <w:pPr>
        <w:keepNext/>
        <w:keepLines/>
        <w:adjustRightInd w:val="0"/>
        <w:snapToGrid w:val="0"/>
        <w:spacing w:before="156" w:beforeLines="50" w:after="156" w:afterLines="50" w:line="336" w:lineRule="auto"/>
        <w:jc w:val="center"/>
        <w:outlineLvl w:val="1"/>
        <w:rPr>
          <w:rFonts w:ascii="Times New Roman Regular" w:hAnsi="Times New Roman Regular" w:eastAsia="黑体" w:cs="Times New Roman Regular"/>
          <w:b/>
          <w:bCs/>
          <w:color w:val="auto"/>
          <w:sz w:val="30"/>
          <w:szCs w:val="32"/>
          <w:highlight w:val="none"/>
        </w:rPr>
      </w:pPr>
      <w:bookmarkStart w:id="82" w:name="_Toc183175335"/>
      <w:bookmarkStart w:id="83" w:name="_Toc413663908"/>
      <w:bookmarkStart w:id="84" w:name="_Toc9541"/>
      <w:r>
        <w:rPr>
          <w:rFonts w:ascii="Times New Roman Regular" w:hAnsi="Times New Roman Regular" w:eastAsia="黑体" w:cs="Times New Roman Regular"/>
          <w:b/>
          <w:bCs/>
          <w:color w:val="auto"/>
          <w:sz w:val="30"/>
          <w:szCs w:val="32"/>
          <w:highlight w:val="none"/>
        </w:rPr>
        <w:t>2.8 安全设施概况</w:t>
      </w:r>
      <w:bookmarkEnd w:id="82"/>
      <w:bookmarkEnd w:id="83"/>
      <w:bookmarkEnd w:id="84"/>
    </w:p>
    <w:p w14:paraId="4B86C4F6">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b/>
          <w:bCs/>
          <w:color w:val="auto"/>
          <w:sz w:val="32"/>
          <w:szCs w:val="32"/>
          <w:highlight w:val="none"/>
        </w:rPr>
      </w:pPr>
      <w:r>
        <w:rPr>
          <w:rFonts w:ascii="Times New Roman Regular" w:hAnsi="Times New Roman Regular" w:cs="Times New Roman Regular"/>
          <w:color w:val="auto"/>
          <w:highlight w:val="none"/>
        </w:rPr>
        <w:br w:type="page"/>
      </w:r>
      <w:bookmarkStart w:id="85" w:name="_Toc29473"/>
      <w:bookmarkStart w:id="86" w:name="_Toc1044736417"/>
      <w:bookmarkStart w:id="87" w:name="_Toc23165"/>
      <w:bookmarkStart w:id="88" w:name="_Toc86052388"/>
      <w:bookmarkStart w:id="89" w:name="_Toc1719"/>
      <w:r>
        <w:rPr>
          <w:rFonts w:ascii="Times New Roman Regular" w:hAnsi="Times New Roman Regular" w:eastAsia="黑体" w:cs="Times New Roman Regular"/>
          <w:b/>
          <w:bCs/>
          <w:color w:val="auto"/>
          <w:kern w:val="44"/>
          <w:sz w:val="32"/>
          <w:szCs w:val="44"/>
          <w:highlight w:val="none"/>
        </w:rPr>
        <w:t>3.安全设施符合性评价</w:t>
      </w:r>
      <w:bookmarkEnd w:id="85"/>
      <w:bookmarkEnd w:id="86"/>
      <w:bookmarkEnd w:id="87"/>
      <w:bookmarkEnd w:id="88"/>
      <w:bookmarkEnd w:id="89"/>
    </w:p>
    <w:p w14:paraId="0C3EEBC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根据国家的相关法律、法规、规程及安全设施设计，结合现场实际检查、竣工验收资料、施工记录、监理记录、检测检验等相关资料，采用安全检查表方法检查基本安全设施、专用安全设施和安全管理等，对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（玻璃用石英岩）露天开采建设项目的各个评价单元进行直接、全面的符合性评价如下。</w:t>
      </w:r>
    </w:p>
    <w:p w14:paraId="64E920E4">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90" w:name="_Toc13466"/>
      <w:bookmarkStart w:id="91" w:name="_Toc12050"/>
      <w:bookmarkStart w:id="92" w:name="_Toc1058662647"/>
      <w:bookmarkStart w:id="93" w:name="_Toc86052389"/>
      <w:bookmarkStart w:id="94" w:name="_Toc22695"/>
      <w:r>
        <w:rPr>
          <w:rFonts w:ascii="Times New Roman Regular" w:hAnsi="Times New Roman Regular" w:eastAsia="黑体" w:cs="Times New Roman Regular"/>
          <w:color w:val="auto"/>
          <w:sz w:val="30"/>
          <w:highlight w:val="none"/>
        </w:rPr>
        <w:t>3.1安全设施“三同时”程序</w:t>
      </w:r>
      <w:bookmarkEnd w:id="90"/>
      <w:bookmarkEnd w:id="91"/>
      <w:bookmarkEnd w:id="92"/>
      <w:bookmarkEnd w:id="93"/>
      <w:bookmarkEnd w:id="94"/>
    </w:p>
    <w:p w14:paraId="5E9FA99C">
      <w:pPr>
        <w:spacing w:line="360" w:lineRule="auto"/>
        <w:ind w:firstLine="560"/>
        <w:rPr>
          <w:rFonts w:ascii="Times New Roman Regular" w:hAnsi="Times New Roman Regular" w:cs="Times New Roman Regular"/>
          <w:color w:val="auto"/>
          <w:highlight w:val="none"/>
        </w:rPr>
      </w:pPr>
      <w:r>
        <w:rPr>
          <w:rFonts w:ascii="Times New Roman Regular" w:hAnsi="Times New Roman Regular" w:cs="Times New Roman Regular"/>
          <w:color w:val="auto"/>
          <w:sz w:val="28"/>
          <w:szCs w:val="28"/>
          <w:highlight w:val="none"/>
        </w:rPr>
        <w:t>通过查阅相关资料，安全设施符合性单元安全检查表如表3.1-1所示。</w:t>
      </w:r>
    </w:p>
    <w:p w14:paraId="2E3ABD42">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表3.1-1 安全设施“三同时”程序符合性单元安全检查表</w:t>
      </w:r>
    </w:p>
    <w:tbl>
      <w:tblPr>
        <w:tblStyle w:val="14"/>
        <w:tblW w:w="4996" w:type="pct"/>
        <w:jc w:val="center"/>
        <w:tblLayout w:type="fixed"/>
        <w:tblCellMar>
          <w:top w:w="0" w:type="dxa"/>
          <w:left w:w="108" w:type="dxa"/>
          <w:bottom w:w="0" w:type="dxa"/>
          <w:right w:w="108" w:type="dxa"/>
        </w:tblCellMar>
      </w:tblPr>
      <w:tblGrid>
        <w:gridCol w:w="740"/>
        <w:gridCol w:w="2380"/>
        <w:gridCol w:w="2105"/>
        <w:gridCol w:w="2622"/>
        <w:gridCol w:w="668"/>
      </w:tblGrid>
      <w:tr w14:paraId="61AA733F">
        <w:trPr>
          <w:trHeight w:val="652" w:hRule="atLeast"/>
          <w:tblHeader/>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1E7B62E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序号</w:t>
            </w:r>
          </w:p>
        </w:tc>
        <w:tc>
          <w:tcPr>
            <w:tcW w:w="2380" w:type="dxa"/>
            <w:tcBorders>
              <w:top w:val="single" w:color="000000" w:sz="4" w:space="0"/>
              <w:left w:val="single" w:color="000000" w:sz="4" w:space="0"/>
              <w:bottom w:val="single" w:color="000000" w:sz="4" w:space="0"/>
              <w:right w:val="single" w:color="000000" w:sz="4" w:space="0"/>
            </w:tcBorders>
            <w:vAlign w:val="center"/>
          </w:tcPr>
          <w:p w14:paraId="7E8EB852">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检查内容</w:t>
            </w:r>
          </w:p>
        </w:tc>
        <w:tc>
          <w:tcPr>
            <w:tcW w:w="2105" w:type="dxa"/>
            <w:tcBorders>
              <w:top w:val="single" w:color="000000" w:sz="4" w:space="0"/>
              <w:left w:val="single" w:color="000000" w:sz="4" w:space="0"/>
              <w:bottom w:val="single" w:color="000000" w:sz="4" w:space="0"/>
              <w:right w:val="single" w:color="000000" w:sz="4" w:space="0"/>
            </w:tcBorders>
            <w:vAlign w:val="center"/>
          </w:tcPr>
          <w:p w14:paraId="444211A8">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检查依据</w:t>
            </w:r>
          </w:p>
        </w:tc>
        <w:tc>
          <w:tcPr>
            <w:tcW w:w="2622" w:type="dxa"/>
            <w:tcBorders>
              <w:top w:val="single" w:color="000000" w:sz="4" w:space="0"/>
              <w:left w:val="single" w:color="000000" w:sz="4" w:space="0"/>
              <w:bottom w:val="single" w:color="000000" w:sz="4" w:space="0"/>
              <w:right w:val="single" w:color="000000" w:sz="4" w:space="0"/>
            </w:tcBorders>
            <w:vAlign w:val="center"/>
          </w:tcPr>
          <w:p w14:paraId="35AC3B3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事实记录</w:t>
            </w:r>
          </w:p>
        </w:tc>
        <w:tc>
          <w:tcPr>
            <w:tcW w:w="668" w:type="dxa"/>
            <w:tcBorders>
              <w:top w:val="single" w:color="000000" w:sz="4" w:space="0"/>
              <w:left w:val="single" w:color="000000" w:sz="4" w:space="0"/>
              <w:bottom w:val="single" w:color="000000" w:sz="4" w:space="0"/>
              <w:right w:val="single" w:color="000000" w:sz="4" w:space="0"/>
            </w:tcBorders>
            <w:vAlign w:val="center"/>
          </w:tcPr>
          <w:p w14:paraId="2B68770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结论</w:t>
            </w:r>
          </w:p>
        </w:tc>
      </w:tr>
      <w:tr w14:paraId="24F95728">
        <w:trPr>
          <w:trHeight w:val="1596"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63142AD3">
            <w:pPr>
              <w:numPr>
                <w:ilvl w:val="0"/>
                <w:numId w:val="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17BBD2EC">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依法设立的公司，由公司登记机关发给公司营业执照。公司营业执照签发日期为公司成立日期。</w:t>
            </w:r>
          </w:p>
        </w:tc>
        <w:tc>
          <w:tcPr>
            <w:tcW w:w="2105" w:type="dxa"/>
            <w:tcBorders>
              <w:top w:val="single" w:color="000000" w:sz="4" w:space="0"/>
              <w:left w:val="single" w:color="000000" w:sz="4" w:space="0"/>
              <w:bottom w:val="single" w:color="000000" w:sz="4" w:space="0"/>
              <w:right w:val="single" w:color="000000" w:sz="4" w:space="0"/>
            </w:tcBorders>
            <w:vAlign w:val="center"/>
          </w:tcPr>
          <w:p w14:paraId="1B975B4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《公司法》第七条</w:t>
            </w:r>
          </w:p>
        </w:tc>
        <w:tc>
          <w:tcPr>
            <w:tcW w:w="2622" w:type="dxa"/>
            <w:tcBorders>
              <w:top w:val="single" w:color="000000" w:sz="4" w:space="0"/>
              <w:left w:val="single" w:color="000000" w:sz="4" w:space="0"/>
              <w:bottom w:val="single" w:color="000000" w:sz="4" w:space="0"/>
              <w:right w:val="single" w:color="000000" w:sz="4" w:space="0"/>
            </w:tcBorders>
            <w:vAlign w:val="center"/>
          </w:tcPr>
          <w:p w14:paraId="1895D82A">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792722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83283DB">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0ED6357A">
        <w:trPr>
          <w:trHeight w:val="1860"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0C9150E8">
            <w:pPr>
              <w:numPr>
                <w:ilvl w:val="0"/>
                <w:numId w:val="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3DD990AD">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开采相关矿产资源的，根据生产规模和矿种应由相应的地质矿产主管部门审批，并颁发采矿许可证。</w:t>
            </w:r>
          </w:p>
        </w:tc>
        <w:tc>
          <w:tcPr>
            <w:tcW w:w="2105" w:type="dxa"/>
            <w:tcBorders>
              <w:top w:val="single" w:color="000000" w:sz="4" w:space="0"/>
              <w:left w:val="single" w:color="000000" w:sz="4" w:space="0"/>
              <w:bottom w:val="single" w:color="000000" w:sz="4" w:space="0"/>
              <w:right w:val="single" w:color="000000" w:sz="4" w:space="0"/>
            </w:tcBorders>
            <w:vAlign w:val="center"/>
          </w:tcPr>
          <w:p w14:paraId="5E8FFFC2">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《矿产资源法》第十六条</w:t>
            </w:r>
          </w:p>
        </w:tc>
        <w:tc>
          <w:tcPr>
            <w:tcW w:w="2622" w:type="dxa"/>
            <w:tcBorders>
              <w:top w:val="single" w:color="000000" w:sz="4" w:space="0"/>
              <w:left w:val="single" w:color="000000" w:sz="4" w:space="0"/>
              <w:bottom w:val="single" w:color="000000" w:sz="4" w:space="0"/>
              <w:right w:val="single" w:color="000000" w:sz="4" w:space="0"/>
            </w:tcBorders>
            <w:vAlign w:val="center"/>
          </w:tcPr>
          <w:p w14:paraId="5553972F">
            <w:pPr>
              <w:snapToGrid w:val="0"/>
              <w:jc w:val="center"/>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02DBBA8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28F4EF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59FCFE20">
        <w:trPr>
          <w:trHeight w:val="2482"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4ACE5393">
            <w:pPr>
              <w:numPr>
                <w:ilvl w:val="0"/>
                <w:numId w:val="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68690877">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生产经营单位应当委托具有相应资质的安全评价机构，对其建设项目进行安全预评价，并编制安全预评价报告。</w:t>
            </w:r>
          </w:p>
        </w:tc>
        <w:tc>
          <w:tcPr>
            <w:tcW w:w="2105" w:type="dxa"/>
            <w:tcBorders>
              <w:top w:val="single" w:color="000000" w:sz="4" w:space="0"/>
              <w:left w:val="single" w:color="000000" w:sz="4" w:space="0"/>
              <w:bottom w:val="single" w:color="000000" w:sz="4" w:space="0"/>
              <w:right w:val="single" w:color="000000" w:sz="4" w:space="0"/>
            </w:tcBorders>
            <w:vAlign w:val="center"/>
          </w:tcPr>
          <w:p w14:paraId="2076A3CF">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vAlign w:val="center"/>
          </w:tcPr>
          <w:p w14:paraId="0277093B">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2BA9C56C">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B07816D">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1EC078D">
        <w:trPr>
          <w:trHeight w:val="1848"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59ADEF0F">
            <w:pPr>
              <w:numPr>
                <w:ilvl w:val="0"/>
                <w:numId w:val="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00B8FFB3">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生产经营单位在建设项目初步设计时，应当委托有相应资质的设计单位对建设项目安全设施进行设计，编制安全设施设计。</w:t>
            </w:r>
          </w:p>
        </w:tc>
        <w:tc>
          <w:tcPr>
            <w:tcW w:w="2105" w:type="dxa"/>
            <w:tcBorders>
              <w:top w:val="single" w:color="000000" w:sz="4" w:space="0"/>
              <w:left w:val="single" w:color="000000" w:sz="4" w:space="0"/>
              <w:bottom w:val="single" w:color="000000" w:sz="4" w:space="0"/>
              <w:right w:val="single" w:color="000000" w:sz="4" w:space="0"/>
            </w:tcBorders>
            <w:vAlign w:val="center"/>
          </w:tcPr>
          <w:p w14:paraId="5436230F">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vAlign w:val="center"/>
          </w:tcPr>
          <w:p w14:paraId="3BEBD6A9">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6196D90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310ADE4">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4DB578B">
        <w:trPr>
          <w:trHeight w:val="4186"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36EA92A7">
            <w:pPr>
              <w:numPr>
                <w:ilvl w:val="0"/>
                <w:numId w:val="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6008CFC2">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安全设施的施工应当由取得相应资质的施工单位进行，并与建设项目主体工程同时施工。</w:t>
            </w:r>
          </w:p>
        </w:tc>
        <w:tc>
          <w:tcPr>
            <w:tcW w:w="2105" w:type="dxa"/>
            <w:tcBorders>
              <w:top w:val="single" w:color="000000" w:sz="4" w:space="0"/>
              <w:left w:val="single" w:color="000000" w:sz="4" w:space="0"/>
              <w:bottom w:val="single" w:color="000000" w:sz="4" w:space="0"/>
              <w:right w:val="single" w:color="000000" w:sz="4" w:space="0"/>
            </w:tcBorders>
            <w:vAlign w:val="center"/>
          </w:tcPr>
          <w:p w14:paraId="4D171D11">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vAlign w:val="center"/>
          </w:tcPr>
          <w:p w14:paraId="754987C0">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20E9BA1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19539E8">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1B16A6A">
        <w:trPr>
          <w:trHeight w:val="1807"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3DBA364E">
            <w:pPr>
              <w:numPr>
                <w:ilvl w:val="0"/>
                <w:numId w:val="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2BC21AC4">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实行监理的建设工程，建设单位应当委托具有相应资质等级的工程监理单位进行监理。</w:t>
            </w:r>
          </w:p>
        </w:tc>
        <w:tc>
          <w:tcPr>
            <w:tcW w:w="2105" w:type="dxa"/>
            <w:tcBorders>
              <w:top w:val="single" w:color="000000" w:sz="4" w:space="0"/>
              <w:left w:val="single" w:color="000000" w:sz="4" w:space="0"/>
              <w:bottom w:val="single" w:color="000000" w:sz="4" w:space="0"/>
              <w:right w:val="single" w:color="000000" w:sz="4" w:space="0"/>
            </w:tcBorders>
            <w:vAlign w:val="center"/>
          </w:tcPr>
          <w:p w14:paraId="50898F2B">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vAlign w:val="center"/>
          </w:tcPr>
          <w:p w14:paraId="484646C7">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B16182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9AA9F63">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E1082EB">
        <w:trPr>
          <w:trHeight w:val="2526"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5E4C28FE">
            <w:pPr>
              <w:numPr>
                <w:ilvl w:val="0"/>
                <w:numId w:val="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2ACD72DD">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建设项目安全设施竣工或者试运行完成后，生产经营单位应当委托具有相应资质的安全评价机构对安全设施进行安全验收评价，并编制建设项目安全验收评价报告。</w:t>
            </w:r>
          </w:p>
        </w:tc>
        <w:tc>
          <w:tcPr>
            <w:tcW w:w="2105" w:type="dxa"/>
            <w:tcBorders>
              <w:top w:val="single" w:color="000000" w:sz="4" w:space="0"/>
              <w:left w:val="single" w:color="000000" w:sz="4" w:space="0"/>
              <w:bottom w:val="single" w:color="000000" w:sz="4" w:space="0"/>
              <w:right w:val="single" w:color="000000" w:sz="4" w:space="0"/>
            </w:tcBorders>
            <w:vAlign w:val="center"/>
          </w:tcPr>
          <w:p w14:paraId="26BC52EA">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《建设项目安全设施“三同时”监督管理办法（修订）》第二十三条</w:t>
            </w:r>
          </w:p>
        </w:tc>
        <w:tc>
          <w:tcPr>
            <w:tcW w:w="2622" w:type="dxa"/>
            <w:tcBorders>
              <w:top w:val="single" w:color="000000" w:sz="4" w:space="0"/>
              <w:left w:val="single" w:color="000000" w:sz="4" w:space="0"/>
              <w:bottom w:val="single" w:color="000000" w:sz="4" w:space="0"/>
              <w:right w:val="single" w:color="000000" w:sz="4" w:space="0"/>
            </w:tcBorders>
            <w:vAlign w:val="center"/>
          </w:tcPr>
          <w:p w14:paraId="21C5B18D">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38394032">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07608D11">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31AAD54F">
        <w:trPr>
          <w:trHeight w:val="1509"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7A7B3E9E">
            <w:pPr>
              <w:numPr>
                <w:ilvl w:val="0"/>
                <w:numId w:val="2"/>
              </w:numPr>
              <w:tabs>
                <w:tab w:val="clear" w:pos="0"/>
              </w:tabs>
              <w:snapToGrid w:val="0"/>
              <w:spacing w:line="240" w:lineRule="exact"/>
              <w:jc w:val="center"/>
              <w:rPr>
                <w:rFonts w:eastAsia="仿宋"/>
                <w:color w:val="auto"/>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651E3E04">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建设项目审批、核准或者备案的文件。</w:t>
            </w:r>
          </w:p>
        </w:tc>
        <w:tc>
          <w:tcPr>
            <w:tcW w:w="2105" w:type="dxa"/>
            <w:tcBorders>
              <w:top w:val="single" w:color="000000" w:sz="4" w:space="0"/>
              <w:left w:val="single" w:color="000000" w:sz="4" w:space="0"/>
              <w:bottom w:val="single" w:color="000000" w:sz="4" w:space="0"/>
              <w:right w:val="single" w:color="000000" w:sz="4" w:space="0"/>
            </w:tcBorders>
            <w:vAlign w:val="center"/>
          </w:tcPr>
          <w:p w14:paraId="543DFACA">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vAlign w:val="center"/>
          </w:tcPr>
          <w:p w14:paraId="68CB0154">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EFEED93">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4ECF61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545544C9">
        <w:trPr>
          <w:trHeight w:val="1562" w:hRule="atLeast"/>
          <w:jc w:val="center"/>
        </w:trPr>
        <w:tc>
          <w:tcPr>
            <w:tcW w:w="741" w:type="dxa"/>
            <w:tcBorders>
              <w:top w:val="single" w:color="000000" w:sz="4" w:space="0"/>
              <w:left w:val="single" w:color="000000" w:sz="4" w:space="0"/>
              <w:bottom w:val="single" w:color="000000" w:sz="4" w:space="0"/>
              <w:right w:val="single" w:color="000000" w:sz="4" w:space="0"/>
            </w:tcBorders>
            <w:vAlign w:val="center"/>
          </w:tcPr>
          <w:p w14:paraId="01C60D92">
            <w:pPr>
              <w:numPr>
                <w:ilvl w:val="0"/>
                <w:numId w:val="2"/>
              </w:numPr>
              <w:tabs>
                <w:tab w:val="clear" w:pos="0"/>
              </w:tabs>
              <w:snapToGrid w:val="0"/>
              <w:spacing w:line="240" w:lineRule="exact"/>
              <w:jc w:val="center"/>
              <w:rPr>
                <w:rFonts w:eastAsia="仿宋"/>
                <w:color w:val="auto"/>
                <w:highlight w:val="none"/>
              </w:rPr>
            </w:pPr>
          </w:p>
        </w:tc>
        <w:tc>
          <w:tcPr>
            <w:tcW w:w="2380" w:type="dxa"/>
            <w:tcBorders>
              <w:top w:val="single" w:color="000000" w:sz="4" w:space="0"/>
              <w:left w:val="single" w:color="000000" w:sz="4" w:space="0"/>
              <w:bottom w:val="single" w:color="000000" w:sz="4" w:space="0"/>
              <w:right w:val="single" w:color="000000" w:sz="4" w:space="0"/>
            </w:tcBorders>
            <w:vAlign w:val="center"/>
          </w:tcPr>
          <w:p w14:paraId="260353A9">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安全设施需要试运行（生产、使用）的，应当提供自查报告。</w:t>
            </w:r>
          </w:p>
        </w:tc>
        <w:tc>
          <w:tcPr>
            <w:tcW w:w="2105" w:type="dxa"/>
            <w:tcBorders>
              <w:top w:val="single" w:color="000000" w:sz="4" w:space="0"/>
              <w:left w:val="single" w:color="000000" w:sz="4" w:space="0"/>
              <w:bottom w:val="single" w:color="000000" w:sz="4" w:space="0"/>
              <w:right w:val="single" w:color="000000" w:sz="4" w:space="0"/>
            </w:tcBorders>
            <w:vAlign w:val="center"/>
          </w:tcPr>
          <w:p w14:paraId="68AD4805">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《建设项目安全设施“三同时”监督管理办法（修订）》第二十四条</w:t>
            </w:r>
          </w:p>
        </w:tc>
        <w:tc>
          <w:tcPr>
            <w:tcW w:w="2622" w:type="dxa"/>
            <w:tcBorders>
              <w:top w:val="single" w:color="000000" w:sz="4" w:space="0"/>
              <w:left w:val="single" w:color="000000" w:sz="4" w:space="0"/>
              <w:bottom w:val="single" w:color="000000" w:sz="4" w:space="0"/>
              <w:right w:val="single" w:color="000000" w:sz="4" w:space="0"/>
            </w:tcBorders>
            <w:vAlign w:val="center"/>
          </w:tcPr>
          <w:p w14:paraId="5AB0DF8D">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E7D081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DACAC28">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663CAD15">
      <w:pPr>
        <w:snapToGrid w:val="0"/>
        <w:spacing w:line="360" w:lineRule="auto"/>
        <w:ind w:firstLine="560" w:firstLineChars="200"/>
        <w:rPr>
          <w:rFonts w:ascii="Times New Roman Regular" w:hAnsi="Times New Roman Regular" w:cs="Times New Roman Regular"/>
          <w:color w:val="auto"/>
          <w:sz w:val="28"/>
          <w:szCs w:val="28"/>
          <w:highlight w:val="none"/>
        </w:rPr>
      </w:pPr>
    </w:p>
    <w:p w14:paraId="40C8E535">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评价单元小结：</w:t>
      </w:r>
    </w:p>
    <w:p w14:paraId="760DEF4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该项目具有合法资质、核准批复文件、《初步设计》、《安全设施设计》、《竣工报告》及《监理报告》，项目完工及试运行情况良好，编制单位合法合规。通过对该项目的建设程序符合性进行检查，该项目的建设程序符合国家有关法律、法规、标准和规范的规定和要求。</w:t>
      </w:r>
    </w:p>
    <w:p w14:paraId="0FA16C82">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95" w:name="_Toc17908"/>
      <w:bookmarkStart w:id="96" w:name="_Toc86052390"/>
      <w:bookmarkStart w:id="97" w:name="_Toc10552"/>
      <w:bookmarkStart w:id="98" w:name="_Toc1041092734"/>
      <w:bookmarkStart w:id="99" w:name="_Toc3431"/>
      <w:r>
        <w:rPr>
          <w:rFonts w:ascii="Times New Roman Regular" w:hAnsi="Times New Roman Regular" w:eastAsia="黑体" w:cs="Times New Roman Regular"/>
          <w:color w:val="auto"/>
          <w:sz w:val="30"/>
          <w:highlight w:val="none"/>
        </w:rPr>
        <w:t>3.2露天采场</w:t>
      </w:r>
      <w:bookmarkEnd w:id="95"/>
      <w:bookmarkEnd w:id="96"/>
      <w:bookmarkEnd w:id="97"/>
      <w:bookmarkEnd w:id="98"/>
      <w:bookmarkEnd w:id="99"/>
    </w:p>
    <w:p w14:paraId="4346CFD4">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val="en-US" w:eastAsia="zh-CN"/>
        </w:rPr>
        <w:t>1</w:t>
      </w:r>
      <w:r>
        <w:rPr>
          <w:rFonts w:hint="eastAsia" w:ascii="Times New Roman Regular" w:hAnsi="Times New Roman Regular" w:cs="Times New Roman Regular"/>
          <w:color w:val="auto"/>
          <w:sz w:val="28"/>
          <w:szCs w:val="28"/>
          <w:highlight w:val="none"/>
          <w:lang w:eastAsia="zh-CN"/>
        </w:rPr>
        <w:t>）</w:t>
      </w:r>
      <w:r>
        <w:rPr>
          <w:rFonts w:hint="eastAsia" w:ascii="Times New Roman Regular" w:hAnsi="Times New Roman Regular" w:cs="Times New Roman Regular"/>
          <w:color w:val="auto"/>
          <w:sz w:val="28"/>
          <w:szCs w:val="28"/>
          <w:highlight w:val="none"/>
          <w:lang w:val="en-US" w:eastAsia="zh-CN"/>
        </w:rPr>
        <w:t>安全检查表</w:t>
      </w:r>
    </w:p>
    <w:p w14:paraId="3ECC787D">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结合安全设施设计、相关法律法规、查阅相关资料并通过现场检查，编制露天采场、穿孔爆破及铲装单元安全检查表如表3.2-1所示。</w:t>
      </w:r>
    </w:p>
    <w:p w14:paraId="45373544">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表3.2-1 露天采场单元安全检查表</w:t>
      </w:r>
    </w:p>
    <w:tbl>
      <w:tblPr>
        <w:tblStyle w:val="14"/>
        <w:tblW w:w="4994" w:type="pct"/>
        <w:tblInd w:w="0" w:type="dxa"/>
        <w:tblLayout w:type="fixed"/>
        <w:tblCellMar>
          <w:top w:w="0" w:type="dxa"/>
          <w:left w:w="108" w:type="dxa"/>
          <w:bottom w:w="0" w:type="dxa"/>
          <w:right w:w="108" w:type="dxa"/>
        </w:tblCellMar>
      </w:tblPr>
      <w:tblGrid>
        <w:gridCol w:w="765"/>
        <w:gridCol w:w="2354"/>
        <w:gridCol w:w="2106"/>
        <w:gridCol w:w="2619"/>
        <w:gridCol w:w="668"/>
      </w:tblGrid>
      <w:tr w14:paraId="36EC83C4">
        <w:trPr>
          <w:trHeight w:val="510" w:hRule="atLeast"/>
          <w:tblHeader/>
        </w:trPr>
        <w:tc>
          <w:tcPr>
            <w:tcW w:w="765" w:type="dxa"/>
            <w:tcBorders>
              <w:top w:val="single" w:color="000000" w:sz="4" w:space="0"/>
              <w:left w:val="single" w:color="000000" w:sz="4" w:space="0"/>
              <w:bottom w:val="single" w:color="000000" w:sz="4" w:space="0"/>
              <w:right w:val="single" w:color="000000" w:sz="4" w:space="0"/>
            </w:tcBorders>
            <w:vAlign w:val="center"/>
          </w:tcPr>
          <w:p w14:paraId="72035415">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序号</w:t>
            </w:r>
          </w:p>
        </w:tc>
        <w:tc>
          <w:tcPr>
            <w:tcW w:w="2354" w:type="dxa"/>
            <w:tcBorders>
              <w:top w:val="single" w:color="000000" w:sz="4" w:space="0"/>
              <w:left w:val="single" w:color="000000" w:sz="4" w:space="0"/>
              <w:bottom w:val="single" w:color="000000" w:sz="4" w:space="0"/>
              <w:right w:val="single" w:color="000000" w:sz="4" w:space="0"/>
            </w:tcBorders>
            <w:vAlign w:val="center"/>
          </w:tcPr>
          <w:p w14:paraId="04BD966E">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检查内容</w:t>
            </w:r>
          </w:p>
        </w:tc>
        <w:tc>
          <w:tcPr>
            <w:tcW w:w="2106" w:type="dxa"/>
            <w:tcBorders>
              <w:top w:val="single" w:color="000000" w:sz="4" w:space="0"/>
              <w:left w:val="single" w:color="000000" w:sz="4" w:space="0"/>
              <w:bottom w:val="single" w:color="000000" w:sz="4" w:space="0"/>
              <w:right w:val="single" w:color="000000" w:sz="4" w:space="0"/>
            </w:tcBorders>
            <w:vAlign w:val="center"/>
          </w:tcPr>
          <w:p w14:paraId="7840A38B">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检查依据</w:t>
            </w:r>
          </w:p>
        </w:tc>
        <w:tc>
          <w:tcPr>
            <w:tcW w:w="2619" w:type="dxa"/>
            <w:tcBorders>
              <w:top w:val="single" w:color="000000" w:sz="4" w:space="0"/>
              <w:left w:val="single" w:color="000000" w:sz="4" w:space="0"/>
              <w:bottom w:val="single" w:color="000000" w:sz="4" w:space="0"/>
              <w:right w:val="single" w:color="000000" w:sz="4" w:space="0"/>
            </w:tcBorders>
            <w:vAlign w:val="center"/>
          </w:tcPr>
          <w:p w14:paraId="62CF046E">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事实记录</w:t>
            </w:r>
          </w:p>
        </w:tc>
        <w:tc>
          <w:tcPr>
            <w:tcW w:w="668" w:type="dxa"/>
            <w:tcBorders>
              <w:top w:val="single" w:color="000000" w:sz="4" w:space="0"/>
              <w:left w:val="single" w:color="000000" w:sz="4" w:space="0"/>
              <w:bottom w:val="single" w:color="000000" w:sz="4" w:space="0"/>
              <w:right w:val="single" w:color="000000" w:sz="4" w:space="0"/>
            </w:tcBorders>
            <w:vAlign w:val="center"/>
          </w:tcPr>
          <w:p w14:paraId="3AE9D065">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结论</w:t>
            </w:r>
          </w:p>
        </w:tc>
      </w:tr>
      <w:tr w14:paraId="5D476F74">
        <w:trPr>
          <w:trHeight w:val="510"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7BE36">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E673">
            <w:pPr>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bCs/>
                <w:color w:val="auto"/>
                <w:szCs w:val="21"/>
                <w:highlight w:val="none"/>
              </w:rPr>
              <w:t>露天开采应遵循自上而下的开采顺序，分台阶开。</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9288">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538F">
            <w:pPr>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5ADB">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highlight w:val="none"/>
              </w:rPr>
              <w:t>符合要求</w:t>
            </w:r>
          </w:p>
        </w:tc>
      </w:tr>
      <w:tr w14:paraId="395F1B3E">
        <w:trPr>
          <w:trHeight w:val="963"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BA490">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DF9C">
            <w:pPr>
              <w:snapToGrid w:val="0"/>
              <w:jc w:val="center"/>
              <w:rPr>
                <w:rFonts w:ascii="Times New Roman Regular" w:hAnsi="Times New Roman Regular" w:cs="Times New Roman Regular"/>
                <w:color w:val="auto"/>
                <w:kern w:val="0"/>
                <w:szCs w:val="21"/>
                <w:highlight w:val="none"/>
              </w:rPr>
            </w:pPr>
            <w:r>
              <w:rPr>
                <w:rFonts w:ascii="Times New Roman Regular" w:hAnsi="Times New Roman Regular" w:cs="Times New Roman Regular"/>
                <w:color w:val="auto"/>
                <w:kern w:val="0"/>
                <w:szCs w:val="21"/>
                <w:highlight w:val="none"/>
              </w:rPr>
              <w:t>采场顶部标高</w:t>
            </w:r>
            <w:r>
              <w:rPr>
                <w:rFonts w:hint="eastAsia" w:ascii="Times New Roman Regular" w:hAnsi="Times New Roman Regular" w:cs="Times New Roman Regular"/>
                <w:color w:val="auto"/>
                <w:kern w:val="0"/>
                <w:szCs w:val="21"/>
                <w:highlight w:val="none"/>
              </w:rPr>
              <w:t>266.7</w:t>
            </w:r>
            <w:r>
              <w:rPr>
                <w:rFonts w:ascii="Times New Roman Regular" w:hAnsi="Times New Roman Regular" w:cs="Times New Roman Regular"/>
                <w:color w:val="auto"/>
                <w:kern w:val="0"/>
                <w:szCs w:val="21"/>
                <w:highlight w:val="none"/>
              </w:rPr>
              <w:t>m。</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33F75">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58E7">
            <w:pPr>
              <w:snapToGrid w:val="0"/>
              <w:rPr>
                <w:rFonts w:ascii="Times New Roman Regular" w:hAnsi="Times New Roman Regular" w:cs="Times New Roman Regular"/>
                <w:bCs/>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50E3">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034EC6E">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0D86C2B1">
        <w:trPr>
          <w:trHeight w:val="967"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4E6ED">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vAlign w:val="center"/>
          </w:tcPr>
          <w:p w14:paraId="213BDDED">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设计中规定台阶高度10m。</w:t>
            </w:r>
          </w:p>
        </w:tc>
        <w:tc>
          <w:tcPr>
            <w:tcW w:w="2106" w:type="dxa"/>
            <w:tcBorders>
              <w:top w:val="single" w:color="000000" w:sz="4" w:space="0"/>
              <w:left w:val="single" w:color="000000" w:sz="4" w:space="0"/>
              <w:bottom w:val="single" w:color="000000" w:sz="4" w:space="0"/>
              <w:right w:val="single" w:color="000000" w:sz="4" w:space="0"/>
            </w:tcBorders>
            <w:vAlign w:val="center"/>
          </w:tcPr>
          <w:p w14:paraId="10BDA00C">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vAlign w:val="center"/>
          </w:tcPr>
          <w:p w14:paraId="55B1A2C2">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1ABDC15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CB02BA1">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722D4B00">
        <w:trPr>
          <w:trHeight w:val="111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7B5E1">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vAlign w:val="center"/>
          </w:tcPr>
          <w:p w14:paraId="25392758">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基建工程量主要为230</w:t>
            </w:r>
            <w:r>
              <w:rPr>
                <w:rFonts w:hint="eastAsia" w:ascii="Times New Roman Regular" w:hAnsi="Times New Roman Regular" w:cs="Times New Roman Regular"/>
                <w:color w:val="auto"/>
                <w:szCs w:val="21"/>
                <w:highlight w:val="none"/>
                <w:lang w:val="en-US" w:eastAsia="zh-CN"/>
              </w:rPr>
              <w:t xml:space="preserve"> </w:t>
            </w:r>
            <w:r>
              <w:rPr>
                <w:rFonts w:ascii="Times New Roman Regular" w:hAnsi="Times New Roman Regular" w:cs="Times New Roman Regular"/>
                <w:color w:val="auto"/>
                <w:szCs w:val="21"/>
                <w:highlight w:val="none"/>
              </w:rPr>
              <w:t>m穿孔平台</w:t>
            </w:r>
            <w:r>
              <w:rPr>
                <w:rFonts w:hint="eastAsia" w:ascii="Times New Roman Regular" w:hAnsi="Times New Roman Regular" w:cs="Times New Roman Regular"/>
                <w:color w:val="auto"/>
                <w:szCs w:val="21"/>
                <w:highlight w:val="none"/>
              </w:rPr>
              <w:t>和</w:t>
            </w:r>
            <w:r>
              <w:rPr>
                <w:rFonts w:ascii="Times New Roman Regular" w:hAnsi="Times New Roman Regular" w:cs="Times New Roman Regular"/>
                <w:color w:val="auto"/>
                <w:szCs w:val="21"/>
                <w:highlight w:val="none"/>
              </w:rPr>
              <w:t>220m装运平台</w:t>
            </w:r>
            <w:r>
              <w:rPr>
                <w:rFonts w:hint="eastAsia" w:ascii="Times New Roman Regular" w:hAnsi="Times New Roman Regular" w:cs="Times New Roman Regular"/>
                <w:color w:val="auto"/>
                <w:szCs w:val="21"/>
                <w:highlight w:val="none"/>
              </w:rPr>
              <w:t>。</w:t>
            </w:r>
          </w:p>
        </w:tc>
        <w:tc>
          <w:tcPr>
            <w:tcW w:w="2106" w:type="dxa"/>
            <w:tcBorders>
              <w:top w:val="single" w:color="000000" w:sz="4" w:space="0"/>
              <w:left w:val="single" w:color="000000" w:sz="4" w:space="0"/>
              <w:bottom w:val="single" w:color="000000" w:sz="4" w:space="0"/>
              <w:right w:val="single" w:color="000000" w:sz="4" w:space="0"/>
            </w:tcBorders>
            <w:vAlign w:val="center"/>
          </w:tcPr>
          <w:p w14:paraId="1CA73410">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vAlign w:val="center"/>
          </w:tcPr>
          <w:p w14:paraId="5584FC2A">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69CAB37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054D99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8D0AA7C">
        <w:trPr>
          <w:trHeight w:val="1116"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3F94">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vAlign w:val="center"/>
          </w:tcPr>
          <w:p w14:paraId="67CADEEA">
            <w:pPr>
              <w:snapToGrid w:val="0"/>
              <w:rPr>
                <w:rFonts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设计最小工作平台宽度为30m。</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A227">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7A8A2">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D0913">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041D68D">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262F3A73">
        <w:trPr>
          <w:trHeight w:val="1043"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0CE9">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vAlign w:val="center"/>
          </w:tcPr>
          <w:p w14:paraId="472027FA">
            <w:pPr>
              <w:ind w:right="-88" w:rightChars="-42"/>
              <w:jc w:val="lef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设计中规定工作台阶坡面角6</w:t>
            </w:r>
            <w:r>
              <w:rPr>
                <w:rFonts w:hint="eastAsia" w:ascii="Times New Roman Regular" w:hAnsi="Times New Roman Regular" w:cs="Times New Roman Regular"/>
                <w:color w:val="auto"/>
                <w:szCs w:val="21"/>
                <w:highlight w:val="none"/>
              </w:rPr>
              <w:t>5</w:t>
            </w:r>
            <w:r>
              <w:rPr>
                <w:rFonts w:ascii="Times New Roman Regular" w:hAnsi="Times New Roman Regular" w:cs="Times New Roman Regular"/>
                <w:color w:val="auto"/>
                <w:szCs w:val="21"/>
                <w:highlight w:val="none"/>
              </w:rPr>
              <w:t>°</w:t>
            </w:r>
            <w:r>
              <w:rPr>
                <w:rFonts w:hint="eastAsia" w:ascii="Times New Roman Regular" w:hAnsi="Times New Roman Regular" w:cs="Times New Roman Regular"/>
                <w:color w:val="auto"/>
                <w:szCs w:val="21"/>
                <w:highlight w:val="none"/>
              </w:rPr>
              <w:t>。</w:t>
            </w:r>
          </w:p>
        </w:tc>
        <w:tc>
          <w:tcPr>
            <w:tcW w:w="2106" w:type="dxa"/>
            <w:tcBorders>
              <w:top w:val="single" w:color="000000" w:sz="4" w:space="0"/>
              <w:left w:val="single" w:color="000000" w:sz="4" w:space="0"/>
              <w:bottom w:val="single" w:color="000000" w:sz="4" w:space="0"/>
              <w:right w:val="single" w:color="000000" w:sz="4" w:space="0"/>
            </w:tcBorders>
            <w:vAlign w:val="center"/>
          </w:tcPr>
          <w:p w14:paraId="37AA79C9">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vAlign w:val="center"/>
          </w:tcPr>
          <w:p w14:paraId="220EF74D">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3332124D">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2F4D8D5">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4A707CD8">
        <w:trPr>
          <w:trHeight w:val="1281"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203CC">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vAlign w:val="center"/>
          </w:tcPr>
          <w:p w14:paraId="05B8A7E4">
            <w:pPr>
              <w:snapToGrid w:val="0"/>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kern w:val="0"/>
                <w:szCs w:val="21"/>
                <w:highlight w:val="none"/>
              </w:rPr>
              <w:t>露天坑入口和露天坑周围易于发生危险的区域应设置围栏和警示标志，防止无关人员进入</w:t>
            </w:r>
            <w:r>
              <w:rPr>
                <w:rFonts w:hint="eastAsia" w:ascii="Times New Roman Regular" w:hAnsi="Times New Roman Regular" w:cs="Times New Roman Regular"/>
                <w:color w:val="auto"/>
                <w:kern w:val="0"/>
                <w:szCs w:val="21"/>
                <w:highlight w:val="none"/>
              </w:rPr>
              <w:t>。</w:t>
            </w:r>
          </w:p>
        </w:tc>
        <w:tc>
          <w:tcPr>
            <w:tcW w:w="2106" w:type="dxa"/>
            <w:tcBorders>
              <w:top w:val="single" w:color="000000" w:sz="4" w:space="0"/>
              <w:left w:val="single" w:color="000000" w:sz="4" w:space="0"/>
              <w:bottom w:val="single" w:color="000000" w:sz="4" w:space="0"/>
              <w:right w:val="single" w:color="000000" w:sz="4" w:space="0"/>
            </w:tcBorders>
            <w:vAlign w:val="center"/>
          </w:tcPr>
          <w:p w14:paraId="180D9632">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16423- 2020）5.18条</w:t>
            </w:r>
          </w:p>
        </w:tc>
        <w:tc>
          <w:tcPr>
            <w:tcW w:w="2619" w:type="dxa"/>
            <w:tcBorders>
              <w:top w:val="single" w:color="000000" w:sz="4" w:space="0"/>
              <w:left w:val="single" w:color="000000" w:sz="4" w:space="0"/>
              <w:bottom w:val="single" w:color="000000" w:sz="4" w:space="0"/>
              <w:right w:val="single" w:color="000000" w:sz="4" w:space="0"/>
            </w:tcBorders>
            <w:vAlign w:val="center"/>
          </w:tcPr>
          <w:p w14:paraId="5C47B0C3">
            <w:pPr>
              <w:snapToGrid w:val="0"/>
              <w:rPr>
                <w:rFonts w:ascii="Times New Roman Regular" w:hAnsi="Times New Roman Regular" w:cs="Times New Roman Regular"/>
                <w:color w:val="auto"/>
                <w:szCs w:val="18"/>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555164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C45BCF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1AC14A3">
        <w:trPr>
          <w:trHeight w:val="1512"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24E32">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vAlign w:val="center"/>
          </w:tcPr>
          <w:p w14:paraId="342ECB4D">
            <w:pPr>
              <w:snapToGrid w:val="0"/>
              <w:rPr>
                <w:rFonts w:ascii="Times New Roman Regular" w:hAnsi="Times New Roman Regular" w:cs="Times New Roman Regular"/>
                <w:color w:val="auto"/>
                <w:szCs w:val="18"/>
                <w:highlight w:val="none"/>
              </w:rPr>
            </w:pPr>
            <w:r>
              <w:rPr>
                <w:rFonts w:ascii="Times New Roman Regular" w:hAnsi="Times New Roman Regular" w:cs="Times New Roman Regular"/>
                <w:bCs/>
                <w:color w:val="auto"/>
                <w:szCs w:val="21"/>
                <w:highlight w:val="none"/>
              </w:rPr>
              <w:t>在距坠落高度基准面2m以上（含2m）的高处作业时，应佩带安全带或设置安全网、护栏等防护设施。</w:t>
            </w:r>
          </w:p>
        </w:tc>
        <w:tc>
          <w:tcPr>
            <w:tcW w:w="2106" w:type="dxa"/>
            <w:tcBorders>
              <w:top w:val="single" w:color="000000" w:sz="4" w:space="0"/>
              <w:left w:val="single" w:color="000000" w:sz="4" w:space="0"/>
              <w:bottom w:val="single" w:color="000000" w:sz="4" w:space="0"/>
              <w:right w:val="single" w:color="000000" w:sz="4" w:space="0"/>
            </w:tcBorders>
            <w:vAlign w:val="center"/>
          </w:tcPr>
          <w:p w14:paraId="023A1B79">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16423- 2020）第5.1.13条</w:t>
            </w:r>
          </w:p>
        </w:tc>
        <w:tc>
          <w:tcPr>
            <w:tcW w:w="2619" w:type="dxa"/>
            <w:tcBorders>
              <w:top w:val="single" w:color="000000" w:sz="4" w:space="0"/>
              <w:left w:val="single" w:color="000000" w:sz="4" w:space="0"/>
              <w:bottom w:val="single" w:color="000000" w:sz="4" w:space="0"/>
              <w:right w:val="single" w:color="000000" w:sz="4" w:space="0"/>
            </w:tcBorders>
            <w:vAlign w:val="center"/>
          </w:tcPr>
          <w:p w14:paraId="0A3CA3E9">
            <w:pPr>
              <w:snapToGrid w:val="0"/>
              <w:rPr>
                <w:rFonts w:ascii="Times New Roman Regular" w:hAnsi="Times New Roman Regular" w:cs="Times New Roman Regular"/>
                <w:color w:val="auto"/>
                <w:szCs w:val="18"/>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5368E8E7">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ABBCCC8">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304EC0AF">
        <w:trPr>
          <w:trHeight w:val="1095"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6DFC">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vAlign w:val="center"/>
          </w:tcPr>
          <w:p w14:paraId="52A81BEF">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bCs/>
                <w:color w:val="auto"/>
                <w:szCs w:val="21"/>
                <w:highlight w:val="none"/>
              </w:rPr>
              <w:t>有六级以上强风时，不应进行高处作业和露天起重作业。</w:t>
            </w:r>
          </w:p>
        </w:tc>
        <w:tc>
          <w:tcPr>
            <w:tcW w:w="2106" w:type="dxa"/>
            <w:tcBorders>
              <w:top w:val="single" w:color="000000" w:sz="4" w:space="0"/>
              <w:left w:val="single" w:color="000000" w:sz="4" w:space="0"/>
              <w:bottom w:val="single" w:color="000000" w:sz="4" w:space="0"/>
              <w:right w:val="single" w:color="000000" w:sz="4" w:space="0"/>
            </w:tcBorders>
            <w:vAlign w:val="center"/>
          </w:tcPr>
          <w:p w14:paraId="1644934B">
            <w:pPr>
              <w:snapToGrid w:val="0"/>
              <w:ind w:right="-29"/>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16423- 2020）第4.12条</w:t>
            </w:r>
          </w:p>
        </w:tc>
        <w:tc>
          <w:tcPr>
            <w:tcW w:w="2619" w:type="dxa"/>
            <w:tcBorders>
              <w:top w:val="single" w:color="000000" w:sz="4" w:space="0"/>
              <w:left w:val="single" w:color="000000" w:sz="4" w:space="0"/>
              <w:bottom w:val="single" w:color="000000" w:sz="4" w:space="0"/>
              <w:right w:val="single" w:color="000000" w:sz="4" w:space="0"/>
            </w:tcBorders>
            <w:vAlign w:val="center"/>
          </w:tcPr>
          <w:p w14:paraId="5FD35433">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49520BF5">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BA19144">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4164994">
        <w:trPr>
          <w:trHeight w:val="2032"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D177">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vAlign w:val="center"/>
          </w:tcPr>
          <w:p w14:paraId="166A9E8C">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bCs/>
                <w:color w:val="auto"/>
                <w:szCs w:val="21"/>
                <w:highlight w:val="none"/>
              </w:rPr>
              <w:t>任何人不应酒后进入矿山作业场所；受酒精或麻醉剂影响的人员不应从事露天或井下作业。不应将酒类饮料和麻醉剂带入作业场所（医疗用麻醉剂除外）。</w:t>
            </w:r>
          </w:p>
        </w:tc>
        <w:tc>
          <w:tcPr>
            <w:tcW w:w="2106" w:type="dxa"/>
            <w:tcBorders>
              <w:top w:val="single" w:color="000000" w:sz="4" w:space="0"/>
              <w:left w:val="single" w:color="000000" w:sz="4" w:space="0"/>
              <w:bottom w:val="single" w:color="000000" w:sz="4" w:space="0"/>
              <w:right w:val="single" w:color="000000" w:sz="4" w:space="0"/>
            </w:tcBorders>
            <w:vAlign w:val="center"/>
          </w:tcPr>
          <w:p w14:paraId="13510BF2">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16423- 2020）第4.7.1条</w:t>
            </w:r>
          </w:p>
        </w:tc>
        <w:tc>
          <w:tcPr>
            <w:tcW w:w="2619" w:type="dxa"/>
            <w:tcBorders>
              <w:top w:val="single" w:color="000000" w:sz="4" w:space="0"/>
              <w:left w:val="single" w:color="000000" w:sz="4" w:space="0"/>
              <w:bottom w:val="single" w:color="000000" w:sz="4" w:space="0"/>
              <w:right w:val="single" w:color="000000" w:sz="4" w:space="0"/>
            </w:tcBorders>
            <w:vAlign w:val="center"/>
          </w:tcPr>
          <w:p w14:paraId="27440766">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vAlign w:val="center"/>
          </w:tcPr>
          <w:p w14:paraId="77DCAEA4">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824BA91">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044C3240">
        <w:trPr>
          <w:trHeight w:val="1122"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AB1A">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D359">
            <w:pPr>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color w:val="auto"/>
                <w:szCs w:val="21"/>
                <w:highlight w:val="none"/>
              </w:rPr>
              <w:t>露天矿山应该采用机械方式进行开采。</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BB14">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16423- 2020）第5.2.1.2条</w:t>
            </w:r>
          </w:p>
        </w:tc>
        <w:tc>
          <w:tcPr>
            <w:tcW w:w="2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29527">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0DD6C">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5CB536D">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598E4179">
        <w:trPr>
          <w:trHeight w:val="1563" w:hRule="atLeast"/>
        </w:trPr>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076D2">
            <w:pPr>
              <w:numPr>
                <w:ilvl w:val="0"/>
                <w:numId w:val="3"/>
              </w:numPr>
              <w:tabs>
                <w:tab w:val="clear" w:pos="0"/>
              </w:tabs>
              <w:snapToGrid w:val="0"/>
              <w:spacing w:line="240" w:lineRule="exact"/>
              <w:jc w:val="center"/>
              <w:rPr>
                <w:rFonts w:ascii="Times New Roman Regular" w:hAnsi="Times New Roman Regular" w:cs="Times New Roman Regular"/>
                <w:color w:val="auto"/>
                <w:szCs w:val="21"/>
                <w:highlight w:val="none"/>
              </w:rPr>
            </w:pPr>
            <w:bookmarkStart w:id="100" w:name="_Hlk59741088"/>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519F">
            <w:pPr>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color w:val="auto"/>
                <w:szCs w:val="21"/>
                <w:highlight w:val="none"/>
              </w:rPr>
              <w:t>边坡浮石清除完毕之前不应在边坡底部作业，人员和设备不应在边坡底部停留。</w:t>
            </w:r>
          </w:p>
        </w:tc>
        <w:tc>
          <w:tcPr>
            <w:tcW w:w="21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1A00">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16423- 2020）第5.2.4.4条</w:t>
            </w:r>
          </w:p>
        </w:tc>
        <w:tc>
          <w:tcPr>
            <w:tcW w:w="2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58A6">
            <w:pPr>
              <w:snapToGrid w:val="0"/>
              <w:rPr>
                <w:rFonts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ED2A9">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14248EFD">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41729653">
      <w:pPr>
        <w:rPr>
          <w:rFonts w:ascii="Times New Roman Regular" w:hAnsi="Times New Roman Regular" w:cs="Times New Roman Regular"/>
          <w:bCs/>
          <w:color w:val="auto"/>
          <w:szCs w:val="21"/>
          <w:highlight w:val="none"/>
        </w:rPr>
      </w:pPr>
      <w:r>
        <w:rPr>
          <w:rFonts w:ascii="Times New Roman Regular" w:hAnsi="Times New Roman Regular" w:cs="Times New Roman Regular"/>
          <w:bCs/>
          <w:color w:val="auto"/>
          <w:szCs w:val="21"/>
          <w:highlight w:val="none"/>
        </w:rPr>
        <w:br w:type="page"/>
      </w:r>
    </w:p>
    <w:p w14:paraId="63FDC00C">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表3.2-</w:t>
      </w:r>
      <w:r>
        <w:rPr>
          <w:rFonts w:ascii="黑体" w:hAnsi="黑体" w:eastAsia="黑体" w:cs="黑体"/>
          <w:bCs/>
          <w:color w:val="auto"/>
          <w:sz w:val="24"/>
          <w:highlight w:val="none"/>
        </w:rPr>
        <w:t>2</w:t>
      </w:r>
      <w:r>
        <w:rPr>
          <w:rFonts w:ascii="黑体" w:hAnsi="黑体" w:eastAsia="黑体" w:cs="黑体"/>
          <w:bCs/>
          <w:color w:val="auto"/>
          <w:sz w:val="24"/>
          <w:highlight w:val="none"/>
          <w:lang w:val="zh-CN"/>
        </w:rPr>
        <w:t xml:space="preserve"> 穿孔爆破</w:t>
      </w:r>
      <w:r>
        <w:rPr>
          <w:rFonts w:ascii="黑体" w:hAnsi="黑体" w:eastAsia="黑体" w:cs="黑体"/>
          <w:bCs/>
          <w:color w:val="auto"/>
          <w:sz w:val="24"/>
          <w:highlight w:val="none"/>
        </w:rPr>
        <w:t>及铲装</w:t>
      </w:r>
      <w:r>
        <w:rPr>
          <w:rFonts w:ascii="黑体" w:hAnsi="黑体" w:eastAsia="黑体" w:cs="黑体"/>
          <w:bCs/>
          <w:color w:val="auto"/>
          <w:sz w:val="24"/>
          <w:highlight w:val="none"/>
          <w:lang w:val="zh-CN"/>
        </w:rPr>
        <w:t>单元安全检查表</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2354"/>
        <w:gridCol w:w="2109"/>
        <w:gridCol w:w="2625"/>
        <w:gridCol w:w="667"/>
      </w:tblGrid>
      <w:tr w14:paraId="7A7B3F9F">
        <w:trPr>
          <w:trHeight w:val="510" w:hRule="atLeast"/>
          <w:tblHeader/>
          <w:jc w:val="center"/>
        </w:trPr>
        <w:tc>
          <w:tcPr>
            <w:tcW w:w="764" w:type="dxa"/>
            <w:vAlign w:val="center"/>
          </w:tcPr>
          <w:p w14:paraId="18BD7AA8">
            <w:pPr>
              <w:snapToGrid w:val="0"/>
              <w:spacing w:line="240" w:lineRule="exact"/>
              <w:jc w:val="center"/>
              <w:rPr>
                <w:rFonts w:ascii="Times New Roman Regular" w:hAnsi="Times New Roman Regular" w:cs="Times New Roman Regular"/>
                <w:bCs/>
                <w:color w:val="auto"/>
                <w:szCs w:val="21"/>
                <w:highlight w:val="none"/>
              </w:rPr>
            </w:pPr>
            <w:r>
              <w:rPr>
                <w:rFonts w:ascii="Times New Roman Regular" w:hAnsi="Times New Roman Regular" w:cs="Times New Roman Regular"/>
                <w:b/>
                <w:bCs/>
                <w:color w:val="auto"/>
                <w:szCs w:val="21"/>
                <w:highlight w:val="none"/>
              </w:rPr>
              <w:t>序号</w:t>
            </w:r>
          </w:p>
        </w:tc>
        <w:tc>
          <w:tcPr>
            <w:tcW w:w="2354" w:type="dxa"/>
            <w:vAlign w:val="center"/>
          </w:tcPr>
          <w:p w14:paraId="381740E5">
            <w:pPr>
              <w:snapToGrid w:val="0"/>
              <w:spacing w:line="240" w:lineRule="exact"/>
              <w:jc w:val="center"/>
              <w:rPr>
                <w:rFonts w:ascii="Times New Roman Regular" w:hAnsi="Times New Roman Regular" w:cs="Times New Roman Regular"/>
                <w:bCs/>
                <w:color w:val="auto"/>
                <w:szCs w:val="21"/>
                <w:highlight w:val="none"/>
              </w:rPr>
            </w:pPr>
            <w:r>
              <w:rPr>
                <w:rFonts w:ascii="Times New Roman Regular" w:hAnsi="Times New Roman Regular" w:cs="Times New Roman Regular"/>
                <w:b/>
                <w:bCs/>
                <w:color w:val="auto"/>
                <w:szCs w:val="21"/>
                <w:highlight w:val="none"/>
              </w:rPr>
              <w:t>检查内容</w:t>
            </w:r>
          </w:p>
        </w:tc>
        <w:tc>
          <w:tcPr>
            <w:tcW w:w="2109" w:type="dxa"/>
            <w:vAlign w:val="center"/>
          </w:tcPr>
          <w:p w14:paraId="6F215E11">
            <w:pPr>
              <w:snapToGrid w:val="0"/>
              <w:spacing w:line="240" w:lineRule="exact"/>
              <w:jc w:val="center"/>
              <w:rPr>
                <w:rFonts w:ascii="Times New Roman Regular" w:hAnsi="Times New Roman Regular" w:cs="Times New Roman Regular"/>
                <w:bCs/>
                <w:color w:val="auto"/>
                <w:szCs w:val="21"/>
                <w:highlight w:val="none"/>
              </w:rPr>
            </w:pPr>
            <w:r>
              <w:rPr>
                <w:rFonts w:ascii="Times New Roman Regular" w:hAnsi="Times New Roman Regular" w:cs="Times New Roman Regular"/>
                <w:b/>
                <w:bCs/>
                <w:color w:val="auto"/>
                <w:szCs w:val="21"/>
                <w:highlight w:val="none"/>
              </w:rPr>
              <w:t>检查依据</w:t>
            </w:r>
          </w:p>
        </w:tc>
        <w:tc>
          <w:tcPr>
            <w:tcW w:w="2625" w:type="dxa"/>
            <w:vAlign w:val="center"/>
          </w:tcPr>
          <w:p w14:paraId="6E2299F3">
            <w:pPr>
              <w:snapToGrid w:val="0"/>
              <w:spacing w:line="240" w:lineRule="exact"/>
              <w:jc w:val="center"/>
              <w:rPr>
                <w:rFonts w:ascii="Times New Roman Regular" w:hAnsi="Times New Roman Regular" w:cs="Times New Roman Regular"/>
                <w:bCs/>
                <w:color w:val="auto"/>
                <w:szCs w:val="21"/>
                <w:highlight w:val="none"/>
              </w:rPr>
            </w:pPr>
            <w:r>
              <w:rPr>
                <w:rFonts w:ascii="Times New Roman Regular" w:hAnsi="Times New Roman Regular" w:cs="Times New Roman Regular"/>
                <w:b/>
                <w:bCs/>
                <w:color w:val="auto"/>
                <w:szCs w:val="21"/>
                <w:highlight w:val="none"/>
              </w:rPr>
              <w:t>事实记录</w:t>
            </w:r>
          </w:p>
        </w:tc>
        <w:tc>
          <w:tcPr>
            <w:tcW w:w="667" w:type="dxa"/>
            <w:vAlign w:val="center"/>
          </w:tcPr>
          <w:p w14:paraId="4078EF25">
            <w:pPr>
              <w:snapToGrid w:val="0"/>
              <w:spacing w:line="240" w:lineRule="exact"/>
              <w:jc w:val="center"/>
              <w:rPr>
                <w:rFonts w:ascii="Times New Roman Regular" w:hAnsi="Times New Roman Regular" w:cs="Times New Roman Regular"/>
                <w:bCs/>
                <w:color w:val="auto"/>
                <w:szCs w:val="21"/>
                <w:highlight w:val="none"/>
              </w:rPr>
            </w:pPr>
            <w:r>
              <w:rPr>
                <w:rFonts w:ascii="Times New Roman Regular" w:hAnsi="Times New Roman Regular" w:cs="Times New Roman Regular"/>
                <w:b/>
                <w:bCs/>
                <w:color w:val="auto"/>
                <w:szCs w:val="21"/>
                <w:highlight w:val="none"/>
              </w:rPr>
              <w:t>结论</w:t>
            </w:r>
          </w:p>
        </w:tc>
      </w:tr>
      <w:tr w14:paraId="7AEF9669">
        <w:trPr>
          <w:trHeight w:val="706" w:hRule="atLeast"/>
          <w:jc w:val="center"/>
        </w:trPr>
        <w:tc>
          <w:tcPr>
            <w:tcW w:w="764" w:type="dxa"/>
            <w:vAlign w:val="center"/>
          </w:tcPr>
          <w:p w14:paraId="6544A727">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15CD6EB1">
            <w:pPr>
              <w:snapToGrid w:val="0"/>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21"/>
                <w:highlight w:val="none"/>
              </w:rPr>
              <w:t>设计爆破警戒线距离为200m。</w:t>
            </w:r>
          </w:p>
        </w:tc>
        <w:tc>
          <w:tcPr>
            <w:tcW w:w="2109" w:type="dxa"/>
            <w:shd w:val="clear" w:color="auto" w:fill="auto"/>
            <w:vAlign w:val="center"/>
          </w:tcPr>
          <w:p w14:paraId="051C48E2">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5" w:type="dxa"/>
            <w:shd w:val="clear" w:color="auto" w:fill="auto"/>
            <w:vAlign w:val="center"/>
          </w:tcPr>
          <w:p w14:paraId="2924ABA4">
            <w:pPr>
              <w:snapToGrid w:val="0"/>
              <w:rPr>
                <w:rFonts w:ascii="Times New Roman Regular" w:hAnsi="Times New Roman Regular" w:cs="Times New Roman Regular"/>
                <w:color w:val="auto"/>
                <w:szCs w:val="18"/>
                <w:highlight w:val="none"/>
              </w:rPr>
            </w:pPr>
          </w:p>
        </w:tc>
        <w:tc>
          <w:tcPr>
            <w:tcW w:w="667" w:type="dxa"/>
            <w:shd w:val="clear" w:color="auto" w:fill="auto"/>
            <w:vAlign w:val="center"/>
          </w:tcPr>
          <w:p w14:paraId="7ED98C7D">
            <w:pPr>
              <w:ind w:right="-88" w:rightChars="-42"/>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53A7AE77">
        <w:trPr>
          <w:trHeight w:val="1177" w:hRule="atLeast"/>
          <w:jc w:val="center"/>
        </w:trPr>
        <w:tc>
          <w:tcPr>
            <w:tcW w:w="764" w:type="dxa"/>
            <w:vAlign w:val="center"/>
          </w:tcPr>
          <w:p w14:paraId="546A35DA">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09A0C1D8">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在爆破冲击波安全允许距离外设避炮棚。</w:t>
            </w:r>
          </w:p>
        </w:tc>
        <w:tc>
          <w:tcPr>
            <w:tcW w:w="2109" w:type="dxa"/>
            <w:shd w:val="clear" w:color="auto" w:fill="auto"/>
            <w:vAlign w:val="center"/>
          </w:tcPr>
          <w:p w14:paraId="7739202E">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5" w:type="dxa"/>
            <w:shd w:val="clear" w:color="auto" w:fill="auto"/>
            <w:vAlign w:val="center"/>
          </w:tcPr>
          <w:p w14:paraId="65948510">
            <w:pPr>
              <w:ind w:right="-88" w:rightChars="-42"/>
              <w:rPr>
                <w:rFonts w:ascii="Times New Roman Regular" w:hAnsi="Times New Roman Regular" w:cs="Times New Roman Regular"/>
                <w:color w:val="auto"/>
                <w:szCs w:val="18"/>
                <w:highlight w:val="none"/>
              </w:rPr>
            </w:pPr>
          </w:p>
        </w:tc>
        <w:tc>
          <w:tcPr>
            <w:tcW w:w="667" w:type="dxa"/>
            <w:shd w:val="clear" w:color="auto" w:fill="auto"/>
            <w:vAlign w:val="center"/>
          </w:tcPr>
          <w:p w14:paraId="0DC19680">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6B75E40">
            <w:pPr>
              <w:snapToGrid w:val="0"/>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21"/>
                <w:highlight w:val="none"/>
              </w:rPr>
              <w:t>要求</w:t>
            </w:r>
          </w:p>
        </w:tc>
      </w:tr>
      <w:tr w14:paraId="5630A9AE">
        <w:trPr>
          <w:trHeight w:val="923" w:hRule="atLeast"/>
          <w:jc w:val="center"/>
        </w:trPr>
        <w:tc>
          <w:tcPr>
            <w:tcW w:w="764" w:type="dxa"/>
            <w:vAlign w:val="center"/>
          </w:tcPr>
          <w:p w14:paraId="62DCF6AD">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51F036D2">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设计采用穿孔爆破法开采</w:t>
            </w:r>
            <w:r>
              <w:rPr>
                <w:rFonts w:hint="eastAsia" w:ascii="Times New Roman Regular" w:hAnsi="Times New Roman Regular" w:cs="Times New Roman Regular"/>
                <w:color w:val="auto"/>
                <w:szCs w:val="18"/>
                <w:highlight w:val="none"/>
              </w:rPr>
              <w:t>。</w:t>
            </w:r>
          </w:p>
        </w:tc>
        <w:tc>
          <w:tcPr>
            <w:tcW w:w="2109" w:type="dxa"/>
            <w:shd w:val="clear" w:color="auto" w:fill="auto"/>
            <w:vAlign w:val="center"/>
          </w:tcPr>
          <w:p w14:paraId="0773E651">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5" w:type="dxa"/>
            <w:shd w:val="clear" w:color="auto" w:fill="auto"/>
            <w:vAlign w:val="center"/>
          </w:tcPr>
          <w:p w14:paraId="0457649B">
            <w:pPr>
              <w:snapToGrid w:val="0"/>
              <w:rPr>
                <w:rFonts w:ascii="Times New Roman Regular" w:hAnsi="Times New Roman Regular" w:cs="Times New Roman Regular"/>
                <w:color w:val="auto"/>
                <w:szCs w:val="18"/>
                <w:highlight w:val="none"/>
              </w:rPr>
            </w:pPr>
          </w:p>
        </w:tc>
        <w:tc>
          <w:tcPr>
            <w:tcW w:w="667" w:type="dxa"/>
            <w:shd w:val="clear" w:color="auto" w:fill="auto"/>
            <w:vAlign w:val="center"/>
          </w:tcPr>
          <w:p w14:paraId="27BB441C">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18"/>
                <w:highlight w:val="none"/>
              </w:rPr>
              <w:t>符合要求</w:t>
            </w:r>
          </w:p>
        </w:tc>
      </w:tr>
      <w:tr w14:paraId="1A0A300D">
        <w:trPr>
          <w:trHeight w:val="1250" w:hRule="atLeast"/>
          <w:jc w:val="center"/>
        </w:trPr>
        <w:tc>
          <w:tcPr>
            <w:tcW w:w="764" w:type="dxa"/>
            <w:vAlign w:val="center"/>
          </w:tcPr>
          <w:p w14:paraId="23EA6B4E">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732342CF">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穿孔设备利旧</w:t>
            </w:r>
            <w:r>
              <w:rPr>
                <w:rFonts w:hint="eastAsia" w:ascii="Times New Roman Regular" w:hAnsi="Times New Roman Regular" w:cs="Times New Roman Regular"/>
                <w:color w:val="auto"/>
                <w:szCs w:val="18"/>
                <w:highlight w:val="none"/>
              </w:rPr>
              <w:t>，</w:t>
            </w:r>
            <w:r>
              <w:rPr>
                <w:rFonts w:ascii="Times New Roman Regular" w:hAnsi="Times New Roman Regular" w:cs="Times New Roman Regular"/>
                <w:color w:val="auto"/>
                <w:szCs w:val="18"/>
                <w:highlight w:val="none"/>
              </w:rPr>
              <w:t>矿山现有CM-351型潜孔钻机进行凿岩钻孔作业</w:t>
            </w:r>
            <w:r>
              <w:rPr>
                <w:rFonts w:hint="eastAsia" w:ascii="Times New Roman Regular" w:hAnsi="Times New Roman Regular" w:cs="Times New Roman Regular"/>
                <w:color w:val="auto"/>
                <w:szCs w:val="18"/>
                <w:highlight w:val="none"/>
              </w:rPr>
              <w:t>。</w:t>
            </w:r>
          </w:p>
        </w:tc>
        <w:tc>
          <w:tcPr>
            <w:tcW w:w="2109" w:type="dxa"/>
            <w:shd w:val="clear" w:color="auto" w:fill="auto"/>
            <w:vAlign w:val="center"/>
          </w:tcPr>
          <w:p w14:paraId="2AC6F73C">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5" w:type="dxa"/>
            <w:shd w:val="clear" w:color="auto" w:fill="auto"/>
            <w:vAlign w:val="center"/>
          </w:tcPr>
          <w:p w14:paraId="2E079256">
            <w:pPr>
              <w:snapToGrid w:val="0"/>
              <w:rPr>
                <w:rFonts w:ascii="Times New Roman Regular" w:hAnsi="Times New Roman Regular" w:cs="Times New Roman Regular"/>
                <w:color w:val="auto"/>
                <w:szCs w:val="18"/>
                <w:highlight w:val="none"/>
              </w:rPr>
            </w:pPr>
          </w:p>
        </w:tc>
        <w:tc>
          <w:tcPr>
            <w:tcW w:w="667" w:type="dxa"/>
            <w:shd w:val="clear" w:color="auto" w:fill="auto"/>
            <w:vAlign w:val="center"/>
          </w:tcPr>
          <w:p w14:paraId="7385C967">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E8C5E4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D2E876C">
        <w:trPr>
          <w:trHeight w:val="1480" w:hRule="atLeast"/>
          <w:jc w:val="center"/>
        </w:trPr>
        <w:tc>
          <w:tcPr>
            <w:tcW w:w="764" w:type="dxa"/>
            <w:vAlign w:val="center"/>
          </w:tcPr>
          <w:p w14:paraId="13E21D3F">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6488A80A">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生产台阶全部采用深孔爆破，数码雷管起爆，深孔爆破利用钻孔碎屑和岩粉封孔。</w:t>
            </w:r>
          </w:p>
        </w:tc>
        <w:tc>
          <w:tcPr>
            <w:tcW w:w="2109" w:type="dxa"/>
            <w:shd w:val="clear" w:color="auto" w:fill="auto"/>
            <w:vAlign w:val="center"/>
          </w:tcPr>
          <w:p w14:paraId="69A383A3">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5" w:type="dxa"/>
            <w:shd w:val="clear" w:color="auto" w:fill="auto"/>
            <w:vAlign w:val="center"/>
          </w:tcPr>
          <w:p w14:paraId="40FDF5A8">
            <w:pPr>
              <w:snapToGrid w:val="0"/>
              <w:rPr>
                <w:rFonts w:ascii="Times New Roman Regular" w:hAnsi="Times New Roman Regular" w:cs="Times New Roman Regular"/>
                <w:color w:val="auto"/>
                <w:szCs w:val="18"/>
                <w:highlight w:val="none"/>
              </w:rPr>
            </w:pPr>
          </w:p>
        </w:tc>
        <w:tc>
          <w:tcPr>
            <w:tcW w:w="667" w:type="dxa"/>
            <w:shd w:val="clear" w:color="auto" w:fill="auto"/>
            <w:vAlign w:val="center"/>
          </w:tcPr>
          <w:p w14:paraId="69C60805">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18"/>
                <w:highlight w:val="none"/>
              </w:rPr>
              <w:t>符合要求</w:t>
            </w:r>
          </w:p>
        </w:tc>
      </w:tr>
      <w:tr w14:paraId="40E0EE2C">
        <w:trPr>
          <w:trHeight w:val="1365" w:hRule="atLeast"/>
          <w:jc w:val="center"/>
        </w:trPr>
        <w:tc>
          <w:tcPr>
            <w:tcW w:w="764" w:type="dxa"/>
            <w:vAlign w:val="center"/>
          </w:tcPr>
          <w:p w14:paraId="2D0E31BF">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14973B70">
            <w:pPr>
              <w:ind w:right="-88" w:rightChars="-42"/>
              <w:rPr>
                <w:rFonts w:ascii="Times New Roman Regular" w:hAnsi="Times New Roman Regular" w:cs="Times New Roman Regular"/>
                <w:color w:val="auto"/>
                <w:szCs w:val="18"/>
                <w:highlight w:val="none"/>
              </w:rPr>
            </w:pPr>
            <w:r>
              <w:rPr>
                <w:rFonts w:hint="eastAsia" w:ascii="Times New Roman Regular" w:hAnsi="Times New Roman Regular" w:cs="Times New Roman Regular"/>
                <w:color w:val="auto"/>
                <w:szCs w:val="18"/>
                <w:highlight w:val="none"/>
              </w:rPr>
              <w:t>设</w:t>
            </w:r>
            <w:r>
              <w:rPr>
                <w:rFonts w:ascii="Times New Roman Regular" w:hAnsi="Times New Roman Regular" w:cs="Times New Roman Regular"/>
                <w:color w:val="auto"/>
                <w:szCs w:val="18"/>
                <w:highlight w:val="none"/>
              </w:rPr>
              <w:t>计利用斗容为1.5m</w:t>
            </w:r>
            <w:r>
              <w:rPr>
                <w:rFonts w:ascii="Times New Roman Regular" w:hAnsi="Times New Roman Regular" w:cs="Times New Roman Regular"/>
                <w:color w:val="auto"/>
                <w:szCs w:val="18"/>
                <w:highlight w:val="none"/>
                <w:vertAlign w:val="superscript"/>
              </w:rPr>
              <w:t>3</w:t>
            </w:r>
            <w:r>
              <w:rPr>
                <w:rFonts w:hint="eastAsia" w:ascii="Times New Roman Regular" w:hAnsi="Times New Roman Regular" w:cs="Times New Roman Regular"/>
                <w:color w:val="auto"/>
                <w:szCs w:val="18"/>
                <w:highlight w:val="none"/>
              </w:rPr>
              <w:t xml:space="preserve"> </w:t>
            </w:r>
            <w:r>
              <w:rPr>
                <w:rFonts w:ascii="Times New Roman Regular" w:hAnsi="Times New Roman Regular" w:cs="Times New Roman Regular"/>
                <w:color w:val="auto"/>
                <w:szCs w:val="18"/>
                <w:highlight w:val="none"/>
              </w:rPr>
              <w:t>W2-150挖掘机进行装车。</w:t>
            </w:r>
          </w:p>
        </w:tc>
        <w:tc>
          <w:tcPr>
            <w:tcW w:w="2109" w:type="dxa"/>
            <w:shd w:val="clear" w:color="auto" w:fill="auto"/>
            <w:vAlign w:val="center"/>
          </w:tcPr>
          <w:p w14:paraId="08D0035E">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5" w:type="dxa"/>
            <w:shd w:val="clear" w:color="auto" w:fill="auto"/>
            <w:vAlign w:val="center"/>
          </w:tcPr>
          <w:p w14:paraId="2F1DF229">
            <w:pPr>
              <w:snapToGrid w:val="0"/>
              <w:rPr>
                <w:rFonts w:ascii="Times New Roman Regular" w:hAnsi="Times New Roman Regular" w:cs="Times New Roman Regular"/>
                <w:color w:val="auto"/>
                <w:szCs w:val="18"/>
                <w:highlight w:val="none"/>
              </w:rPr>
            </w:pPr>
          </w:p>
        </w:tc>
        <w:tc>
          <w:tcPr>
            <w:tcW w:w="667" w:type="dxa"/>
            <w:shd w:val="clear" w:color="auto" w:fill="auto"/>
            <w:vAlign w:val="center"/>
          </w:tcPr>
          <w:p w14:paraId="2ADFCD89">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6DCD4E9">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200E87C6">
        <w:trPr>
          <w:trHeight w:val="1881" w:hRule="atLeast"/>
          <w:jc w:val="center"/>
        </w:trPr>
        <w:tc>
          <w:tcPr>
            <w:tcW w:w="764" w:type="dxa"/>
            <w:vAlign w:val="center"/>
          </w:tcPr>
          <w:p w14:paraId="101DEDAC">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6733913C">
            <w:pPr>
              <w:snapToGrid w:val="0"/>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21"/>
                <w:highlight w:val="none"/>
              </w:rPr>
              <w:t>金属非金属露天开采项目自2015年2月13日起半年后禁止采用未安装捕尘装置的干式凿岩作业。</w:t>
            </w:r>
          </w:p>
        </w:tc>
        <w:tc>
          <w:tcPr>
            <w:tcW w:w="2109" w:type="dxa"/>
            <w:shd w:val="clear" w:color="auto" w:fill="auto"/>
            <w:vAlign w:val="center"/>
          </w:tcPr>
          <w:p w14:paraId="40579C04">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《国家安全监管总局关于发布金属非金属矿山禁止使用的设备及工艺目录（第二批）的通知》（安监总管一[2015]13号）</w:t>
            </w:r>
          </w:p>
        </w:tc>
        <w:tc>
          <w:tcPr>
            <w:tcW w:w="2625" w:type="dxa"/>
            <w:shd w:val="clear" w:color="auto" w:fill="auto"/>
            <w:vAlign w:val="center"/>
          </w:tcPr>
          <w:p w14:paraId="7C090A89">
            <w:pPr>
              <w:snapToGrid w:val="0"/>
              <w:rPr>
                <w:rFonts w:ascii="Times New Roman Regular" w:hAnsi="Times New Roman Regular" w:cs="Times New Roman Regular"/>
                <w:color w:val="auto"/>
                <w:szCs w:val="21"/>
                <w:highlight w:val="none"/>
              </w:rPr>
            </w:pPr>
          </w:p>
        </w:tc>
        <w:tc>
          <w:tcPr>
            <w:tcW w:w="667" w:type="dxa"/>
            <w:shd w:val="clear" w:color="auto" w:fill="auto"/>
            <w:vAlign w:val="center"/>
          </w:tcPr>
          <w:p w14:paraId="01E615B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2DCEA1E">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59621844">
        <w:trPr>
          <w:trHeight w:val="1796" w:hRule="atLeast"/>
          <w:jc w:val="center"/>
        </w:trPr>
        <w:tc>
          <w:tcPr>
            <w:tcW w:w="764" w:type="dxa"/>
            <w:vAlign w:val="center"/>
          </w:tcPr>
          <w:p w14:paraId="687B7FAF">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64DE44B9">
            <w:pPr>
              <w:snapToGrid w:val="0"/>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21"/>
                <w:highlight w:val="none"/>
              </w:rPr>
              <w:t>金属非金属露天开采项目自2015年2月13日起立即禁止使用爆破方式对大块矿岩进行二次破碎。</w:t>
            </w:r>
          </w:p>
        </w:tc>
        <w:tc>
          <w:tcPr>
            <w:tcW w:w="2109" w:type="dxa"/>
            <w:shd w:val="clear" w:color="auto" w:fill="auto"/>
            <w:vAlign w:val="center"/>
          </w:tcPr>
          <w:p w14:paraId="3DFF597B">
            <w:pPr>
              <w:snapToGrid w:val="0"/>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《国家安全监管总局关于发布金属非金属矿山禁止使用的设备及工艺目录（第二批）的通知》（安监总管一[2015]13号）</w:t>
            </w:r>
          </w:p>
        </w:tc>
        <w:tc>
          <w:tcPr>
            <w:tcW w:w="2625" w:type="dxa"/>
            <w:shd w:val="clear" w:color="auto" w:fill="auto"/>
            <w:vAlign w:val="center"/>
          </w:tcPr>
          <w:p w14:paraId="08188939">
            <w:pPr>
              <w:snapToGrid w:val="0"/>
              <w:rPr>
                <w:rFonts w:ascii="Times New Roman Regular" w:hAnsi="Times New Roman Regular" w:cs="Times New Roman Regular"/>
                <w:color w:val="auto"/>
                <w:szCs w:val="18"/>
                <w:highlight w:val="none"/>
              </w:rPr>
            </w:pPr>
          </w:p>
        </w:tc>
        <w:tc>
          <w:tcPr>
            <w:tcW w:w="667" w:type="dxa"/>
            <w:shd w:val="clear" w:color="auto" w:fill="auto"/>
            <w:vAlign w:val="center"/>
          </w:tcPr>
          <w:p w14:paraId="3054F26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5E410B7">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093F5A46">
        <w:trPr>
          <w:trHeight w:val="1768" w:hRule="atLeast"/>
          <w:jc w:val="center"/>
        </w:trPr>
        <w:tc>
          <w:tcPr>
            <w:tcW w:w="764" w:type="dxa"/>
            <w:vAlign w:val="center"/>
          </w:tcPr>
          <w:p w14:paraId="2349D61A">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62A75E69">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从炸药运入采场开始，应划定运输警戒区，警戒区内应禁止烟火；搬运爆破器材应轻拿轻放，不应冲撞起爆药包。</w:t>
            </w:r>
          </w:p>
        </w:tc>
        <w:tc>
          <w:tcPr>
            <w:tcW w:w="2109" w:type="dxa"/>
            <w:shd w:val="clear" w:color="auto" w:fill="auto"/>
            <w:vAlign w:val="center"/>
          </w:tcPr>
          <w:p w14:paraId="49DDE079">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《爆破安全规程》（GB 6722-2014）第4.10.2条</w:t>
            </w:r>
          </w:p>
        </w:tc>
        <w:tc>
          <w:tcPr>
            <w:tcW w:w="2625" w:type="dxa"/>
            <w:shd w:val="clear" w:color="auto" w:fill="auto"/>
            <w:vAlign w:val="center"/>
          </w:tcPr>
          <w:p w14:paraId="5FF9653C">
            <w:pPr>
              <w:ind w:right="-88" w:rightChars="-42"/>
              <w:rPr>
                <w:rFonts w:ascii="Times New Roman Regular" w:hAnsi="Times New Roman Regular" w:cs="Times New Roman Regular"/>
                <w:color w:val="auto"/>
                <w:szCs w:val="18"/>
                <w:highlight w:val="none"/>
              </w:rPr>
            </w:pPr>
          </w:p>
        </w:tc>
        <w:tc>
          <w:tcPr>
            <w:tcW w:w="667" w:type="dxa"/>
            <w:shd w:val="clear" w:color="auto" w:fill="auto"/>
            <w:vAlign w:val="center"/>
          </w:tcPr>
          <w:p w14:paraId="7DADA27C">
            <w:pPr>
              <w:ind w:right="-88" w:rightChars="-42"/>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135CFD3B">
        <w:trPr>
          <w:trHeight w:val="1523" w:hRule="atLeast"/>
          <w:jc w:val="center"/>
        </w:trPr>
        <w:tc>
          <w:tcPr>
            <w:tcW w:w="764" w:type="dxa"/>
            <w:vAlign w:val="center"/>
          </w:tcPr>
          <w:p w14:paraId="5E76E035">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1184349D">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装药前应对炮孔、硐室、爆炸处理构件逐个进行测量验收，作好记录并保存。</w:t>
            </w:r>
          </w:p>
        </w:tc>
        <w:tc>
          <w:tcPr>
            <w:tcW w:w="2109" w:type="dxa"/>
            <w:shd w:val="clear" w:color="auto" w:fill="auto"/>
            <w:vAlign w:val="center"/>
          </w:tcPr>
          <w:p w14:paraId="17E318F8">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《爆破安全规程》（GB 6722-2014）第</w:t>
            </w:r>
            <w:r>
              <w:rPr>
                <w:rFonts w:ascii="Times New Roman Regular" w:hAnsi="Times New Roman Regular" w:cs="Times New Roman Regular"/>
                <w:color w:val="auto"/>
                <w:szCs w:val="18"/>
                <w:highlight w:val="none"/>
              </w:rPr>
              <w:t>6.2.5.1</w:t>
            </w:r>
            <w:r>
              <w:rPr>
                <w:rFonts w:ascii="Times New Roman Regular" w:hAnsi="Times New Roman Regular" w:cs="Times New Roman Regular"/>
                <w:color w:val="auto"/>
                <w:szCs w:val="21"/>
                <w:highlight w:val="none"/>
              </w:rPr>
              <w:t>条</w:t>
            </w:r>
          </w:p>
        </w:tc>
        <w:tc>
          <w:tcPr>
            <w:tcW w:w="2625" w:type="dxa"/>
            <w:shd w:val="clear" w:color="auto" w:fill="auto"/>
            <w:vAlign w:val="center"/>
          </w:tcPr>
          <w:p w14:paraId="7E41A2D4">
            <w:pPr>
              <w:ind w:right="-88" w:rightChars="-42"/>
              <w:rPr>
                <w:rFonts w:ascii="Times New Roman Regular" w:hAnsi="Times New Roman Regular" w:cs="Times New Roman Regular"/>
                <w:color w:val="auto"/>
                <w:szCs w:val="18"/>
                <w:highlight w:val="none"/>
              </w:rPr>
            </w:pPr>
          </w:p>
        </w:tc>
        <w:tc>
          <w:tcPr>
            <w:tcW w:w="667" w:type="dxa"/>
            <w:shd w:val="clear" w:color="auto" w:fill="auto"/>
            <w:vAlign w:val="center"/>
          </w:tcPr>
          <w:p w14:paraId="37109CD2">
            <w:pPr>
              <w:ind w:right="-88" w:rightChars="-42"/>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2FDAF7E5">
        <w:trPr>
          <w:trHeight w:val="1299" w:hRule="atLeast"/>
          <w:jc w:val="center"/>
        </w:trPr>
        <w:tc>
          <w:tcPr>
            <w:tcW w:w="764" w:type="dxa"/>
            <w:vAlign w:val="center"/>
          </w:tcPr>
          <w:p w14:paraId="716B8B36">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45C87B19">
            <w:pP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不应用翻斗车、自卸汽车、拖车、自行车、摩托车和畜力车运输爆破器材。</w:t>
            </w:r>
          </w:p>
        </w:tc>
        <w:tc>
          <w:tcPr>
            <w:tcW w:w="2109" w:type="dxa"/>
            <w:shd w:val="clear" w:color="auto" w:fill="auto"/>
            <w:vAlign w:val="center"/>
          </w:tcPr>
          <w:p w14:paraId="372737E3">
            <w:pP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21"/>
                <w:highlight w:val="none"/>
              </w:rPr>
              <w:t>《爆破安全规程》（GB 6722-2014）第</w:t>
            </w:r>
            <w:r>
              <w:rPr>
                <w:rFonts w:ascii="Times New Roman Regular" w:hAnsi="Times New Roman Regular" w:cs="Times New Roman Regular"/>
                <w:color w:val="auto"/>
                <w:szCs w:val="18"/>
                <w:highlight w:val="none"/>
              </w:rPr>
              <w:t>7.3.1.4</w:t>
            </w:r>
            <w:r>
              <w:rPr>
                <w:rFonts w:ascii="Times New Roman Regular" w:hAnsi="Times New Roman Regular" w:cs="Times New Roman Regular"/>
                <w:color w:val="auto"/>
                <w:szCs w:val="21"/>
                <w:highlight w:val="none"/>
              </w:rPr>
              <w:t>条</w:t>
            </w:r>
          </w:p>
        </w:tc>
        <w:tc>
          <w:tcPr>
            <w:tcW w:w="2625" w:type="dxa"/>
            <w:shd w:val="clear" w:color="auto" w:fill="auto"/>
            <w:vAlign w:val="center"/>
          </w:tcPr>
          <w:p w14:paraId="7697D614">
            <w:pPr>
              <w:rPr>
                <w:rFonts w:ascii="Times New Roman Regular" w:hAnsi="Times New Roman Regular" w:cs="Times New Roman Regular"/>
                <w:color w:val="auto"/>
                <w:szCs w:val="18"/>
                <w:highlight w:val="none"/>
              </w:rPr>
            </w:pPr>
          </w:p>
        </w:tc>
        <w:tc>
          <w:tcPr>
            <w:tcW w:w="667" w:type="dxa"/>
            <w:shd w:val="clear" w:color="auto" w:fill="auto"/>
            <w:vAlign w:val="center"/>
          </w:tcPr>
          <w:p w14:paraId="39FCBC92">
            <w:pPr>
              <w:ind w:leftChars="-13" w:hanging="27" w:hangingChars="13"/>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760F1F6B">
        <w:trPr>
          <w:trHeight w:val="2675" w:hRule="atLeast"/>
          <w:jc w:val="center"/>
        </w:trPr>
        <w:tc>
          <w:tcPr>
            <w:tcW w:w="764" w:type="dxa"/>
            <w:vAlign w:val="center"/>
          </w:tcPr>
          <w:p w14:paraId="7E64D146">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7CBD5666">
            <w:pP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贮存爆破器材的单位设置爆破器材库，应报主管部门批准，并报当地县（市）公安机关审查同意，方可建库；库房建成并经验收合格发给“爆破器材贮存许可证”后，方准贮存爆破器材。</w:t>
            </w:r>
          </w:p>
        </w:tc>
        <w:tc>
          <w:tcPr>
            <w:tcW w:w="2109" w:type="dxa"/>
            <w:shd w:val="clear" w:color="auto" w:fill="auto"/>
            <w:vAlign w:val="center"/>
          </w:tcPr>
          <w:p w14:paraId="06A87D85">
            <w:pP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21"/>
                <w:highlight w:val="none"/>
              </w:rPr>
              <w:t>《爆破安全规程》（GB 6722-2014）第</w:t>
            </w:r>
            <w:r>
              <w:rPr>
                <w:rFonts w:ascii="Times New Roman Regular" w:hAnsi="Times New Roman Regular" w:cs="Times New Roman Regular"/>
                <w:color w:val="auto"/>
                <w:szCs w:val="18"/>
                <w:highlight w:val="none"/>
              </w:rPr>
              <w:t>7.4.1.2</w:t>
            </w:r>
            <w:r>
              <w:rPr>
                <w:rFonts w:ascii="Times New Roman Regular" w:hAnsi="Times New Roman Regular" w:cs="Times New Roman Regular"/>
                <w:color w:val="auto"/>
                <w:szCs w:val="21"/>
                <w:highlight w:val="none"/>
              </w:rPr>
              <w:t>条</w:t>
            </w:r>
          </w:p>
        </w:tc>
        <w:tc>
          <w:tcPr>
            <w:tcW w:w="2625" w:type="dxa"/>
            <w:shd w:val="clear" w:color="auto" w:fill="auto"/>
            <w:vAlign w:val="center"/>
          </w:tcPr>
          <w:p w14:paraId="08E4118A">
            <w:pPr>
              <w:rPr>
                <w:rFonts w:ascii="Times New Roman Regular" w:hAnsi="Times New Roman Regular" w:cs="Times New Roman Regular"/>
                <w:color w:val="auto"/>
                <w:szCs w:val="18"/>
                <w:highlight w:val="none"/>
              </w:rPr>
            </w:pPr>
          </w:p>
        </w:tc>
        <w:tc>
          <w:tcPr>
            <w:tcW w:w="667" w:type="dxa"/>
            <w:shd w:val="clear" w:color="auto" w:fill="auto"/>
            <w:vAlign w:val="center"/>
          </w:tcPr>
          <w:p w14:paraId="308193C8">
            <w:pPr>
              <w:ind w:leftChars="-13" w:hanging="27" w:hangingChars="13"/>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620E4EA2">
        <w:trPr>
          <w:trHeight w:val="1733" w:hRule="atLeast"/>
          <w:jc w:val="center"/>
        </w:trPr>
        <w:tc>
          <w:tcPr>
            <w:tcW w:w="764" w:type="dxa"/>
            <w:shd w:val="clear" w:color="auto" w:fill="auto"/>
            <w:vAlign w:val="center"/>
          </w:tcPr>
          <w:p w14:paraId="3D353BD1">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3E4482CA">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爆破前应对爆区周围的自然条件和环境状况进行调查，了解危及安全的不利环境因素，采取必要的安全防范措施。</w:t>
            </w:r>
          </w:p>
        </w:tc>
        <w:tc>
          <w:tcPr>
            <w:tcW w:w="2109" w:type="dxa"/>
            <w:shd w:val="clear" w:color="auto" w:fill="auto"/>
            <w:vAlign w:val="center"/>
          </w:tcPr>
          <w:p w14:paraId="655A4C42">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《爆破安全规程》（GB 6722-2014）第4.7.1条</w:t>
            </w:r>
          </w:p>
        </w:tc>
        <w:tc>
          <w:tcPr>
            <w:tcW w:w="2625" w:type="dxa"/>
            <w:shd w:val="clear" w:color="auto" w:fill="auto"/>
            <w:vAlign w:val="center"/>
          </w:tcPr>
          <w:p w14:paraId="542C67C0">
            <w:pPr>
              <w:ind w:right="-88" w:rightChars="-42"/>
              <w:rPr>
                <w:rFonts w:ascii="Times New Roman Regular" w:hAnsi="Times New Roman Regular" w:cs="Times New Roman Regular"/>
                <w:color w:val="auto"/>
                <w:szCs w:val="18"/>
                <w:highlight w:val="none"/>
              </w:rPr>
            </w:pPr>
          </w:p>
        </w:tc>
        <w:tc>
          <w:tcPr>
            <w:tcW w:w="667" w:type="dxa"/>
            <w:shd w:val="clear" w:color="auto" w:fill="auto"/>
            <w:vAlign w:val="center"/>
          </w:tcPr>
          <w:p w14:paraId="4695208B">
            <w:pPr>
              <w:ind w:right="-88" w:rightChars="-42"/>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05DF8F44">
        <w:trPr>
          <w:trHeight w:val="1460" w:hRule="atLeast"/>
          <w:jc w:val="center"/>
        </w:trPr>
        <w:tc>
          <w:tcPr>
            <w:tcW w:w="764" w:type="dxa"/>
            <w:shd w:val="clear" w:color="auto" w:fill="auto"/>
            <w:vAlign w:val="center"/>
          </w:tcPr>
          <w:p w14:paraId="59EB8A65">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3C2933F6">
            <w:pPr>
              <w:adjustRightInd w:val="0"/>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铲装工作开始前应确认作业环境安全。</w:t>
            </w:r>
          </w:p>
        </w:tc>
        <w:tc>
          <w:tcPr>
            <w:tcW w:w="2109" w:type="dxa"/>
            <w:shd w:val="clear" w:color="auto" w:fill="auto"/>
            <w:vAlign w:val="center"/>
          </w:tcPr>
          <w:p w14:paraId="13BB3418">
            <w:pP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highlight w:val="none"/>
              </w:rPr>
              <w:t>《金属非金属矿山安全规程》（GB 16423-2020）</w:t>
            </w:r>
            <w:r>
              <w:rPr>
                <w:rFonts w:ascii="Times New Roman Regular" w:hAnsi="Times New Roman Regular" w:cs="Times New Roman Regular"/>
                <w:color w:val="auto"/>
                <w:szCs w:val="21"/>
                <w:highlight w:val="none"/>
              </w:rPr>
              <w:t>第</w:t>
            </w:r>
            <w:r>
              <w:rPr>
                <w:rFonts w:ascii="Times New Roman Regular" w:hAnsi="Times New Roman Regular" w:cs="Times New Roman Regular"/>
                <w:color w:val="auto"/>
                <w:highlight w:val="none"/>
              </w:rPr>
              <w:t>5.2.3.1条</w:t>
            </w:r>
          </w:p>
        </w:tc>
        <w:tc>
          <w:tcPr>
            <w:tcW w:w="2625" w:type="dxa"/>
            <w:shd w:val="clear" w:color="auto" w:fill="auto"/>
            <w:vAlign w:val="center"/>
          </w:tcPr>
          <w:p w14:paraId="0FCA3A63">
            <w:pPr>
              <w:rPr>
                <w:rFonts w:ascii="Times New Roman Regular" w:hAnsi="Times New Roman Regular" w:cs="Times New Roman Regular"/>
                <w:bCs/>
                <w:color w:val="auto"/>
                <w:szCs w:val="21"/>
                <w:highlight w:val="none"/>
              </w:rPr>
            </w:pPr>
          </w:p>
        </w:tc>
        <w:tc>
          <w:tcPr>
            <w:tcW w:w="667" w:type="dxa"/>
            <w:shd w:val="clear" w:color="auto" w:fill="auto"/>
            <w:vAlign w:val="center"/>
          </w:tcPr>
          <w:p w14:paraId="5C2EAE3F">
            <w:pPr>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38E5A894">
        <w:trPr>
          <w:trHeight w:val="1355" w:hRule="atLeast"/>
          <w:jc w:val="center"/>
        </w:trPr>
        <w:tc>
          <w:tcPr>
            <w:tcW w:w="764" w:type="dxa"/>
            <w:shd w:val="clear" w:color="auto" w:fill="auto"/>
            <w:vAlign w:val="center"/>
          </w:tcPr>
          <w:p w14:paraId="6C87D827">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327C2FB4">
            <w:pPr>
              <w:adjustRightInd w:val="0"/>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18"/>
                <w:highlight w:val="none"/>
              </w:rPr>
              <w:t>铲装设备工作应遵守：悬臂和铲斗及工作面附近不应有人员停留。</w:t>
            </w:r>
          </w:p>
        </w:tc>
        <w:tc>
          <w:tcPr>
            <w:tcW w:w="2109" w:type="dxa"/>
            <w:shd w:val="clear" w:color="auto" w:fill="auto"/>
            <w:vAlign w:val="center"/>
          </w:tcPr>
          <w:p w14:paraId="613ED6A5">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16423-2020）第5.2.3.4条</w:t>
            </w:r>
          </w:p>
        </w:tc>
        <w:tc>
          <w:tcPr>
            <w:tcW w:w="2625" w:type="dxa"/>
            <w:shd w:val="clear" w:color="auto" w:fill="auto"/>
            <w:vAlign w:val="center"/>
          </w:tcPr>
          <w:p w14:paraId="42BD5201">
            <w:pPr>
              <w:rPr>
                <w:rFonts w:ascii="Times New Roman Regular" w:hAnsi="Times New Roman Regular" w:cs="Times New Roman Regular"/>
                <w:bCs/>
                <w:color w:val="auto"/>
                <w:szCs w:val="21"/>
                <w:highlight w:val="none"/>
              </w:rPr>
            </w:pPr>
          </w:p>
        </w:tc>
        <w:tc>
          <w:tcPr>
            <w:tcW w:w="667" w:type="dxa"/>
            <w:shd w:val="clear" w:color="auto" w:fill="auto"/>
            <w:vAlign w:val="center"/>
          </w:tcPr>
          <w:p w14:paraId="73FFD6F0">
            <w:pPr>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13BAA49A">
        <w:trPr>
          <w:trHeight w:val="1397" w:hRule="atLeast"/>
          <w:jc w:val="center"/>
        </w:trPr>
        <w:tc>
          <w:tcPr>
            <w:tcW w:w="764" w:type="dxa"/>
            <w:shd w:val="clear" w:color="auto" w:fill="auto"/>
            <w:vAlign w:val="center"/>
          </w:tcPr>
          <w:p w14:paraId="5D81051D">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39AE1116">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铲装设备工作前应发出警告信号，无关人员应远离设备。</w:t>
            </w:r>
          </w:p>
        </w:tc>
        <w:tc>
          <w:tcPr>
            <w:tcW w:w="2109" w:type="dxa"/>
            <w:shd w:val="clear" w:color="auto" w:fill="auto"/>
            <w:vAlign w:val="center"/>
          </w:tcPr>
          <w:p w14:paraId="65D253E1">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16423-2020）第5.2.3.2条</w:t>
            </w:r>
          </w:p>
        </w:tc>
        <w:tc>
          <w:tcPr>
            <w:tcW w:w="2625" w:type="dxa"/>
            <w:shd w:val="clear" w:color="auto" w:fill="auto"/>
            <w:vAlign w:val="center"/>
          </w:tcPr>
          <w:p w14:paraId="50E8C53D">
            <w:pPr>
              <w:snapToGrid w:val="0"/>
              <w:rPr>
                <w:rFonts w:ascii="Times New Roman Regular" w:hAnsi="Times New Roman Regular" w:cs="Times New Roman Regular"/>
                <w:bCs/>
                <w:color w:val="auto"/>
                <w:szCs w:val="21"/>
                <w:highlight w:val="none"/>
              </w:rPr>
            </w:pPr>
          </w:p>
        </w:tc>
        <w:tc>
          <w:tcPr>
            <w:tcW w:w="667" w:type="dxa"/>
            <w:shd w:val="clear" w:color="auto" w:fill="auto"/>
            <w:vAlign w:val="center"/>
          </w:tcPr>
          <w:p w14:paraId="0CE3A196">
            <w:pPr>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4731E2B1">
        <w:trPr>
          <w:trHeight w:val="602" w:hRule="atLeast"/>
          <w:jc w:val="center"/>
        </w:trPr>
        <w:tc>
          <w:tcPr>
            <w:tcW w:w="764" w:type="dxa"/>
            <w:shd w:val="clear" w:color="auto" w:fill="auto"/>
            <w:vAlign w:val="center"/>
          </w:tcPr>
          <w:p w14:paraId="7A4968C1">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6D44B8E2">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金属非金属露天开采项目自2015年2月13日起立即禁止使用扩壶爆破。</w:t>
            </w:r>
          </w:p>
        </w:tc>
        <w:tc>
          <w:tcPr>
            <w:tcW w:w="2109" w:type="dxa"/>
            <w:shd w:val="clear" w:color="auto" w:fill="auto"/>
            <w:vAlign w:val="center"/>
          </w:tcPr>
          <w:p w14:paraId="0075B137">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《国家安全监管总局关于发布金属非金属矿山禁止使用的设备及工艺目录（第二批）的通知》（安监总管一[2015]13号）</w:t>
            </w:r>
          </w:p>
        </w:tc>
        <w:tc>
          <w:tcPr>
            <w:tcW w:w="2625" w:type="dxa"/>
            <w:shd w:val="clear" w:color="auto" w:fill="auto"/>
            <w:vAlign w:val="center"/>
          </w:tcPr>
          <w:p w14:paraId="3E1C28E1">
            <w:pPr>
              <w:ind w:right="-88" w:rightChars="-42"/>
              <w:rPr>
                <w:rFonts w:ascii="Times New Roman Regular" w:hAnsi="Times New Roman Regular" w:cs="Times New Roman Regular"/>
                <w:color w:val="auto"/>
                <w:szCs w:val="18"/>
                <w:highlight w:val="none"/>
              </w:rPr>
            </w:pPr>
          </w:p>
        </w:tc>
        <w:tc>
          <w:tcPr>
            <w:tcW w:w="667" w:type="dxa"/>
            <w:shd w:val="clear" w:color="auto" w:fill="auto"/>
            <w:vAlign w:val="center"/>
          </w:tcPr>
          <w:p w14:paraId="5959056C">
            <w:pPr>
              <w:ind w:right="-88" w:rightChars="-42"/>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5FDD9C1F">
        <w:trPr>
          <w:trHeight w:val="2305" w:hRule="atLeast"/>
          <w:jc w:val="center"/>
        </w:trPr>
        <w:tc>
          <w:tcPr>
            <w:tcW w:w="764" w:type="dxa"/>
            <w:shd w:val="clear" w:color="auto" w:fill="auto"/>
            <w:vAlign w:val="center"/>
          </w:tcPr>
          <w:p w14:paraId="5FD26DB3">
            <w:pPr>
              <w:numPr>
                <w:ilvl w:val="0"/>
                <w:numId w:val="4"/>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4" w:type="dxa"/>
            <w:shd w:val="clear" w:color="auto" w:fill="auto"/>
            <w:vAlign w:val="center"/>
          </w:tcPr>
          <w:p w14:paraId="26C75E38">
            <w:pPr>
              <w:adjustRightInd w:val="0"/>
              <w:jc w:val="left"/>
              <w:rPr>
                <w:rFonts w:ascii="Times New Roman Regular" w:hAnsi="Times New Roman Regular" w:cs="Times New Roman Regular"/>
                <w:color w:val="auto"/>
                <w:kern w:val="0"/>
                <w:szCs w:val="21"/>
                <w:highlight w:val="none"/>
              </w:rPr>
            </w:pPr>
            <w:r>
              <w:rPr>
                <w:rFonts w:ascii="Times New Roman Regular" w:hAnsi="Times New Roman Regular" w:cs="Times New Roman Regular"/>
                <w:color w:val="auto"/>
                <w:kern w:val="0"/>
                <w:szCs w:val="21"/>
                <w:highlight w:val="none"/>
              </w:rPr>
              <w:t>露天浅孔、深孔、特种爆破，爆后应超过5min方准许检查人员进入爆破作业地点；如不能确认有无盲炮，应经15min后才能进入爆区检查。</w:t>
            </w:r>
          </w:p>
        </w:tc>
        <w:tc>
          <w:tcPr>
            <w:tcW w:w="2109" w:type="dxa"/>
            <w:shd w:val="clear" w:color="auto" w:fill="auto"/>
            <w:vAlign w:val="center"/>
          </w:tcPr>
          <w:p w14:paraId="49765D4A">
            <w:pPr>
              <w:adjustRightInd w:val="0"/>
              <w:rPr>
                <w:rFonts w:ascii="Times New Roman Regular" w:hAnsi="Times New Roman Regular" w:cs="Times New Roman Regular"/>
                <w:color w:val="auto"/>
                <w:kern w:val="0"/>
                <w:szCs w:val="21"/>
                <w:highlight w:val="none"/>
              </w:rPr>
            </w:pPr>
            <w:r>
              <w:rPr>
                <w:rFonts w:ascii="Times New Roman Regular" w:hAnsi="Times New Roman Regular" w:cs="Times New Roman Regular"/>
                <w:color w:val="auto"/>
                <w:szCs w:val="21"/>
                <w:highlight w:val="none"/>
              </w:rPr>
              <w:t>《爆破安全规程》（GB 6722-2014）第6.8.1.1条</w:t>
            </w:r>
          </w:p>
        </w:tc>
        <w:tc>
          <w:tcPr>
            <w:tcW w:w="2625" w:type="dxa"/>
            <w:shd w:val="clear" w:color="auto" w:fill="auto"/>
            <w:vAlign w:val="center"/>
          </w:tcPr>
          <w:p w14:paraId="5CE5BCA5">
            <w:pPr>
              <w:adjustRightInd w:val="0"/>
              <w:rPr>
                <w:rFonts w:ascii="Times New Roman Regular" w:hAnsi="Times New Roman Regular" w:cs="Times New Roman Regular"/>
                <w:color w:val="auto"/>
                <w:szCs w:val="21"/>
                <w:highlight w:val="none"/>
              </w:rPr>
            </w:pPr>
          </w:p>
        </w:tc>
        <w:tc>
          <w:tcPr>
            <w:tcW w:w="667" w:type="dxa"/>
            <w:shd w:val="clear" w:color="auto" w:fill="auto"/>
            <w:vAlign w:val="center"/>
          </w:tcPr>
          <w:p w14:paraId="7482DAD5">
            <w:pPr>
              <w:adjustRightIn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B1215DD">
            <w:pPr>
              <w:adjustRightIn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53BB2D1F">
      <w:pPr>
        <w:snapToGrid w:val="0"/>
        <w:spacing w:line="360" w:lineRule="auto"/>
        <w:ind w:firstLine="560" w:firstLineChars="200"/>
        <w:rPr>
          <w:rFonts w:ascii="Times New Roman Regular" w:hAnsi="Times New Roman Regular" w:cs="Times New Roman Regular"/>
          <w:color w:val="auto"/>
          <w:sz w:val="28"/>
          <w:szCs w:val="28"/>
          <w:highlight w:val="none"/>
        </w:rPr>
      </w:pPr>
    </w:p>
    <w:p w14:paraId="721363BE">
      <w:pPr>
        <w:pStyle w:val="23"/>
        <w:keepNext w:val="0"/>
        <w:keepLines w:val="0"/>
        <w:pageBreakBefore w:val="0"/>
        <w:widowControl/>
        <w:kinsoku/>
        <w:wordWrap/>
        <w:overflowPunct/>
        <w:topLinePunct w:val="0"/>
        <w:autoSpaceDE/>
        <w:autoSpaceDN/>
        <w:bidi w:val="0"/>
        <w:adjustRightInd w:val="0"/>
        <w:snapToGrid w:val="0"/>
        <w:spacing w:before="157" w:beforeLines="50"/>
        <w:textAlignment w:val="auto"/>
        <w:rPr>
          <w:rFonts w:hint="default" w:ascii="Times New Roman Regular" w:hAnsi="Times New Roman Regular" w:eastAsia="宋体" w:cs="Times New Roman Regular"/>
          <w:color w:val="auto"/>
          <w:position w:val="6"/>
          <w:sz w:val="28"/>
          <w:szCs w:val="28"/>
          <w:highlight w:val="none"/>
          <w:lang w:val="en-US" w:eastAsia="zh-CN"/>
        </w:rPr>
      </w:pPr>
      <w:bookmarkStart w:id="101" w:name="_Toc17928"/>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rFonts w:hint="eastAsia"/>
          <w:color w:val="auto"/>
          <w:highlight w:val="none"/>
          <w:lang w:val="en-US" w:eastAsia="zh-CN"/>
        </w:rPr>
        <w:t>爆破对破碎厂房影响分析</w:t>
      </w:r>
    </w:p>
    <w:p w14:paraId="3192A400">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0ECF747E">
      <w:pPr>
        <w:pStyle w:val="2"/>
        <w:rPr>
          <w:rFonts w:hint="default"/>
          <w:lang w:val="en-US" w:eastAsia="zh-CN"/>
        </w:rPr>
      </w:pPr>
    </w:p>
    <w:p w14:paraId="721FC6FA">
      <w:pPr>
        <w:pStyle w:val="23"/>
        <w:keepNext w:val="0"/>
        <w:keepLines w:val="0"/>
        <w:pageBreakBefore w:val="0"/>
        <w:widowControl/>
        <w:kinsoku/>
        <w:wordWrap/>
        <w:overflowPunct/>
        <w:topLinePunct w:val="0"/>
        <w:autoSpaceDE/>
        <w:autoSpaceDN/>
        <w:bidi w:val="0"/>
        <w:adjustRightInd w:val="0"/>
        <w:snapToGrid w:val="0"/>
        <w:spacing w:before="157" w:beforeLines="50"/>
        <w:textAlignment w:val="auto"/>
        <w:rPr>
          <w:rFonts w:hint="eastAsia" w:eastAsia="宋体"/>
          <w:color w:val="auto"/>
          <w:highlight w:val="none"/>
          <w:lang w:eastAsia="zh-CN"/>
        </w:rPr>
      </w:pPr>
      <w:r>
        <w:rPr>
          <w:rFonts w:hint="eastAsia"/>
          <w:color w:val="auto"/>
          <w:highlight w:val="none"/>
          <w:lang w:eastAsia="zh-CN"/>
        </w:rPr>
        <w:t>（</w:t>
      </w:r>
      <w:r>
        <w:rPr>
          <w:rFonts w:hint="eastAsia"/>
          <w:color w:val="auto"/>
          <w:highlight w:val="none"/>
          <w:lang w:val="en-US" w:eastAsia="zh-CN"/>
        </w:rPr>
        <w:t>3</w:t>
      </w:r>
      <w:r>
        <w:rPr>
          <w:rFonts w:hint="eastAsia"/>
          <w:color w:val="auto"/>
          <w:highlight w:val="none"/>
          <w:lang w:eastAsia="zh-CN"/>
        </w:rPr>
        <w:t>）</w:t>
      </w:r>
      <w:r>
        <w:rPr>
          <w:rFonts w:hint="eastAsia"/>
          <w:color w:val="auto"/>
          <w:highlight w:val="none"/>
        </w:rPr>
        <w:t>边坡稳定性分析与评价</w:t>
      </w:r>
      <w:bookmarkEnd w:id="101"/>
    </w:p>
    <w:p w14:paraId="79491951">
      <w:pPr>
        <w:pStyle w:val="23"/>
        <w:bidi w:val="0"/>
        <w:rPr>
          <w:rFonts w:hint="default"/>
          <w:color w:val="auto"/>
          <w:highlight w:val="none"/>
          <w:lang w:val="en-US" w:eastAsia="zh-CN"/>
        </w:rPr>
      </w:pPr>
      <w:r>
        <w:rPr>
          <w:rFonts w:hint="eastAsia"/>
          <w:color w:val="auto"/>
          <w:highlight w:val="none"/>
          <w:lang w:val="en-US" w:eastAsia="zh-CN"/>
        </w:rPr>
        <w:t>根据计算结果可知，矿山边坡处于稳定状态</w:t>
      </w:r>
    </w:p>
    <w:p w14:paraId="4EBEF2A0">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评价单元小结：</w:t>
      </w:r>
    </w:p>
    <w:bookmarkEnd w:id="100"/>
    <w:p w14:paraId="0E6EC15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通过用安全检查表对该矿山采场单元进行了</w:t>
      </w:r>
      <w:r>
        <w:rPr>
          <w:rFonts w:hint="eastAsia" w:ascii="Times New Roman Regular" w:hAnsi="Times New Roman Regular" w:cs="Times New Roman Regular"/>
          <w:color w:val="auto"/>
          <w:sz w:val="28"/>
          <w:szCs w:val="28"/>
          <w:highlight w:val="none"/>
        </w:rPr>
        <w:t>3</w:t>
      </w:r>
      <w:r>
        <w:rPr>
          <w:rFonts w:hint="eastAsia" w:ascii="Times New Roman Regular" w:hAnsi="Times New Roman Regular" w:cs="Times New Roman Regular"/>
          <w:color w:val="auto"/>
          <w:sz w:val="28"/>
          <w:szCs w:val="28"/>
          <w:highlight w:val="none"/>
          <w:lang w:val="en-US" w:eastAsia="zh-CN"/>
        </w:rPr>
        <w:t>0</w:t>
      </w:r>
      <w:r>
        <w:rPr>
          <w:rFonts w:ascii="Times New Roman Regular" w:hAnsi="Times New Roman Regular" w:cs="Times New Roman Regular"/>
          <w:color w:val="auto"/>
          <w:sz w:val="28"/>
          <w:szCs w:val="28"/>
          <w:highlight w:val="none"/>
        </w:rPr>
        <w:t>项的检查，全部符合要求。检查结果表明，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（玻璃用石英岩）露天开采建设项目露天采场单元符合设计要求，满足安全生产条件。</w:t>
      </w:r>
    </w:p>
    <w:p w14:paraId="49FBD895">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02" w:name="_Toc29346"/>
      <w:bookmarkStart w:id="103" w:name="_Toc2096308229"/>
      <w:r>
        <w:rPr>
          <w:rFonts w:ascii="Times New Roman Regular" w:hAnsi="Times New Roman Regular" w:eastAsia="黑体" w:cs="Times New Roman Regular"/>
          <w:color w:val="auto"/>
          <w:sz w:val="30"/>
          <w:highlight w:val="none"/>
        </w:rPr>
        <w:t>3.3矿岩运输系统</w:t>
      </w:r>
      <w:bookmarkEnd w:id="102"/>
      <w:bookmarkEnd w:id="103"/>
    </w:p>
    <w:p w14:paraId="5DB0ABE3">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对矿岩运输系统单元采用安全检查表法进行评价，结合安全设施设计、相关法律法规，并通过现场检查，矿岩运输单元安全检查表详见表3.3-1。</w:t>
      </w:r>
    </w:p>
    <w:p w14:paraId="5DBF028C">
      <w:pPr>
        <w:rPr>
          <w:rFonts w:hint="eastAsia" w:ascii="黑体" w:hAnsi="黑体" w:eastAsia="黑体" w:cs="黑体"/>
          <w:bCs/>
          <w:color w:val="auto"/>
          <w:sz w:val="24"/>
          <w:highlight w:val="none"/>
          <w:lang w:val="zh-CN"/>
        </w:rPr>
      </w:pPr>
      <w:r>
        <w:rPr>
          <w:rFonts w:hint="eastAsia" w:ascii="黑体" w:hAnsi="黑体" w:eastAsia="黑体" w:cs="黑体"/>
          <w:bCs/>
          <w:color w:val="auto"/>
          <w:sz w:val="24"/>
          <w:highlight w:val="none"/>
          <w:lang w:val="zh-CN"/>
        </w:rPr>
        <w:br w:type="page"/>
      </w:r>
    </w:p>
    <w:p w14:paraId="03D1A1F5">
      <w:pPr>
        <w:adjustRightInd w:val="0"/>
        <w:snapToGrid w:val="0"/>
        <w:spacing w:line="400" w:lineRule="exact"/>
        <w:jc w:val="center"/>
        <w:rPr>
          <w:rFonts w:hint="eastAsia" w:ascii="黑体" w:hAnsi="黑体" w:eastAsia="黑体" w:cs="黑体"/>
          <w:bCs/>
          <w:color w:val="auto"/>
          <w:sz w:val="24"/>
          <w:highlight w:val="none"/>
          <w:lang w:val="zh-CN"/>
        </w:rPr>
      </w:pPr>
      <w:r>
        <w:rPr>
          <w:rFonts w:hint="eastAsia" w:ascii="黑体" w:hAnsi="黑体" w:eastAsia="黑体" w:cs="黑体"/>
          <w:bCs/>
          <w:color w:val="auto"/>
          <w:sz w:val="24"/>
          <w:highlight w:val="none"/>
          <w:lang w:val="zh-CN"/>
        </w:rPr>
        <w:t>表3.3-1 矿岩运输单元安全检查表</w:t>
      </w:r>
    </w:p>
    <w:tbl>
      <w:tblPr>
        <w:tblStyle w:val="14"/>
        <w:tblW w:w="5000" w:type="pct"/>
        <w:jc w:val="center"/>
        <w:tblLayout w:type="fixed"/>
        <w:tblCellMar>
          <w:top w:w="0" w:type="dxa"/>
          <w:left w:w="108" w:type="dxa"/>
          <w:bottom w:w="0" w:type="dxa"/>
          <w:right w:w="108" w:type="dxa"/>
        </w:tblCellMar>
      </w:tblPr>
      <w:tblGrid>
        <w:gridCol w:w="766"/>
        <w:gridCol w:w="2358"/>
        <w:gridCol w:w="2104"/>
        <w:gridCol w:w="2624"/>
        <w:gridCol w:w="670"/>
      </w:tblGrid>
      <w:tr w14:paraId="260F4F6C">
        <w:trPr>
          <w:trHeight w:val="510" w:hRule="atLeast"/>
          <w:tblHeader/>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1C3EF977">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序号</w:t>
            </w:r>
          </w:p>
        </w:tc>
        <w:tc>
          <w:tcPr>
            <w:tcW w:w="2358" w:type="dxa"/>
            <w:tcBorders>
              <w:top w:val="single" w:color="000000" w:sz="4" w:space="0"/>
              <w:left w:val="single" w:color="000000" w:sz="4" w:space="0"/>
              <w:bottom w:val="single" w:color="000000" w:sz="4" w:space="0"/>
              <w:right w:val="single" w:color="000000" w:sz="4" w:space="0"/>
            </w:tcBorders>
            <w:vAlign w:val="center"/>
          </w:tcPr>
          <w:p w14:paraId="36F50C51">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检查内容</w:t>
            </w:r>
          </w:p>
        </w:tc>
        <w:tc>
          <w:tcPr>
            <w:tcW w:w="2104" w:type="dxa"/>
            <w:tcBorders>
              <w:top w:val="single" w:color="000000" w:sz="4" w:space="0"/>
              <w:left w:val="single" w:color="000000" w:sz="4" w:space="0"/>
              <w:bottom w:val="single" w:color="000000" w:sz="4" w:space="0"/>
              <w:right w:val="single" w:color="000000" w:sz="4" w:space="0"/>
            </w:tcBorders>
            <w:vAlign w:val="center"/>
          </w:tcPr>
          <w:p w14:paraId="71E66134">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检查依据</w:t>
            </w:r>
          </w:p>
        </w:tc>
        <w:tc>
          <w:tcPr>
            <w:tcW w:w="2624" w:type="dxa"/>
            <w:tcBorders>
              <w:top w:val="single" w:color="000000" w:sz="4" w:space="0"/>
              <w:left w:val="single" w:color="000000" w:sz="4" w:space="0"/>
              <w:bottom w:val="single" w:color="000000" w:sz="4" w:space="0"/>
              <w:right w:val="single" w:color="000000" w:sz="4" w:space="0"/>
            </w:tcBorders>
            <w:vAlign w:val="center"/>
          </w:tcPr>
          <w:p w14:paraId="2E2C09AB">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事实记录</w:t>
            </w:r>
          </w:p>
        </w:tc>
        <w:tc>
          <w:tcPr>
            <w:tcW w:w="670" w:type="dxa"/>
            <w:tcBorders>
              <w:top w:val="single" w:color="000000" w:sz="4" w:space="0"/>
              <w:left w:val="single" w:color="000000" w:sz="4" w:space="0"/>
              <w:bottom w:val="single" w:color="000000" w:sz="4" w:space="0"/>
              <w:right w:val="single" w:color="000000" w:sz="4" w:space="0"/>
            </w:tcBorders>
            <w:vAlign w:val="center"/>
          </w:tcPr>
          <w:p w14:paraId="6A7BAFAC">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结论</w:t>
            </w:r>
          </w:p>
        </w:tc>
      </w:tr>
      <w:tr w14:paraId="568CB503">
        <w:trPr>
          <w:trHeight w:val="944"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3466B854">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vAlign w:val="center"/>
          </w:tcPr>
          <w:p w14:paraId="63BA3D0A">
            <w:pPr>
              <w:ind w:right="-88" w:rightChars="-42"/>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设计采用公路开拓汽车运输方案</w:t>
            </w:r>
            <w:r>
              <w:rPr>
                <w:rFonts w:hint="eastAsia" w:ascii="Times New Roman Regular" w:hAnsi="Times New Roman Regular" w:cs="Times New Roman Regular"/>
                <w:color w:val="auto"/>
                <w:highlight w:val="none"/>
              </w:rPr>
              <w:t>。</w:t>
            </w:r>
          </w:p>
        </w:tc>
        <w:tc>
          <w:tcPr>
            <w:tcW w:w="2104" w:type="dxa"/>
            <w:tcBorders>
              <w:top w:val="single" w:color="000000" w:sz="4" w:space="0"/>
              <w:left w:val="single" w:color="000000" w:sz="4" w:space="0"/>
              <w:bottom w:val="single" w:color="000000" w:sz="4" w:space="0"/>
              <w:right w:val="single" w:color="000000" w:sz="4" w:space="0"/>
            </w:tcBorders>
            <w:vAlign w:val="center"/>
          </w:tcPr>
          <w:p w14:paraId="7AC49041">
            <w:pPr>
              <w:ind w:right="-88" w:rightChars="-42"/>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vAlign w:val="center"/>
          </w:tcPr>
          <w:p w14:paraId="61DF15D5">
            <w:pPr>
              <w:snapToGrid w:val="0"/>
              <w:rPr>
                <w:rFonts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46556EE9">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符合要求</w:t>
            </w:r>
          </w:p>
        </w:tc>
      </w:tr>
      <w:tr w14:paraId="10973315">
        <w:trPr>
          <w:trHeight w:val="944"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6F092228">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vAlign w:val="center"/>
          </w:tcPr>
          <w:p w14:paraId="4C705237">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设计矿区内运输道路为三级道路</w:t>
            </w:r>
            <w:r>
              <w:rPr>
                <w:rFonts w:hint="eastAsia" w:ascii="Times New Roman Regular" w:hAnsi="Times New Roman Regular" w:cs="Times New Roman Regular"/>
                <w:color w:val="auto"/>
                <w:szCs w:val="18"/>
                <w:highlight w:val="none"/>
              </w:rPr>
              <w:t>。</w:t>
            </w:r>
          </w:p>
        </w:tc>
        <w:tc>
          <w:tcPr>
            <w:tcW w:w="2104" w:type="dxa"/>
            <w:tcBorders>
              <w:top w:val="single" w:color="000000" w:sz="4" w:space="0"/>
              <w:left w:val="single" w:color="000000" w:sz="4" w:space="0"/>
              <w:bottom w:val="single" w:color="000000" w:sz="4" w:space="0"/>
              <w:right w:val="single" w:color="000000" w:sz="4" w:space="0"/>
            </w:tcBorders>
            <w:vAlign w:val="center"/>
          </w:tcPr>
          <w:p w14:paraId="0C0EE139">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vAlign w:val="center"/>
          </w:tcPr>
          <w:p w14:paraId="31E307FF">
            <w:pPr>
              <w:snapToGrid w:val="0"/>
              <w:rPr>
                <w:rFonts w:ascii="Times New Roman Regular" w:hAnsi="Times New Roman Regular" w:cs="Times New Roman Regular"/>
                <w:color w:val="auto"/>
                <w:szCs w:val="21"/>
                <w:highlight w:val="none"/>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6DB695A1">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1DD6B0A1">
        <w:trPr>
          <w:trHeight w:val="944"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138F6E32">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vAlign w:val="center"/>
          </w:tcPr>
          <w:p w14:paraId="0083252C">
            <w:pPr>
              <w:ind w:right="-88" w:rightChars="-42"/>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设计路面为双车道的方式布设</w:t>
            </w:r>
            <w:r>
              <w:rPr>
                <w:rFonts w:hint="eastAsia" w:ascii="Times New Roman Regular" w:hAnsi="Times New Roman Regular" w:cs="Times New Roman Regular"/>
                <w:color w:val="auto"/>
                <w:szCs w:val="18"/>
                <w:highlight w:val="none"/>
              </w:rPr>
              <w:t>。</w:t>
            </w:r>
          </w:p>
        </w:tc>
        <w:tc>
          <w:tcPr>
            <w:tcW w:w="2104" w:type="dxa"/>
            <w:tcBorders>
              <w:top w:val="single" w:color="000000" w:sz="4" w:space="0"/>
              <w:left w:val="single" w:color="000000" w:sz="4" w:space="0"/>
              <w:bottom w:val="single" w:color="000000" w:sz="4" w:space="0"/>
              <w:right w:val="single" w:color="000000" w:sz="4" w:space="0"/>
            </w:tcBorders>
            <w:vAlign w:val="center"/>
          </w:tcPr>
          <w:p w14:paraId="4235B485">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vAlign w:val="center"/>
          </w:tcPr>
          <w:p w14:paraId="215B1A40">
            <w:pPr>
              <w:snapToGrid w:val="0"/>
              <w:rPr>
                <w:rFonts w:ascii="Times New Roman Regular" w:hAnsi="Times New Roman Regular" w:cs="Times New Roman Regular"/>
                <w:color w:val="auto"/>
                <w:szCs w:val="21"/>
                <w:highlight w:val="none"/>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3F0AD694">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252F1923">
        <w:trPr>
          <w:trHeight w:val="944"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5042C131">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5130">
            <w:pPr>
              <w:ind w:right="-88" w:rightChars="-42"/>
              <w:rPr>
                <w:rFonts w:ascii="Times New Roman Regular" w:hAnsi="Times New Roman Regular" w:cs="Times New Roman Regular"/>
                <w:color w:val="auto"/>
                <w:highlight w:val="none"/>
              </w:rPr>
            </w:pPr>
            <w:r>
              <w:rPr>
                <w:rFonts w:ascii="Times New Roman Regular" w:hAnsi="Times New Roman Regular" w:cs="Times New Roman Regular"/>
                <w:color w:val="auto"/>
                <w:szCs w:val="18"/>
                <w:highlight w:val="none"/>
              </w:rPr>
              <w:t>设计运输道路路面宽度8m。</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76DA">
            <w:pPr>
              <w:ind w:right="-88" w:rightChars="-42"/>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16FEC">
            <w:pPr>
              <w:snapToGrid w:val="0"/>
              <w:rPr>
                <w:rFonts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8BB3">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符合要求</w:t>
            </w:r>
          </w:p>
        </w:tc>
      </w:tr>
      <w:tr w14:paraId="21250A50">
        <w:trPr>
          <w:trHeight w:val="778"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1AE415A8">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7B83">
            <w:pPr>
              <w:snapToGrid w:val="0"/>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设计运输道路最小曲线半径为15m</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343F">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1EB1">
            <w:pPr>
              <w:snapToGrid w:val="0"/>
              <w:rPr>
                <w:rFonts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42EA">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17A1FEAB">
        <w:trPr>
          <w:trHeight w:val="849"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250969D8">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4195">
            <w:pPr>
              <w:snapToGrid w:val="0"/>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设计选用</w:t>
            </w:r>
            <w:r>
              <w:rPr>
                <w:rFonts w:hint="eastAsia" w:ascii="Times New Roman Regular" w:hAnsi="Times New Roman Regular" w:cs="Times New Roman Regular"/>
                <w:color w:val="auto"/>
                <w:szCs w:val="18"/>
                <w:highlight w:val="none"/>
              </w:rPr>
              <w:t>40t</w:t>
            </w:r>
            <w:r>
              <w:rPr>
                <w:rFonts w:ascii="Times New Roman Regular" w:hAnsi="Times New Roman Regular" w:cs="Times New Roman Regular"/>
                <w:color w:val="auto"/>
                <w:szCs w:val="18"/>
                <w:highlight w:val="none"/>
              </w:rPr>
              <w:t>矿用自卸汽车用于运输矿岩。</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E13A">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175B">
            <w:pPr>
              <w:snapToGrid w:val="0"/>
              <w:rPr>
                <w:rFonts w:hint="default" w:ascii="Times New Roman Regular" w:hAnsi="Times New Roman Regular" w:eastAsia="宋体" w:cs="Times New Roman Regular"/>
                <w:color w:val="auto"/>
                <w:highlight w:val="none"/>
                <w:lang w:val="en-US" w:eastAsia="zh-CN"/>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DB1F">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1CF83562">
        <w:trPr>
          <w:trHeight w:val="2103"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3CB3A7C2">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9BCF">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运输道路的高陡路基路段，或者弯道、坡度较大的填方地段，远离山体一侧应设置高度不小于车轮轮胎直径1/2的护栏、挡车墙等安全设施及醒目的警示标志。</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4857">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16423-2020）第5.4.2.4条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F9EA">
            <w:pPr>
              <w:snapToGrid w:val="0"/>
              <w:rPr>
                <w:rFonts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4459">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6EAE8F8">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56CED728">
        <w:trPr>
          <w:trHeight w:val="1266"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7924A86C">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E1D71">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不应用自卸汽车运载易燃、易爆物品。</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223C">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16423-2020）第5.4.2.1条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3BC0">
            <w:pPr>
              <w:snapToGrid w:val="0"/>
              <w:rPr>
                <w:rFonts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31A6E">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6D89B417">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4F32EF8C">
        <w:trPr>
          <w:trHeight w:val="1407"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5820FCA9">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C527">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车辆通过道口之前，驾驶员应减速瞭望，确认安全方可通过。</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0FE8">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16423-2020）第5.4.2.6条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0D99">
            <w:pPr>
              <w:snapToGrid w:val="0"/>
              <w:rPr>
                <w:rFonts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8A04">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41B1706D">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3E3D2BEF">
        <w:trPr>
          <w:trHeight w:val="1317"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701CA18D">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9A4F">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装车时，不应检查、维护车辆；驾驶员不应离开驾驶室，不应将头和手臂伸出驾驶室外。</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27462">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16423-2020）第5.4.2.2条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A977">
            <w:pPr>
              <w:snapToGrid w:val="0"/>
              <w:rPr>
                <w:rFonts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4094">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70F33B77">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7A8F29A7">
        <w:trPr>
          <w:trHeight w:val="1333"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4BCB3249">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F8C7">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在坡道上停车时，司机不应离开；应使用停车制动，并采取安全措施。</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D776">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16423-2020）第5.4.2.2条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EBCA8">
            <w:pPr>
              <w:snapToGrid w:val="0"/>
              <w:rPr>
                <w:rFonts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85D5D">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51927494">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05527004">
        <w:trPr>
          <w:trHeight w:val="1412"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613DEE57">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776B">
            <w:pPr>
              <w:adjustRightInd w:val="0"/>
              <w:snapToGrid w:val="0"/>
              <w:rPr>
                <w:rFonts w:ascii="Times New Roman Regular" w:hAnsi="Times New Roman Regular" w:cs="Times New Roman Regular"/>
                <w:color w:val="auto"/>
                <w:szCs w:val="18"/>
                <w:highlight w:val="none"/>
              </w:rPr>
            </w:pPr>
            <w:r>
              <w:rPr>
                <w:rFonts w:ascii="Times New Roman Regular" w:hAnsi="Times New Roman Regular" w:cs="Times New Roman Regular"/>
                <w:bCs/>
                <w:color w:val="auto"/>
                <w:szCs w:val="21"/>
                <w:highlight w:val="none"/>
              </w:rPr>
              <w:t>雾霾或烟尘影响能见度时，应开启警示灯，靠右侧减速行驶，前后车间距应不小于30m，视距不足30m时，应靠右停车。</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085A">
            <w:pPr>
              <w:adjustRightInd w:val="0"/>
              <w:snapToGrid w:val="0"/>
              <w:ind w:right="73" w:rightChars="35"/>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16423-2020）第5.4.2.9条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65A5">
            <w:pPr>
              <w:rPr>
                <w:rFonts w:ascii="Times New Roman Regular" w:hAnsi="Times New Roman Regular" w:cs="Times New Roman Regular"/>
                <w:color w:val="auto"/>
                <w:szCs w:val="18"/>
                <w:highlight w:val="none"/>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1BE45C03">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2AA963D">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6C805D4F">
        <w:trPr>
          <w:trHeight w:val="1263"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469FF25D">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1BA5F">
            <w:pPr>
              <w:adjustRightInd w:val="0"/>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color w:val="auto"/>
                <w:highlight w:val="none"/>
              </w:rPr>
              <w:t>汽车运行应遵守，运行时不升降车斗。</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78729">
            <w:pPr>
              <w:adjustRightInd w:val="0"/>
              <w:snapToGrid w:val="0"/>
              <w:ind w:right="73" w:rightChars="35"/>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16423-2020）第5.4.2.6条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EFAA">
            <w:pPr>
              <w:adjustRightInd w:val="0"/>
              <w:snapToGrid w:val="0"/>
              <w:rPr>
                <w:rFonts w:ascii="Times New Roman Regular" w:hAnsi="Times New Roman Regular" w:cs="Times New Roman Regular"/>
                <w:bCs/>
                <w:color w:val="auto"/>
                <w:szCs w:val="21"/>
                <w:highlight w:val="none"/>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65DEFB78">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366219B1">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2808BB4C">
        <w:trPr>
          <w:trHeight w:val="1481"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1388A0E1">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090E8">
            <w:pPr>
              <w:adjustRightInd w:val="0"/>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color w:val="auto"/>
                <w:highlight w:val="none"/>
              </w:rPr>
              <w:t>汽车运行应遵守，</w:t>
            </w:r>
            <w:r>
              <w:rPr>
                <w:rFonts w:ascii="Times New Roman Regular" w:hAnsi="Times New Roman Regular" w:cs="Times New Roman Regular"/>
                <w:bCs/>
                <w:color w:val="auto"/>
                <w:szCs w:val="21"/>
                <w:highlight w:val="none"/>
              </w:rPr>
              <w:t>不采用溜车方式发动车辆。</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04D2">
            <w:pPr>
              <w:adjustRightInd w:val="0"/>
              <w:snapToGrid w:val="0"/>
              <w:ind w:right="73" w:rightChars="35"/>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16423-2020）第5.4.2.6条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E5E6">
            <w:pPr>
              <w:adjustRightInd w:val="0"/>
              <w:snapToGrid w:val="0"/>
              <w:rPr>
                <w:rFonts w:ascii="Times New Roman Regular" w:hAnsi="Times New Roman Regular" w:cs="Times New Roman Regular"/>
                <w:bCs/>
                <w:color w:val="auto"/>
                <w:szCs w:val="21"/>
                <w:highlight w:val="none"/>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79C57AE6">
            <w:pPr>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r w14:paraId="5D6D0E7D">
        <w:trPr>
          <w:trHeight w:val="1255" w:hRule="atLeast"/>
          <w:jc w:val="center"/>
        </w:trPr>
        <w:tc>
          <w:tcPr>
            <w:tcW w:w="766" w:type="dxa"/>
            <w:tcBorders>
              <w:top w:val="single" w:color="000000" w:sz="4" w:space="0"/>
              <w:left w:val="single" w:color="000000" w:sz="4" w:space="0"/>
              <w:bottom w:val="single" w:color="000000" w:sz="4" w:space="0"/>
              <w:right w:val="single" w:color="000000" w:sz="4" w:space="0"/>
            </w:tcBorders>
            <w:vAlign w:val="center"/>
          </w:tcPr>
          <w:p w14:paraId="72062241">
            <w:pPr>
              <w:numPr>
                <w:ilvl w:val="0"/>
                <w:numId w:val="5"/>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1B09">
            <w:pPr>
              <w:adjustRightInd w:val="0"/>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主要运输道路的急弯、陡坡、危险地段应设置警示标志。</w:t>
            </w:r>
          </w:p>
        </w:tc>
        <w:tc>
          <w:tcPr>
            <w:tcW w:w="2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1930">
            <w:pP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highlight w:val="none"/>
              </w:rPr>
              <w:t>《金属非金属矿山安全规程》（GB 16423-2020）</w:t>
            </w:r>
            <w:r>
              <w:rPr>
                <w:rFonts w:ascii="Times New Roman Regular" w:hAnsi="Times New Roman Regular" w:cs="Times New Roman Regular"/>
                <w:color w:val="auto"/>
                <w:szCs w:val="21"/>
                <w:highlight w:val="none"/>
              </w:rPr>
              <w:t>第</w:t>
            </w:r>
            <w:r>
              <w:rPr>
                <w:rFonts w:ascii="Times New Roman Regular" w:hAnsi="Times New Roman Regular" w:cs="Times New Roman Regular"/>
                <w:color w:val="auto"/>
                <w:highlight w:val="none"/>
              </w:rPr>
              <w:t>5.4.2.3条</w:t>
            </w:r>
          </w:p>
        </w:tc>
        <w:tc>
          <w:tcPr>
            <w:tcW w:w="2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A1617">
            <w:pPr>
              <w:rPr>
                <w:rFonts w:ascii="Times New Roman Regular" w:hAnsi="Times New Roman Regular" w:cs="Times New Roman Regular"/>
                <w:bCs/>
                <w:color w:val="auto"/>
                <w:szCs w:val="21"/>
                <w:highlight w:val="none"/>
              </w:rPr>
            </w:pPr>
          </w:p>
        </w:tc>
        <w:tc>
          <w:tcPr>
            <w:tcW w:w="670" w:type="dxa"/>
            <w:tcBorders>
              <w:top w:val="single" w:color="000000" w:sz="4" w:space="0"/>
              <w:left w:val="single" w:color="000000" w:sz="4" w:space="0"/>
              <w:bottom w:val="single" w:color="000000" w:sz="4" w:space="0"/>
              <w:right w:val="single" w:color="000000" w:sz="4" w:space="0"/>
            </w:tcBorders>
            <w:vAlign w:val="center"/>
          </w:tcPr>
          <w:p w14:paraId="1A3E270E">
            <w:pPr>
              <w:jc w:val="center"/>
              <w:rPr>
                <w:rFonts w:ascii="Times New Roman Regular" w:hAnsi="Times New Roman Regular" w:cs="Times New Roman Regular"/>
                <w:color w:val="auto"/>
                <w:szCs w:val="18"/>
                <w:highlight w:val="none"/>
              </w:rPr>
            </w:pPr>
            <w:r>
              <w:rPr>
                <w:rFonts w:ascii="Times New Roman Regular" w:hAnsi="Times New Roman Regular" w:cs="Times New Roman Regular"/>
                <w:color w:val="auto"/>
                <w:szCs w:val="18"/>
                <w:highlight w:val="none"/>
              </w:rPr>
              <w:t>符合要求</w:t>
            </w:r>
          </w:p>
        </w:tc>
      </w:tr>
    </w:tbl>
    <w:p w14:paraId="3BD1B969">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77C2CF7A">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对该矿山矿岩运输单元进行了1</w:t>
      </w:r>
      <w:r>
        <w:rPr>
          <w:rFonts w:hint="eastAsia" w:ascii="Times New Roman Regular" w:hAnsi="Times New Roman Regular" w:cs="Times New Roman Regular"/>
          <w:color w:val="auto"/>
          <w:sz w:val="28"/>
          <w:szCs w:val="28"/>
          <w:highlight w:val="none"/>
        </w:rPr>
        <w:t>5</w:t>
      </w:r>
      <w:r>
        <w:rPr>
          <w:rFonts w:ascii="Times New Roman Regular" w:hAnsi="Times New Roman Regular" w:cs="Times New Roman Regular"/>
          <w:color w:val="auto"/>
          <w:sz w:val="28"/>
          <w:szCs w:val="28"/>
          <w:highlight w:val="none"/>
        </w:rPr>
        <w:t>项检查，全部符合要求。检查结果表明，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（玻璃用石英岩）露天开采建设项目矿岩运输单元符合设计要求，满足安全生产条件。</w:t>
      </w:r>
    </w:p>
    <w:p w14:paraId="079E6F77">
      <w:pPr>
        <w:pStyle w:val="4"/>
        <w:numPr>
          <w:ilvl w:val="0"/>
          <w:numId w:val="0"/>
        </w:numPr>
        <w:adjustRightInd w:val="0"/>
        <w:snapToGrid w:val="0"/>
        <w:spacing w:before="156" w:beforeLines="50" w:after="156" w:afterLines="50" w:line="336" w:lineRule="auto"/>
        <w:rPr>
          <w:rFonts w:ascii="Times New Roman Regular" w:hAnsi="Times New Roman Regular" w:eastAsia="黑体" w:cs="Times New Roman Regular"/>
          <w:color w:val="auto"/>
          <w:sz w:val="30"/>
          <w:highlight w:val="none"/>
        </w:rPr>
      </w:pPr>
      <w:bookmarkStart w:id="104" w:name="_Toc32022"/>
      <w:bookmarkStart w:id="105" w:name="_Toc25669"/>
      <w:bookmarkStart w:id="106" w:name="_Toc28493"/>
      <w:bookmarkStart w:id="107" w:name="_Toc86052392"/>
      <w:bookmarkStart w:id="108" w:name="_Toc1035692121"/>
      <w:r>
        <w:rPr>
          <w:rFonts w:ascii="Times New Roman Regular" w:hAnsi="Times New Roman Regular" w:eastAsia="黑体" w:cs="Times New Roman Regular"/>
          <w:color w:val="auto"/>
          <w:sz w:val="30"/>
          <w:highlight w:val="none"/>
        </w:rPr>
        <w:t>3.4采场防排水系统</w:t>
      </w:r>
      <w:bookmarkEnd w:id="104"/>
      <w:bookmarkEnd w:id="105"/>
      <w:bookmarkEnd w:id="106"/>
      <w:bookmarkEnd w:id="107"/>
      <w:bookmarkEnd w:id="108"/>
    </w:p>
    <w:p w14:paraId="6426CA52">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对采场防排水单元采用安全检查表法进行评价，检查结果详见下表3.4-1。</w:t>
      </w:r>
    </w:p>
    <w:p w14:paraId="3F2C9E6E">
      <w:pPr>
        <w:adjustRightInd w:val="0"/>
        <w:snapToGrid w:val="0"/>
        <w:spacing w:line="400" w:lineRule="exact"/>
        <w:jc w:val="center"/>
        <w:rPr>
          <w:rFonts w:hint="eastAsia" w:ascii="黑体" w:hAnsi="黑体" w:eastAsia="黑体" w:cs="黑体"/>
          <w:bCs/>
          <w:color w:val="auto"/>
          <w:sz w:val="24"/>
          <w:highlight w:val="none"/>
          <w:lang w:val="zh-CN"/>
        </w:rPr>
      </w:pPr>
    </w:p>
    <w:p w14:paraId="2DC6B85B">
      <w:pP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br w:type="page"/>
      </w:r>
    </w:p>
    <w:p w14:paraId="3B9B3F18">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表3.4-1 防排水单元安全检查表</w:t>
      </w:r>
    </w:p>
    <w:tbl>
      <w:tblPr>
        <w:tblStyle w:val="14"/>
        <w:tblW w:w="5008" w:type="pct"/>
        <w:tblInd w:w="-10" w:type="dxa"/>
        <w:tblLayout w:type="fixed"/>
        <w:tblCellMar>
          <w:top w:w="0" w:type="dxa"/>
          <w:left w:w="108" w:type="dxa"/>
          <w:bottom w:w="0" w:type="dxa"/>
          <w:right w:w="108" w:type="dxa"/>
        </w:tblCellMar>
      </w:tblPr>
      <w:tblGrid>
        <w:gridCol w:w="776"/>
        <w:gridCol w:w="2362"/>
        <w:gridCol w:w="2100"/>
        <w:gridCol w:w="2622"/>
        <w:gridCol w:w="676"/>
      </w:tblGrid>
      <w:tr w14:paraId="2DE0C5C3">
        <w:trPr>
          <w:cantSplit/>
          <w:trHeight w:val="645" w:hRule="atLeast"/>
          <w:tblHeader/>
        </w:trPr>
        <w:tc>
          <w:tcPr>
            <w:tcW w:w="776" w:type="dxa"/>
            <w:tcBorders>
              <w:top w:val="single" w:color="000000" w:sz="4" w:space="0"/>
              <w:left w:val="single" w:color="000000" w:sz="4" w:space="0"/>
              <w:bottom w:val="single" w:color="000000" w:sz="4" w:space="0"/>
              <w:right w:val="single" w:color="000000" w:sz="4" w:space="0"/>
            </w:tcBorders>
            <w:vAlign w:val="center"/>
          </w:tcPr>
          <w:p w14:paraId="4DD052D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序号</w:t>
            </w:r>
          </w:p>
        </w:tc>
        <w:tc>
          <w:tcPr>
            <w:tcW w:w="2362" w:type="dxa"/>
            <w:tcBorders>
              <w:top w:val="single" w:color="000000" w:sz="4" w:space="0"/>
              <w:left w:val="single" w:color="000000" w:sz="4" w:space="0"/>
              <w:bottom w:val="single" w:color="000000" w:sz="4" w:space="0"/>
              <w:right w:val="single" w:color="000000" w:sz="4" w:space="0"/>
            </w:tcBorders>
            <w:vAlign w:val="center"/>
          </w:tcPr>
          <w:p w14:paraId="4C07A54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检查内容</w:t>
            </w:r>
          </w:p>
        </w:tc>
        <w:tc>
          <w:tcPr>
            <w:tcW w:w="2100" w:type="dxa"/>
            <w:tcBorders>
              <w:top w:val="single" w:color="000000" w:sz="4" w:space="0"/>
              <w:left w:val="single" w:color="000000" w:sz="4" w:space="0"/>
              <w:bottom w:val="single" w:color="000000" w:sz="4" w:space="0"/>
              <w:right w:val="single" w:color="000000" w:sz="4" w:space="0"/>
            </w:tcBorders>
            <w:vAlign w:val="center"/>
          </w:tcPr>
          <w:p w14:paraId="5C5C691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检查依据</w:t>
            </w:r>
          </w:p>
        </w:tc>
        <w:tc>
          <w:tcPr>
            <w:tcW w:w="2622" w:type="dxa"/>
            <w:tcBorders>
              <w:top w:val="single" w:color="000000" w:sz="4" w:space="0"/>
              <w:left w:val="single" w:color="000000" w:sz="4" w:space="0"/>
              <w:bottom w:val="single" w:color="000000" w:sz="4" w:space="0"/>
              <w:right w:val="single" w:color="000000" w:sz="4" w:space="0"/>
            </w:tcBorders>
            <w:vAlign w:val="center"/>
          </w:tcPr>
          <w:p w14:paraId="60385818">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事实记录</w:t>
            </w:r>
          </w:p>
        </w:tc>
        <w:tc>
          <w:tcPr>
            <w:tcW w:w="676" w:type="dxa"/>
            <w:tcBorders>
              <w:top w:val="single" w:color="000000" w:sz="4" w:space="0"/>
              <w:left w:val="single" w:color="000000" w:sz="4" w:space="0"/>
              <w:bottom w:val="single" w:color="000000" w:sz="4" w:space="0"/>
              <w:right w:val="single" w:color="000000" w:sz="4" w:space="0"/>
            </w:tcBorders>
            <w:vAlign w:val="center"/>
          </w:tcPr>
          <w:p w14:paraId="6C986828">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结论</w:t>
            </w:r>
          </w:p>
        </w:tc>
      </w:tr>
      <w:tr w14:paraId="1B123724">
        <w:trPr>
          <w:cantSplit/>
          <w:trHeight w:val="1356"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230F8DCD">
            <w:pPr>
              <w:numPr>
                <w:ilvl w:val="0"/>
                <w:numId w:val="6"/>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C1A6">
            <w:pPr>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bCs/>
                <w:color w:val="auto"/>
                <w:szCs w:val="21"/>
                <w:highlight w:val="none"/>
              </w:rPr>
              <w:t>凹陷露天坑应设机械排水。</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BE6B">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16423-2020）第5.7.1.4条</w:t>
            </w: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E2CB">
            <w:pPr>
              <w:snapToGrid w:val="0"/>
              <w:jc w:val="center"/>
              <w:rPr>
                <w:rFonts w:ascii="Times New Roman Regular" w:hAnsi="Times New Roman Regular" w:cs="Times New Roman Regular"/>
                <w:color w:val="auto"/>
                <w:szCs w:val="21"/>
                <w:highlight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4A02">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8A9F469">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8000813">
        <w:trPr>
          <w:cantSplit/>
          <w:trHeight w:val="3634"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24DA0F23">
            <w:pPr>
              <w:numPr>
                <w:ilvl w:val="0"/>
                <w:numId w:val="6"/>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62" w:type="dxa"/>
            <w:tcBorders>
              <w:top w:val="single" w:color="000000" w:sz="4" w:space="0"/>
              <w:left w:val="single" w:color="000000" w:sz="4" w:space="0"/>
              <w:bottom w:val="single" w:color="000000" w:sz="4" w:space="0"/>
              <w:right w:val="single" w:color="000000" w:sz="4" w:space="0"/>
            </w:tcBorders>
            <w:vAlign w:val="center"/>
          </w:tcPr>
          <w:p w14:paraId="5C8367E3">
            <w:pP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设计水泵选型为150QJ20-98/15型水泵2台(其中1台工作，1台备用)，最大汇水时2台都开动。</w:t>
            </w:r>
          </w:p>
        </w:tc>
        <w:tc>
          <w:tcPr>
            <w:tcW w:w="2100" w:type="dxa"/>
            <w:tcBorders>
              <w:top w:val="single" w:color="000000" w:sz="4" w:space="0"/>
              <w:left w:val="single" w:color="000000" w:sz="4" w:space="0"/>
              <w:bottom w:val="single" w:color="000000" w:sz="4" w:space="0"/>
              <w:right w:val="single" w:color="000000" w:sz="4" w:space="0"/>
            </w:tcBorders>
            <w:vAlign w:val="center"/>
          </w:tcPr>
          <w:p w14:paraId="383555D1">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2" w:type="dxa"/>
            <w:tcBorders>
              <w:top w:val="single" w:color="000000" w:sz="4" w:space="0"/>
              <w:left w:val="single" w:color="000000" w:sz="4" w:space="0"/>
              <w:bottom w:val="single" w:color="000000" w:sz="4" w:space="0"/>
              <w:right w:val="single" w:color="000000" w:sz="4" w:space="0"/>
            </w:tcBorders>
            <w:vAlign w:val="center"/>
          </w:tcPr>
          <w:p w14:paraId="712A1168">
            <w:pPr>
              <w:spacing w:before="60" w:after="60"/>
              <w:rPr>
                <w:rFonts w:ascii="Times New Roman Regular" w:hAnsi="Times New Roman Regular" w:cs="Times New Roman Regular"/>
                <w:color w:val="auto"/>
                <w:szCs w:val="21"/>
                <w:highlight w:val="none"/>
              </w:rPr>
            </w:pPr>
          </w:p>
        </w:tc>
        <w:tc>
          <w:tcPr>
            <w:tcW w:w="676" w:type="dxa"/>
            <w:tcBorders>
              <w:top w:val="single" w:color="000000" w:sz="4" w:space="0"/>
              <w:left w:val="single" w:color="000000" w:sz="4" w:space="0"/>
              <w:bottom w:val="single" w:color="000000" w:sz="4" w:space="0"/>
              <w:right w:val="single" w:color="000000" w:sz="4" w:space="0"/>
            </w:tcBorders>
            <w:vAlign w:val="center"/>
          </w:tcPr>
          <w:p w14:paraId="75EAC4DB">
            <w:pPr>
              <w:ind w:left="4" w:hanging="31"/>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A8EEBFC">
            <w:pPr>
              <w:ind w:left="4" w:hanging="31"/>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2ADFCE9C">
        <w:trPr>
          <w:cantSplit/>
          <w:trHeight w:val="1161"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64429F76">
            <w:pPr>
              <w:numPr>
                <w:ilvl w:val="0"/>
                <w:numId w:val="6"/>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62" w:type="dxa"/>
            <w:tcBorders>
              <w:top w:val="single" w:color="000000" w:sz="4" w:space="0"/>
              <w:left w:val="single" w:color="000000" w:sz="4" w:space="0"/>
              <w:bottom w:val="single" w:color="000000" w:sz="4" w:space="0"/>
              <w:right w:val="single" w:color="000000" w:sz="4" w:space="0"/>
            </w:tcBorders>
            <w:vAlign w:val="center"/>
          </w:tcPr>
          <w:p w14:paraId="6AEC548C">
            <w:pP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设计在露天坑底部设置集水坑</w:t>
            </w:r>
            <w:r>
              <w:rPr>
                <w:rFonts w:hint="eastAsia" w:ascii="Times New Roman Regular" w:hAnsi="Times New Roman Regular" w:cs="Times New Roman Regular"/>
                <w:color w:val="auto"/>
                <w:szCs w:val="21"/>
                <w:highlight w:val="none"/>
              </w:rPr>
              <w:t>，容积为20m</w:t>
            </w:r>
            <w:r>
              <w:rPr>
                <w:rFonts w:hint="eastAsia" w:ascii="Times New Roman Regular" w:hAnsi="Times New Roman Regular" w:cs="Times New Roman Regular"/>
                <w:color w:val="auto"/>
                <w:szCs w:val="21"/>
                <w:highlight w:val="none"/>
                <w:vertAlign w:val="superscript"/>
              </w:rPr>
              <w:t>3</w:t>
            </w:r>
            <w:r>
              <w:rPr>
                <w:rFonts w:ascii="Times New Roman Regular" w:hAnsi="Times New Roman Regular" w:cs="Times New Roman Regular"/>
                <w:color w:val="auto"/>
                <w:szCs w:val="21"/>
                <w:highlight w:val="none"/>
              </w:rPr>
              <w:t>。</w:t>
            </w:r>
          </w:p>
        </w:tc>
        <w:tc>
          <w:tcPr>
            <w:tcW w:w="2100" w:type="dxa"/>
            <w:tcBorders>
              <w:top w:val="single" w:color="000000" w:sz="4" w:space="0"/>
              <w:left w:val="single" w:color="000000" w:sz="4" w:space="0"/>
              <w:bottom w:val="single" w:color="000000" w:sz="4" w:space="0"/>
              <w:right w:val="single" w:color="000000" w:sz="4" w:space="0"/>
            </w:tcBorders>
            <w:vAlign w:val="center"/>
          </w:tcPr>
          <w:p w14:paraId="0774612B">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22" w:type="dxa"/>
            <w:tcBorders>
              <w:top w:val="single" w:color="000000" w:sz="4" w:space="0"/>
              <w:left w:val="single" w:color="000000" w:sz="4" w:space="0"/>
              <w:bottom w:val="single" w:color="000000" w:sz="4" w:space="0"/>
              <w:right w:val="single" w:color="000000" w:sz="4" w:space="0"/>
            </w:tcBorders>
            <w:vAlign w:val="center"/>
          </w:tcPr>
          <w:p w14:paraId="16C06E17">
            <w:pPr>
              <w:spacing w:before="60" w:after="60"/>
              <w:rPr>
                <w:rFonts w:ascii="Times New Roman Regular" w:hAnsi="Times New Roman Regular" w:cs="Times New Roman Regular"/>
                <w:color w:val="auto"/>
                <w:szCs w:val="21"/>
                <w:highlight w:val="none"/>
              </w:rPr>
            </w:pPr>
          </w:p>
        </w:tc>
        <w:tc>
          <w:tcPr>
            <w:tcW w:w="676" w:type="dxa"/>
            <w:tcBorders>
              <w:top w:val="single" w:color="000000" w:sz="4" w:space="0"/>
              <w:left w:val="single" w:color="000000" w:sz="4" w:space="0"/>
              <w:bottom w:val="single" w:color="000000" w:sz="4" w:space="0"/>
              <w:right w:val="single" w:color="000000" w:sz="4" w:space="0"/>
            </w:tcBorders>
            <w:vAlign w:val="center"/>
          </w:tcPr>
          <w:p w14:paraId="6F4C160F">
            <w:pPr>
              <w:ind w:left="4" w:hanging="31"/>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4F73602">
            <w:pPr>
              <w:ind w:left="4" w:hanging="31"/>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37A88FFF">
        <w:trPr>
          <w:cantSplit/>
          <w:trHeight w:val="1335" w:hRule="atLeast"/>
        </w:trPr>
        <w:tc>
          <w:tcPr>
            <w:tcW w:w="776" w:type="dxa"/>
            <w:tcBorders>
              <w:top w:val="single" w:color="000000" w:sz="4" w:space="0"/>
              <w:left w:val="single" w:color="000000" w:sz="4" w:space="0"/>
              <w:bottom w:val="single" w:color="000000" w:sz="4" w:space="0"/>
              <w:right w:val="single" w:color="000000" w:sz="4" w:space="0"/>
            </w:tcBorders>
            <w:vAlign w:val="center"/>
          </w:tcPr>
          <w:p w14:paraId="6705EF04">
            <w:pPr>
              <w:numPr>
                <w:ilvl w:val="0"/>
                <w:numId w:val="6"/>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5D11">
            <w:pPr>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bCs/>
                <w:color w:val="auto"/>
                <w:szCs w:val="21"/>
                <w:highlight w:val="none"/>
              </w:rPr>
              <w:t>矿石、废石和其他堆积物不应堵塞山洪通道，不应淤塞沟渠和河道。</w:t>
            </w:r>
          </w:p>
        </w:tc>
        <w:tc>
          <w:tcPr>
            <w:tcW w:w="2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559B">
            <w:pPr>
              <w:snapToGrid w:val="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 16423-2020）第</w:t>
            </w:r>
            <w:r>
              <w:rPr>
                <w:rFonts w:ascii="Times New Roman Regular" w:hAnsi="Times New Roman Regular" w:cs="Times New Roman Regular"/>
                <w:bCs/>
                <w:color w:val="auto"/>
                <w:szCs w:val="21"/>
                <w:highlight w:val="none"/>
              </w:rPr>
              <w:t>6.8.2.6</w:t>
            </w:r>
            <w:r>
              <w:rPr>
                <w:rFonts w:ascii="Times New Roman Regular" w:hAnsi="Times New Roman Regular" w:cs="Times New Roman Regular"/>
                <w:color w:val="auto"/>
                <w:szCs w:val="21"/>
                <w:highlight w:val="none"/>
              </w:rPr>
              <w:t>条</w:t>
            </w:r>
          </w:p>
        </w:tc>
        <w:tc>
          <w:tcPr>
            <w:tcW w:w="26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DB86">
            <w:pPr>
              <w:snapToGrid w:val="0"/>
              <w:rPr>
                <w:rFonts w:ascii="Times New Roman Regular" w:hAnsi="Times New Roman Regular" w:cs="Times New Roman Regular"/>
                <w:color w:val="auto"/>
                <w:szCs w:val="21"/>
                <w:highlight w:val="none"/>
              </w:rPr>
            </w:pPr>
          </w:p>
        </w:tc>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70B5">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3949F1A">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58A90486">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671F6F2E">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对该矿山采场防排水单元进行了</w:t>
      </w:r>
      <w:r>
        <w:rPr>
          <w:rFonts w:hint="eastAsia" w:ascii="Times New Roman Regular" w:hAnsi="Times New Roman Regular" w:cs="Times New Roman Regular"/>
          <w:color w:val="auto"/>
          <w:sz w:val="28"/>
          <w:szCs w:val="28"/>
          <w:highlight w:val="none"/>
        </w:rPr>
        <w:t>4</w:t>
      </w:r>
      <w:r>
        <w:rPr>
          <w:rFonts w:ascii="Times New Roman Regular" w:hAnsi="Times New Roman Regular" w:cs="Times New Roman Regular"/>
          <w:color w:val="auto"/>
          <w:sz w:val="28"/>
          <w:szCs w:val="28"/>
          <w:highlight w:val="none"/>
        </w:rPr>
        <w:t>项检查，全部符合要求。检查结果表明，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（玻璃用石英岩）露天开采建设项目矿山采场防排水单元符合设计要求，满足安全生产条件。</w:t>
      </w:r>
    </w:p>
    <w:p w14:paraId="3BF92422">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09" w:name="_Toc16566"/>
      <w:bookmarkStart w:id="110" w:name="_Toc26632"/>
      <w:bookmarkStart w:id="111" w:name="_Toc1522518712"/>
      <w:bookmarkStart w:id="112" w:name="_Toc18332"/>
      <w:bookmarkStart w:id="113" w:name="_Toc6628"/>
      <w:r>
        <w:rPr>
          <w:rFonts w:ascii="Times New Roman Regular" w:hAnsi="Times New Roman Regular" w:eastAsia="黑体" w:cs="Times New Roman Regular"/>
          <w:color w:val="auto"/>
          <w:sz w:val="30"/>
          <w:highlight w:val="none"/>
        </w:rPr>
        <w:t>3.5供配电系统</w:t>
      </w:r>
      <w:bookmarkEnd w:id="109"/>
      <w:bookmarkEnd w:id="110"/>
      <w:bookmarkEnd w:id="111"/>
      <w:bookmarkEnd w:id="112"/>
      <w:bookmarkEnd w:id="113"/>
    </w:p>
    <w:p w14:paraId="5FEBFFD2">
      <w:pPr>
        <w:spacing w:line="360" w:lineRule="auto"/>
        <w:ind w:firstLine="573"/>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对供配电系统单元采用安全检查表法进行评价，检查结果详见下表3.5-1。</w:t>
      </w:r>
    </w:p>
    <w:p w14:paraId="32AC246C">
      <w:pPr>
        <w:spacing w:line="360" w:lineRule="auto"/>
        <w:ind w:firstLine="573"/>
        <w:rPr>
          <w:rFonts w:ascii="Times New Roman Regular" w:hAnsi="Times New Roman Regular" w:cs="Times New Roman Regular"/>
          <w:color w:val="auto"/>
          <w:sz w:val="28"/>
          <w:szCs w:val="28"/>
          <w:highlight w:val="none"/>
        </w:rPr>
      </w:pPr>
    </w:p>
    <w:p w14:paraId="7BC20276">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5</w:t>
      </w:r>
      <w:r>
        <w:rPr>
          <w:rFonts w:ascii="黑体" w:hAnsi="黑体" w:eastAsia="黑体" w:cs="黑体"/>
          <w:bCs/>
          <w:color w:val="auto"/>
          <w:sz w:val="24"/>
          <w:highlight w:val="none"/>
          <w:lang w:val="zh-CN"/>
        </w:rPr>
        <w:t xml:space="preserve">-1 </w:t>
      </w:r>
      <w:r>
        <w:rPr>
          <w:rFonts w:ascii="黑体" w:hAnsi="黑体" w:eastAsia="黑体" w:cs="黑体"/>
          <w:bCs/>
          <w:color w:val="auto"/>
          <w:sz w:val="24"/>
          <w:highlight w:val="none"/>
        </w:rPr>
        <w:t>供配电</w:t>
      </w:r>
      <w:r>
        <w:rPr>
          <w:rFonts w:ascii="黑体" w:hAnsi="黑体" w:eastAsia="黑体" w:cs="黑体"/>
          <w:bCs/>
          <w:color w:val="auto"/>
          <w:sz w:val="24"/>
          <w:highlight w:val="none"/>
          <w:lang w:val="zh-CN"/>
        </w:rPr>
        <w:t>单元安全检查表</w:t>
      </w:r>
    </w:p>
    <w:tbl>
      <w:tblPr>
        <w:tblStyle w:val="14"/>
        <w:tblW w:w="5020" w:type="pct"/>
        <w:tblInd w:w="-10" w:type="dxa"/>
        <w:tblLayout w:type="fixed"/>
        <w:tblCellMar>
          <w:top w:w="0" w:type="dxa"/>
          <w:left w:w="108" w:type="dxa"/>
          <w:bottom w:w="0" w:type="dxa"/>
          <w:right w:w="108" w:type="dxa"/>
        </w:tblCellMar>
      </w:tblPr>
      <w:tblGrid>
        <w:gridCol w:w="776"/>
        <w:gridCol w:w="2352"/>
        <w:gridCol w:w="2088"/>
        <w:gridCol w:w="2637"/>
        <w:gridCol w:w="703"/>
      </w:tblGrid>
      <w:tr w14:paraId="138163F7">
        <w:trPr>
          <w:cantSplit/>
          <w:trHeight w:val="676" w:hRule="atLeast"/>
          <w:tblHeader/>
        </w:trPr>
        <w:tc>
          <w:tcPr>
            <w:tcW w:w="777" w:type="dxa"/>
            <w:tcBorders>
              <w:top w:val="single" w:color="000000" w:sz="4" w:space="0"/>
              <w:left w:val="single" w:color="000000" w:sz="4" w:space="0"/>
              <w:bottom w:val="single" w:color="000000" w:sz="4" w:space="0"/>
              <w:right w:val="single" w:color="000000" w:sz="4" w:space="0"/>
            </w:tcBorders>
            <w:vAlign w:val="center"/>
          </w:tcPr>
          <w:p w14:paraId="5CE56DA4">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序号</w:t>
            </w:r>
          </w:p>
        </w:tc>
        <w:tc>
          <w:tcPr>
            <w:tcW w:w="2352" w:type="dxa"/>
            <w:tcBorders>
              <w:top w:val="single" w:color="000000" w:sz="4" w:space="0"/>
              <w:left w:val="single" w:color="000000" w:sz="4" w:space="0"/>
              <w:bottom w:val="single" w:color="000000" w:sz="4" w:space="0"/>
              <w:right w:val="single" w:color="000000" w:sz="4" w:space="0"/>
            </w:tcBorders>
            <w:vAlign w:val="center"/>
          </w:tcPr>
          <w:p w14:paraId="68AC0152">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检查内容</w:t>
            </w:r>
          </w:p>
        </w:tc>
        <w:tc>
          <w:tcPr>
            <w:tcW w:w="2088" w:type="dxa"/>
            <w:tcBorders>
              <w:top w:val="single" w:color="000000" w:sz="4" w:space="0"/>
              <w:left w:val="single" w:color="000000" w:sz="4" w:space="0"/>
              <w:bottom w:val="single" w:color="000000" w:sz="4" w:space="0"/>
              <w:right w:val="single" w:color="000000" w:sz="4" w:space="0"/>
            </w:tcBorders>
            <w:vAlign w:val="center"/>
          </w:tcPr>
          <w:p w14:paraId="29BB915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检查依据</w:t>
            </w:r>
          </w:p>
        </w:tc>
        <w:tc>
          <w:tcPr>
            <w:tcW w:w="2637" w:type="dxa"/>
            <w:tcBorders>
              <w:top w:val="single" w:color="000000" w:sz="4" w:space="0"/>
              <w:left w:val="single" w:color="000000" w:sz="4" w:space="0"/>
              <w:bottom w:val="single" w:color="000000" w:sz="4" w:space="0"/>
              <w:right w:val="single" w:color="000000" w:sz="4" w:space="0"/>
            </w:tcBorders>
            <w:vAlign w:val="center"/>
          </w:tcPr>
          <w:p w14:paraId="1BC3755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事实记录</w:t>
            </w:r>
          </w:p>
        </w:tc>
        <w:tc>
          <w:tcPr>
            <w:tcW w:w="703" w:type="dxa"/>
            <w:tcBorders>
              <w:top w:val="single" w:color="000000" w:sz="4" w:space="0"/>
              <w:left w:val="single" w:color="000000" w:sz="4" w:space="0"/>
              <w:bottom w:val="single" w:color="000000" w:sz="4" w:space="0"/>
              <w:right w:val="single" w:color="000000" w:sz="4" w:space="0"/>
            </w:tcBorders>
            <w:vAlign w:val="center"/>
          </w:tcPr>
          <w:p w14:paraId="3478A5E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b/>
                <w:bCs/>
                <w:color w:val="auto"/>
                <w:szCs w:val="21"/>
                <w:highlight w:val="none"/>
              </w:rPr>
              <w:t>结论</w:t>
            </w:r>
          </w:p>
        </w:tc>
      </w:tr>
      <w:tr w14:paraId="7830B92C">
        <w:trPr>
          <w:cantSplit/>
          <w:trHeight w:val="510" w:hRule="atLeast"/>
        </w:trPr>
        <w:tc>
          <w:tcPr>
            <w:tcW w:w="777" w:type="dxa"/>
            <w:tcBorders>
              <w:top w:val="single" w:color="000000" w:sz="4" w:space="0"/>
              <w:left w:val="single" w:color="000000" w:sz="4" w:space="0"/>
              <w:bottom w:val="single" w:color="000000" w:sz="4" w:space="0"/>
              <w:right w:val="single" w:color="000000" w:sz="4" w:space="0"/>
            </w:tcBorders>
            <w:vAlign w:val="center"/>
          </w:tcPr>
          <w:p w14:paraId="65E4B46C">
            <w:pPr>
              <w:numPr>
                <w:ilvl w:val="0"/>
                <w:numId w:val="7"/>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2" w:type="dxa"/>
            <w:tcBorders>
              <w:top w:val="single" w:color="000000" w:sz="4" w:space="0"/>
              <w:left w:val="single" w:color="000000" w:sz="4" w:space="0"/>
              <w:bottom w:val="single" w:color="000000" w:sz="4" w:space="0"/>
              <w:right w:val="single" w:color="000000" w:sz="4" w:space="0"/>
            </w:tcBorders>
            <w:vAlign w:val="center"/>
          </w:tcPr>
          <w:p w14:paraId="11EA8E32">
            <w:pP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设计电源引自当地10kV农电，经架空线路接入本矿区室内变电所。</w:t>
            </w:r>
          </w:p>
        </w:tc>
        <w:tc>
          <w:tcPr>
            <w:tcW w:w="2088" w:type="dxa"/>
            <w:tcBorders>
              <w:top w:val="single" w:color="000000" w:sz="4" w:space="0"/>
              <w:left w:val="single" w:color="000000" w:sz="4" w:space="0"/>
              <w:bottom w:val="single" w:color="000000" w:sz="4" w:space="0"/>
              <w:right w:val="single" w:color="000000" w:sz="4" w:space="0"/>
            </w:tcBorders>
            <w:vAlign w:val="center"/>
          </w:tcPr>
          <w:p w14:paraId="6E5DCA69">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37" w:type="dxa"/>
            <w:tcBorders>
              <w:top w:val="single" w:color="000000" w:sz="4" w:space="0"/>
              <w:left w:val="single" w:color="000000" w:sz="4" w:space="0"/>
              <w:bottom w:val="single" w:color="000000" w:sz="4" w:space="0"/>
              <w:right w:val="single" w:color="000000" w:sz="4" w:space="0"/>
            </w:tcBorders>
            <w:vAlign w:val="center"/>
          </w:tcPr>
          <w:p w14:paraId="1F2B0B78">
            <w:pPr>
              <w:spacing w:before="60" w:after="60"/>
              <w:rPr>
                <w:rFonts w:ascii="Times New Roman Regular" w:hAnsi="Times New Roman Regular" w:cs="Times New Roman Regular"/>
                <w:color w:val="auto"/>
                <w:szCs w:val="21"/>
                <w:highlight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5163AEAB">
            <w:pPr>
              <w:ind w:left="4" w:hanging="31"/>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48C2ACCB">
        <w:trPr>
          <w:cantSplit/>
          <w:trHeight w:val="935" w:hRule="atLeast"/>
        </w:trPr>
        <w:tc>
          <w:tcPr>
            <w:tcW w:w="777" w:type="dxa"/>
            <w:tcBorders>
              <w:top w:val="single" w:color="000000" w:sz="4" w:space="0"/>
              <w:left w:val="single" w:color="000000" w:sz="4" w:space="0"/>
              <w:bottom w:val="single" w:color="000000" w:sz="4" w:space="0"/>
              <w:right w:val="single" w:color="000000" w:sz="4" w:space="0"/>
            </w:tcBorders>
            <w:vAlign w:val="center"/>
          </w:tcPr>
          <w:p w14:paraId="003CD223">
            <w:pPr>
              <w:numPr>
                <w:ilvl w:val="0"/>
                <w:numId w:val="7"/>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2" w:type="dxa"/>
            <w:tcBorders>
              <w:top w:val="single" w:color="000000" w:sz="4" w:space="0"/>
              <w:left w:val="single" w:color="000000" w:sz="4" w:space="0"/>
              <w:bottom w:val="single" w:color="000000" w:sz="4" w:space="0"/>
              <w:right w:val="single" w:color="000000" w:sz="4" w:space="0"/>
            </w:tcBorders>
            <w:vAlign w:val="center"/>
          </w:tcPr>
          <w:p w14:paraId="385633A6">
            <w:pP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设计安装一台变压器为办公室照明</w:t>
            </w:r>
            <w:r>
              <w:rPr>
                <w:rFonts w:hint="eastAsia" w:ascii="Times New Roman Regular" w:hAnsi="Times New Roman Regular" w:cs="Times New Roman Regular"/>
                <w:color w:val="auto"/>
                <w:szCs w:val="21"/>
                <w:highlight w:val="none"/>
              </w:rPr>
              <w:t>供电。</w:t>
            </w:r>
          </w:p>
        </w:tc>
        <w:tc>
          <w:tcPr>
            <w:tcW w:w="2088" w:type="dxa"/>
            <w:tcBorders>
              <w:top w:val="single" w:color="000000" w:sz="4" w:space="0"/>
              <w:left w:val="single" w:color="000000" w:sz="4" w:space="0"/>
              <w:bottom w:val="single" w:color="000000" w:sz="4" w:space="0"/>
              <w:right w:val="single" w:color="000000" w:sz="4" w:space="0"/>
            </w:tcBorders>
            <w:vAlign w:val="center"/>
          </w:tcPr>
          <w:p w14:paraId="5E084437">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37" w:type="dxa"/>
            <w:tcBorders>
              <w:top w:val="single" w:color="000000" w:sz="4" w:space="0"/>
              <w:left w:val="single" w:color="000000" w:sz="4" w:space="0"/>
              <w:bottom w:val="single" w:color="000000" w:sz="4" w:space="0"/>
              <w:right w:val="single" w:color="000000" w:sz="4" w:space="0"/>
            </w:tcBorders>
            <w:vAlign w:val="center"/>
          </w:tcPr>
          <w:p w14:paraId="7E2DE332">
            <w:pPr>
              <w:spacing w:before="60" w:after="60"/>
              <w:rPr>
                <w:rFonts w:ascii="Times New Roman Regular" w:hAnsi="Times New Roman Regular" w:cs="Times New Roman Regular"/>
                <w:color w:val="auto"/>
                <w:szCs w:val="21"/>
                <w:highlight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4171E09D">
            <w:pPr>
              <w:ind w:left="4" w:hanging="31"/>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61810501">
        <w:trPr>
          <w:cantSplit/>
          <w:trHeight w:val="891" w:hRule="atLeast"/>
        </w:trPr>
        <w:tc>
          <w:tcPr>
            <w:tcW w:w="777" w:type="dxa"/>
            <w:tcBorders>
              <w:top w:val="single" w:color="000000" w:sz="4" w:space="0"/>
              <w:left w:val="single" w:color="000000" w:sz="4" w:space="0"/>
              <w:bottom w:val="single" w:color="000000" w:sz="4" w:space="0"/>
              <w:right w:val="single" w:color="000000" w:sz="4" w:space="0"/>
            </w:tcBorders>
            <w:vAlign w:val="center"/>
          </w:tcPr>
          <w:p w14:paraId="6F6BC5B4">
            <w:pPr>
              <w:numPr>
                <w:ilvl w:val="0"/>
                <w:numId w:val="7"/>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352" w:type="dxa"/>
            <w:tcBorders>
              <w:top w:val="single" w:color="000000" w:sz="4" w:space="0"/>
              <w:left w:val="single" w:color="000000" w:sz="4" w:space="0"/>
              <w:bottom w:val="single" w:color="000000" w:sz="4" w:space="0"/>
              <w:right w:val="single" w:color="000000" w:sz="4" w:space="0"/>
            </w:tcBorders>
            <w:vAlign w:val="center"/>
          </w:tcPr>
          <w:p w14:paraId="148C820E">
            <w:pP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设计采用柴油发电机组</w:t>
            </w:r>
            <w:r>
              <w:rPr>
                <w:rFonts w:hint="eastAsia" w:ascii="Times New Roman Regular" w:hAnsi="Times New Roman Regular" w:cs="Times New Roman Regular"/>
                <w:color w:val="auto"/>
                <w:szCs w:val="21"/>
                <w:highlight w:val="none"/>
              </w:rPr>
              <w:t>为排水水泵</w:t>
            </w:r>
            <w:r>
              <w:rPr>
                <w:rFonts w:ascii="Times New Roman Regular" w:hAnsi="Times New Roman Regular" w:cs="Times New Roman Regular"/>
                <w:color w:val="auto"/>
                <w:szCs w:val="21"/>
                <w:highlight w:val="none"/>
              </w:rPr>
              <w:t>供电</w:t>
            </w:r>
            <w:r>
              <w:rPr>
                <w:rFonts w:hint="eastAsia" w:ascii="Times New Roman Regular" w:hAnsi="Times New Roman Regular" w:cs="Times New Roman Regular"/>
                <w:color w:val="auto"/>
                <w:szCs w:val="21"/>
                <w:highlight w:val="none"/>
              </w:rPr>
              <w:t>。</w:t>
            </w:r>
          </w:p>
        </w:tc>
        <w:tc>
          <w:tcPr>
            <w:tcW w:w="2088" w:type="dxa"/>
            <w:tcBorders>
              <w:top w:val="single" w:color="000000" w:sz="4" w:space="0"/>
              <w:left w:val="single" w:color="000000" w:sz="4" w:space="0"/>
              <w:bottom w:val="single" w:color="000000" w:sz="4" w:space="0"/>
              <w:right w:val="single" w:color="000000" w:sz="4" w:space="0"/>
            </w:tcBorders>
            <w:vAlign w:val="center"/>
          </w:tcPr>
          <w:p w14:paraId="6D6609B5">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637" w:type="dxa"/>
            <w:tcBorders>
              <w:top w:val="single" w:color="000000" w:sz="4" w:space="0"/>
              <w:left w:val="single" w:color="000000" w:sz="4" w:space="0"/>
              <w:bottom w:val="single" w:color="000000" w:sz="4" w:space="0"/>
              <w:right w:val="single" w:color="000000" w:sz="4" w:space="0"/>
            </w:tcBorders>
            <w:vAlign w:val="center"/>
          </w:tcPr>
          <w:p w14:paraId="7E8F4E8D">
            <w:pPr>
              <w:spacing w:before="60" w:after="60"/>
              <w:rPr>
                <w:rFonts w:ascii="Times New Roman Regular" w:hAnsi="Times New Roman Regular" w:cs="Times New Roman Regular"/>
                <w:color w:val="auto"/>
                <w:szCs w:val="21"/>
                <w:highlight w:val="none"/>
              </w:rPr>
            </w:pPr>
          </w:p>
        </w:tc>
        <w:tc>
          <w:tcPr>
            <w:tcW w:w="703" w:type="dxa"/>
            <w:tcBorders>
              <w:top w:val="single" w:color="000000" w:sz="4" w:space="0"/>
              <w:left w:val="single" w:color="000000" w:sz="4" w:space="0"/>
              <w:bottom w:val="single" w:color="000000" w:sz="4" w:space="0"/>
              <w:right w:val="single" w:color="000000" w:sz="4" w:space="0"/>
            </w:tcBorders>
            <w:vAlign w:val="center"/>
          </w:tcPr>
          <w:p w14:paraId="5AC56358">
            <w:pPr>
              <w:ind w:left="4" w:hanging="31"/>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bl>
    <w:p w14:paraId="2DA9CFA1">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668F2C4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对该矿山供配电单元进行了</w:t>
      </w:r>
      <w:r>
        <w:rPr>
          <w:rFonts w:hint="eastAsia" w:ascii="Times New Roman Regular" w:hAnsi="Times New Roman Regular" w:cs="Times New Roman Regular"/>
          <w:color w:val="auto"/>
          <w:sz w:val="28"/>
          <w:szCs w:val="28"/>
          <w:highlight w:val="none"/>
        </w:rPr>
        <w:t>3</w:t>
      </w:r>
      <w:r>
        <w:rPr>
          <w:rFonts w:ascii="Times New Roman Regular" w:hAnsi="Times New Roman Regular" w:cs="Times New Roman Regular"/>
          <w:color w:val="auto"/>
          <w:sz w:val="28"/>
          <w:szCs w:val="28"/>
          <w:highlight w:val="none"/>
        </w:rPr>
        <w:t>项检查，全部符合要求。检查结果表明，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（玻璃用石英岩）露天开采建设项目矿山供配电系统单元符合设计要求，满足安全生产条件。</w:t>
      </w:r>
    </w:p>
    <w:p w14:paraId="1DA28300">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14" w:name="_Toc30543"/>
      <w:bookmarkStart w:id="115" w:name="_Toc21421"/>
      <w:bookmarkStart w:id="116" w:name="_Toc1704338579"/>
      <w:r>
        <w:rPr>
          <w:rFonts w:ascii="Times New Roman Regular" w:hAnsi="Times New Roman Regular" w:eastAsia="黑体" w:cs="Times New Roman Regular"/>
          <w:color w:val="auto"/>
          <w:sz w:val="30"/>
          <w:highlight w:val="none"/>
        </w:rPr>
        <w:t>3.6总平面布置</w:t>
      </w:r>
      <w:bookmarkEnd w:id="114"/>
      <w:bookmarkEnd w:id="115"/>
      <w:bookmarkEnd w:id="116"/>
    </w:p>
    <w:p w14:paraId="7E885D5B">
      <w:pPr>
        <w:pStyle w:val="5"/>
        <w:rPr>
          <w:rFonts w:ascii="Times New Roman Regular" w:hAnsi="Times New Roman Regular" w:cs="Times New Roman Regular"/>
          <w:color w:val="auto"/>
          <w:highlight w:val="none"/>
        </w:rPr>
      </w:pPr>
      <w:bookmarkStart w:id="117" w:name="_Toc86052394"/>
      <w:r>
        <w:rPr>
          <w:rFonts w:ascii="Times New Roman Regular" w:hAnsi="Times New Roman Regular" w:cs="Times New Roman Regular"/>
          <w:color w:val="auto"/>
          <w:highlight w:val="none"/>
        </w:rPr>
        <w:t>3.6.1工业场地</w:t>
      </w:r>
      <w:bookmarkEnd w:id="117"/>
    </w:p>
    <w:p w14:paraId="50725B6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通过现场检查，编制总平面布置单元安全检查表如表3.6-1所示。</w:t>
      </w:r>
    </w:p>
    <w:p w14:paraId="4E295542">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6</w:t>
      </w:r>
      <w:r>
        <w:rPr>
          <w:rFonts w:ascii="黑体" w:hAnsi="黑体" w:eastAsia="黑体" w:cs="黑体"/>
          <w:bCs/>
          <w:color w:val="auto"/>
          <w:sz w:val="24"/>
          <w:highlight w:val="none"/>
          <w:lang w:val="zh-CN"/>
        </w:rPr>
        <w:t>-1 总平面布置单元安全检查表</w:t>
      </w:r>
    </w:p>
    <w:tbl>
      <w:tblPr>
        <w:tblStyle w:val="14"/>
        <w:tblW w:w="4961" w:type="pct"/>
        <w:tblInd w:w="-11" w:type="dxa"/>
        <w:tblLayout w:type="fixed"/>
        <w:tblCellMar>
          <w:top w:w="0" w:type="dxa"/>
          <w:left w:w="108" w:type="dxa"/>
          <w:bottom w:w="0" w:type="dxa"/>
          <w:right w:w="108" w:type="dxa"/>
        </w:tblCellMar>
      </w:tblPr>
      <w:tblGrid>
        <w:gridCol w:w="679"/>
        <w:gridCol w:w="2601"/>
        <w:gridCol w:w="2125"/>
        <w:gridCol w:w="2247"/>
        <w:gridCol w:w="804"/>
      </w:tblGrid>
      <w:tr w14:paraId="1CA12063">
        <w:trPr>
          <w:cantSplit/>
          <w:trHeight w:val="528" w:hRule="atLeast"/>
          <w:tblHeader/>
        </w:trPr>
        <w:tc>
          <w:tcPr>
            <w:tcW w:w="680" w:type="dxa"/>
            <w:tcBorders>
              <w:top w:val="single" w:color="000000" w:sz="4" w:space="0"/>
              <w:left w:val="single" w:color="000000" w:sz="4" w:space="0"/>
              <w:bottom w:val="single" w:color="000000" w:sz="4" w:space="0"/>
              <w:right w:val="single" w:color="000000" w:sz="4" w:space="0"/>
            </w:tcBorders>
            <w:vAlign w:val="center"/>
          </w:tcPr>
          <w:p w14:paraId="22B8B2D3">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序号</w:t>
            </w:r>
          </w:p>
        </w:tc>
        <w:tc>
          <w:tcPr>
            <w:tcW w:w="2601" w:type="dxa"/>
            <w:tcBorders>
              <w:top w:val="single" w:color="000000" w:sz="4" w:space="0"/>
              <w:left w:val="single" w:color="000000" w:sz="4" w:space="0"/>
              <w:bottom w:val="single" w:color="000000" w:sz="4" w:space="0"/>
              <w:right w:val="single" w:color="000000" w:sz="4" w:space="0"/>
            </w:tcBorders>
            <w:vAlign w:val="center"/>
          </w:tcPr>
          <w:p w14:paraId="22B10712">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检查内容</w:t>
            </w:r>
          </w:p>
        </w:tc>
        <w:tc>
          <w:tcPr>
            <w:tcW w:w="2125" w:type="dxa"/>
            <w:tcBorders>
              <w:top w:val="single" w:color="000000" w:sz="4" w:space="0"/>
              <w:left w:val="single" w:color="000000" w:sz="4" w:space="0"/>
              <w:bottom w:val="single" w:color="000000" w:sz="4" w:space="0"/>
              <w:right w:val="single" w:color="000000" w:sz="4" w:space="0"/>
            </w:tcBorders>
            <w:vAlign w:val="center"/>
          </w:tcPr>
          <w:p w14:paraId="7C68FCC6">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检查依据</w:t>
            </w:r>
          </w:p>
        </w:tc>
        <w:tc>
          <w:tcPr>
            <w:tcW w:w="2247" w:type="dxa"/>
            <w:tcBorders>
              <w:top w:val="single" w:color="000000" w:sz="4" w:space="0"/>
              <w:left w:val="single" w:color="000000" w:sz="4" w:space="0"/>
              <w:bottom w:val="single" w:color="000000" w:sz="4" w:space="0"/>
              <w:right w:val="single" w:color="000000" w:sz="4" w:space="0"/>
            </w:tcBorders>
            <w:vAlign w:val="center"/>
          </w:tcPr>
          <w:p w14:paraId="62B643D2">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事实记录</w:t>
            </w:r>
          </w:p>
        </w:tc>
        <w:tc>
          <w:tcPr>
            <w:tcW w:w="804" w:type="dxa"/>
            <w:tcBorders>
              <w:top w:val="single" w:color="000000" w:sz="4" w:space="0"/>
              <w:left w:val="single" w:color="000000" w:sz="4" w:space="0"/>
              <w:bottom w:val="single" w:color="000000" w:sz="4" w:space="0"/>
              <w:right w:val="single" w:color="000000" w:sz="4" w:space="0"/>
            </w:tcBorders>
            <w:vAlign w:val="center"/>
          </w:tcPr>
          <w:p w14:paraId="0554ADED">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结论</w:t>
            </w:r>
          </w:p>
        </w:tc>
      </w:tr>
      <w:tr w14:paraId="763C4104">
        <w:trPr>
          <w:cantSplit/>
          <w:trHeight w:val="1388"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2DC9">
            <w:pPr>
              <w:numPr>
                <w:ilvl w:val="0"/>
                <w:numId w:val="8"/>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5E38">
            <w:pPr>
              <w:spacing w:line="240" w:lineRule="exact"/>
              <w:rPr>
                <w:rFonts w:ascii="Times New Roman Regular" w:hAnsi="Times New Roman Regular" w:cs="Times New Roman Regular"/>
                <w:color w:val="auto"/>
                <w:szCs w:val="21"/>
                <w:highlight w:val="none"/>
              </w:rPr>
            </w:pPr>
            <w:r>
              <w:rPr>
                <w:rFonts w:hint="eastAsia" w:ascii="Times New Roman Regular" w:hAnsi="Times New Roman Regular" w:cs="Times New Roman Regular"/>
                <w:color w:val="auto"/>
                <w:szCs w:val="21"/>
                <w:highlight w:val="none"/>
              </w:rPr>
              <w:t>工业场地包括</w:t>
            </w:r>
            <w:r>
              <w:rPr>
                <w:rFonts w:ascii="Times New Roman Regular" w:hAnsi="Times New Roman Regular" w:cs="Times New Roman Regular"/>
                <w:color w:val="auto"/>
                <w:szCs w:val="21"/>
                <w:highlight w:val="none"/>
              </w:rPr>
              <w:t>办公室、值班室、员工休息室等</w:t>
            </w:r>
            <w:r>
              <w:rPr>
                <w:rFonts w:hint="eastAsia" w:ascii="Times New Roman Regular" w:hAnsi="Times New Roman Regular" w:cs="Times New Roman Regular"/>
                <w:color w:val="auto"/>
                <w:szCs w:val="21"/>
                <w:highlight w:val="none"/>
              </w:rPr>
              <w:t>，</w:t>
            </w:r>
            <w:r>
              <w:rPr>
                <w:rFonts w:ascii="Times New Roman Regular" w:hAnsi="Times New Roman Regular" w:cs="Times New Roman Regular"/>
                <w:color w:val="auto"/>
                <w:szCs w:val="21"/>
                <w:highlight w:val="none"/>
              </w:rPr>
              <w:t>位于矿区西侧。</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48140">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7E91">
            <w:pPr>
              <w:spacing w:line="240" w:lineRule="exact"/>
              <w:rPr>
                <w:rFonts w:ascii="Times New Roman Regular" w:hAnsi="Times New Roman Regular" w:cs="Times New Roman Regular"/>
                <w:color w:val="auto"/>
                <w:szCs w:val="21"/>
                <w:highlight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6680">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078436F0">
            <w:pPr>
              <w:tabs>
                <w:tab w:val="left" w:pos="1260"/>
                <w:tab w:val="left" w:pos="1440"/>
              </w:tabs>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要求</w:t>
            </w:r>
          </w:p>
        </w:tc>
      </w:tr>
      <w:tr w14:paraId="46ABA238">
        <w:trPr>
          <w:cantSplit/>
          <w:trHeight w:val="1111"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40A0">
            <w:pPr>
              <w:numPr>
                <w:ilvl w:val="0"/>
                <w:numId w:val="8"/>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6EB81">
            <w:pPr>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矿区用油由油罐车运送，剩余油量返回到当地供销商</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823D">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4351">
            <w:pPr>
              <w:spacing w:line="240" w:lineRule="exact"/>
              <w:rPr>
                <w:rFonts w:ascii="Times New Roman Regular" w:hAnsi="Times New Roman Regular" w:cs="Times New Roman Regular"/>
                <w:color w:val="auto"/>
                <w:szCs w:val="21"/>
                <w:highlight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D3625">
            <w:pPr>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kern w:val="0"/>
                <w:szCs w:val="21"/>
                <w:highlight w:val="none"/>
              </w:rPr>
              <w:t>符合</w:t>
            </w:r>
          </w:p>
          <w:p w14:paraId="48E2FA5D">
            <w:pPr>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kern w:val="0"/>
                <w:szCs w:val="21"/>
                <w:highlight w:val="none"/>
              </w:rPr>
              <w:t>要求</w:t>
            </w:r>
          </w:p>
        </w:tc>
      </w:tr>
      <w:tr w14:paraId="586DC2C3">
        <w:trPr>
          <w:cantSplit/>
          <w:trHeight w:val="1394"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0F6B">
            <w:pPr>
              <w:numPr>
                <w:ilvl w:val="0"/>
                <w:numId w:val="8"/>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43E1">
            <w:pPr>
              <w:pStyle w:val="2"/>
              <w:ind w:firstLine="0"/>
              <w:rPr>
                <w:rFonts w:ascii="Times New Roman Regular" w:hAnsi="Times New Roman Regular" w:eastAsia="宋体" w:cs="Times New Roman Regular"/>
                <w:color w:val="auto"/>
                <w:szCs w:val="21"/>
                <w:highlight w:val="none"/>
              </w:rPr>
            </w:pPr>
            <w:r>
              <w:rPr>
                <w:rFonts w:ascii="Times New Roman Regular" w:hAnsi="Times New Roman Regular" w:eastAsia="宋体" w:cs="Times New Roman Regular"/>
                <w:color w:val="auto"/>
                <w:szCs w:val="21"/>
                <w:highlight w:val="none"/>
              </w:rPr>
              <w:t>爆破器材由爆破技术员负责使用，由爆破器材保管员负责运输、回收及保存，矿区内不设置炸药库</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D792">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C4CB">
            <w:pPr>
              <w:spacing w:line="240" w:lineRule="exact"/>
              <w:rPr>
                <w:rFonts w:ascii="Times New Roman Regular" w:hAnsi="Times New Roman Regular" w:cs="Times New Roman Regular"/>
                <w:color w:val="auto"/>
                <w:szCs w:val="21"/>
                <w:highlight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87E6">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A494877">
            <w:pPr>
              <w:tabs>
                <w:tab w:val="left" w:pos="1260"/>
                <w:tab w:val="left" w:pos="1440"/>
              </w:tabs>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要求</w:t>
            </w:r>
          </w:p>
        </w:tc>
      </w:tr>
      <w:tr w14:paraId="674C0BD0">
        <w:trPr>
          <w:cantSplit/>
          <w:trHeight w:val="1207"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5A243">
            <w:pPr>
              <w:numPr>
                <w:ilvl w:val="0"/>
                <w:numId w:val="8"/>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9BA2">
            <w:pPr>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露天矿山道路生产干线应为采矿场各开采台阶通往卸矿点共用道路。</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9800">
            <w:pPr>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w:t>
            </w:r>
            <w:r>
              <w:rPr>
                <w:rFonts w:hint="eastAsia" w:ascii="Times New Roman Regular" w:hAnsi="Times New Roman Regular" w:cs="Times New Roman Regular"/>
                <w:color w:val="auto"/>
                <w:szCs w:val="21"/>
                <w:highlight w:val="none"/>
              </w:rPr>
              <w:t>厂矿</w:t>
            </w:r>
            <w:r>
              <w:rPr>
                <w:rFonts w:ascii="Times New Roman Regular" w:hAnsi="Times New Roman Regular" w:cs="Times New Roman Regular"/>
                <w:color w:val="auto"/>
                <w:szCs w:val="21"/>
                <w:highlight w:val="none"/>
              </w:rPr>
              <w:t>道路设计规范》（GBJ 22-1987）</w:t>
            </w:r>
            <w:r>
              <w:rPr>
                <w:rFonts w:ascii="Times New Roman Regular" w:hAnsi="Times New Roman Regular" w:cs="Times New Roman Regular"/>
                <w:color w:val="auto"/>
                <w:kern w:val="0"/>
                <w:szCs w:val="21"/>
                <w:highlight w:val="none"/>
              </w:rPr>
              <w:t>第2.4.1条</w:t>
            </w:r>
          </w:p>
        </w:tc>
        <w:tc>
          <w:tcPr>
            <w:tcW w:w="2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2579">
            <w:pPr>
              <w:spacing w:line="240" w:lineRule="exact"/>
              <w:rPr>
                <w:rFonts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54F9">
            <w:pPr>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kern w:val="0"/>
                <w:szCs w:val="21"/>
                <w:highlight w:val="none"/>
              </w:rPr>
              <w:t>符合</w:t>
            </w:r>
          </w:p>
          <w:p w14:paraId="44F788E8">
            <w:pPr>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kern w:val="0"/>
                <w:szCs w:val="21"/>
                <w:highlight w:val="none"/>
              </w:rPr>
              <w:t>要求</w:t>
            </w:r>
          </w:p>
        </w:tc>
      </w:tr>
      <w:tr w14:paraId="382C6BAE">
        <w:trPr>
          <w:cantSplit/>
          <w:trHeight w:val="1548" w:hRule="atLeast"/>
        </w:trPr>
        <w:tc>
          <w:tcPr>
            <w:tcW w:w="680" w:type="dxa"/>
            <w:tcBorders>
              <w:top w:val="single" w:color="000000" w:sz="4" w:space="0"/>
              <w:left w:val="single" w:color="000000" w:sz="4" w:space="0"/>
              <w:bottom w:val="single" w:color="000000" w:sz="4" w:space="0"/>
              <w:right w:val="single" w:color="000000" w:sz="4" w:space="0"/>
            </w:tcBorders>
            <w:vAlign w:val="center"/>
          </w:tcPr>
          <w:p w14:paraId="6B6E2691">
            <w:pPr>
              <w:numPr>
                <w:ilvl w:val="0"/>
                <w:numId w:val="8"/>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A7A1D">
            <w:pPr>
              <w:tabs>
                <w:tab w:val="left" w:pos="1260"/>
                <w:tab w:val="left" w:pos="1440"/>
              </w:tabs>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厂址选择应符合国家的工业布局、城乡总体规划及土地利用总体规划的要求，并按照国家规定的程序进行。</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BAB0A">
            <w:pPr>
              <w:tabs>
                <w:tab w:val="left" w:pos="1260"/>
                <w:tab w:val="left" w:pos="1440"/>
              </w:tabs>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kern w:val="0"/>
                <w:szCs w:val="21"/>
                <w:highlight w:val="none"/>
              </w:rPr>
              <w:t>《工业企业总平面设计规范》</w:t>
            </w:r>
            <w:r>
              <w:rPr>
                <w:rFonts w:ascii="Times New Roman Regular" w:hAnsi="Times New Roman Regular" w:cs="Times New Roman Regular"/>
                <w:color w:val="auto"/>
                <w:w w:val="90"/>
                <w:kern w:val="0"/>
                <w:szCs w:val="21"/>
                <w:highlight w:val="none"/>
              </w:rPr>
              <w:t>GB 50187- 2012</w:t>
            </w:r>
            <w:r>
              <w:rPr>
                <w:rFonts w:ascii="Times New Roman Regular" w:hAnsi="Times New Roman Regular" w:cs="Times New Roman Regular"/>
                <w:color w:val="auto"/>
                <w:kern w:val="0"/>
                <w:szCs w:val="21"/>
                <w:highlight w:val="none"/>
              </w:rPr>
              <w:t>第3.0.1条</w:t>
            </w:r>
          </w:p>
        </w:tc>
        <w:tc>
          <w:tcPr>
            <w:tcW w:w="2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65E4">
            <w:pPr>
              <w:tabs>
                <w:tab w:val="left" w:pos="1260"/>
                <w:tab w:val="left" w:pos="1440"/>
              </w:tabs>
              <w:spacing w:line="240" w:lineRule="exact"/>
              <w:rPr>
                <w:rFonts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ABB4">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D79E3FF">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35FAA625">
        <w:trPr>
          <w:cantSplit/>
          <w:trHeight w:val="1866" w:hRule="atLeast"/>
        </w:trPr>
        <w:tc>
          <w:tcPr>
            <w:tcW w:w="680" w:type="dxa"/>
            <w:tcBorders>
              <w:top w:val="single" w:color="000000" w:sz="4" w:space="0"/>
              <w:left w:val="single" w:color="000000" w:sz="4" w:space="0"/>
              <w:bottom w:val="single" w:color="000000" w:sz="4" w:space="0"/>
              <w:right w:val="single" w:color="000000" w:sz="4" w:space="0"/>
            </w:tcBorders>
            <w:vAlign w:val="center"/>
          </w:tcPr>
          <w:p w14:paraId="1B2BB4FA">
            <w:pPr>
              <w:numPr>
                <w:ilvl w:val="0"/>
                <w:numId w:val="8"/>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8839">
            <w:pPr>
              <w:tabs>
                <w:tab w:val="left" w:pos="1260"/>
                <w:tab w:val="left" w:pos="1440"/>
              </w:tabs>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厂址应具有满足生产、生活及发展所必需的水源和电源。水源和电源与厂址之间的管线连接应短捷，且用水、用电量大的工业企业宜靠近水源及电源地。</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8F5C1">
            <w:pPr>
              <w:tabs>
                <w:tab w:val="left" w:pos="1260"/>
                <w:tab w:val="left" w:pos="1440"/>
              </w:tabs>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kern w:val="0"/>
                <w:szCs w:val="21"/>
                <w:highlight w:val="none"/>
              </w:rPr>
              <w:t>《工业企业总平面设计规范》</w:t>
            </w:r>
            <w:r>
              <w:rPr>
                <w:rFonts w:ascii="Times New Roman Regular" w:hAnsi="Times New Roman Regular" w:cs="Times New Roman Regular"/>
                <w:color w:val="auto"/>
                <w:w w:val="90"/>
                <w:kern w:val="0"/>
                <w:szCs w:val="21"/>
                <w:highlight w:val="none"/>
              </w:rPr>
              <w:t>GB 50187- 2012</w:t>
            </w:r>
            <w:r>
              <w:rPr>
                <w:rFonts w:ascii="Times New Roman Regular" w:hAnsi="Times New Roman Regular" w:cs="Times New Roman Regular"/>
                <w:color w:val="auto"/>
                <w:kern w:val="0"/>
                <w:szCs w:val="21"/>
                <w:highlight w:val="none"/>
              </w:rPr>
              <w:t>第3.0.6条</w:t>
            </w:r>
          </w:p>
        </w:tc>
        <w:tc>
          <w:tcPr>
            <w:tcW w:w="2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E17A">
            <w:pPr>
              <w:tabs>
                <w:tab w:val="left" w:pos="1260"/>
                <w:tab w:val="left" w:pos="1440"/>
              </w:tabs>
              <w:spacing w:line="240" w:lineRule="exact"/>
              <w:rPr>
                <w:rFonts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E288">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7FD553BE">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367F1457">
        <w:trPr>
          <w:cantSplit/>
          <w:trHeight w:val="2956" w:hRule="atLeast"/>
        </w:trPr>
        <w:tc>
          <w:tcPr>
            <w:tcW w:w="680" w:type="dxa"/>
            <w:tcBorders>
              <w:top w:val="single" w:color="000000" w:sz="4" w:space="0"/>
              <w:left w:val="single" w:color="000000" w:sz="4" w:space="0"/>
              <w:bottom w:val="single" w:color="000000" w:sz="4" w:space="0"/>
              <w:right w:val="single" w:color="000000" w:sz="4" w:space="0"/>
            </w:tcBorders>
            <w:vAlign w:val="center"/>
          </w:tcPr>
          <w:p w14:paraId="6BC4B8AC">
            <w:pPr>
              <w:numPr>
                <w:ilvl w:val="0"/>
                <w:numId w:val="8"/>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D9984">
            <w:pPr>
              <w:tabs>
                <w:tab w:val="left" w:pos="1260"/>
                <w:tab w:val="left" w:pos="1440"/>
              </w:tabs>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厂址选择应对原料、燃料及辅助材料的来源、产品流向、建设条件、经济、社会、人文、城镇土地利用现状、环境保护、文物古迹、土地拆迁、对外协作、施工条件等各种因素进行深入的调查研究，并应进行多方案技术经济比较后确定。</w:t>
            </w:r>
          </w:p>
        </w:tc>
        <w:tc>
          <w:tcPr>
            <w:tcW w:w="2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40AE">
            <w:pPr>
              <w:tabs>
                <w:tab w:val="left" w:pos="1260"/>
                <w:tab w:val="left" w:pos="1440"/>
              </w:tabs>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kern w:val="0"/>
                <w:szCs w:val="21"/>
                <w:highlight w:val="none"/>
              </w:rPr>
              <w:t>《工业企业总平面设计规范》</w:t>
            </w:r>
            <w:r>
              <w:rPr>
                <w:rFonts w:ascii="Times New Roman Regular" w:hAnsi="Times New Roman Regular" w:cs="Times New Roman Regular"/>
                <w:color w:val="auto"/>
                <w:w w:val="90"/>
                <w:kern w:val="0"/>
                <w:szCs w:val="21"/>
                <w:highlight w:val="none"/>
              </w:rPr>
              <w:t>GB 50187- 2012</w:t>
            </w:r>
            <w:r>
              <w:rPr>
                <w:rFonts w:ascii="Times New Roman Regular" w:hAnsi="Times New Roman Regular" w:cs="Times New Roman Regular"/>
                <w:color w:val="auto"/>
                <w:kern w:val="0"/>
                <w:szCs w:val="21"/>
                <w:highlight w:val="none"/>
              </w:rPr>
              <w:t>第3.0.3条</w:t>
            </w:r>
          </w:p>
        </w:tc>
        <w:tc>
          <w:tcPr>
            <w:tcW w:w="22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4A6C">
            <w:pPr>
              <w:tabs>
                <w:tab w:val="left" w:pos="1260"/>
                <w:tab w:val="left" w:pos="1440"/>
              </w:tabs>
              <w:spacing w:line="240" w:lineRule="exact"/>
              <w:rPr>
                <w:rFonts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8EAB3">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0AB0AA39">
            <w:pPr>
              <w:tabs>
                <w:tab w:val="left" w:pos="1260"/>
                <w:tab w:val="left" w:pos="1440"/>
              </w:tabs>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bl>
    <w:p w14:paraId="443C19F5">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50BCA95D">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对该项目的通过检查表的</w:t>
      </w:r>
      <w:r>
        <w:rPr>
          <w:rFonts w:hint="eastAsia" w:ascii="Times New Roman Regular" w:hAnsi="Times New Roman Regular" w:cs="Times New Roman Regular"/>
          <w:color w:val="auto"/>
          <w:sz w:val="28"/>
          <w:szCs w:val="28"/>
          <w:highlight w:val="none"/>
        </w:rPr>
        <w:t>7</w:t>
      </w:r>
      <w:r>
        <w:rPr>
          <w:rFonts w:ascii="Times New Roman Regular" w:hAnsi="Times New Roman Regular" w:cs="Times New Roman Regular"/>
          <w:color w:val="auto"/>
          <w:sz w:val="28"/>
          <w:szCs w:val="28"/>
          <w:highlight w:val="none"/>
        </w:rPr>
        <w:t>项检查中，均符合要求。检查结果表明，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（玻璃用石英岩）露天开采建设项目符合设计要求，能够满足安全生产条件。</w:t>
      </w:r>
    </w:p>
    <w:p w14:paraId="70BA3B0F">
      <w:pPr>
        <w:pStyle w:val="2"/>
        <w:rPr>
          <w:color w:val="auto"/>
          <w:highlight w:val="none"/>
        </w:rPr>
      </w:pPr>
    </w:p>
    <w:p w14:paraId="3378AC54">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3.6.2建（构）筑物防火</w:t>
      </w:r>
    </w:p>
    <w:p w14:paraId="3777F25A">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对防火子单元采用安全检查表法进行评价，检查结果详见表3.6-2。</w:t>
      </w:r>
    </w:p>
    <w:p w14:paraId="64C28A1F">
      <w:pPr>
        <w:adjustRightInd w:val="0"/>
        <w:snapToGrid w:val="0"/>
        <w:spacing w:line="400" w:lineRule="exact"/>
        <w:jc w:val="center"/>
        <w:rPr>
          <w:rFonts w:ascii="黑体" w:hAnsi="黑体" w:eastAsia="黑体" w:cs="黑体"/>
          <w:bCs/>
          <w:color w:val="auto"/>
          <w:sz w:val="24"/>
          <w:highlight w:val="none"/>
          <w:lang w:val="zh-CN"/>
        </w:rPr>
      </w:pPr>
    </w:p>
    <w:p w14:paraId="3C704DB4">
      <w:pPr>
        <w:adjustRightInd w:val="0"/>
        <w:snapToGrid w:val="0"/>
        <w:spacing w:line="400" w:lineRule="exact"/>
        <w:jc w:val="center"/>
        <w:rPr>
          <w:rFonts w:ascii="黑体" w:hAnsi="黑体" w:eastAsia="黑体" w:cs="黑体"/>
          <w:bCs/>
          <w:color w:val="auto"/>
          <w:sz w:val="24"/>
          <w:highlight w:val="none"/>
          <w:lang w:val="zh-CN"/>
        </w:rPr>
      </w:pPr>
    </w:p>
    <w:p w14:paraId="3700AAD9">
      <w:pPr>
        <w:adjustRightInd w:val="0"/>
        <w:snapToGrid w:val="0"/>
        <w:spacing w:line="400" w:lineRule="exact"/>
        <w:jc w:val="center"/>
        <w:rPr>
          <w:rFonts w:ascii="黑体" w:hAnsi="黑体" w:eastAsia="黑体" w:cs="黑体"/>
          <w:bCs/>
          <w:color w:val="auto"/>
          <w:sz w:val="24"/>
          <w:highlight w:val="none"/>
          <w:lang w:val="zh-CN"/>
        </w:rPr>
      </w:pPr>
    </w:p>
    <w:p w14:paraId="0F992663">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6</w:t>
      </w:r>
      <w:r>
        <w:rPr>
          <w:rFonts w:ascii="黑体" w:hAnsi="黑体" w:eastAsia="黑体" w:cs="黑体"/>
          <w:bCs/>
          <w:color w:val="auto"/>
          <w:sz w:val="24"/>
          <w:highlight w:val="none"/>
          <w:lang w:val="zh-CN"/>
        </w:rPr>
        <w:t>-2 建（构）筑物防火安全检查表</w:t>
      </w:r>
    </w:p>
    <w:tbl>
      <w:tblPr>
        <w:tblStyle w:val="14"/>
        <w:tblW w:w="4961" w:type="pct"/>
        <w:tblInd w:w="-10" w:type="dxa"/>
        <w:tblLayout w:type="fixed"/>
        <w:tblCellMar>
          <w:top w:w="0" w:type="dxa"/>
          <w:left w:w="108" w:type="dxa"/>
          <w:bottom w:w="0" w:type="dxa"/>
          <w:right w:w="108" w:type="dxa"/>
        </w:tblCellMar>
      </w:tblPr>
      <w:tblGrid>
        <w:gridCol w:w="679"/>
        <w:gridCol w:w="2601"/>
        <w:gridCol w:w="2125"/>
        <w:gridCol w:w="2247"/>
        <w:gridCol w:w="804"/>
      </w:tblGrid>
      <w:tr w14:paraId="0634D8DD">
        <w:trPr>
          <w:cantSplit/>
          <w:trHeight w:val="538" w:hRule="atLeast"/>
          <w:tblHeader/>
        </w:trPr>
        <w:tc>
          <w:tcPr>
            <w:tcW w:w="680" w:type="dxa"/>
            <w:tcBorders>
              <w:top w:val="single" w:color="000000" w:sz="4" w:space="0"/>
              <w:left w:val="single" w:color="000000" w:sz="4" w:space="0"/>
              <w:bottom w:val="single" w:color="000000" w:sz="4" w:space="0"/>
              <w:right w:val="single" w:color="000000" w:sz="4" w:space="0"/>
            </w:tcBorders>
            <w:vAlign w:val="center"/>
          </w:tcPr>
          <w:p w14:paraId="01626695">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序号</w:t>
            </w:r>
          </w:p>
        </w:tc>
        <w:tc>
          <w:tcPr>
            <w:tcW w:w="2601" w:type="dxa"/>
            <w:tcBorders>
              <w:top w:val="single" w:color="000000" w:sz="4" w:space="0"/>
              <w:left w:val="single" w:color="000000" w:sz="4" w:space="0"/>
              <w:bottom w:val="single" w:color="000000" w:sz="4" w:space="0"/>
              <w:right w:val="single" w:color="000000" w:sz="4" w:space="0"/>
            </w:tcBorders>
            <w:vAlign w:val="center"/>
          </w:tcPr>
          <w:p w14:paraId="3706019A">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检查内容</w:t>
            </w:r>
          </w:p>
        </w:tc>
        <w:tc>
          <w:tcPr>
            <w:tcW w:w="2125" w:type="dxa"/>
            <w:tcBorders>
              <w:top w:val="single" w:color="000000" w:sz="4" w:space="0"/>
              <w:left w:val="single" w:color="000000" w:sz="4" w:space="0"/>
              <w:bottom w:val="single" w:color="000000" w:sz="4" w:space="0"/>
              <w:right w:val="single" w:color="000000" w:sz="4" w:space="0"/>
            </w:tcBorders>
            <w:vAlign w:val="center"/>
          </w:tcPr>
          <w:p w14:paraId="7C782F82">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检查依据</w:t>
            </w:r>
          </w:p>
        </w:tc>
        <w:tc>
          <w:tcPr>
            <w:tcW w:w="2247" w:type="dxa"/>
            <w:tcBorders>
              <w:top w:val="single" w:color="000000" w:sz="4" w:space="0"/>
              <w:left w:val="single" w:color="000000" w:sz="4" w:space="0"/>
              <w:bottom w:val="single" w:color="000000" w:sz="4" w:space="0"/>
              <w:right w:val="single" w:color="000000" w:sz="4" w:space="0"/>
            </w:tcBorders>
            <w:vAlign w:val="center"/>
          </w:tcPr>
          <w:p w14:paraId="29C38D3B">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事实记录</w:t>
            </w:r>
          </w:p>
        </w:tc>
        <w:tc>
          <w:tcPr>
            <w:tcW w:w="804" w:type="dxa"/>
            <w:tcBorders>
              <w:top w:val="single" w:color="000000" w:sz="4" w:space="0"/>
              <w:left w:val="single" w:color="000000" w:sz="4" w:space="0"/>
              <w:bottom w:val="single" w:color="000000" w:sz="4" w:space="0"/>
              <w:right w:val="single" w:color="000000" w:sz="4" w:space="0"/>
            </w:tcBorders>
            <w:vAlign w:val="center"/>
          </w:tcPr>
          <w:p w14:paraId="4E0DE5C7">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结论</w:t>
            </w:r>
          </w:p>
        </w:tc>
      </w:tr>
      <w:tr w14:paraId="79064E93">
        <w:trPr>
          <w:cantSplit/>
          <w:trHeight w:val="538" w:hRule="atLeast"/>
          <w:tblHeader/>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5A65">
            <w:pPr>
              <w:numPr>
                <w:ilvl w:val="0"/>
                <w:numId w:val="9"/>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vAlign w:val="center"/>
          </w:tcPr>
          <w:p w14:paraId="5548B2CD">
            <w:pPr>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bCs/>
                <w:color w:val="auto"/>
                <w:szCs w:val="21"/>
                <w:highlight w:val="none"/>
              </w:rPr>
              <w:t>在室内室外以及开采设备上配备一定数量的干式灭火器，每个室内设置2个2kg手提式灭火器</w:t>
            </w:r>
            <w:r>
              <w:rPr>
                <w:rFonts w:hint="eastAsia" w:ascii="Times New Roman Regular" w:hAnsi="Times New Roman Regular" w:cs="Times New Roman Regular"/>
                <w:bCs/>
                <w:color w:val="auto"/>
                <w:szCs w:val="21"/>
                <w:highlight w:val="none"/>
              </w:rPr>
              <w:t>。</w:t>
            </w:r>
          </w:p>
        </w:tc>
        <w:tc>
          <w:tcPr>
            <w:tcW w:w="2125" w:type="dxa"/>
            <w:tcBorders>
              <w:top w:val="single" w:color="000000" w:sz="4" w:space="0"/>
              <w:left w:val="single" w:color="000000" w:sz="4" w:space="0"/>
              <w:bottom w:val="single" w:color="000000" w:sz="4" w:space="0"/>
              <w:right w:val="single" w:color="000000" w:sz="4" w:space="0"/>
            </w:tcBorders>
            <w:vAlign w:val="center"/>
          </w:tcPr>
          <w:p w14:paraId="610041B4">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vAlign w:val="center"/>
          </w:tcPr>
          <w:p w14:paraId="61E5916C">
            <w:pPr>
              <w:snapToGrid w:val="0"/>
              <w:spacing w:line="240" w:lineRule="exact"/>
              <w:rPr>
                <w:rFonts w:ascii="Times New Roman Regular" w:hAnsi="Times New Roman Regular" w:cs="Times New Roman Regular"/>
                <w:b/>
                <w:bCs/>
                <w:color w:val="auto"/>
                <w:szCs w:val="21"/>
                <w:highlight w:val="none"/>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3F08BFD1">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4DB377C3">
            <w:pPr>
              <w:snapToGrid w:val="0"/>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要求</w:t>
            </w:r>
          </w:p>
        </w:tc>
      </w:tr>
      <w:tr w14:paraId="5B42FB67">
        <w:trPr>
          <w:cantSplit/>
          <w:trHeight w:val="835" w:hRule="atLeast"/>
          <w:tblHeader/>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5C56">
            <w:pPr>
              <w:numPr>
                <w:ilvl w:val="0"/>
                <w:numId w:val="9"/>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vAlign w:val="center"/>
          </w:tcPr>
          <w:p w14:paraId="093FF755">
            <w:pPr>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bCs/>
                <w:color w:val="auto"/>
                <w:szCs w:val="21"/>
                <w:highlight w:val="none"/>
              </w:rPr>
              <w:t>每个柴油设备最少应设置1个2kg手提式灭火器</w:t>
            </w:r>
            <w:r>
              <w:rPr>
                <w:rFonts w:hint="eastAsia" w:ascii="Times New Roman Regular" w:hAnsi="Times New Roman Regular" w:cs="Times New Roman Regular"/>
                <w:bCs/>
                <w:color w:val="auto"/>
                <w:szCs w:val="21"/>
                <w:highlight w:val="none"/>
              </w:rPr>
              <w:t>。</w:t>
            </w:r>
          </w:p>
        </w:tc>
        <w:tc>
          <w:tcPr>
            <w:tcW w:w="2125" w:type="dxa"/>
            <w:tcBorders>
              <w:top w:val="single" w:color="000000" w:sz="4" w:space="0"/>
              <w:left w:val="single" w:color="000000" w:sz="4" w:space="0"/>
              <w:bottom w:val="single" w:color="000000" w:sz="4" w:space="0"/>
              <w:right w:val="single" w:color="000000" w:sz="4" w:space="0"/>
            </w:tcBorders>
            <w:vAlign w:val="center"/>
          </w:tcPr>
          <w:p w14:paraId="7600322C">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vAlign w:val="center"/>
          </w:tcPr>
          <w:p w14:paraId="0091BEF6">
            <w:pPr>
              <w:snapToGrid w:val="0"/>
              <w:spacing w:line="240" w:lineRule="exact"/>
              <w:rPr>
                <w:rFonts w:ascii="Times New Roman Regular" w:hAnsi="Times New Roman Regular" w:cs="Times New Roman Regular"/>
                <w:b/>
                <w:bCs/>
                <w:color w:val="auto"/>
                <w:szCs w:val="21"/>
                <w:highlight w:val="none"/>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725786CE">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22DB89D2">
            <w:pPr>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color w:val="auto"/>
                <w:szCs w:val="21"/>
                <w:highlight w:val="none"/>
              </w:rPr>
              <w:t>要求</w:t>
            </w:r>
          </w:p>
        </w:tc>
      </w:tr>
      <w:tr w14:paraId="676C5490">
        <w:trPr>
          <w:cantSplit/>
          <w:trHeight w:val="1117"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38E83">
            <w:pPr>
              <w:numPr>
                <w:ilvl w:val="0"/>
                <w:numId w:val="9"/>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vAlign w:val="center"/>
          </w:tcPr>
          <w:p w14:paraId="0A6F073E">
            <w:pPr>
              <w:snapToGrid w:val="0"/>
              <w:rPr>
                <w:rFonts w:ascii="Times New Roman Regular" w:hAnsi="Times New Roman Regular" w:cs="Times New Roman Regular"/>
                <w:bCs/>
                <w:color w:val="auto"/>
                <w:szCs w:val="21"/>
                <w:highlight w:val="none"/>
              </w:rPr>
            </w:pPr>
            <w:r>
              <w:rPr>
                <w:rFonts w:ascii="Times New Roman Regular" w:hAnsi="Times New Roman Regular" w:cs="Times New Roman Regular"/>
                <w:bCs/>
                <w:color w:val="auto"/>
                <w:szCs w:val="21"/>
                <w:highlight w:val="none"/>
              </w:rPr>
              <w:t>在室外固定地点设置锹、铲、沙土等灭火设施。</w:t>
            </w:r>
          </w:p>
        </w:tc>
        <w:tc>
          <w:tcPr>
            <w:tcW w:w="2125" w:type="dxa"/>
            <w:tcBorders>
              <w:top w:val="single" w:color="000000" w:sz="4" w:space="0"/>
              <w:left w:val="single" w:color="000000" w:sz="4" w:space="0"/>
              <w:bottom w:val="single" w:color="000000" w:sz="4" w:space="0"/>
              <w:right w:val="single" w:color="000000" w:sz="4" w:space="0"/>
            </w:tcBorders>
            <w:vAlign w:val="center"/>
          </w:tcPr>
          <w:p w14:paraId="60758C38">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16423- 2020）第5.7.2.1条</w:t>
            </w:r>
          </w:p>
        </w:tc>
        <w:tc>
          <w:tcPr>
            <w:tcW w:w="2247" w:type="dxa"/>
            <w:tcBorders>
              <w:top w:val="single" w:color="000000" w:sz="4" w:space="0"/>
              <w:left w:val="single" w:color="000000" w:sz="4" w:space="0"/>
              <w:bottom w:val="single" w:color="000000" w:sz="4" w:space="0"/>
              <w:right w:val="single" w:color="000000" w:sz="4" w:space="0"/>
            </w:tcBorders>
            <w:vAlign w:val="center"/>
          </w:tcPr>
          <w:p w14:paraId="1891311D">
            <w:pPr>
              <w:snapToGrid w:val="0"/>
              <w:rPr>
                <w:rFonts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1515E72D">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04526153">
            <w:pPr>
              <w:snapToGrid w:val="0"/>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2F9C18F0">
        <w:trPr>
          <w:cantSplit/>
          <w:trHeight w:val="985"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06FB">
            <w:pPr>
              <w:numPr>
                <w:ilvl w:val="0"/>
                <w:numId w:val="9"/>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vAlign w:val="center"/>
          </w:tcPr>
          <w:p w14:paraId="7019AFE2">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露天矿用设备上严禁存放汽油和其他易燃易爆品。</w:t>
            </w:r>
          </w:p>
        </w:tc>
        <w:tc>
          <w:tcPr>
            <w:tcW w:w="2125" w:type="dxa"/>
            <w:tcBorders>
              <w:top w:val="single" w:color="000000" w:sz="4" w:space="0"/>
              <w:left w:val="single" w:color="000000" w:sz="4" w:space="0"/>
              <w:bottom w:val="single" w:color="000000" w:sz="4" w:space="0"/>
              <w:right w:val="single" w:color="000000" w:sz="4" w:space="0"/>
            </w:tcBorders>
            <w:vAlign w:val="center"/>
          </w:tcPr>
          <w:p w14:paraId="247D761A">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16423- 2020）第5.9.2.4条</w:t>
            </w:r>
          </w:p>
        </w:tc>
        <w:tc>
          <w:tcPr>
            <w:tcW w:w="2247" w:type="dxa"/>
            <w:tcBorders>
              <w:top w:val="single" w:color="000000" w:sz="4" w:space="0"/>
              <w:left w:val="single" w:color="000000" w:sz="4" w:space="0"/>
              <w:bottom w:val="single" w:color="000000" w:sz="4" w:space="0"/>
              <w:right w:val="single" w:color="000000" w:sz="4" w:space="0"/>
            </w:tcBorders>
            <w:vAlign w:val="center"/>
          </w:tcPr>
          <w:p w14:paraId="7C2886CD">
            <w:pPr>
              <w:snapToGrid w:val="0"/>
              <w:jc w:val="center"/>
              <w:rPr>
                <w:rFonts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39C871FD">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59C9D924">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060A8152">
        <w:trPr>
          <w:cantSplit/>
          <w:trHeight w:val="1010"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8762">
            <w:pPr>
              <w:numPr>
                <w:ilvl w:val="0"/>
                <w:numId w:val="9"/>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vAlign w:val="center"/>
          </w:tcPr>
          <w:p w14:paraId="41D7660F">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严禁用汽油擦洗设备。</w:t>
            </w:r>
          </w:p>
        </w:tc>
        <w:tc>
          <w:tcPr>
            <w:tcW w:w="2125" w:type="dxa"/>
            <w:tcBorders>
              <w:top w:val="single" w:color="000000" w:sz="4" w:space="0"/>
              <w:left w:val="single" w:color="000000" w:sz="4" w:space="0"/>
              <w:bottom w:val="single" w:color="000000" w:sz="4" w:space="0"/>
              <w:right w:val="single" w:color="000000" w:sz="4" w:space="0"/>
            </w:tcBorders>
            <w:vAlign w:val="center"/>
          </w:tcPr>
          <w:p w14:paraId="7F7334C6">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16423- 2020）第5.9.2.5条</w:t>
            </w:r>
          </w:p>
        </w:tc>
        <w:tc>
          <w:tcPr>
            <w:tcW w:w="2247" w:type="dxa"/>
            <w:tcBorders>
              <w:top w:val="single" w:color="000000" w:sz="4" w:space="0"/>
              <w:left w:val="single" w:color="000000" w:sz="4" w:space="0"/>
              <w:bottom w:val="single" w:color="000000" w:sz="4" w:space="0"/>
              <w:right w:val="single" w:color="000000" w:sz="4" w:space="0"/>
            </w:tcBorders>
            <w:vAlign w:val="center"/>
          </w:tcPr>
          <w:p w14:paraId="01BC7C48">
            <w:pPr>
              <w:snapToGrid w:val="0"/>
              <w:jc w:val="center"/>
              <w:rPr>
                <w:rFonts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36F87C72">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75CAF449">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29578480">
        <w:trPr>
          <w:cantSplit/>
          <w:trHeight w:val="1073" w:hRule="atLeast"/>
        </w:trPr>
        <w:tc>
          <w:tcPr>
            <w:tcW w:w="680" w:type="dxa"/>
            <w:tcBorders>
              <w:top w:val="single" w:color="000000" w:sz="4" w:space="0"/>
              <w:left w:val="single" w:color="000000" w:sz="4" w:space="0"/>
              <w:bottom w:val="single" w:color="000000" w:sz="4" w:space="0"/>
              <w:right w:val="single" w:color="000000" w:sz="4" w:space="0"/>
            </w:tcBorders>
            <w:vAlign w:val="center"/>
          </w:tcPr>
          <w:p w14:paraId="5C0FD05F">
            <w:pPr>
              <w:numPr>
                <w:ilvl w:val="0"/>
                <w:numId w:val="9"/>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1" w:type="dxa"/>
            <w:tcBorders>
              <w:top w:val="single" w:color="000000" w:sz="4" w:space="0"/>
              <w:left w:val="single" w:color="000000" w:sz="4" w:space="0"/>
              <w:bottom w:val="single" w:color="000000" w:sz="4" w:space="0"/>
              <w:right w:val="single" w:color="000000" w:sz="4" w:space="0"/>
            </w:tcBorders>
            <w:vAlign w:val="center"/>
          </w:tcPr>
          <w:p w14:paraId="65B9C572">
            <w:pPr>
              <w:snapToGrid w:val="0"/>
              <w:rPr>
                <w:rFonts w:ascii="Times New Roman Regular" w:hAnsi="Times New Roman Regular" w:cs="Times New Roman Regular"/>
                <w:color w:val="auto"/>
                <w:highlight w:val="none"/>
              </w:rPr>
            </w:pPr>
            <w:r>
              <w:rPr>
                <w:rFonts w:ascii="Times New Roman Regular" w:hAnsi="Times New Roman Regular" w:cs="Times New Roman Regular"/>
                <w:bCs/>
                <w:color w:val="auto"/>
                <w:szCs w:val="21"/>
                <w:highlight w:val="none"/>
              </w:rPr>
              <w:t>易燃易爆器材，不应放在电缆接头、轨道接头或接地极附近。</w:t>
            </w:r>
          </w:p>
        </w:tc>
        <w:tc>
          <w:tcPr>
            <w:tcW w:w="2125" w:type="dxa"/>
            <w:tcBorders>
              <w:top w:val="single" w:color="000000" w:sz="4" w:space="0"/>
              <w:left w:val="single" w:color="000000" w:sz="4" w:space="0"/>
              <w:bottom w:val="single" w:color="000000" w:sz="4" w:space="0"/>
              <w:right w:val="single" w:color="000000" w:sz="4" w:space="0"/>
            </w:tcBorders>
            <w:vAlign w:val="center"/>
          </w:tcPr>
          <w:p w14:paraId="22D886B3">
            <w:pPr>
              <w:snapToGrid w:val="0"/>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《金属非金属矿山安全规程》（GB 16423- 2020）第5.7.2.6条</w:t>
            </w:r>
          </w:p>
        </w:tc>
        <w:tc>
          <w:tcPr>
            <w:tcW w:w="2247" w:type="dxa"/>
            <w:tcBorders>
              <w:top w:val="single" w:color="000000" w:sz="4" w:space="0"/>
              <w:left w:val="single" w:color="000000" w:sz="4" w:space="0"/>
              <w:bottom w:val="single" w:color="000000" w:sz="4" w:space="0"/>
              <w:right w:val="single" w:color="000000" w:sz="4" w:space="0"/>
            </w:tcBorders>
            <w:vAlign w:val="center"/>
          </w:tcPr>
          <w:p w14:paraId="67B44429">
            <w:pPr>
              <w:snapToGrid w:val="0"/>
              <w:jc w:val="center"/>
              <w:rPr>
                <w:rFonts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09A7CF82">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05D07650">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bl>
    <w:p w14:paraId="1D82E723">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41E9EBE0">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通过对矿山防灭火单元用安全检查表法进行了</w:t>
      </w:r>
      <w:r>
        <w:rPr>
          <w:rFonts w:hint="eastAsia" w:ascii="Times New Roman Regular" w:hAnsi="Times New Roman Regular" w:cs="Times New Roman Regular"/>
          <w:color w:val="auto"/>
          <w:sz w:val="28"/>
          <w:szCs w:val="28"/>
          <w:highlight w:val="none"/>
        </w:rPr>
        <w:t>6</w:t>
      </w:r>
      <w:r>
        <w:rPr>
          <w:rFonts w:ascii="Times New Roman Regular" w:hAnsi="Times New Roman Regular" w:cs="Times New Roman Regular"/>
          <w:color w:val="auto"/>
          <w:sz w:val="28"/>
          <w:szCs w:val="28"/>
          <w:highlight w:val="none"/>
        </w:rPr>
        <w:t>项检查，均符合安全要求。检查结果表明，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（玻璃用石英岩）露天开采建设项目防灭火单元符合设计要求，能够保证矿山安全生产条件。</w:t>
      </w:r>
    </w:p>
    <w:p w14:paraId="460AD920">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3.6.3排土场</w:t>
      </w:r>
    </w:p>
    <w:p w14:paraId="293877EB">
      <w:pPr>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通过现场检查，编制</w:t>
      </w:r>
      <w:r>
        <w:rPr>
          <w:rFonts w:hint="eastAsia" w:ascii="Times New Roman" w:hAnsi="Times New Roman"/>
          <w:color w:val="auto"/>
          <w:sz w:val="28"/>
          <w:szCs w:val="28"/>
          <w:highlight w:val="none"/>
        </w:rPr>
        <w:t>排土场</w:t>
      </w:r>
      <w:r>
        <w:rPr>
          <w:rFonts w:ascii="Times New Roman" w:hAnsi="Times New Roman"/>
          <w:color w:val="auto"/>
          <w:sz w:val="28"/>
          <w:szCs w:val="28"/>
          <w:highlight w:val="none"/>
        </w:rPr>
        <w:t>单元安全检查表如表3.6-</w:t>
      </w:r>
      <w:r>
        <w:rPr>
          <w:rFonts w:hint="eastAsia" w:ascii="Times New Roman" w:hAnsi="Times New Roman"/>
          <w:color w:val="auto"/>
          <w:sz w:val="28"/>
          <w:szCs w:val="28"/>
          <w:highlight w:val="none"/>
        </w:rPr>
        <w:t>3</w:t>
      </w:r>
      <w:r>
        <w:rPr>
          <w:rFonts w:ascii="Times New Roman" w:hAnsi="Times New Roman"/>
          <w:color w:val="auto"/>
          <w:sz w:val="28"/>
          <w:szCs w:val="28"/>
          <w:highlight w:val="none"/>
        </w:rPr>
        <w:t>所示。</w:t>
      </w:r>
    </w:p>
    <w:p w14:paraId="765D3D4C">
      <w:pPr>
        <w:adjustRightInd w:val="0"/>
        <w:snapToGrid w:val="0"/>
        <w:spacing w:line="400" w:lineRule="exact"/>
        <w:jc w:val="center"/>
        <w:rPr>
          <w:rFonts w:hint="eastAsia" w:ascii="黑体" w:hAnsi="黑体" w:eastAsia="黑体" w:cs="黑体"/>
          <w:bCs/>
          <w:color w:val="auto"/>
          <w:sz w:val="24"/>
          <w:highlight w:val="none"/>
          <w:lang w:val="zh-CN"/>
        </w:rPr>
      </w:pPr>
      <w:r>
        <w:rPr>
          <w:rFonts w:hint="eastAsia" w:ascii="黑体" w:hAnsi="黑体" w:eastAsia="黑体" w:cs="黑体"/>
          <w:bCs/>
          <w:color w:val="auto"/>
          <w:sz w:val="24"/>
          <w:highlight w:val="none"/>
          <w:lang w:val="zh-CN"/>
        </w:rPr>
        <w:t>表3.6-</w:t>
      </w:r>
      <w:r>
        <w:rPr>
          <w:rFonts w:hint="eastAsia" w:ascii="黑体" w:hAnsi="黑体" w:eastAsia="黑体" w:cs="黑体"/>
          <w:bCs/>
          <w:color w:val="auto"/>
          <w:sz w:val="24"/>
          <w:highlight w:val="none"/>
        </w:rPr>
        <w:t>3</w:t>
      </w:r>
      <w:r>
        <w:rPr>
          <w:rFonts w:hint="eastAsia" w:ascii="黑体" w:hAnsi="黑体" w:eastAsia="黑体" w:cs="黑体"/>
          <w:bCs/>
          <w:color w:val="auto"/>
          <w:sz w:val="24"/>
          <w:highlight w:val="none"/>
          <w:lang w:val="zh-CN"/>
        </w:rPr>
        <w:t xml:space="preserve"> </w:t>
      </w:r>
      <w:r>
        <w:rPr>
          <w:rFonts w:hint="eastAsia" w:ascii="黑体" w:hAnsi="黑体" w:eastAsia="黑体" w:cs="黑体"/>
          <w:bCs/>
          <w:color w:val="auto"/>
          <w:sz w:val="24"/>
          <w:highlight w:val="none"/>
        </w:rPr>
        <w:t>排土场</w:t>
      </w:r>
      <w:r>
        <w:rPr>
          <w:rFonts w:hint="eastAsia" w:ascii="黑体" w:hAnsi="黑体" w:eastAsia="黑体" w:cs="黑体"/>
          <w:bCs/>
          <w:color w:val="auto"/>
          <w:sz w:val="24"/>
          <w:highlight w:val="none"/>
          <w:lang w:val="zh-CN"/>
        </w:rPr>
        <w:t>单元安全检查表</w:t>
      </w:r>
    </w:p>
    <w:tbl>
      <w:tblPr>
        <w:tblStyle w:val="14"/>
        <w:tblW w:w="4961" w:type="pct"/>
        <w:tblInd w:w="-11" w:type="dxa"/>
        <w:tblLayout w:type="fixed"/>
        <w:tblCellMar>
          <w:top w:w="0" w:type="dxa"/>
          <w:left w:w="108" w:type="dxa"/>
          <w:bottom w:w="0" w:type="dxa"/>
          <w:right w:w="108" w:type="dxa"/>
        </w:tblCellMar>
      </w:tblPr>
      <w:tblGrid>
        <w:gridCol w:w="679"/>
        <w:gridCol w:w="2601"/>
        <w:gridCol w:w="2125"/>
        <w:gridCol w:w="2247"/>
        <w:gridCol w:w="804"/>
      </w:tblGrid>
      <w:tr w14:paraId="05B5225C">
        <w:trPr>
          <w:trHeight w:val="515" w:hRule="atLeast"/>
          <w:tblHeader/>
        </w:trPr>
        <w:tc>
          <w:tcPr>
            <w:tcW w:w="679" w:type="dxa"/>
            <w:tcBorders>
              <w:top w:val="single" w:color="000000" w:sz="4" w:space="0"/>
              <w:left w:val="single" w:color="000000" w:sz="4" w:space="0"/>
              <w:bottom w:val="single" w:color="000000" w:sz="4" w:space="0"/>
              <w:right w:val="single" w:color="000000" w:sz="4" w:space="0"/>
            </w:tcBorders>
            <w:vAlign w:val="center"/>
          </w:tcPr>
          <w:p w14:paraId="72057F06">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序号</w:t>
            </w:r>
          </w:p>
        </w:tc>
        <w:tc>
          <w:tcPr>
            <w:tcW w:w="2601" w:type="dxa"/>
            <w:tcBorders>
              <w:top w:val="single" w:color="000000" w:sz="4" w:space="0"/>
              <w:left w:val="single" w:color="000000" w:sz="4" w:space="0"/>
              <w:bottom w:val="single" w:color="000000" w:sz="4" w:space="0"/>
              <w:right w:val="single" w:color="000000" w:sz="4" w:space="0"/>
            </w:tcBorders>
            <w:vAlign w:val="center"/>
          </w:tcPr>
          <w:p w14:paraId="57E6F11B">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检查内容</w:t>
            </w:r>
          </w:p>
        </w:tc>
        <w:tc>
          <w:tcPr>
            <w:tcW w:w="2125" w:type="dxa"/>
            <w:tcBorders>
              <w:top w:val="single" w:color="000000" w:sz="4" w:space="0"/>
              <w:left w:val="single" w:color="000000" w:sz="4" w:space="0"/>
              <w:bottom w:val="single" w:color="000000" w:sz="4" w:space="0"/>
              <w:right w:val="single" w:color="000000" w:sz="4" w:space="0"/>
            </w:tcBorders>
            <w:vAlign w:val="center"/>
          </w:tcPr>
          <w:p w14:paraId="51BC7040">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依据标准</w:t>
            </w:r>
          </w:p>
        </w:tc>
        <w:tc>
          <w:tcPr>
            <w:tcW w:w="2247" w:type="dxa"/>
            <w:tcBorders>
              <w:top w:val="single" w:color="000000" w:sz="4" w:space="0"/>
              <w:left w:val="single" w:color="000000" w:sz="4" w:space="0"/>
              <w:bottom w:val="single" w:color="000000" w:sz="4" w:space="0"/>
              <w:right w:val="single" w:color="000000" w:sz="4" w:space="0"/>
            </w:tcBorders>
            <w:vAlign w:val="center"/>
          </w:tcPr>
          <w:p w14:paraId="452B201D">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事实记录</w:t>
            </w:r>
          </w:p>
        </w:tc>
        <w:tc>
          <w:tcPr>
            <w:tcW w:w="804" w:type="dxa"/>
            <w:tcBorders>
              <w:top w:val="single" w:color="000000" w:sz="4" w:space="0"/>
              <w:left w:val="single" w:color="000000" w:sz="4" w:space="0"/>
              <w:bottom w:val="single" w:color="000000" w:sz="4" w:space="0"/>
              <w:right w:val="single" w:color="000000" w:sz="4" w:space="0"/>
            </w:tcBorders>
            <w:vAlign w:val="center"/>
          </w:tcPr>
          <w:p w14:paraId="227BE2B6">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结论</w:t>
            </w:r>
          </w:p>
        </w:tc>
      </w:tr>
      <w:tr w14:paraId="1D3312EE">
        <w:trPr>
          <w:cantSplit/>
          <w:trHeight w:val="1110" w:hRule="atLeast"/>
          <w:tblHeader/>
        </w:trPr>
        <w:tc>
          <w:tcPr>
            <w:tcW w:w="679" w:type="dxa"/>
            <w:tcBorders>
              <w:top w:val="single" w:color="000000" w:sz="4" w:space="0"/>
              <w:left w:val="single" w:color="000000" w:sz="4" w:space="0"/>
              <w:bottom w:val="single" w:color="000000" w:sz="4" w:space="0"/>
              <w:right w:val="single" w:color="000000" w:sz="4" w:space="0"/>
            </w:tcBorders>
            <w:vAlign w:val="center"/>
          </w:tcPr>
          <w:p w14:paraId="10F3C66B">
            <w:pPr>
              <w:tabs>
                <w:tab w:val="left" w:pos="0"/>
              </w:tabs>
              <w:snapToGrid w:val="0"/>
              <w:spacing w:line="240" w:lineRule="exact"/>
              <w:jc w:val="center"/>
              <w:rPr>
                <w:rFonts w:ascii="Times New Roman" w:hAnsi="Times New Roman"/>
                <w:color w:val="auto"/>
                <w:szCs w:val="21"/>
                <w:highlight w:val="none"/>
              </w:rPr>
            </w:pPr>
            <w:r>
              <w:rPr>
                <w:rFonts w:hint="eastAsia" w:ascii="Times New Roman" w:hAnsi="Times New Roman"/>
                <w:color w:val="auto"/>
                <w:szCs w:val="21"/>
                <w:highlight w:val="none"/>
              </w:rPr>
              <w:t>1</w:t>
            </w:r>
          </w:p>
        </w:tc>
        <w:tc>
          <w:tcPr>
            <w:tcW w:w="2601" w:type="dxa"/>
            <w:tcBorders>
              <w:top w:val="single" w:color="000000" w:sz="4" w:space="0"/>
              <w:left w:val="single" w:color="000000" w:sz="4" w:space="0"/>
              <w:bottom w:val="single" w:color="000000" w:sz="4" w:space="0"/>
              <w:right w:val="single" w:color="000000" w:sz="4" w:space="0"/>
            </w:tcBorders>
            <w:vAlign w:val="center"/>
          </w:tcPr>
          <w:p w14:paraId="730FA3AD">
            <w:pPr>
              <w:snapToGrid w:val="0"/>
              <w:spacing w:line="240" w:lineRule="exact"/>
              <w:rPr>
                <w:rFonts w:ascii="Times New Roman" w:hAnsi="Times New Roman"/>
                <w:color w:val="auto"/>
                <w:szCs w:val="21"/>
                <w:highlight w:val="none"/>
              </w:rPr>
            </w:pPr>
            <w:r>
              <w:rPr>
                <w:rFonts w:ascii="Times New Roman" w:hAnsi="Times New Roman"/>
                <w:color w:val="auto"/>
                <w:szCs w:val="21"/>
                <w:highlight w:val="none"/>
              </w:rPr>
              <w:t>排土场顶标高260m，底标高240m</w:t>
            </w:r>
            <w:r>
              <w:rPr>
                <w:rFonts w:hint="eastAsia" w:ascii="Times New Roman" w:hAnsi="Times New Roman"/>
                <w:color w:val="auto"/>
                <w:szCs w:val="21"/>
                <w:highlight w:val="none"/>
              </w:rPr>
              <w:t>。</w:t>
            </w:r>
          </w:p>
        </w:tc>
        <w:tc>
          <w:tcPr>
            <w:tcW w:w="2125" w:type="dxa"/>
            <w:tcBorders>
              <w:top w:val="single" w:color="000000" w:sz="4" w:space="0"/>
              <w:left w:val="single" w:color="000000" w:sz="4" w:space="0"/>
              <w:bottom w:val="single" w:color="000000" w:sz="4" w:space="0"/>
              <w:right w:val="single" w:color="000000" w:sz="4" w:space="0"/>
            </w:tcBorders>
            <w:vAlign w:val="center"/>
          </w:tcPr>
          <w:p w14:paraId="3A071584">
            <w:pPr>
              <w:snapToGrid w:val="0"/>
              <w:spacing w:line="240" w:lineRule="exact"/>
              <w:jc w:val="center"/>
              <w:rPr>
                <w:rFonts w:ascii="Times New Roman" w:hAnsi="Times New Roman"/>
                <w:color w:val="auto"/>
                <w:szCs w:val="21"/>
                <w:highlight w:val="none"/>
              </w:rPr>
            </w:pPr>
            <w:r>
              <w:rPr>
                <w:rFonts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vAlign w:val="center"/>
          </w:tcPr>
          <w:p w14:paraId="3CD1318F">
            <w:pPr>
              <w:snapToGrid w:val="0"/>
              <w:spacing w:line="240" w:lineRule="exact"/>
              <w:rPr>
                <w:rFonts w:ascii="Times New Roman" w:hAnsi="Times New Roman"/>
                <w:color w:val="auto"/>
                <w:szCs w:val="21"/>
                <w:highlight w:val="none"/>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4067152A">
            <w:pPr>
              <w:snapToGrid w:val="0"/>
              <w:spacing w:line="240" w:lineRule="exact"/>
              <w:jc w:val="center"/>
              <w:rPr>
                <w:rFonts w:ascii="Times New Roman" w:hAnsi="Times New Roman"/>
                <w:color w:val="auto"/>
                <w:szCs w:val="21"/>
                <w:highlight w:val="none"/>
              </w:rPr>
            </w:pPr>
            <w:r>
              <w:rPr>
                <w:rFonts w:ascii="Times New Roman" w:hAnsi="Times New Roman"/>
                <w:color w:val="auto"/>
                <w:szCs w:val="21"/>
                <w:highlight w:val="none"/>
              </w:rPr>
              <w:t>符合</w:t>
            </w:r>
          </w:p>
          <w:p w14:paraId="4DA3BA68">
            <w:pPr>
              <w:snapToGrid w:val="0"/>
              <w:spacing w:line="240" w:lineRule="exact"/>
              <w:jc w:val="center"/>
              <w:rPr>
                <w:rFonts w:ascii="Times New Roman" w:hAnsi="Times New Roman"/>
                <w:color w:val="auto"/>
                <w:szCs w:val="21"/>
                <w:highlight w:val="none"/>
              </w:rPr>
            </w:pPr>
            <w:r>
              <w:rPr>
                <w:rFonts w:ascii="Times New Roman" w:hAnsi="Times New Roman"/>
                <w:color w:val="auto"/>
                <w:szCs w:val="21"/>
                <w:highlight w:val="none"/>
              </w:rPr>
              <w:t>要求</w:t>
            </w:r>
          </w:p>
        </w:tc>
      </w:tr>
      <w:tr w14:paraId="7E4469AF">
        <w:trPr>
          <w:cantSplit/>
          <w:trHeight w:val="994" w:hRule="atLeast"/>
          <w:tblHeader/>
        </w:trPr>
        <w:tc>
          <w:tcPr>
            <w:tcW w:w="679" w:type="dxa"/>
            <w:tcBorders>
              <w:top w:val="single" w:color="000000" w:sz="4" w:space="0"/>
              <w:left w:val="single" w:color="000000" w:sz="4" w:space="0"/>
              <w:bottom w:val="single" w:color="000000" w:sz="4" w:space="0"/>
              <w:right w:val="single" w:color="000000" w:sz="4" w:space="0"/>
            </w:tcBorders>
            <w:vAlign w:val="center"/>
          </w:tcPr>
          <w:p w14:paraId="4B6A048F">
            <w:pPr>
              <w:tabs>
                <w:tab w:val="left" w:pos="0"/>
              </w:tabs>
              <w:snapToGrid w:val="0"/>
              <w:spacing w:line="240" w:lineRule="exact"/>
              <w:jc w:val="center"/>
              <w:rPr>
                <w:rFonts w:ascii="Times New Roman" w:hAnsi="Times New Roman"/>
                <w:color w:val="auto"/>
                <w:szCs w:val="21"/>
                <w:highlight w:val="none"/>
              </w:rPr>
            </w:pPr>
            <w:r>
              <w:rPr>
                <w:rFonts w:hint="eastAsia" w:ascii="Times New Roman" w:hAnsi="Times New Roman"/>
                <w:color w:val="auto"/>
                <w:szCs w:val="21"/>
                <w:highlight w:val="none"/>
              </w:rPr>
              <w:t>2</w:t>
            </w:r>
          </w:p>
        </w:tc>
        <w:tc>
          <w:tcPr>
            <w:tcW w:w="2601" w:type="dxa"/>
            <w:tcBorders>
              <w:top w:val="single" w:color="000000" w:sz="4" w:space="0"/>
              <w:left w:val="single" w:color="000000" w:sz="4" w:space="0"/>
              <w:bottom w:val="single" w:color="000000" w:sz="4" w:space="0"/>
              <w:right w:val="single" w:color="000000" w:sz="4" w:space="0"/>
            </w:tcBorders>
            <w:vAlign w:val="center"/>
          </w:tcPr>
          <w:p w14:paraId="3D3DC275">
            <w:pPr>
              <w:snapToGrid w:val="0"/>
              <w:spacing w:line="240" w:lineRule="exact"/>
              <w:rPr>
                <w:rFonts w:hint="eastAsia" w:ascii="Times New Roman" w:hAnsi="Times New Roman" w:eastAsia="宋体"/>
                <w:color w:val="auto"/>
                <w:szCs w:val="21"/>
                <w:highlight w:val="none"/>
                <w:lang w:val="en-US" w:eastAsia="zh-CN"/>
              </w:rPr>
            </w:pPr>
            <w:r>
              <w:rPr>
                <w:rFonts w:ascii="Times New Roman" w:hAnsi="Times New Roman"/>
                <w:color w:val="auto"/>
                <w:szCs w:val="21"/>
                <w:highlight w:val="none"/>
              </w:rPr>
              <w:t>排土场</w:t>
            </w:r>
            <w:r>
              <w:rPr>
                <w:rFonts w:hint="eastAsia" w:ascii="Times New Roman" w:hAnsi="Times New Roman"/>
                <w:color w:val="auto"/>
                <w:szCs w:val="21"/>
                <w:highlight w:val="none"/>
              </w:rPr>
              <w:t>占地面积为5546</w:t>
            </w:r>
            <w:r>
              <w:rPr>
                <w:rFonts w:hint="eastAsia" w:ascii="Times New Roman" w:hAnsi="Times New Roman"/>
                <w:color w:val="auto"/>
                <w:szCs w:val="21"/>
                <w:highlight w:val="none"/>
                <w:lang w:val="en-US" w:eastAsia="zh-CN"/>
              </w:rPr>
              <w:t>m</w:t>
            </w:r>
            <w:r>
              <w:rPr>
                <w:rFonts w:hint="eastAsia" w:ascii="Times New Roman" w:hAnsi="Times New Roman"/>
                <w:color w:val="auto"/>
                <w:szCs w:val="21"/>
                <w:highlight w:val="none"/>
                <w:vertAlign w:val="superscript"/>
                <w:lang w:val="en-US" w:eastAsia="zh-CN"/>
              </w:rPr>
              <w:t>2</w:t>
            </w:r>
          </w:p>
        </w:tc>
        <w:tc>
          <w:tcPr>
            <w:tcW w:w="2125" w:type="dxa"/>
            <w:tcBorders>
              <w:top w:val="single" w:color="000000" w:sz="4" w:space="0"/>
              <w:left w:val="single" w:color="000000" w:sz="4" w:space="0"/>
              <w:bottom w:val="single" w:color="000000" w:sz="4" w:space="0"/>
              <w:right w:val="single" w:color="000000" w:sz="4" w:space="0"/>
            </w:tcBorders>
            <w:vAlign w:val="center"/>
          </w:tcPr>
          <w:p w14:paraId="0559DA8C">
            <w:pPr>
              <w:snapToGrid w:val="0"/>
              <w:spacing w:line="240" w:lineRule="exact"/>
              <w:jc w:val="center"/>
              <w:rPr>
                <w:rFonts w:ascii="Times New Roman" w:hAnsi="Times New Roman"/>
                <w:color w:val="auto"/>
                <w:szCs w:val="21"/>
                <w:highlight w:val="none"/>
              </w:rPr>
            </w:pPr>
            <w:r>
              <w:rPr>
                <w:rFonts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vAlign w:val="center"/>
          </w:tcPr>
          <w:p w14:paraId="6321F0BE">
            <w:pPr>
              <w:snapToGrid w:val="0"/>
              <w:rPr>
                <w:rFonts w:hint="eastAsia" w:ascii="Times New Roman" w:hAnsi="Times New Roman" w:eastAsia="宋体"/>
                <w:color w:val="auto"/>
                <w:szCs w:val="21"/>
                <w:highlight w:val="none"/>
                <w:lang w:eastAsia="zh-CN"/>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281D9898">
            <w:pPr>
              <w:snapToGrid w:val="0"/>
              <w:spacing w:line="240" w:lineRule="exact"/>
              <w:jc w:val="center"/>
              <w:rPr>
                <w:rFonts w:ascii="Times New Roman" w:hAnsi="Times New Roman"/>
                <w:color w:val="auto"/>
                <w:szCs w:val="21"/>
                <w:highlight w:val="none"/>
              </w:rPr>
            </w:pPr>
            <w:r>
              <w:rPr>
                <w:rFonts w:ascii="Times New Roman" w:hAnsi="Times New Roman"/>
                <w:color w:val="auto"/>
                <w:szCs w:val="21"/>
                <w:highlight w:val="none"/>
              </w:rPr>
              <w:t>符合</w:t>
            </w:r>
          </w:p>
          <w:p w14:paraId="1273C475">
            <w:pPr>
              <w:snapToGrid w:val="0"/>
              <w:spacing w:line="240" w:lineRule="exact"/>
              <w:jc w:val="center"/>
              <w:rPr>
                <w:rFonts w:ascii="Times New Roman" w:hAnsi="Times New Roman"/>
                <w:color w:val="auto"/>
                <w:szCs w:val="21"/>
                <w:highlight w:val="none"/>
              </w:rPr>
            </w:pPr>
            <w:r>
              <w:rPr>
                <w:rFonts w:ascii="Times New Roman" w:hAnsi="Times New Roman"/>
                <w:color w:val="auto"/>
                <w:szCs w:val="21"/>
                <w:highlight w:val="none"/>
              </w:rPr>
              <w:t>要求</w:t>
            </w:r>
          </w:p>
        </w:tc>
      </w:tr>
      <w:tr w14:paraId="74439A44">
        <w:trPr>
          <w:cantSplit/>
          <w:trHeight w:val="1008" w:hRule="atLeast"/>
          <w:tblHeader/>
        </w:trPr>
        <w:tc>
          <w:tcPr>
            <w:tcW w:w="679" w:type="dxa"/>
            <w:tcBorders>
              <w:top w:val="single" w:color="000000" w:sz="4" w:space="0"/>
              <w:left w:val="single" w:color="000000" w:sz="4" w:space="0"/>
              <w:bottom w:val="single" w:color="000000" w:sz="4" w:space="0"/>
              <w:right w:val="single" w:color="000000" w:sz="4" w:space="0"/>
            </w:tcBorders>
            <w:vAlign w:val="center"/>
          </w:tcPr>
          <w:p w14:paraId="21974CB9">
            <w:pPr>
              <w:tabs>
                <w:tab w:val="left" w:pos="0"/>
              </w:tabs>
              <w:snapToGrid w:val="0"/>
              <w:spacing w:line="240" w:lineRule="exact"/>
              <w:jc w:val="center"/>
              <w:rPr>
                <w:rFonts w:ascii="Times New Roman" w:hAnsi="Times New Roman"/>
                <w:color w:val="auto"/>
                <w:szCs w:val="21"/>
                <w:highlight w:val="none"/>
              </w:rPr>
            </w:pPr>
            <w:r>
              <w:rPr>
                <w:rFonts w:hint="eastAsia" w:ascii="Times New Roman" w:hAnsi="Times New Roman"/>
                <w:color w:val="auto"/>
                <w:szCs w:val="21"/>
                <w:highlight w:val="none"/>
              </w:rPr>
              <w:t>3</w:t>
            </w:r>
          </w:p>
        </w:tc>
        <w:tc>
          <w:tcPr>
            <w:tcW w:w="2601" w:type="dxa"/>
            <w:tcBorders>
              <w:top w:val="single" w:color="000000" w:sz="4" w:space="0"/>
              <w:left w:val="single" w:color="000000" w:sz="4" w:space="0"/>
              <w:bottom w:val="single" w:color="000000" w:sz="4" w:space="0"/>
              <w:right w:val="single" w:color="000000" w:sz="4" w:space="0"/>
            </w:tcBorders>
            <w:vAlign w:val="center"/>
          </w:tcPr>
          <w:p w14:paraId="44670948">
            <w:pPr>
              <w:snapToGrid w:val="0"/>
              <w:spacing w:line="240" w:lineRule="exact"/>
              <w:jc w:val="center"/>
              <w:rPr>
                <w:rFonts w:ascii="Times New Roman" w:hAnsi="Times New Roman"/>
                <w:color w:val="auto"/>
                <w:szCs w:val="21"/>
                <w:highlight w:val="none"/>
              </w:rPr>
            </w:pPr>
            <w:r>
              <w:rPr>
                <w:rFonts w:ascii="Times New Roman Regular" w:hAnsi="Times New Roman Regular" w:eastAsia="宋体" w:cs="Times New Roman Regular"/>
                <w:color w:val="auto"/>
                <w:szCs w:val="21"/>
                <w:highlight w:val="none"/>
              </w:rPr>
              <w:t>排土场</w:t>
            </w:r>
            <w:r>
              <w:rPr>
                <w:rFonts w:hint="eastAsia" w:ascii="Times New Roman Regular" w:hAnsi="Times New Roman Regular" w:eastAsia="宋体" w:cs="Times New Roman Regular"/>
                <w:color w:val="auto"/>
                <w:szCs w:val="21"/>
                <w:highlight w:val="none"/>
              </w:rPr>
              <w:t>堆置边坡角35°</w:t>
            </w:r>
          </w:p>
        </w:tc>
        <w:tc>
          <w:tcPr>
            <w:tcW w:w="2125" w:type="dxa"/>
            <w:tcBorders>
              <w:top w:val="single" w:color="000000" w:sz="4" w:space="0"/>
              <w:left w:val="single" w:color="000000" w:sz="4" w:space="0"/>
              <w:bottom w:val="single" w:color="000000" w:sz="4" w:space="0"/>
              <w:right w:val="single" w:color="000000" w:sz="4" w:space="0"/>
            </w:tcBorders>
            <w:vAlign w:val="center"/>
          </w:tcPr>
          <w:p w14:paraId="3FDBF236">
            <w:pPr>
              <w:snapToGrid w:val="0"/>
              <w:spacing w:line="240" w:lineRule="exact"/>
              <w:jc w:val="center"/>
              <w:rPr>
                <w:rFonts w:ascii="Times New Roman" w:hAnsi="Times New Roman"/>
                <w:color w:val="auto"/>
                <w:szCs w:val="21"/>
                <w:highlight w:val="none"/>
              </w:rPr>
            </w:pPr>
            <w:r>
              <w:rPr>
                <w:rFonts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vAlign w:val="center"/>
          </w:tcPr>
          <w:p w14:paraId="73E7E066">
            <w:pPr>
              <w:snapToGrid w:val="0"/>
              <w:rPr>
                <w:rFonts w:hint="eastAsia" w:ascii="Times New Roman" w:hAnsi="Times New Roman" w:eastAsia="宋体"/>
                <w:color w:val="auto"/>
                <w:szCs w:val="21"/>
                <w:highlight w:val="none"/>
                <w:lang w:eastAsia="zh-CN"/>
              </w:rPr>
            </w:pPr>
          </w:p>
        </w:tc>
        <w:tc>
          <w:tcPr>
            <w:tcW w:w="804" w:type="dxa"/>
            <w:tcBorders>
              <w:top w:val="single" w:color="000000" w:sz="4" w:space="0"/>
              <w:left w:val="single" w:color="000000" w:sz="4" w:space="0"/>
              <w:bottom w:val="single" w:color="000000" w:sz="4" w:space="0"/>
              <w:right w:val="single" w:color="000000" w:sz="4" w:space="0"/>
            </w:tcBorders>
            <w:vAlign w:val="center"/>
          </w:tcPr>
          <w:p w14:paraId="2198A0A4">
            <w:pPr>
              <w:snapToGrid w:val="0"/>
              <w:spacing w:line="240" w:lineRule="exact"/>
              <w:jc w:val="center"/>
              <w:rPr>
                <w:rFonts w:ascii="Times New Roman" w:hAnsi="Times New Roman"/>
                <w:color w:val="auto"/>
                <w:szCs w:val="21"/>
                <w:highlight w:val="none"/>
              </w:rPr>
            </w:pPr>
            <w:r>
              <w:rPr>
                <w:rFonts w:ascii="Times New Roman" w:hAnsi="Times New Roman"/>
                <w:color w:val="auto"/>
                <w:szCs w:val="21"/>
                <w:highlight w:val="none"/>
              </w:rPr>
              <w:t>符合</w:t>
            </w:r>
          </w:p>
          <w:p w14:paraId="77578985">
            <w:pPr>
              <w:snapToGrid w:val="0"/>
              <w:spacing w:line="240" w:lineRule="exact"/>
              <w:jc w:val="center"/>
              <w:rPr>
                <w:rFonts w:ascii="Times New Roman" w:hAnsi="Times New Roman"/>
                <w:color w:val="auto"/>
                <w:szCs w:val="21"/>
                <w:highlight w:val="none"/>
              </w:rPr>
            </w:pPr>
            <w:r>
              <w:rPr>
                <w:rFonts w:ascii="Times New Roman" w:hAnsi="Times New Roman"/>
                <w:color w:val="auto"/>
                <w:szCs w:val="21"/>
                <w:highlight w:val="none"/>
              </w:rPr>
              <w:t>要求</w:t>
            </w:r>
          </w:p>
        </w:tc>
      </w:tr>
    </w:tbl>
    <w:p w14:paraId="1BD9B8BF">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0A9129BE">
      <w:pPr>
        <w:snapToGrid w:val="0"/>
        <w:spacing w:line="360" w:lineRule="auto"/>
        <w:ind w:firstLine="560" w:firstLineChars="200"/>
        <w:rPr>
          <w:rFonts w:ascii="Times New Roman" w:hAnsi="Times New Roman"/>
          <w:color w:val="auto"/>
          <w:sz w:val="28"/>
          <w:szCs w:val="28"/>
          <w:highlight w:val="none"/>
        </w:rPr>
      </w:pPr>
      <w:r>
        <w:rPr>
          <w:rFonts w:ascii="Times New Roman" w:hAnsi="Times New Roman"/>
          <w:color w:val="auto"/>
          <w:sz w:val="28"/>
          <w:szCs w:val="28"/>
          <w:highlight w:val="none"/>
        </w:rPr>
        <w:t>对该项目的排土场单元通过检查表的</w:t>
      </w:r>
      <w:r>
        <w:rPr>
          <w:rFonts w:hint="eastAsia" w:ascii="Times New Roman" w:hAnsi="Times New Roman"/>
          <w:color w:val="auto"/>
          <w:sz w:val="28"/>
          <w:szCs w:val="28"/>
          <w:highlight w:val="none"/>
          <w:lang w:val="en-US" w:eastAsia="zh-CN"/>
        </w:rPr>
        <w:t>3</w:t>
      </w:r>
      <w:r>
        <w:rPr>
          <w:rFonts w:ascii="Times New Roman" w:hAnsi="Times New Roman"/>
          <w:color w:val="auto"/>
          <w:sz w:val="28"/>
          <w:szCs w:val="28"/>
          <w:highlight w:val="none"/>
        </w:rPr>
        <w:t>项检查中，均符合要求。检查结果表明，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w:t>
      </w:r>
      <w:r>
        <w:rPr>
          <w:rFonts w:ascii="Times New Roman" w:hAnsi="Times New Roman"/>
          <w:color w:val="auto"/>
          <w:sz w:val="28"/>
          <w:szCs w:val="28"/>
          <w:highlight w:val="none"/>
        </w:rPr>
        <w:t>排土场符合设计要求，能够满足安全生产条件。</w:t>
      </w:r>
    </w:p>
    <w:p w14:paraId="7DFB13E5">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18" w:name="_Toc86052395"/>
      <w:bookmarkStart w:id="119" w:name="_Toc26917"/>
      <w:bookmarkStart w:id="120" w:name="_Toc14205"/>
      <w:bookmarkStart w:id="121" w:name="_Toc1681613567"/>
      <w:bookmarkStart w:id="122" w:name="_Toc29686"/>
      <w:r>
        <w:rPr>
          <w:rFonts w:ascii="Times New Roman Regular" w:hAnsi="Times New Roman Regular" w:eastAsia="黑体" w:cs="Times New Roman Regular"/>
          <w:color w:val="auto"/>
          <w:sz w:val="30"/>
          <w:highlight w:val="none"/>
        </w:rPr>
        <w:t>3.7通信系统</w:t>
      </w:r>
      <w:bookmarkEnd w:id="118"/>
      <w:bookmarkEnd w:id="119"/>
      <w:bookmarkEnd w:id="120"/>
      <w:bookmarkEnd w:id="121"/>
      <w:bookmarkEnd w:id="122"/>
    </w:p>
    <w:p w14:paraId="24372909">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对通信系统采用安全检查表法对该项目通信系统单元进行评价，详见表3.7-1。</w:t>
      </w:r>
    </w:p>
    <w:p w14:paraId="732E0706">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7</w:t>
      </w:r>
      <w:r>
        <w:rPr>
          <w:rFonts w:ascii="黑体" w:hAnsi="黑体" w:eastAsia="黑体" w:cs="黑体"/>
          <w:bCs/>
          <w:color w:val="auto"/>
          <w:sz w:val="24"/>
          <w:highlight w:val="none"/>
          <w:lang w:val="zh-CN"/>
        </w:rPr>
        <w:t>-1 通信系统安全检查表</w:t>
      </w:r>
    </w:p>
    <w:tbl>
      <w:tblPr>
        <w:tblStyle w:val="14"/>
        <w:tblW w:w="4950" w:type="pct"/>
        <w:tblInd w:w="-10" w:type="dxa"/>
        <w:tblLayout w:type="fixed"/>
        <w:tblCellMar>
          <w:top w:w="0" w:type="dxa"/>
          <w:left w:w="108" w:type="dxa"/>
          <w:bottom w:w="0" w:type="dxa"/>
          <w:right w:w="108" w:type="dxa"/>
        </w:tblCellMar>
      </w:tblPr>
      <w:tblGrid>
        <w:gridCol w:w="656"/>
        <w:gridCol w:w="2608"/>
        <w:gridCol w:w="2143"/>
        <w:gridCol w:w="2214"/>
        <w:gridCol w:w="816"/>
      </w:tblGrid>
      <w:tr w14:paraId="243CAE81">
        <w:trPr>
          <w:cantSplit/>
          <w:trHeight w:val="529" w:hRule="exact"/>
          <w:tblHeader/>
        </w:trPr>
        <w:tc>
          <w:tcPr>
            <w:tcW w:w="656" w:type="dxa"/>
            <w:tcBorders>
              <w:top w:val="single" w:color="000000" w:sz="4" w:space="0"/>
              <w:left w:val="single" w:color="000000" w:sz="4" w:space="0"/>
              <w:bottom w:val="single" w:color="000000" w:sz="4" w:space="0"/>
              <w:right w:val="single" w:color="000000" w:sz="4" w:space="0"/>
            </w:tcBorders>
            <w:vAlign w:val="center"/>
          </w:tcPr>
          <w:p w14:paraId="47D05954">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序号</w:t>
            </w:r>
          </w:p>
        </w:tc>
        <w:tc>
          <w:tcPr>
            <w:tcW w:w="2608" w:type="dxa"/>
            <w:tcBorders>
              <w:top w:val="single" w:color="000000" w:sz="4" w:space="0"/>
              <w:left w:val="single" w:color="000000" w:sz="4" w:space="0"/>
              <w:bottom w:val="single" w:color="000000" w:sz="4" w:space="0"/>
              <w:right w:val="single" w:color="000000" w:sz="4" w:space="0"/>
            </w:tcBorders>
            <w:vAlign w:val="center"/>
          </w:tcPr>
          <w:p w14:paraId="1EFFD7F0">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检查内容</w:t>
            </w:r>
          </w:p>
        </w:tc>
        <w:tc>
          <w:tcPr>
            <w:tcW w:w="2143" w:type="dxa"/>
            <w:tcBorders>
              <w:top w:val="single" w:color="000000" w:sz="4" w:space="0"/>
              <w:left w:val="single" w:color="000000" w:sz="4" w:space="0"/>
              <w:bottom w:val="single" w:color="000000" w:sz="4" w:space="0"/>
              <w:right w:val="single" w:color="000000" w:sz="4" w:space="0"/>
            </w:tcBorders>
            <w:vAlign w:val="center"/>
          </w:tcPr>
          <w:p w14:paraId="580BE5A8">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检查依据</w:t>
            </w:r>
          </w:p>
        </w:tc>
        <w:tc>
          <w:tcPr>
            <w:tcW w:w="2214" w:type="dxa"/>
            <w:tcBorders>
              <w:top w:val="single" w:color="000000" w:sz="4" w:space="0"/>
              <w:left w:val="single" w:color="000000" w:sz="4" w:space="0"/>
              <w:bottom w:val="single" w:color="000000" w:sz="4" w:space="0"/>
              <w:right w:val="single" w:color="000000" w:sz="4" w:space="0"/>
            </w:tcBorders>
            <w:vAlign w:val="center"/>
          </w:tcPr>
          <w:p w14:paraId="5B764535">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事实记录</w:t>
            </w:r>
          </w:p>
        </w:tc>
        <w:tc>
          <w:tcPr>
            <w:tcW w:w="816" w:type="dxa"/>
            <w:tcBorders>
              <w:top w:val="single" w:color="000000" w:sz="4" w:space="0"/>
              <w:left w:val="single" w:color="000000" w:sz="4" w:space="0"/>
              <w:bottom w:val="single" w:color="000000" w:sz="4" w:space="0"/>
              <w:right w:val="single" w:color="000000" w:sz="4" w:space="0"/>
            </w:tcBorders>
            <w:vAlign w:val="center"/>
          </w:tcPr>
          <w:p w14:paraId="6349E0A9">
            <w:pPr>
              <w:snapToGrid w:val="0"/>
              <w:spacing w:line="240" w:lineRule="exact"/>
              <w:jc w:val="center"/>
              <w:rPr>
                <w:rFonts w:ascii="Times New Roman Regular" w:hAnsi="Times New Roman Regular" w:cs="Times New Roman Regular"/>
                <w:color w:val="auto"/>
                <w:highlight w:val="none"/>
              </w:rPr>
            </w:pPr>
            <w:r>
              <w:rPr>
                <w:rFonts w:ascii="Times New Roman Regular" w:hAnsi="Times New Roman Regular" w:cs="Times New Roman Regular"/>
                <w:b/>
                <w:bCs/>
                <w:color w:val="auto"/>
                <w:szCs w:val="21"/>
                <w:highlight w:val="none"/>
              </w:rPr>
              <w:t>结论</w:t>
            </w:r>
          </w:p>
        </w:tc>
      </w:tr>
      <w:tr w14:paraId="6BB2F0ED">
        <w:trPr>
          <w:cantSplit/>
          <w:trHeight w:val="1158" w:hRule="exact"/>
        </w:trPr>
        <w:tc>
          <w:tcPr>
            <w:tcW w:w="656" w:type="dxa"/>
            <w:tcBorders>
              <w:top w:val="single" w:color="000000" w:sz="4" w:space="0"/>
              <w:left w:val="single" w:color="000000" w:sz="4" w:space="0"/>
              <w:bottom w:val="single" w:color="000000" w:sz="4" w:space="0"/>
              <w:right w:val="single" w:color="000000" w:sz="4" w:space="0"/>
            </w:tcBorders>
            <w:vAlign w:val="center"/>
          </w:tcPr>
          <w:p w14:paraId="46FF4F0C">
            <w:pPr>
              <w:numPr>
                <w:ilvl w:val="0"/>
                <w:numId w:val="10"/>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4B886470">
            <w:pPr>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矿区通讯依靠工人随身携带的移动通讯设备</w:t>
            </w:r>
            <w:r>
              <w:rPr>
                <w:rFonts w:hint="eastAsia" w:ascii="Times New Roman Regular" w:hAnsi="Times New Roman Regular" w:cs="Times New Roman Regular"/>
                <w:color w:val="auto"/>
                <w:highlight w:val="none"/>
              </w:rPr>
              <w:t>。</w:t>
            </w:r>
          </w:p>
        </w:tc>
        <w:tc>
          <w:tcPr>
            <w:tcW w:w="2143" w:type="dxa"/>
            <w:tcBorders>
              <w:top w:val="single" w:color="000000" w:sz="4" w:space="0"/>
              <w:left w:val="single" w:color="000000" w:sz="4" w:space="0"/>
              <w:bottom w:val="single" w:color="000000" w:sz="4" w:space="0"/>
              <w:right w:val="single" w:color="000000" w:sz="4" w:space="0"/>
            </w:tcBorders>
            <w:vAlign w:val="center"/>
          </w:tcPr>
          <w:p w14:paraId="4A81F7CD">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《安全设施设计》</w:t>
            </w:r>
          </w:p>
        </w:tc>
        <w:tc>
          <w:tcPr>
            <w:tcW w:w="2214" w:type="dxa"/>
            <w:tcBorders>
              <w:top w:val="single" w:color="000000" w:sz="4" w:space="0"/>
              <w:left w:val="single" w:color="000000" w:sz="4" w:space="0"/>
              <w:bottom w:val="single" w:color="000000" w:sz="4" w:space="0"/>
              <w:right w:val="single" w:color="000000" w:sz="4" w:space="0"/>
            </w:tcBorders>
            <w:vAlign w:val="center"/>
          </w:tcPr>
          <w:p w14:paraId="770C4883">
            <w:pPr>
              <w:rPr>
                <w:rFonts w:ascii="Times New Roman Regular" w:hAnsi="Times New Roman Regular" w:cs="Times New Roman Regular"/>
                <w:color w:val="auto"/>
                <w:highlight w:val="none"/>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2D46D003">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10A6D7D6">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要求</w:t>
            </w:r>
          </w:p>
        </w:tc>
      </w:tr>
      <w:tr w14:paraId="102228A7">
        <w:trPr>
          <w:cantSplit/>
          <w:trHeight w:val="1073" w:hRule="exact"/>
        </w:trPr>
        <w:tc>
          <w:tcPr>
            <w:tcW w:w="656" w:type="dxa"/>
            <w:tcBorders>
              <w:top w:val="single" w:color="000000" w:sz="4" w:space="0"/>
              <w:left w:val="single" w:color="000000" w:sz="4" w:space="0"/>
              <w:bottom w:val="single" w:color="000000" w:sz="4" w:space="0"/>
              <w:right w:val="single" w:color="000000" w:sz="4" w:space="0"/>
            </w:tcBorders>
            <w:vAlign w:val="center"/>
          </w:tcPr>
          <w:p w14:paraId="4AD1992D">
            <w:pPr>
              <w:numPr>
                <w:ilvl w:val="0"/>
                <w:numId w:val="10"/>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65EE2E89">
            <w:pPr>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设计</w:t>
            </w:r>
            <w:r>
              <w:rPr>
                <w:rFonts w:hint="eastAsia" w:ascii="Times New Roman Regular" w:hAnsi="Times New Roman Regular" w:cs="Times New Roman Regular"/>
                <w:color w:val="auto"/>
                <w:highlight w:val="none"/>
              </w:rPr>
              <w:t>在</w:t>
            </w:r>
            <w:r>
              <w:rPr>
                <w:rFonts w:ascii="Times New Roman Regular" w:hAnsi="Times New Roman Regular" w:cs="Times New Roman Regular"/>
                <w:color w:val="auto"/>
                <w:highlight w:val="none"/>
              </w:rPr>
              <w:t>矿区范围内</w:t>
            </w:r>
            <w:r>
              <w:rPr>
                <w:rFonts w:hint="eastAsia" w:ascii="Times New Roman Regular" w:hAnsi="Times New Roman Regular" w:cs="Times New Roman Regular"/>
                <w:color w:val="auto"/>
                <w:highlight w:val="none"/>
              </w:rPr>
              <w:t>中间较高、不受遮挡的位置</w:t>
            </w:r>
            <w:r>
              <w:rPr>
                <w:rFonts w:ascii="Times New Roman Regular" w:hAnsi="Times New Roman Regular" w:cs="Times New Roman Regular"/>
                <w:color w:val="auto"/>
                <w:highlight w:val="none"/>
              </w:rPr>
              <w:t>布置</w:t>
            </w:r>
            <w:r>
              <w:rPr>
                <w:rFonts w:hint="eastAsia" w:ascii="Times New Roman Regular" w:hAnsi="Times New Roman Regular" w:cs="Times New Roman Regular"/>
                <w:color w:val="auto"/>
                <w:highlight w:val="none"/>
              </w:rPr>
              <w:t>一个</w:t>
            </w:r>
            <w:r>
              <w:rPr>
                <w:rFonts w:ascii="Times New Roman Regular" w:hAnsi="Times New Roman Regular" w:cs="Times New Roman Regular"/>
                <w:color w:val="auto"/>
                <w:highlight w:val="none"/>
              </w:rPr>
              <w:t>扩声器</w:t>
            </w:r>
            <w:r>
              <w:rPr>
                <w:rFonts w:hint="eastAsia" w:ascii="Times New Roman Regular" w:hAnsi="Times New Roman Regular" w:cs="Times New Roman Regular"/>
                <w:color w:val="auto"/>
                <w:highlight w:val="none"/>
              </w:rPr>
              <w:t>。</w:t>
            </w:r>
          </w:p>
        </w:tc>
        <w:tc>
          <w:tcPr>
            <w:tcW w:w="2143" w:type="dxa"/>
            <w:tcBorders>
              <w:top w:val="single" w:color="000000" w:sz="4" w:space="0"/>
              <w:left w:val="single" w:color="000000" w:sz="4" w:space="0"/>
              <w:bottom w:val="single" w:color="000000" w:sz="4" w:space="0"/>
              <w:right w:val="single" w:color="000000" w:sz="4" w:space="0"/>
            </w:tcBorders>
            <w:vAlign w:val="center"/>
          </w:tcPr>
          <w:p w14:paraId="7D7C19C7">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214" w:type="dxa"/>
            <w:tcBorders>
              <w:top w:val="single" w:color="000000" w:sz="4" w:space="0"/>
              <w:left w:val="single" w:color="000000" w:sz="4" w:space="0"/>
              <w:bottom w:val="single" w:color="000000" w:sz="4" w:space="0"/>
              <w:right w:val="single" w:color="000000" w:sz="4" w:space="0"/>
            </w:tcBorders>
            <w:vAlign w:val="center"/>
          </w:tcPr>
          <w:p w14:paraId="1CF5E999">
            <w:pPr>
              <w:rPr>
                <w:rFonts w:ascii="Times New Roman Regular" w:hAnsi="Times New Roman Regular" w:cs="Times New Roman Regular"/>
                <w:color w:val="auto"/>
                <w:highlight w:val="none"/>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210F4144">
            <w:pPr>
              <w:jc w:val="center"/>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符合</w:t>
            </w:r>
          </w:p>
          <w:p w14:paraId="61478765">
            <w:pPr>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097E44EB">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4C26B254">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通过对通信系统单元的</w:t>
      </w:r>
      <w:r>
        <w:rPr>
          <w:rFonts w:hint="eastAsia" w:ascii="Times New Roman Regular" w:hAnsi="Times New Roman Regular" w:cs="Times New Roman Regular"/>
          <w:color w:val="auto"/>
          <w:sz w:val="28"/>
          <w:szCs w:val="28"/>
          <w:highlight w:val="none"/>
        </w:rPr>
        <w:t>2</w:t>
      </w:r>
      <w:r>
        <w:rPr>
          <w:rFonts w:ascii="Times New Roman Regular" w:hAnsi="Times New Roman Regular" w:cs="Times New Roman Regular"/>
          <w:color w:val="auto"/>
          <w:sz w:val="28"/>
          <w:szCs w:val="28"/>
          <w:highlight w:val="none"/>
        </w:rPr>
        <w:t>项检查中，检查结果符合要求。检查结果表明，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（玻璃用石英岩）露天开采建设项目通信系统符合设计要求，满足矿山安全生产条件。</w:t>
      </w:r>
    </w:p>
    <w:p w14:paraId="03941AE2">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23" w:name="_Toc10229"/>
      <w:bookmarkStart w:id="124" w:name="_Toc1994426049"/>
      <w:bookmarkStart w:id="125" w:name="_Toc19064"/>
      <w:bookmarkStart w:id="126" w:name="_Toc27280"/>
      <w:bookmarkStart w:id="127" w:name="_Toc86052396"/>
      <w:r>
        <w:rPr>
          <w:rFonts w:ascii="Times New Roman Regular" w:hAnsi="Times New Roman Regular" w:eastAsia="黑体" w:cs="Times New Roman Regular"/>
          <w:color w:val="auto"/>
          <w:sz w:val="30"/>
          <w:highlight w:val="none"/>
        </w:rPr>
        <w:t>3.8个人安全防护</w:t>
      </w:r>
      <w:bookmarkEnd w:id="123"/>
      <w:bookmarkEnd w:id="124"/>
      <w:bookmarkEnd w:id="125"/>
      <w:bookmarkEnd w:id="126"/>
      <w:bookmarkEnd w:id="127"/>
    </w:p>
    <w:p w14:paraId="63D805D3">
      <w:pPr>
        <w:snapToGrid w:val="0"/>
        <w:spacing w:line="360" w:lineRule="auto"/>
        <w:ind w:firstLine="560" w:firstLineChars="200"/>
        <w:rPr>
          <w:rFonts w:ascii="Times New Roman Regular" w:hAnsi="Times New Roman Regular" w:cs="Times New Roman Regular"/>
          <w:color w:val="auto"/>
          <w:highlight w:val="none"/>
        </w:rPr>
      </w:pPr>
      <w:r>
        <w:rPr>
          <w:rFonts w:ascii="Times New Roman Regular" w:hAnsi="Times New Roman Regular" w:cs="Times New Roman Regular"/>
          <w:color w:val="auto"/>
          <w:sz w:val="28"/>
          <w:szCs w:val="28"/>
          <w:highlight w:val="none"/>
        </w:rPr>
        <w:t>对个人安全防护单元采用安全检查表法对该项目个人安全防护进行评价，详见表3.8-1。</w:t>
      </w:r>
    </w:p>
    <w:p w14:paraId="7164528E">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8</w:t>
      </w:r>
      <w:r>
        <w:rPr>
          <w:rFonts w:ascii="黑体" w:hAnsi="黑体" w:eastAsia="黑体" w:cs="黑体"/>
          <w:bCs/>
          <w:color w:val="auto"/>
          <w:sz w:val="24"/>
          <w:highlight w:val="none"/>
          <w:lang w:val="zh-CN"/>
        </w:rPr>
        <w:t>-1 个人安全防护安全检查表</w:t>
      </w:r>
    </w:p>
    <w:tbl>
      <w:tblPr>
        <w:tblStyle w:val="14"/>
        <w:tblW w:w="4950" w:type="pct"/>
        <w:tblInd w:w="-10" w:type="dxa"/>
        <w:tblLayout w:type="fixed"/>
        <w:tblCellMar>
          <w:top w:w="0" w:type="dxa"/>
          <w:left w:w="108" w:type="dxa"/>
          <w:bottom w:w="0" w:type="dxa"/>
          <w:right w:w="108" w:type="dxa"/>
        </w:tblCellMar>
      </w:tblPr>
      <w:tblGrid>
        <w:gridCol w:w="650"/>
        <w:gridCol w:w="2611"/>
        <w:gridCol w:w="2147"/>
        <w:gridCol w:w="2226"/>
        <w:gridCol w:w="803"/>
      </w:tblGrid>
      <w:tr w14:paraId="043D1F7C">
        <w:trPr>
          <w:cantSplit/>
          <w:trHeight w:val="495" w:hRule="atLeast"/>
          <w:tblHeader/>
        </w:trPr>
        <w:tc>
          <w:tcPr>
            <w:tcW w:w="650" w:type="dxa"/>
            <w:tcBorders>
              <w:top w:val="single" w:color="000000" w:sz="4" w:space="0"/>
              <w:left w:val="single" w:color="000000" w:sz="4" w:space="0"/>
              <w:bottom w:val="single" w:color="000000" w:sz="4" w:space="0"/>
              <w:right w:val="single" w:color="000000" w:sz="4" w:space="0"/>
            </w:tcBorders>
            <w:vAlign w:val="center"/>
          </w:tcPr>
          <w:p w14:paraId="30C008CC">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序号</w:t>
            </w:r>
          </w:p>
        </w:tc>
        <w:tc>
          <w:tcPr>
            <w:tcW w:w="2611" w:type="dxa"/>
            <w:tcBorders>
              <w:top w:val="single" w:color="000000" w:sz="4" w:space="0"/>
              <w:left w:val="single" w:color="000000" w:sz="4" w:space="0"/>
              <w:bottom w:val="single" w:color="000000" w:sz="4" w:space="0"/>
              <w:right w:val="single" w:color="000000" w:sz="4" w:space="0"/>
            </w:tcBorders>
            <w:vAlign w:val="center"/>
          </w:tcPr>
          <w:p w14:paraId="521E53A6">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检查内容</w:t>
            </w:r>
          </w:p>
        </w:tc>
        <w:tc>
          <w:tcPr>
            <w:tcW w:w="2147" w:type="dxa"/>
            <w:tcBorders>
              <w:top w:val="single" w:color="000000" w:sz="4" w:space="0"/>
              <w:left w:val="single" w:color="000000" w:sz="4" w:space="0"/>
              <w:bottom w:val="single" w:color="000000" w:sz="4" w:space="0"/>
              <w:right w:val="single" w:color="000000" w:sz="4" w:space="0"/>
            </w:tcBorders>
            <w:vAlign w:val="center"/>
          </w:tcPr>
          <w:p w14:paraId="707BE377">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依据标准</w:t>
            </w:r>
          </w:p>
        </w:tc>
        <w:tc>
          <w:tcPr>
            <w:tcW w:w="2226" w:type="dxa"/>
            <w:tcBorders>
              <w:top w:val="single" w:color="000000" w:sz="4" w:space="0"/>
              <w:left w:val="single" w:color="000000" w:sz="4" w:space="0"/>
              <w:bottom w:val="single" w:color="000000" w:sz="4" w:space="0"/>
              <w:right w:val="single" w:color="000000" w:sz="4" w:space="0"/>
            </w:tcBorders>
            <w:vAlign w:val="center"/>
          </w:tcPr>
          <w:p w14:paraId="5BD2361A">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事实记录</w:t>
            </w:r>
          </w:p>
        </w:tc>
        <w:tc>
          <w:tcPr>
            <w:tcW w:w="803" w:type="dxa"/>
            <w:tcBorders>
              <w:top w:val="single" w:color="000000" w:sz="4" w:space="0"/>
              <w:left w:val="single" w:color="000000" w:sz="4" w:space="0"/>
              <w:bottom w:val="single" w:color="000000" w:sz="4" w:space="0"/>
              <w:right w:val="single" w:color="000000" w:sz="4" w:space="0"/>
            </w:tcBorders>
            <w:vAlign w:val="center"/>
          </w:tcPr>
          <w:p w14:paraId="2A72769D">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结论</w:t>
            </w:r>
          </w:p>
        </w:tc>
      </w:tr>
      <w:tr w14:paraId="104DAB68">
        <w:trPr>
          <w:cantSplit/>
          <w:trHeight w:val="1268" w:hRule="atLeast"/>
        </w:trPr>
        <w:tc>
          <w:tcPr>
            <w:tcW w:w="650" w:type="dxa"/>
            <w:tcBorders>
              <w:top w:val="single" w:color="000000" w:sz="4" w:space="0"/>
              <w:left w:val="single" w:color="000000" w:sz="4" w:space="0"/>
              <w:bottom w:val="single" w:color="000000" w:sz="4" w:space="0"/>
              <w:right w:val="single" w:color="000000" w:sz="4" w:space="0"/>
            </w:tcBorders>
            <w:vAlign w:val="center"/>
          </w:tcPr>
          <w:p w14:paraId="37ED7F3C">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11" w:type="dxa"/>
            <w:tcBorders>
              <w:top w:val="single" w:color="000000" w:sz="4" w:space="0"/>
              <w:left w:val="single" w:color="000000" w:sz="4" w:space="0"/>
              <w:bottom w:val="single" w:color="000000" w:sz="4" w:space="0"/>
              <w:right w:val="single" w:color="000000" w:sz="4" w:space="0"/>
            </w:tcBorders>
            <w:vAlign w:val="center"/>
          </w:tcPr>
          <w:p w14:paraId="2D36FA90">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为现场作业人员配备安全帽、工作服、防尘口罩等防护用品。</w:t>
            </w:r>
          </w:p>
        </w:tc>
        <w:tc>
          <w:tcPr>
            <w:tcW w:w="2147" w:type="dxa"/>
            <w:tcBorders>
              <w:top w:val="single" w:color="000000" w:sz="4" w:space="0"/>
              <w:left w:val="single" w:color="000000" w:sz="4" w:space="0"/>
              <w:bottom w:val="single" w:color="000000" w:sz="4" w:space="0"/>
              <w:right w:val="single" w:color="000000" w:sz="4" w:space="0"/>
            </w:tcBorders>
            <w:vAlign w:val="center"/>
          </w:tcPr>
          <w:p w14:paraId="31373104">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226" w:type="dxa"/>
            <w:tcBorders>
              <w:top w:val="single" w:color="000000" w:sz="4" w:space="0"/>
              <w:left w:val="single" w:color="000000" w:sz="4" w:space="0"/>
              <w:bottom w:val="single" w:color="000000" w:sz="4" w:space="0"/>
              <w:right w:val="single" w:color="000000" w:sz="4" w:space="0"/>
            </w:tcBorders>
            <w:vAlign w:val="center"/>
          </w:tcPr>
          <w:p w14:paraId="2D6043F7">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611C2894">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46AD77B0">
        <w:trPr>
          <w:cantSplit/>
          <w:trHeight w:val="1622" w:hRule="exact"/>
        </w:trPr>
        <w:tc>
          <w:tcPr>
            <w:tcW w:w="650" w:type="dxa"/>
            <w:tcBorders>
              <w:top w:val="single" w:color="000000" w:sz="4" w:space="0"/>
              <w:left w:val="single" w:color="000000" w:sz="4" w:space="0"/>
              <w:bottom w:val="single" w:color="000000" w:sz="4" w:space="0"/>
              <w:right w:val="single" w:color="000000" w:sz="4" w:space="0"/>
            </w:tcBorders>
            <w:vAlign w:val="center"/>
          </w:tcPr>
          <w:p w14:paraId="0EB56F01">
            <w:pPr>
              <w:numPr>
                <w:ilvl w:val="0"/>
                <w:numId w:val="11"/>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611" w:type="dxa"/>
            <w:tcBorders>
              <w:top w:val="single" w:color="000000" w:sz="4" w:space="0"/>
              <w:left w:val="single" w:color="000000" w:sz="4" w:space="0"/>
              <w:bottom w:val="single" w:color="000000" w:sz="4" w:space="0"/>
              <w:right w:val="single" w:color="000000" w:sz="4" w:space="0"/>
            </w:tcBorders>
            <w:vAlign w:val="center"/>
          </w:tcPr>
          <w:p w14:paraId="61703202">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为作业人员配备符合国家标准或行业标准要求的劳动防护用品。</w:t>
            </w:r>
          </w:p>
        </w:tc>
        <w:tc>
          <w:tcPr>
            <w:tcW w:w="2147" w:type="dxa"/>
            <w:tcBorders>
              <w:top w:val="single" w:color="000000" w:sz="4" w:space="0"/>
              <w:left w:val="single" w:color="000000" w:sz="4" w:space="0"/>
              <w:bottom w:val="single" w:color="000000" w:sz="4" w:space="0"/>
              <w:right w:val="single" w:color="000000" w:sz="4" w:space="0"/>
            </w:tcBorders>
            <w:vAlign w:val="center"/>
          </w:tcPr>
          <w:p w14:paraId="283B5CDB">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226" w:type="dxa"/>
            <w:tcBorders>
              <w:top w:val="single" w:color="000000" w:sz="4" w:space="0"/>
              <w:left w:val="single" w:color="000000" w:sz="4" w:space="0"/>
              <w:bottom w:val="single" w:color="000000" w:sz="4" w:space="0"/>
              <w:right w:val="single" w:color="000000" w:sz="4" w:space="0"/>
            </w:tcBorders>
            <w:vAlign w:val="center"/>
          </w:tcPr>
          <w:p w14:paraId="08660724">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4D2CB1C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bl>
    <w:p w14:paraId="07D56499">
      <w:pPr>
        <w:spacing w:line="360" w:lineRule="auto"/>
        <w:ind w:firstLine="573"/>
        <w:rPr>
          <w:rFonts w:ascii="Times New Roman Regular" w:hAnsi="Times New Roman Regular" w:cs="Times New Roman Regular"/>
          <w:bCs/>
          <w:color w:val="auto"/>
          <w:kern w:val="0"/>
          <w:sz w:val="28"/>
          <w:szCs w:val="28"/>
          <w:highlight w:val="none"/>
        </w:rPr>
      </w:pPr>
      <w:bookmarkStart w:id="128" w:name="_Toc86052397"/>
      <w:bookmarkStart w:id="129" w:name="_Toc30097"/>
      <w:bookmarkStart w:id="130" w:name="_Toc22696"/>
      <w:bookmarkStart w:id="131" w:name="_Toc5257"/>
      <w:r>
        <w:rPr>
          <w:rFonts w:ascii="Times New Roman Regular" w:hAnsi="Times New Roman Regular" w:cs="Times New Roman Regular"/>
          <w:bCs/>
          <w:color w:val="auto"/>
          <w:kern w:val="0"/>
          <w:sz w:val="28"/>
          <w:szCs w:val="28"/>
          <w:highlight w:val="none"/>
        </w:rPr>
        <w:t>评价单元小结：</w:t>
      </w:r>
    </w:p>
    <w:p w14:paraId="2080E3E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通过对个人安全防护单元的2项检查中，均符合要求。检查结果表明，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（玻璃用石英岩）露天开采建设项目矿山个人安全防护单元符合设计要求，能够满足矿山安全生产条件。</w:t>
      </w:r>
    </w:p>
    <w:p w14:paraId="0BB3CFBD">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32" w:name="_Toc246359520"/>
      <w:r>
        <w:rPr>
          <w:rFonts w:ascii="Times New Roman Regular" w:hAnsi="Times New Roman Regular" w:eastAsia="黑体" w:cs="Times New Roman Regular"/>
          <w:color w:val="auto"/>
          <w:sz w:val="30"/>
          <w:highlight w:val="none"/>
        </w:rPr>
        <w:t>3.9安全标志</w:t>
      </w:r>
      <w:bookmarkEnd w:id="128"/>
      <w:bookmarkEnd w:id="129"/>
      <w:bookmarkEnd w:id="130"/>
      <w:bookmarkEnd w:id="131"/>
      <w:bookmarkEnd w:id="132"/>
    </w:p>
    <w:p w14:paraId="0C354FB1">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对安全标志单元采用安全检查表法对该项目安全标志进行评价，详见表3.9-1。</w:t>
      </w:r>
    </w:p>
    <w:p w14:paraId="743EFE75">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9</w:t>
      </w:r>
      <w:r>
        <w:rPr>
          <w:rFonts w:ascii="黑体" w:hAnsi="黑体" w:eastAsia="黑体" w:cs="黑体"/>
          <w:bCs/>
          <w:color w:val="auto"/>
          <w:sz w:val="24"/>
          <w:highlight w:val="none"/>
          <w:lang w:val="zh-CN"/>
        </w:rPr>
        <w:t>-1 安全标志安全检查表</w:t>
      </w:r>
    </w:p>
    <w:tbl>
      <w:tblPr>
        <w:tblStyle w:val="14"/>
        <w:tblW w:w="4950" w:type="pct"/>
        <w:tblInd w:w="-10" w:type="dxa"/>
        <w:tblLayout w:type="fixed"/>
        <w:tblCellMar>
          <w:top w:w="0" w:type="dxa"/>
          <w:left w:w="108" w:type="dxa"/>
          <w:bottom w:w="0" w:type="dxa"/>
          <w:right w:w="108" w:type="dxa"/>
        </w:tblCellMar>
      </w:tblPr>
      <w:tblGrid>
        <w:gridCol w:w="694"/>
        <w:gridCol w:w="2583"/>
        <w:gridCol w:w="2130"/>
        <w:gridCol w:w="2239"/>
        <w:gridCol w:w="791"/>
      </w:tblGrid>
      <w:tr w14:paraId="421FAADF">
        <w:trPr>
          <w:cantSplit/>
          <w:trHeight w:val="511" w:hRule="exact"/>
          <w:tblHeader/>
        </w:trPr>
        <w:tc>
          <w:tcPr>
            <w:tcW w:w="694" w:type="dxa"/>
            <w:tcBorders>
              <w:top w:val="single" w:color="000000" w:sz="4" w:space="0"/>
              <w:left w:val="single" w:color="000000" w:sz="4" w:space="0"/>
              <w:bottom w:val="single" w:color="000000" w:sz="4" w:space="0"/>
              <w:right w:val="single" w:color="000000" w:sz="4" w:space="0"/>
            </w:tcBorders>
            <w:vAlign w:val="center"/>
          </w:tcPr>
          <w:p w14:paraId="2FB4C172">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序号</w:t>
            </w:r>
          </w:p>
        </w:tc>
        <w:tc>
          <w:tcPr>
            <w:tcW w:w="2583" w:type="dxa"/>
            <w:tcBorders>
              <w:top w:val="single" w:color="000000" w:sz="4" w:space="0"/>
              <w:left w:val="single" w:color="000000" w:sz="4" w:space="0"/>
              <w:bottom w:val="single" w:color="000000" w:sz="4" w:space="0"/>
              <w:right w:val="single" w:color="000000" w:sz="4" w:space="0"/>
            </w:tcBorders>
            <w:vAlign w:val="center"/>
          </w:tcPr>
          <w:p w14:paraId="446DFE77">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检查内容</w:t>
            </w:r>
          </w:p>
        </w:tc>
        <w:tc>
          <w:tcPr>
            <w:tcW w:w="2130" w:type="dxa"/>
            <w:tcBorders>
              <w:top w:val="single" w:color="000000" w:sz="4" w:space="0"/>
              <w:left w:val="single" w:color="000000" w:sz="4" w:space="0"/>
              <w:bottom w:val="single" w:color="000000" w:sz="4" w:space="0"/>
              <w:right w:val="single" w:color="000000" w:sz="4" w:space="0"/>
            </w:tcBorders>
            <w:vAlign w:val="center"/>
          </w:tcPr>
          <w:p w14:paraId="4AC80315">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依据标准</w:t>
            </w:r>
          </w:p>
        </w:tc>
        <w:tc>
          <w:tcPr>
            <w:tcW w:w="2239" w:type="dxa"/>
            <w:tcBorders>
              <w:top w:val="single" w:color="000000" w:sz="4" w:space="0"/>
              <w:left w:val="single" w:color="000000" w:sz="4" w:space="0"/>
              <w:bottom w:val="single" w:color="000000" w:sz="4" w:space="0"/>
              <w:right w:val="single" w:color="000000" w:sz="4" w:space="0"/>
            </w:tcBorders>
            <w:vAlign w:val="center"/>
          </w:tcPr>
          <w:p w14:paraId="762B0D06">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事实记录</w:t>
            </w:r>
          </w:p>
        </w:tc>
        <w:tc>
          <w:tcPr>
            <w:tcW w:w="791" w:type="dxa"/>
            <w:tcBorders>
              <w:top w:val="single" w:color="000000" w:sz="4" w:space="0"/>
              <w:left w:val="single" w:color="000000" w:sz="4" w:space="0"/>
              <w:bottom w:val="single" w:color="000000" w:sz="4" w:space="0"/>
              <w:right w:val="single" w:color="000000" w:sz="4" w:space="0"/>
            </w:tcBorders>
            <w:vAlign w:val="center"/>
          </w:tcPr>
          <w:p w14:paraId="6C9F9B8F">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结论</w:t>
            </w:r>
          </w:p>
        </w:tc>
      </w:tr>
      <w:tr w14:paraId="4623437D">
        <w:trPr>
          <w:cantSplit/>
          <w:trHeight w:val="924" w:hRule="exact"/>
        </w:trPr>
        <w:tc>
          <w:tcPr>
            <w:tcW w:w="694" w:type="dxa"/>
            <w:tcBorders>
              <w:top w:val="single" w:color="000000" w:sz="4" w:space="0"/>
              <w:left w:val="single" w:color="000000" w:sz="4" w:space="0"/>
              <w:bottom w:val="single" w:color="000000" w:sz="4" w:space="0"/>
              <w:right w:val="single" w:color="000000" w:sz="4" w:space="0"/>
            </w:tcBorders>
            <w:vAlign w:val="center"/>
          </w:tcPr>
          <w:p w14:paraId="53EAF278">
            <w:pPr>
              <w:numPr>
                <w:ilvl w:val="0"/>
                <w:numId w:val="1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583" w:type="dxa"/>
            <w:tcBorders>
              <w:top w:val="single" w:color="000000" w:sz="4" w:space="0"/>
              <w:left w:val="single" w:color="000000" w:sz="4" w:space="0"/>
              <w:bottom w:val="single" w:color="000000" w:sz="4" w:space="0"/>
              <w:right w:val="single" w:color="000000" w:sz="4" w:space="0"/>
            </w:tcBorders>
            <w:vAlign w:val="center"/>
          </w:tcPr>
          <w:p w14:paraId="7764CE0A">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highlight w:val="none"/>
              </w:rPr>
              <w:t>在运输道路旁设置限速标志。</w:t>
            </w:r>
          </w:p>
        </w:tc>
        <w:tc>
          <w:tcPr>
            <w:tcW w:w="2130" w:type="dxa"/>
            <w:tcBorders>
              <w:top w:val="single" w:color="000000" w:sz="4" w:space="0"/>
              <w:left w:val="single" w:color="000000" w:sz="4" w:space="0"/>
              <w:bottom w:val="single" w:color="000000" w:sz="4" w:space="0"/>
              <w:right w:val="single" w:color="000000" w:sz="4" w:space="0"/>
            </w:tcBorders>
            <w:vAlign w:val="center"/>
          </w:tcPr>
          <w:p w14:paraId="71415DC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239" w:type="dxa"/>
            <w:tcBorders>
              <w:top w:val="single" w:color="000000" w:sz="4" w:space="0"/>
              <w:left w:val="single" w:color="000000" w:sz="4" w:space="0"/>
              <w:bottom w:val="single" w:color="000000" w:sz="4" w:space="0"/>
              <w:right w:val="single" w:color="000000" w:sz="4" w:space="0"/>
            </w:tcBorders>
            <w:vAlign w:val="center"/>
          </w:tcPr>
          <w:p w14:paraId="73B776C7">
            <w:pPr>
              <w:snapToGrid w:val="0"/>
              <w:spacing w:line="240" w:lineRule="exact"/>
              <w:rPr>
                <w:rFonts w:ascii="Times New Roman Regular" w:hAnsi="Times New Roman Regular" w:cs="Times New Roman Regular"/>
                <w:color w:val="auto"/>
                <w:szCs w:val="21"/>
                <w:highlight w:val="none"/>
              </w:rPr>
            </w:pPr>
          </w:p>
        </w:tc>
        <w:tc>
          <w:tcPr>
            <w:tcW w:w="791" w:type="dxa"/>
            <w:tcBorders>
              <w:top w:val="single" w:color="000000" w:sz="4" w:space="0"/>
              <w:left w:val="single" w:color="000000" w:sz="4" w:space="0"/>
              <w:bottom w:val="single" w:color="000000" w:sz="4" w:space="0"/>
              <w:right w:val="single" w:color="000000" w:sz="4" w:space="0"/>
            </w:tcBorders>
            <w:vAlign w:val="center"/>
          </w:tcPr>
          <w:p w14:paraId="6054A840">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AC7981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BE3F430">
        <w:trPr>
          <w:cantSplit/>
          <w:trHeight w:val="1276" w:hRule="exact"/>
        </w:trPr>
        <w:tc>
          <w:tcPr>
            <w:tcW w:w="694" w:type="dxa"/>
            <w:tcBorders>
              <w:top w:val="single" w:color="000000" w:sz="4" w:space="0"/>
              <w:left w:val="single" w:color="000000" w:sz="4" w:space="0"/>
              <w:bottom w:val="single" w:color="000000" w:sz="4" w:space="0"/>
              <w:right w:val="single" w:color="000000" w:sz="4" w:space="0"/>
            </w:tcBorders>
            <w:vAlign w:val="center"/>
          </w:tcPr>
          <w:p w14:paraId="51E0D9AB">
            <w:pPr>
              <w:numPr>
                <w:ilvl w:val="0"/>
                <w:numId w:val="1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583" w:type="dxa"/>
            <w:tcBorders>
              <w:top w:val="single" w:color="000000" w:sz="4" w:space="0"/>
              <w:left w:val="single" w:color="000000" w:sz="4" w:space="0"/>
              <w:bottom w:val="single" w:color="000000" w:sz="4" w:space="0"/>
              <w:right w:val="single" w:color="000000" w:sz="4" w:space="0"/>
            </w:tcBorders>
            <w:vAlign w:val="center"/>
          </w:tcPr>
          <w:p w14:paraId="3A0B44FF">
            <w:pPr>
              <w:snapToGrid w:val="0"/>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在高空作业处设置当心坠落标志。</w:t>
            </w:r>
          </w:p>
        </w:tc>
        <w:tc>
          <w:tcPr>
            <w:tcW w:w="2130" w:type="dxa"/>
            <w:tcBorders>
              <w:top w:val="single" w:color="000000" w:sz="4" w:space="0"/>
              <w:left w:val="single" w:color="000000" w:sz="4" w:space="0"/>
              <w:bottom w:val="single" w:color="000000" w:sz="4" w:space="0"/>
              <w:right w:val="single" w:color="000000" w:sz="4" w:space="0"/>
            </w:tcBorders>
            <w:vAlign w:val="center"/>
          </w:tcPr>
          <w:p w14:paraId="5D62B63D">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239" w:type="dxa"/>
            <w:tcBorders>
              <w:top w:val="single" w:color="000000" w:sz="4" w:space="0"/>
              <w:left w:val="single" w:color="000000" w:sz="4" w:space="0"/>
              <w:bottom w:val="single" w:color="000000" w:sz="4" w:space="0"/>
              <w:right w:val="single" w:color="000000" w:sz="4" w:space="0"/>
            </w:tcBorders>
            <w:vAlign w:val="center"/>
          </w:tcPr>
          <w:p w14:paraId="2EF62691">
            <w:pPr>
              <w:snapToGrid w:val="0"/>
              <w:spacing w:line="240" w:lineRule="exact"/>
              <w:rPr>
                <w:rFonts w:ascii="Times New Roman Regular" w:hAnsi="Times New Roman Regular" w:cs="Times New Roman Regular"/>
                <w:color w:val="auto"/>
                <w:szCs w:val="21"/>
                <w:highlight w:val="none"/>
              </w:rPr>
            </w:pPr>
          </w:p>
        </w:tc>
        <w:tc>
          <w:tcPr>
            <w:tcW w:w="791" w:type="dxa"/>
            <w:tcBorders>
              <w:top w:val="single" w:color="000000" w:sz="4" w:space="0"/>
              <w:left w:val="single" w:color="000000" w:sz="4" w:space="0"/>
              <w:bottom w:val="single" w:color="000000" w:sz="4" w:space="0"/>
              <w:right w:val="single" w:color="000000" w:sz="4" w:space="0"/>
            </w:tcBorders>
            <w:vAlign w:val="center"/>
          </w:tcPr>
          <w:p w14:paraId="34324B70">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0884DB7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7A0F2CD9">
        <w:trPr>
          <w:cantSplit/>
          <w:trHeight w:val="1121" w:hRule="exact"/>
        </w:trPr>
        <w:tc>
          <w:tcPr>
            <w:tcW w:w="694" w:type="dxa"/>
            <w:tcBorders>
              <w:top w:val="single" w:color="000000" w:sz="4" w:space="0"/>
              <w:left w:val="single" w:color="000000" w:sz="4" w:space="0"/>
              <w:bottom w:val="single" w:color="000000" w:sz="4" w:space="0"/>
              <w:right w:val="single" w:color="000000" w:sz="4" w:space="0"/>
            </w:tcBorders>
            <w:vAlign w:val="center"/>
          </w:tcPr>
          <w:p w14:paraId="231BC9BA">
            <w:pPr>
              <w:numPr>
                <w:ilvl w:val="0"/>
                <w:numId w:val="1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583" w:type="dxa"/>
            <w:tcBorders>
              <w:top w:val="single" w:color="000000" w:sz="4" w:space="0"/>
              <w:left w:val="single" w:color="000000" w:sz="4" w:space="0"/>
              <w:bottom w:val="single" w:color="000000" w:sz="4" w:space="0"/>
              <w:right w:val="single" w:color="000000" w:sz="4" w:space="0"/>
            </w:tcBorders>
            <w:vAlign w:val="center"/>
          </w:tcPr>
          <w:p w14:paraId="7C16BACF">
            <w:pPr>
              <w:snapToGrid w:val="0"/>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在矿山入口、高处作业处设置注意安全标志</w:t>
            </w:r>
          </w:p>
        </w:tc>
        <w:tc>
          <w:tcPr>
            <w:tcW w:w="2130" w:type="dxa"/>
            <w:tcBorders>
              <w:top w:val="single" w:color="000000" w:sz="4" w:space="0"/>
              <w:left w:val="single" w:color="000000" w:sz="4" w:space="0"/>
              <w:bottom w:val="single" w:color="000000" w:sz="4" w:space="0"/>
              <w:right w:val="single" w:color="000000" w:sz="4" w:space="0"/>
            </w:tcBorders>
            <w:vAlign w:val="center"/>
          </w:tcPr>
          <w:p w14:paraId="0F099A0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239" w:type="dxa"/>
            <w:tcBorders>
              <w:top w:val="single" w:color="000000" w:sz="4" w:space="0"/>
              <w:left w:val="single" w:color="000000" w:sz="4" w:space="0"/>
              <w:bottom w:val="single" w:color="000000" w:sz="4" w:space="0"/>
              <w:right w:val="single" w:color="000000" w:sz="4" w:space="0"/>
            </w:tcBorders>
            <w:vAlign w:val="center"/>
          </w:tcPr>
          <w:p w14:paraId="7E66B7B6">
            <w:pPr>
              <w:snapToGrid w:val="0"/>
              <w:spacing w:line="240" w:lineRule="exact"/>
              <w:rPr>
                <w:rFonts w:ascii="Times New Roman Regular" w:hAnsi="Times New Roman Regular" w:cs="Times New Roman Regular"/>
                <w:color w:val="auto"/>
                <w:szCs w:val="21"/>
                <w:highlight w:val="none"/>
              </w:rPr>
            </w:pPr>
          </w:p>
        </w:tc>
        <w:tc>
          <w:tcPr>
            <w:tcW w:w="791" w:type="dxa"/>
            <w:tcBorders>
              <w:top w:val="single" w:color="000000" w:sz="4" w:space="0"/>
              <w:left w:val="single" w:color="000000" w:sz="4" w:space="0"/>
              <w:bottom w:val="single" w:color="000000" w:sz="4" w:space="0"/>
              <w:right w:val="single" w:color="000000" w:sz="4" w:space="0"/>
            </w:tcBorders>
            <w:vAlign w:val="center"/>
          </w:tcPr>
          <w:p w14:paraId="45A2B1A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0D8673A5">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2139453">
        <w:trPr>
          <w:cantSplit/>
          <w:trHeight w:val="1228" w:hRule="exact"/>
        </w:trPr>
        <w:tc>
          <w:tcPr>
            <w:tcW w:w="694" w:type="dxa"/>
            <w:tcBorders>
              <w:top w:val="single" w:color="000000" w:sz="4" w:space="0"/>
              <w:left w:val="single" w:color="000000" w:sz="4" w:space="0"/>
              <w:bottom w:val="single" w:color="000000" w:sz="4" w:space="0"/>
              <w:right w:val="single" w:color="000000" w:sz="4" w:space="0"/>
            </w:tcBorders>
            <w:vAlign w:val="center"/>
          </w:tcPr>
          <w:p w14:paraId="33386B9B">
            <w:pPr>
              <w:numPr>
                <w:ilvl w:val="0"/>
                <w:numId w:val="12"/>
              </w:numPr>
              <w:tabs>
                <w:tab w:val="clear" w:pos="0"/>
              </w:tabs>
              <w:snapToGrid w:val="0"/>
              <w:spacing w:line="240" w:lineRule="exact"/>
              <w:jc w:val="center"/>
              <w:rPr>
                <w:rFonts w:ascii="Times New Roman Regular" w:hAnsi="Times New Roman Regular" w:cs="Times New Roman Regular"/>
                <w:color w:val="auto"/>
                <w:szCs w:val="21"/>
                <w:highlight w:val="none"/>
              </w:rPr>
            </w:pPr>
          </w:p>
        </w:tc>
        <w:tc>
          <w:tcPr>
            <w:tcW w:w="2583" w:type="dxa"/>
            <w:tcBorders>
              <w:top w:val="single" w:color="000000" w:sz="4" w:space="0"/>
              <w:left w:val="single" w:color="000000" w:sz="4" w:space="0"/>
              <w:bottom w:val="single" w:color="000000" w:sz="4" w:space="0"/>
              <w:right w:val="single" w:color="000000" w:sz="4" w:space="0"/>
            </w:tcBorders>
            <w:vAlign w:val="center"/>
          </w:tcPr>
          <w:p w14:paraId="1684ED02">
            <w:pPr>
              <w:snapToGrid w:val="0"/>
              <w:spacing w:line="240" w:lineRule="exact"/>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在采矿、剥离工作面附近设置当心塌方的警示标志。</w:t>
            </w:r>
          </w:p>
        </w:tc>
        <w:tc>
          <w:tcPr>
            <w:tcW w:w="2130" w:type="dxa"/>
            <w:tcBorders>
              <w:top w:val="single" w:color="000000" w:sz="4" w:space="0"/>
              <w:left w:val="single" w:color="000000" w:sz="4" w:space="0"/>
              <w:bottom w:val="single" w:color="000000" w:sz="4" w:space="0"/>
              <w:right w:val="single" w:color="000000" w:sz="4" w:space="0"/>
            </w:tcBorders>
            <w:vAlign w:val="center"/>
          </w:tcPr>
          <w:p w14:paraId="0485151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239" w:type="dxa"/>
            <w:tcBorders>
              <w:top w:val="single" w:color="000000" w:sz="4" w:space="0"/>
              <w:left w:val="single" w:color="000000" w:sz="4" w:space="0"/>
              <w:bottom w:val="single" w:color="000000" w:sz="4" w:space="0"/>
              <w:right w:val="single" w:color="000000" w:sz="4" w:space="0"/>
            </w:tcBorders>
            <w:vAlign w:val="center"/>
          </w:tcPr>
          <w:p w14:paraId="008698AE">
            <w:pPr>
              <w:snapToGrid w:val="0"/>
              <w:spacing w:line="240" w:lineRule="exact"/>
              <w:rPr>
                <w:rFonts w:ascii="Times New Roman Regular" w:hAnsi="Times New Roman Regular" w:cs="Times New Roman Regular"/>
                <w:color w:val="auto"/>
                <w:szCs w:val="21"/>
                <w:highlight w:val="none"/>
              </w:rPr>
            </w:pPr>
          </w:p>
        </w:tc>
        <w:tc>
          <w:tcPr>
            <w:tcW w:w="791" w:type="dxa"/>
            <w:tcBorders>
              <w:top w:val="single" w:color="000000" w:sz="4" w:space="0"/>
              <w:left w:val="single" w:color="000000" w:sz="4" w:space="0"/>
              <w:bottom w:val="single" w:color="000000" w:sz="4" w:space="0"/>
              <w:right w:val="single" w:color="000000" w:sz="4" w:space="0"/>
            </w:tcBorders>
            <w:vAlign w:val="center"/>
          </w:tcPr>
          <w:p w14:paraId="469BFAB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68EE1E7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142DE682">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3FF0BF1A">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通过对安全标志单元的4项检查中，符合要求。检查结果表明，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（玻璃用石英岩）露天开采建设项目安全标志单元符合设计要求，能够满足矿山安全生产条件。</w:t>
      </w:r>
    </w:p>
    <w:p w14:paraId="11E012ED">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33" w:name="_Toc3087"/>
      <w:bookmarkStart w:id="134" w:name="_Toc21408"/>
      <w:bookmarkStart w:id="135" w:name="_Toc215981224"/>
      <w:bookmarkStart w:id="136" w:name="_Toc8119"/>
      <w:bookmarkStart w:id="137" w:name="_Toc86052398"/>
      <w:r>
        <w:rPr>
          <w:rFonts w:ascii="Times New Roman Regular" w:hAnsi="Times New Roman Regular" w:eastAsia="黑体" w:cs="Times New Roman Regular"/>
          <w:color w:val="auto"/>
          <w:sz w:val="30"/>
          <w:highlight w:val="none"/>
        </w:rPr>
        <w:t>3.10安全生产管理单元</w:t>
      </w:r>
      <w:bookmarkEnd w:id="133"/>
      <w:bookmarkEnd w:id="134"/>
      <w:bookmarkEnd w:id="135"/>
      <w:bookmarkEnd w:id="136"/>
      <w:bookmarkEnd w:id="137"/>
    </w:p>
    <w:p w14:paraId="5C42D6B4">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3.10.1组织与制度</w:t>
      </w:r>
    </w:p>
    <w:p w14:paraId="0B33919C">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采用安全检查表法对该项目组织与制度单元进行评价，见下表3.10-1。</w:t>
      </w:r>
    </w:p>
    <w:p w14:paraId="5465B575">
      <w:pPr>
        <w:adjustRightInd w:val="0"/>
        <w:snapToGrid w:val="0"/>
        <w:spacing w:line="400" w:lineRule="exact"/>
        <w:jc w:val="center"/>
        <w:rPr>
          <w:rFonts w:hint="eastAsia" w:ascii="黑体" w:hAnsi="黑体" w:eastAsia="黑体" w:cs="黑体"/>
          <w:color w:val="auto"/>
          <w:position w:val="6"/>
          <w:sz w:val="24"/>
          <w:highlight w:val="none"/>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10</w:t>
      </w:r>
      <w:r>
        <w:rPr>
          <w:rFonts w:ascii="黑体" w:hAnsi="黑体" w:eastAsia="黑体" w:cs="黑体"/>
          <w:bCs/>
          <w:color w:val="auto"/>
          <w:sz w:val="24"/>
          <w:highlight w:val="none"/>
          <w:lang w:val="zh-CN"/>
        </w:rPr>
        <w:t xml:space="preserve">-1 </w:t>
      </w:r>
      <w:r>
        <w:rPr>
          <w:rFonts w:ascii="黑体" w:hAnsi="黑体" w:eastAsia="黑体" w:cs="黑体"/>
          <w:bCs/>
          <w:color w:val="auto"/>
          <w:sz w:val="24"/>
          <w:highlight w:val="none"/>
        </w:rPr>
        <w:t>组织与制度</w:t>
      </w:r>
      <w:r>
        <w:rPr>
          <w:rFonts w:ascii="黑体" w:hAnsi="黑体" w:eastAsia="黑体" w:cs="黑体"/>
          <w:bCs/>
          <w:color w:val="auto"/>
          <w:sz w:val="24"/>
          <w:highlight w:val="none"/>
          <w:lang w:val="zh-CN"/>
        </w:rPr>
        <w:t>单元安全检查表</w:t>
      </w:r>
    </w:p>
    <w:tbl>
      <w:tblPr>
        <w:tblStyle w:val="14"/>
        <w:tblW w:w="4984" w:type="pct"/>
        <w:jc w:val="center"/>
        <w:tblLayout w:type="fixed"/>
        <w:tblCellMar>
          <w:top w:w="0" w:type="dxa"/>
          <w:left w:w="108" w:type="dxa"/>
          <w:bottom w:w="0" w:type="dxa"/>
          <w:right w:w="108" w:type="dxa"/>
        </w:tblCellMar>
      </w:tblPr>
      <w:tblGrid>
        <w:gridCol w:w="652"/>
        <w:gridCol w:w="2608"/>
        <w:gridCol w:w="2130"/>
        <w:gridCol w:w="2302"/>
        <w:gridCol w:w="803"/>
      </w:tblGrid>
      <w:tr w14:paraId="36CD8CBC">
        <w:trPr>
          <w:trHeight w:val="543" w:hRule="atLeast"/>
          <w:tblHeader/>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5CEF34A6">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序号</w:t>
            </w:r>
          </w:p>
        </w:tc>
        <w:tc>
          <w:tcPr>
            <w:tcW w:w="2608" w:type="dxa"/>
            <w:tcBorders>
              <w:top w:val="single" w:color="000000" w:sz="4" w:space="0"/>
              <w:left w:val="single" w:color="000000" w:sz="4" w:space="0"/>
              <w:bottom w:val="single" w:color="000000" w:sz="4" w:space="0"/>
              <w:right w:val="single" w:color="000000" w:sz="4" w:space="0"/>
            </w:tcBorders>
            <w:vAlign w:val="center"/>
          </w:tcPr>
          <w:p w14:paraId="5FC3BAC4">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检查内容</w:t>
            </w:r>
          </w:p>
        </w:tc>
        <w:tc>
          <w:tcPr>
            <w:tcW w:w="2130" w:type="dxa"/>
            <w:tcBorders>
              <w:top w:val="single" w:color="000000" w:sz="4" w:space="0"/>
              <w:left w:val="single" w:color="000000" w:sz="4" w:space="0"/>
              <w:bottom w:val="single" w:color="000000" w:sz="4" w:space="0"/>
              <w:right w:val="single" w:color="000000" w:sz="4" w:space="0"/>
            </w:tcBorders>
            <w:vAlign w:val="center"/>
          </w:tcPr>
          <w:p w14:paraId="72E0D1B5">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检查依据</w:t>
            </w:r>
          </w:p>
        </w:tc>
        <w:tc>
          <w:tcPr>
            <w:tcW w:w="2302" w:type="dxa"/>
            <w:tcBorders>
              <w:top w:val="single" w:color="000000" w:sz="4" w:space="0"/>
              <w:left w:val="single" w:color="000000" w:sz="4" w:space="0"/>
              <w:bottom w:val="single" w:color="000000" w:sz="4" w:space="0"/>
              <w:right w:val="single" w:color="000000" w:sz="4" w:space="0"/>
            </w:tcBorders>
            <w:vAlign w:val="center"/>
          </w:tcPr>
          <w:p w14:paraId="35DA0B29">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事实记录</w:t>
            </w:r>
          </w:p>
        </w:tc>
        <w:tc>
          <w:tcPr>
            <w:tcW w:w="803" w:type="dxa"/>
            <w:tcBorders>
              <w:top w:val="single" w:color="000000" w:sz="4" w:space="0"/>
              <w:left w:val="single" w:color="000000" w:sz="4" w:space="0"/>
              <w:bottom w:val="single" w:color="000000" w:sz="4" w:space="0"/>
              <w:right w:val="single" w:color="000000" w:sz="4" w:space="0"/>
            </w:tcBorders>
            <w:vAlign w:val="center"/>
          </w:tcPr>
          <w:p w14:paraId="08EAE7DC">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结论</w:t>
            </w:r>
          </w:p>
        </w:tc>
      </w:tr>
      <w:tr w14:paraId="0050DAB2">
        <w:trPr>
          <w:trHeight w:val="1662"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69CC96A">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47E79510">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矿山、金属冶炼、建筑施工、运输单位和危险物品的生产、经营、储存、装卸单位，应当设置安全生产管理机构或者配备专职安全生产管理人员。</w:t>
            </w:r>
          </w:p>
        </w:tc>
        <w:tc>
          <w:tcPr>
            <w:tcW w:w="2130" w:type="dxa"/>
            <w:tcBorders>
              <w:top w:val="single" w:color="000000" w:sz="4" w:space="0"/>
              <w:left w:val="single" w:color="000000" w:sz="4" w:space="0"/>
              <w:bottom w:val="single" w:color="000000" w:sz="4" w:space="0"/>
              <w:right w:val="single" w:color="000000" w:sz="4" w:space="0"/>
            </w:tcBorders>
            <w:vAlign w:val="center"/>
          </w:tcPr>
          <w:p w14:paraId="1A4E7170">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《安全生产法》第24条</w:t>
            </w:r>
          </w:p>
        </w:tc>
        <w:tc>
          <w:tcPr>
            <w:tcW w:w="2302" w:type="dxa"/>
            <w:tcBorders>
              <w:top w:val="single" w:color="000000" w:sz="4" w:space="0"/>
              <w:left w:val="single" w:color="000000" w:sz="4" w:space="0"/>
              <w:bottom w:val="single" w:color="000000" w:sz="4" w:space="0"/>
              <w:right w:val="single" w:color="000000" w:sz="4" w:space="0"/>
            </w:tcBorders>
            <w:vAlign w:val="center"/>
          </w:tcPr>
          <w:p w14:paraId="4E629B5F">
            <w:pPr>
              <w:snapToGrid w:val="0"/>
              <w:spacing w:line="240" w:lineRule="exact"/>
              <w:jc w:val="center"/>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37EF6281">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5A2C44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2BA42EB5">
        <w:trPr>
          <w:trHeight w:val="1811"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38E29EBA">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68F02B0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金属非金属露天矿山应当配备具有采矿、地质、机电等矿山相关专业中专及以上学历或者中级及以上技术职称的 专职技术人员，每个专业至少配备1人。</w:t>
            </w:r>
          </w:p>
        </w:tc>
        <w:tc>
          <w:tcPr>
            <w:tcW w:w="2130" w:type="dxa"/>
            <w:tcBorders>
              <w:top w:val="single" w:color="000000" w:sz="4" w:space="0"/>
              <w:left w:val="single" w:color="000000" w:sz="4" w:space="0"/>
              <w:bottom w:val="single" w:color="000000" w:sz="4" w:space="0"/>
              <w:right w:val="single" w:color="000000" w:sz="4" w:space="0"/>
            </w:tcBorders>
            <w:vAlign w:val="center"/>
          </w:tcPr>
          <w:p w14:paraId="60AF6B2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《国家矿山安全监察局关于印发&lt;关于加强非煤矿山安全生产工作的指导意见&gt;的通知》（矿安〔2022〕4号）</w:t>
            </w:r>
          </w:p>
        </w:tc>
        <w:tc>
          <w:tcPr>
            <w:tcW w:w="2302" w:type="dxa"/>
            <w:tcBorders>
              <w:top w:val="single" w:color="000000" w:sz="4" w:space="0"/>
              <w:left w:val="single" w:color="000000" w:sz="4" w:space="0"/>
              <w:bottom w:val="single" w:color="000000" w:sz="4" w:space="0"/>
              <w:right w:val="single" w:color="000000" w:sz="4" w:space="0"/>
            </w:tcBorders>
            <w:vAlign w:val="center"/>
          </w:tcPr>
          <w:p w14:paraId="44AEBF8A">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7EF6DB15">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F3FBF8B">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70BFED50">
        <w:trPr>
          <w:trHeight w:val="77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54A0AF38">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336ECC8A">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建立健全并落实本单位全员安全生产责任制。</w:t>
            </w:r>
          </w:p>
        </w:tc>
        <w:tc>
          <w:tcPr>
            <w:tcW w:w="2130" w:type="dxa"/>
            <w:tcBorders>
              <w:top w:val="single" w:color="000000" w:sz="4" w:space="0"/>
              <w:left w:val="single" w:color="000000" w:sz="4" w:space="0"/>
              <w:bottom w:val="single" w:color="000000" w:sz="4" w:space="0"/>
              <w:right w:val="single" w:color="000000" w:sz="4" w:space="0"/>
            </w:tcBorders>
            <w:vAlign w:val="center"/>
          </w:tcPr>
          <w:p w14:paraId="3CA991C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《安全生产法》第4条</w:t>
            </w:r>
          </w:p>
        </w:tc>
        <w:tc>
          <w:tcPr>
            <w:tcW w:w="2302" w:type="dxa"/>
            <w:tcBorders>
              <w:top w:val="single" w:color="000000" w:sz="4" w:space="0"/>
              <w:left w:val="single" w:color="000000" w:sz="4" w:space="0"/>
              <w:bottom w:val="single" w:color="000000" w:sz="4" w:space="0"/>
              <w:right w:val="single" w:color="000000" w:sz="4" w:space="0"/>
            </w:tcBorders>
            <w:vAlign w:val="center"/>
          </w:tcPr>
          <w:p w14:paraId="5049D88E">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3C059CF2">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E62D631">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1C22C43A">
        <w:trPr>
          <w:trHeight w:val="3092"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E001C43">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3548F61B">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企业应制定安全生产规章制度和操作规程。</w:t>
            </w:r>
          </w:p>
        </w:tc>
        <w:tc>
          <w:tcPr>
            <w:tcW w:w="2130" w:type="dxa"/>
            <w:tcBorders>
              <w:top w:val="single" w:color="000000" w:sz="4" w:space="0"/>
              <w:left w:val="single" w:color="000000" w:sz="4" w:space="0"/>
              <w:bottom w:val="single" w:color="000000" w:sz="4" w:space="0"/>
              <w:right w:val="single" w:color="000000" w:sz="4" w:space="0"/>
            </w:tcBorders>
            <w:vAlign w:val="center"/>
          </w:tcPr>
          <w:p w14:paraId="4B163363">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vAlign w:val="center"/>
          </w:tcPr>
          <w:p w14:paraId="2DBE450B">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776B75EF">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09841D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5825A41">
        <w:trPr>
          <w:trHeight w:val="1816"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7CCEA6EE">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1EE6EBB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矿山主要负责人和安全生产管理人员应取得安全生产知识和管理能力考核合格证。</w:t>
            </w:r>
          </w:p>
        </w:tc>
        <w:tc>
          <w:tcPr>
            <w:tcW w:w="2130" w:type="dxa"/>
            <w:tcBorders>
              <w:top w:val="single" w:color="000000" w:sz="4" w:space="0"/>
              <w:left w:val="single" w:color="000000" w:sz="4" w:space="0"/>
              <w:bottom w:val="single" w:color="000000" w:sz="4" w:space="0"/>
              <w:right w:val="single" w:color="000000" w:sz="4" w:space="0"/>
            </w:tcBorders>
            <w:vAlign w:val="center"/>
          </w:tcPr>
          <w:p w14:paraId="1BED19F5">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vAlign w:val="center"/>
          </w:tcPr>
          <w:p w14:paraId="72097D01">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710D879F">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F18CD22">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08A6D8B3">
        <w:trPr>
          <w:trHeight w:val="161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54CD65B3">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66C3680E">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矿山特种作业人员应取得特种作业操作证书。</w:t>
            </w:r>
          </w:p>
        </w:tc>
        <w:tc>
          <w:tcPr>
            <w:tcW w:w="2130" w:type="dxa"/>
            <w:tcBorders>
              <w:top w:val="single" w:color="000000" w:sz="4" w:space="0"/>
              <w:left w:val="single" w:color="000000" w:sz="4" w:space="0"/>
              <w:bottom w:val="single" w:color="000000" w:sz="4" w:space="0"/>
              <w:right w:val="single" w:color="000000" w:sz="4" w:space="0"/>
            </w:tcBorders>
            <w:vAlign w:val="center"/>
          </w:tcPr>
          <w:p w14:paraId="717BCDBB">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vAlign w:val="center"/>
          </w:tcPr>
          <w:p w14:paraId="3590674F">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7FD81C95">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0CD8CFF">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7170E5B6">
        <w:trPr>
          <w:trHeight w:val="1697"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3D3F823">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75E3178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企业应提供足额提取安全生产费用的证明文件。</w:t>
            </w:r>
          </w:p>
        </w:tc>
        <w:tc>
          <w:tcPr>
            <w:tcW w:w="2130" w:type="dxa"/>
            <w:tcBorders>
              <w:top w:val="single" w:color="000000" w:sz="4" w:space="0"/>
              <w:left w:val="single" w:color="000000" w:sz="4" w:space="0"/>
              <w:bottom w:val="single" w:color="000000" w:sz="4" w:space="0"/>
              <w:right w:val="single" w:color="000000" w:sz="4" w:space="0"/>
            </w:tcBorders>
            <w:vAlign w:val="center"/>
          </w:tcPr>
          <w:p w14:paraId="240A747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vAlign w:val="center"/>
          </w:tcPr>
          <w:p w14:paraId="40225AE3">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01057AA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4A3F1762">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49EC66C3">
        <w:trPr>
          <w:trHeight w:val="1684"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13297DFE">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39D32AF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企业应为从业人员缴纳工伤保险和安全生产责任险。</w:t>
            </w:r>
          </w:p>
        </w:tc>
        <w:tc>
          <w:tcPr>
            <w:tcW w:w="2130" w:type="dxa"/>
            <w:tcBorders>
              <w:top w:val="single" w:color="000000" w:sz="4" w:space="0"/>
              <w:left w:val="single" w:color="000000" w:sz="4" w:space="0"/>
              <w:bottom w:val="single" w:color="000000" w:sz="4" w:space="0"/>
              <w:right w:val="single" w:color="000000" w:sz="4" w:space="0"/>
            </w:tcBorders>
            <w:vAlign w:val="center"/>
          </w:tcPr>
          <w:p w14:paraId="7523968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vAlign w:val="center"/>
          </w:tcPr>
          <w:p w14:paraId="7152823F">
            <w:pPr>
              <w:snapToGrid w:val="0"/>
              <w:spacing w:line="240" w:lineRule="exact"/>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055B9690">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5ABC68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3AD27263">
        <w:trPr>
          <w:trHeight w:val="1112" w:hRule="atLeast"/>
          <w:jc w:val="center"/>
        </w:trPr>
        <w:tc>
          <w:tcPr>
            <w:tcW w:w="652" w:type="dxa"/>
            <w:tcBorders>
              <w:top w:val="single" w:color="000000" w:sz="4" w:space="0"/>
              <w:left w:val="single" w:color="000000" w:sz="4" w:space="0"/>
              <w:bottom w:val="single" w:color="000000" w:sz="4" w:space="0"/>
              <w:right w:val="single" w:color="000000" w:sz="4" w:space="0"/>
            </w:tcBorders>
            <w:vAlign w:val="center"/>
          </w:tcPr>
          <w:p w14:paraId="0D2F1D63">
            <w:pPr>
              <w:numPr>
                <w:ilvl w:val="0"/>
                <w:numId w:val="13"/>
              </w:numPr>
              <w:tabs>
                <w:tab w:val="clear" w:pos="0"/>
              </w:tabs>
              <w:snapToGrid w:val="0"/>
              <w:spacing w:line="240" w:lineRule="exact"/>
              <w:jc w:val="center"/>
              <w:rPr>
                <w:rFonts w:eastAsia="仿宋"/>
                <w:color w:val="auto"/>
                <w:highlight w:val="none"/>
              </w:rPr>
            </w:pPr>
          </w:p>
        </w:tc>
        <w:tc>
          <w:tcPr>
            <w:tcW w:w="2608" w:type="dxa"/>
            <w:tcBorders>
              <w:top w:val="single" w:color="000000" w:sz="4" w:space="0"/>
              <w:left w:val="single" w:color="000000" w:sz="4" w:space="0"/>
              <w:bottom w:val="single" w:color="000000" w:sz="4" w:space="0"/>
              <w:right w:val="single" w:color="000000" w:sz="4" w:space="0"/>
            </w:tcBorders>
            <w:vAlign w:val="center"/>
          </w:tcPr>
          <w:p w14:paraId="63870A92">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矿山从业人员的安全培训情况和考核结果，应记录存档。</w:t>
            </w:r>
          </w:p>
        </w:tc>
        <w:tc>
          <w:tcPr>
            <w:tcW w:w="2130" w:type="dxa"/>
            <w:tcBorders>
              <w:top w:val="single" w:color="000000" w:sz="4" w:space="0"/>
              <w:left w:val="single" w:color="000000" w:sz="4" w:space="0"/>
              <w:bottom w:val="single" w:color="000000" w:sz="4" w:space="0"/>
              <w:right w:val="single" w:color="000000" w:sz="4" w:space="0"/>
            </w:tcBorders>
            <w:vAlign w:val="center"/>
          </w:tcPr>
          <w:p w14:paraId="4EAD784D">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《金属非金属矿山安全规程》（GB16423 -2020）第4.5.8</w:t>
            </w:r>
            <w:r>
              <w:rPr>
                <w:rFonts w:ascii="Times New Roman Regular" w:hAnsi="Times New Roman Regular" w:cs="Times New Roman Regular"/>
                <w:color w:val="auto"/>
                <w:szCs w:val="18"/>
                <w:highlight w:val="none"/>
              </w:rPr>
              <w:t>条</w:t>
            </w:r>
          </w:p>
        </w:tc>
        <w:tc>
          <w:tcPr>
            <w:tcW w:w="2302" w:type="dxa"/>
            <w:tcBorders>
              <w:top w:val="single" w:color="000000" w:sz="4" w:space="0"/>
              <w:left w:val="single" w:color="000000" w:sz="4" w:space="0"/>
              <w:bottom w:val="single" w:color="000000" w:sz="4" w:space="0"/>
              <w:right w:val="single" w:color="000000" w:sz="4" w:space="0"/>
            </w:tcBorders>
            <w:vAlign w:val="center"/>
          </w:tcPr>
          <w:p w14:paraId="6FED0613">
            <w:pPr>
              <w:ind w:right="-88" w:rightChars="-42"/>
              <w:rPr>
                <w:rFonts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vAlign w:val="center"/>
          </w:tcPr>
          <w:p w14:paraId="730EFA84">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0AD7E49">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367B1ED3">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2C5A5CD8">
      <w:p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对该矿山的组织与制度单元用安全检查表法进行了9项检查，均符合安全要求，检查结果表明，</w:t>
      </w:r>
      <w:r>
        <w:rPr>
          <w:rFonts w:hint="eastAsia" w:ascii="Times New Roman Regular" w:hAnsi="Times New Roman Regular" w:eastAsia="宋体" w:cs="Times New Roman Regular"/>
          <w:color w:val="auto"/>
          <w:sz w:val="28"/>
          <w:szCs w:val="28"/>
          <w:highlight w:val="none"/>
        </w:rPr>
        <w:t>本溪星光硅质原料有限公司</w:t>
      </w:r>
      <w:r>
        <w:rPr>
          <w:rFonts w:ascii="Times New Roman Regular" w:hAnsi="Times New Roman Regular" w:eastAsia="宋体" w:cs="Times New Roman Regular"/>
          <w:color w:val="auto"/>
          <w:sz w:val="28"/>
          <w:szCs w:val="28"/>
          <w:highlight w:val="none"/>
        </w:rPr>
        <w:t>（玻璃用石英岩）露天开采建设项目组织与制度单元符合设计要求，能够满足矿山安全生产条件。</w:t>
      </w:r>
    </w:p>
    <w:p w14:paraId="21A89C4B">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3.10.2安全运行管理</w:t>
      </w:r>
    </w:p>
    <w:p w14:paraId="5C80AA35">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10</w:t>
      </w:r>
      <w:r>
        <w:rPr>
          <w:rFonts w:ascii="黑体" w:hAnsi="黑体" w:eastAsia="黑体" w:cs="黑体"/>
          <w:bCs/>
          <w:color w:val="auto"/>
          <w:sz w:val="24"/>
          <w:highlight w:val="none"/>
          <w:lang w:val="zh-CN"/>
        </w:rPr>
        <w:t>-</w:t>
      </w:r>
      <w:r>
        <w:rPr>
          <w:rFonts w:ascii="黑体" w:hAnsi="黑体" w:eastAsia="黑体" w:cs="黑体"/>
          <w:bCs/>
          <w:color w:val="auto"/>
          <w:sz w:val="24"/>
          <w:highlight w:val="none"/>
        </w:rPr>
        <w:t>2</w:t>
      </w:r>
      <w:r>
        <w:rPr>
          <w:rFonts w:ascii="黑体" w:hAnsi="黑体" w:eastAsia="黑体" w:cs="黑体"/>
          <w:bCs/>
          <w:color w:val="auto"/>
          <w:sz w:val="24"/>
          <w:highlight w:val="none"/>
          <w:lang w:val="zh-CN"/>
        </w:rPr>
        <w:t xml:space="preserve"> </w:t>
      </w:r>
      <w:r>
        <w:rPr>
          <w:rFonts w:ascii="黑体" w:hAnsi="黑体" w:eastAsia="黑体" w:cs="黑体"/>
          <w:bCs/>
          <w:color w:val="auto"/>
          <w:sz w:val="24"/>
          <w:highlight w:val="none"/>
        </w:rPr>
        <w:t>安全运行管理</w:t>
      </w:r>
      <w:r>
        <w:rPr>
          <w:rFonts w:ascii="黑体" w:hAnsi="黑体" w:eastAsia="黑体" w:cs="黑体"/>
          <w:bCs/>
          <w:color w:val="auto"/>
          <w:sz w:val="24"/>
          <w:highlight w:val="none"/>
          <w:lang w:val="zh-CN"/>
        </w:rPr>
        <w:t>单元安全检查表</w:t>
      </w:r>
    </w:p>
    <w:tbl>
      <w:tblPr>
        <w:tblStyle w:val="14"/>
        <w:tblW w:w="5000" w:type="pct"/>
        <w:jc w:val="center"/>
        <w:tblLayout w:type="fixed"/>
        <w:tblCellMar>
          <w:top w:w="0" w:type="dxa"/>
          <w:left w:w="108" w:type="dxa"/>
          <w:bottom w:w="0" w:type="dxa"/>
          <w:right w:w="108" w:type="dxa"/>
        </w:tblCellMar>
      </w:tblPr>
      <w:tblGrid>
        <w:gridCol w:w="664"/>
        <w:gridCol w:w="2605"/>
        <w:gridCol w:w="2135"/>
        <w:gridCol w:w="2302"/>
        <w:gridCol w:w="816"/>
      </w:tblGrid>
      <w:tr w14:paraId="166CC21E">
        <w:trPr>
          <w:trHeight w:val="567" w:hRule="atLeast"/>
          <w:tblHeader/>
          <w:jc w:val="center"/>
        </w:trPr>
        <w:tc>
          <w:tcPr>
            <w:tcW w:w="664" w:type="dxa"/>
            <w:tcBorders>
              <w:top w:val="single" w:color="000000" w:sz="4" w:space="0"/>
              <w:left w:val="single" w:color="000000" w:sz="4" w:space="0"/>
              <w:bottom w:val="single" w:color="000000" w:sz="4" w:space="0"/>
              <w:right w:val="single" w:color="000000" w:sz="4" w:space="0"/>
            </w:tcBorders>
            <w:vAlign w:val="center"/>
          </w:tcPr>
          <w:p w14:paraId="4F0E9F9A">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序号</w:t>
            </w:r>
          </w:p>
        </w:tc>
        <w:tc>
          <w:tcPr>
            <w:tcW w:w="2605" w:type="dxa"/>
            <w:tcBorders>
              <w:top w:val="single" w:color="000000" w:sz="4" w:space="0"/>
              <w:left w:val="single" w:color="000000" w:sz="4" w:space="0"/>
              <w:bottom w:val="single" w:color="000000" w:sz="4" w:space="0"/>
              <w:right w:val="single" w:color="000000" w:sz="4" w:space="0"/>
            </w:tcBorders>
            <w:vAlign w:val="center"/>
          </w:tcPr>
          <w:p w14:paraId="7F0DA372">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检查内容</w:t>
            </w:r>
          </w:p>
        </w:tc>
        <w:tc>
          <w:tcPr>
            <w:tcW w:w="2135" w:type="dxa"/>
            <w:tcBorders>
              <w:top w:val="single" w:color="000000" w:sz="4" w:space="0"/>
              <w:left w:val="single" w:color="000000" w:sz="4" w:space="0"/>
              <w:bottom w:val="single" w:color="000000" w:sz="4" w:space="0"/>
              <w:right w:val="single" w:color="000000" w:sz="4" w:space="0"/>
            </w:tcBorders>
            <w:vAlign w:val="center"/>
          </w:tcPr>
          <w:p w14:paraId="494437B6">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检查依据</w:t>
            </w:r>
          </w:p>
        </w:tc>
        <w:tc>
          <w:tcPr>
            <w:tcW w:w="2302" w:type="dxa"/>
            <w:tcBorders>
              <w:top w:val="single" w:color="000000" w:sz="4" w:space="0"/>
              <w:left w:val="single" w:color="000000" w:sz="4" w:space="0"/>
              <w:bottom w:val="single" w:color="000000" w:sz="4" w:space="0"/>
              <w:right w:val="single" w:color="000000" w:sz="4" w:space="0"/>
            </w:tcBorders>
            <w:vAlign w:val="center"/>
          </w:tcPr>
          <w:p w14:paraId="591A1F27">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事实记录</w:t>
            </w:r>
          </w:p>
        </w:tc>
        <w:tc>
          <w:tcPr>
            <w:tcW w:w="816" w:type="dxa"/>
            <w:tcBorders>
              <w:top w:val="single" w:color="000000" w:sz="4" w:space="0"/>
              <w:left w:val="single" w:color="000000" w:sz="4" w:space="0"/>
              <w:bottom w:val="single" w:color="000000" w:sz="4" w:space="0"/>
              <w:right w:val="single" w:color="000000" w:sz="4" w:space="0"/>
            </w:tcBorders>
            <w:vAlign w:val="center"/>
          </w:tcPr>
          <w:p w14:paraId="5A29F36F">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结论</w:t>
            </w:r>
          </w:p>
        </w:tc>
      </w:tr>
      <w:tr w14:paraId="753AB0ED">
        <w:trPr>
          <w:trHeight w:val="395" w:hRule="atLeast"/>
          <w:jc w:val="center"/>
        </w:trPr>
        <w:tc>
          <w:tcPr>
            <w:tcW w:w="664" w:type="dxa"/>
            <w:tcBorders>
              <w:top w:val="single" w:color="000000" w:sz="4" w:space="0"/>
              <w:left w:val="single" w:color="000000" w:sz="4" w:space="0"/>
              <w:bottom w:val="single" w:color="000000" w:sz="4" w:space="0"/>
              <w:right w:val="single" w:color="000000" w:sz="4" w:space="0"/>
            </w:tcBorders>
            <w:vAlign w:val="center"/>
          </w:tcPr>
          <w:p w14:paraId="655FB5BD">
            <w:pPr>
              <w:numPr>
                <w:ilvl w:val="0"/>
                <w:numId w:val="14"/>
              </w:numPr>
              <w:tabs>
                <w:tab w:val="clear" w:pos="0"/>
              </w:tabs>
              <w:snapToGrid w:val="0"/>
              <w:spacing w:line="240" w:lineRule="exact"/>
              <w:jc w:val="center"/>
              <w:rPr>
                <w:rFonts w:eastAsia="仿宋"/>
                <w:color w:val="auto"/>
                <w:highlight w:val="none"/>
              </w:rPr>
            </w:pPr>
          </w:p>
        </w:tc>
        <w:tc>
          <w:tcPr>
            <w:tcW w:w="2605" w:type="dxa"/>
            <w:tcBorders>
              <w:top w:val="single" w:color="000000" w:sz="4" w:space="0"/>
              <w:left w:val="single" w:color="000000" w:sz="4" w:space="0"/>
              <w:bottom w:val="single" w:color="000000" w:sz="4" w:space="0"/>
              <w:right w:val="single" w:color="000000" w:sz="4" w:space="0"/>
            </w:tcBorders>
            <w:vAlign w:val="center"/>
          </w:tcPr>
          <w:p w14:paraId="23CC0062">
            <w:pPr>
              <w:adjustRightInd w:val="0"/>
              <w:snapToGrid w:val="0"/>
              <w:spacing w:before="156" w:beforeLines="50" w:after="156" w:afterLines="50"/>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highlight w:val="none"/>
              </w:rPr>
              <w:t>爆破作业前应进行充分的警戒，包括竖立警示旗、播放警报器、派人员到警戒范围外巡视，以防止人员及牲畜误入爆破警戒区。</w:t>
            </w:r>
          </w:p>
        </w:tc>
        <w:tc>
          <w:tcPr>
            <w:tcW w:w="2135" w:type="dxa"/>
            <w:tcBorders>
              <w:top w:val="single" w:color="000000" w:sz="4" w:space="0"/>
              <w:left w:val="single" w:color="000000" w:sz="4" w:space="0"/>
              <w:bottom w:val="single" w:color="000000" w:sz="4" w:space="0"/>
              <w:right w:val="single" w:color="000000" w:sz="4" w:space="0"/>
            </w:tcBorders>
            <w:vAlign w:val="center"/>
          </w:tcPr>
          <w:p w14:paraId="64377894">
            <w:pPr>
              <w:ind w:left="-78" w:leftChars="-37" w:right="-82" w:rightChars="-39"/>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302" w:type="dxa"/>
            <w:tcBorders>
              <w:top w:val="single" w:color="000000" w:sz="4" w:space="0"/>
              <w:left w:val="single" w:color="000000" w:sz="4" w:space="0"/>
              <w:bottom w:val="single" w:color="000000" w:sz="4" w:space="0"/>
              <w:right w:val="single" w:color="000000" w:sz="4" w:space="0"/>
            </w:tcBorders>
            <w:vAlign w:val="center"/>
          </w:tcPr>
          <w:p w14:paraId="3F19C2D2">
            <w:pPr>
              <w:adjustRightInd w:val="0"/>
              <w:snapToGrid w:val="0"/>
              <w:spacing w:before="156" w:beforeLines="50" w:after="156" w:afterLines="50"/>
              <w:rPr>
                <w:rFonts w:ascii="Times New Roman Regular" w:hAnsi="Times New Roman Regular" w:cs="Times New Roman Regular"/>
                <w:color w:val="auto"/>
                <w:szCs w:val="21"/>
                <w:highlight w:val="none"/>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5A53D232">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CB3B52F">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2598E34">
        <w:trPr>
          <w:trHeight w:val="2137" w:hRule="atLeast"/>
          <w:jc w:val="center"/>
        </w:trPr>
        <w:tc>
          <w:tcPr>
            <w:tcW w:w="664" w:type="dxa"/>
            <w:tcBorders>
              <w:top w:val="single" w:color="000000" w:sz="4" w:space="0"/>
              <w:left w:val="single" w:color="000000" w:sz="4" w:space="0"/>
              <w:bottom w:val="single" w:color="000000" w:sz="4" w:space="0"/>
              <w:right w:val="single" w:color="000000" w:sz="4" w:space="0"/>
            </w:tcBorders>
            <w:vAlign w:val="center"/>
          </w:tcPr>
          <w:p w14:paraId="67A260AB">
            <w:pPr>
              <w:numPr>
                <w:ilvl w:val="0"/>
                <w:numId w:val="14"/>
              </w:numPr>
              <w:tabs>
                <w:tab w:val="clear" w:pos="0"/>
              </w:tabs>
              <w:snapToGrid w:val="0"/>
              <w:spacing w:line="240" w:lineRule="exact"/>
              <w:jc w:val="center"/>
              <w:rPr>
                <w:rFonts w:eastAsia="仿宋"/>
                <w:color w:val="auto"/>
                <w:highlight w:val="none"/>
              </w:rPr>
            </w:pPr>
          </w:p>
        </w:tc>
        <w:tc>
          <w:tcPr>
            <w:tcW w:w="2605" w:type="dxa"/>
            <w:tcBorders>
              <w:top w:val="single" w:color="000000" w:sz="4" w:space="0"/>
              <w:left w:val="single" w:color="000000" w:sz="4" w:space="0"/>
              <w:bottom w:val="single" w:color="000000" w:sz="4" w:space="0"/>
              <w:right w:val="single" w:color="000000" w:sz="4" w:space="0"/>
            </w:tcBorders>
            <w:vAlign w:val="center"/>
          </w:tcPr>
          <w:p w14:paraId="5B63619A">
            <w:pPr>
              <w:ind w:right="-88" w:rightChars="-42"/>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主要负责人应当每月对照金属非金属矿山重大生产安全事故隐患判定标准，组织开展全面排查，形成重大事故隐患排查治理报告签字备查。</w:t>
            </w:r>
          </w:p>
        </w:tc>
        <w:tc>
          <w:tcPr>
            <w:tcW w:w="2135" w:type="dxa"/>
            <w:tcBorders>
              <w:top w:val="single" w:color="000000" w:sz="4" w:space="0"/>
              <w:left w:val="single" w:color="000000" w:sz="4" w:space="0"/>
              <w:bottom w:val="single" w:color="000000" w:sz="4" w:space="0"/>
              <w:right w:val="single" w:color="000000" w:sz="4" w:space="0"/>
            </w:tcBorders>
            <w:vAlign w:val="center"/>
          </w:tcPr>
          <w:p w14:paraId="0EA436DA">
            <w:pPr>
              <w:ind w:right="-88" w:rightChars="-42"/>
              <w:rPr>
                <w:rFonts w:ascii="Times New Roman Regular" w:hAnsi="Times New Roman Regular" w:cs="Times New Roman Regular"/>
                <w:color w:val="auto"/>
                <w:highlight w:val="none"/>
              </w:rPr>
            </w:pPr>
            <w:r>
              <w:rPr>
                <w:rFonts w:ascii="Times New Roman Regular" w:hAnsi="Times New Roman Regular" w:cs="Times New Roman Regular"/>
                <w:color w:val="auto"/>
                <w:szCs w:val="21"/>
                <w:highlight w:val="none"/>
              </w:rPr>
              <w:t>《国家矿山安全监察局关于印发&lt;关于加强非煤矿山安全生产工作的指导意见&gt;的通知》（矿安〔2022〕4号）</w:t>
            </w:r>
          </w:p>
        </w:tc>
        <w:tc>
          <w:tcPr>
            <w:tcW w:w="2302" w:type="dxa"/>
            <w:tcBorders>
              <w:top w:val="single" w:color="000000" w:sz="4" w:space="0"/>
              <w:left w:val="single" w:color="000000" w:sz="4" w:space="0"/>
              <w:bottom w:val="single" w:color="000000" w:sz="4" w:space="0"/>
              <w:right w:val="single" w:color="000000" w:sz="4" w:space="0"/>
            </w:tcBorders>
            <w:vAlign w:val="center"/>
          </w:tcPr>
          <w:p w14:paraId="4CD8FDDF">
            <w:pPr>
              <w:ind w:right="-88" w:rightChars="-42"/>
              <w:rPr>
                <w:rFonts w:ascii="Times New Roman Regular" w:hAnsi="Times New Roman Regular" w:cs="Times New Roman Regular"/>
                <w:color w:val="auto"/>
                <w:szCs w:val="21"/>
                <w:highlight w:val="none"/>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3B902216">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23788A2C">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4888FDA1">
        <w:trPr>
          <w:trHeight w:val="1233" w:hRule="atLeast"/>
          <w:jc w:val="center"/>
        </w:trPr>
        <w:tc>
          <w:tcPr>
            <w:tcW w:w="664" w:type="dxa"/>
            <w:tcBorders>
              <w:top w:val="single" w:color="000000" w:sz="4" w:space="0"/>
              <w:left w:val="single" w:color="000000" w:sz="4" w:space="0"/>
              <w:bottom w:val="single" w:color="000000" w:sz="4" w:space="0"/>
              <w:right w:val="single" w:color="000000" w:sz="4" w:space="0"/>
            </w:tcBorders>
            <w:vAlign w:val="center"/>
          </w:tcPr>
          <w:p w14:paraId="20B14107">
            <w:pPr>
              <w:numPr>
                <w:ilvl w:val="0"/>
                <w:numId w:val="14"/>
              </w:numPr>
              <w:tabs>
                <w:tab w:val="clear" w:pos="0"/>
              </w:tabs>
              <w:snapToGrid w:val="0"/>
              <w:spacing w:line="240" w:lineRule="exact"/>
              <w:jc w:val="center"/>
              <w:rPr>
                <w:rFonts w:eastAsia="仿宋"/>
                <w:color w:val="auto"/>
                <w:highlight w:val="none"/>
              </w:rPr>
            </w:pPr>
          </w:p>
        </w:tc>
        <w:tc>
          <w:tcPr>
            <w:tcW w:w="2605" w:type="dxa"/>
            <w:tcBorders>
              <w:top w:val="single" w:color="000000" w:sz="4" w:space="0"/>
              <w:left w:val="single" w:color="000000" w:sz="4" w:space="0"/>
              <w:bottom w:val="single" w:color="000000" w:sz="4" w:space="0"/>
              <w:right w:val="single" w:color="000000" w:sz="4" w:space="0"/>
            </w:tcBorders>
            <w:vAlign w:val="center"/>
          </w:tcPr>
          <w:p w14:paraId="4B185EBE">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highlight w:val="none"/>
              </w:rPr>
              <w:t>矿山从业人员的安全培训情况和考核结果，应记录存档。</w:t>
            </w:r>
          </w:p>
        </w:tc>
        <w:tc>
          <w:tcPr>
            <w:tcW w:w="2135" w:type="dxa"/>
            <w:tcBorders>
              <w:top w:val="single" w:color="000000" w:sz="4" w:space="0"/>
              <w:left w:val="single" w:color="000000" w:sz="4" w:space="0"/>
              <w:bottom w:val="single" w:color="000000" w:sz="4" w:space="0"/>
              <w:right w:val="single" w:color="000000" w:sz="4" w:space="0"/>
            </w:tcBorders>
            <w:vAlign w:val="center"/>
          </w:tcPr>
          <w:p w14:paraId="00F77785">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《金属非金属矿山安全规程》（GB16423 -2020）第4.5.8</w:t>
            </w:r>
            <w:r>
              <w:rPr>
                <w:rFonts w:ascii="Times New Roman Regular" w:hAnsi="Times New Roman Regular" w:cs="Times New Roman Regular"/>
                <w:color w:val="auto"/>
                <w:szCs w:val="18"/>
                <w:highlight w:val="none"/>
              </w:rPr>
              <w:t>条</w:t>
            </w:r>
          </w:p>
        </w:tc>
        <w:tc>
          <w:tcPr>
            <w:tcW w:w="2302" w:type="dxa"/>
            <w:tcBorders>
              <w:top w:val="single" w:color="000000" w:sz="4" w:space="0"/>
              <w:left w:val="single" w:color="000000" w:sz="4" w:space="0"/>
              <w:bottom w:val="single" w:color="000000" w:sz="4" w:space="0"/>
              <w:right w:val="single" w:color="000000" w:sz="4" w:space="0"/>
            </w:tcBorders>
            <w:vAlign w:val="center"/>
          </w:tcPr>
          <w:p w14:paraId="30B0CA49">
            <w:pPr>
              <w:ind w:right="-88" w:rightChars="-42"/>
              <w:rPr>
                <w:rFonts w:ascii="Times New Roman Regular" w:hAnsi="Times New Roman Regular" w:cs="Times New Roman Regular"/>
                <w:color w:val="auto"/>
                <w:szCs w:val="21"/>
                <w:highlight w:val="none"/>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094D295E">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038A7C4">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6E1294ED">
        <w:trPr>
          <w:trHeight w:val="1512" w:hRule="atLeast"/>
          <w:jc w:val="center"/>
        </w:trPr>
        <w:tc>
          <w:tcPr>
            <w:tcW w:w="664" w:type="dxa"/>
            <w:tcBorders>
              <w:top w:val="single" w:color="000000" w:sz="4" w:space="0"/>
              <w:left w:val="single" w:color="000000" w:sz="4" w:space="0"/>
              <w:bottom w:val="single" w:color="000000" w:sz="4" w:space="0"/>
              <w:right w:val="single" w:color="000000" w:sz="4" w:space="0"/>
            </w:tcBorders>
            <w:vAlign w:val="center"/>
          </w:tcPr>
          <w:p w14:paraId="4A76EF9D">
            <w:pPr>
              <w:numPr>
                <w:ilvl w:val="0"/>
                <w:numId w:val="14"/>
              </w:numPr>
              <w:tabs>
                <w:tab w:val="clear" w:pos="0"/>
              </w:tabs>
              <w:snapToGrid w:val="0"/>
              <w:spacing w:line="240" w:lineRule="exact"/>
              <w:jc w:val="center"/>
              <w:rPr>
                <w:rFonts w:eastAsia="仿宋"/>
                <w:color w:val="auto"/>
                <w:highlight w:val="none"/>
              </w:rPr>
            </w:pPr>
          </w:p>
        </w:tc>
        <w:tc>
          <w:tcPr>
            <w:tcW w:w="2605" w:type="dxa"/>
            <w:tcBorders>
              <w:top w:val="single" w:color="000000" w:sz="4" w:space="0"/>
              <w:left w:val="single" w:color="000000" w:sz="4" w:space="0"/>
              <w:bottom w:val="single" w:color="000000" w:sz="4" w:space="0"/>
              <w:right w:val="single" w:color="000000" w:sz="4" w:space="0"/>
            </w:tcBorders>
            <w:vAlign w:val="center"/>
          </w:tcPr>
          <w:p w14:paraId="4FD349FA">
            <w:pPr>
              <w:ind w:right="-88" w:rightChars="-42"/>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不良天气影响正常生产时，应立即停止作业；威胁人身安全时，人员应转移到安全地点。</w:t>
            </w:r>
          </w:p>
        </w:tc>
        <w:tc>
          <w:tcPr>
            <w:tcW w:w="2135" w:type="dxa"/>
            <w:tcBorders>
              <w:top w:val="single" w:color="000000" w:sz="4" w:space="0"/>
              <w:left w:val="single" w:color="000000" w:sz="4" w:space="0"/>
              <w:bottom w:val="single" w:color="000000" w:sz="4" w:space="0"/>
              <w:right w:val="single" w:color="000000" w:sz="4" w:space="0"/>
            </w:tcBorders>
            <w:vAlign w:val="center"/>
          </w:tcPr>
          <w:p w14:paraId="77C9E3E5">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《金属非金属矿山安全规程》（GB16423 -2020）第4.5.8</w:t>
            </w:r>
            <w:r>
              <w:rPr>
                <w:rFonts w:ascii="Times New Roman Regular" w:hAnsi="Times New Roman Regular" w:cs="Times New Roman Regular"/>
                <w:color w:val="auto"/>
                <w:szCs w:val="18"/>
                <w:highlight w:val="none"/>
              </w:rPr>
              <w:t>条</w:t>
            </w:r>
          </w:p>
        </w:tc>
        <w:tc>
          <w:tcPr>
            <w:tcW w:w="2302" w:type="dxa"/>
            <w:tcBorders>
              <w:top w:val="single" w:color="000000" w:sz="4" w:space="0"/>
              <w:left w:val="single" w:color="000000" w:sz="4" w:space="0"/>
              <w:bottom w:val="single" w:color="000000" w:sz="4" w:space="0"/>
              <w:right w:val="single" w:color="000000" w:sz="4" w:space="0"/>
            </w:tcBorders>
            <w:vAlign w:val="center"/>
          </w:tcPr>
          <w:p w14:paraId="1738AD7F">
            <w:pPr>
              <w:ind w:right="-88" w:rightChars="-42"/>
              <w:rPr>
                <w:rFonts w:ascii="Times New Roman Regular" w:hAnsi="Times New Roman Regular" w:cs="Times New Roman Regular"/>
                <w:color w:val="auto"/>
                <w:szCs w:val="21"/>
                <w:highlight w:val="none"/>
              </w:rPr>
            </w:pPr>
          </w:p>
        </w:tc>
        <w:tc>
          <w:tcPr>
            <w:tcW w:w="816" w:type="dxa"/>
            <w:tcBorders>
              <w:top w:val="single" w:color="000000" w:sz="4" w:space="0"/>
              <w:left w:val="single" w:color="000000" w:sz="4" w:space="0"/>
              <w:bottom w:val="single" w:color="000000" w:sz="4" w:space="0"/>
              <w:right w:val="single" w:color="000000" w:sz="4" w:space="0"/>
            </w:tcBorders>
            <w:vAlign w:val="center"/>
          </w:tcPr>
          <w:p w14:paraId="7464AACA">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4F8F66D">
            <w:pPr>
              <w:ind w:right="-88" w:rightChars="-42"/>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59E8466D">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3EE2A707">
      <w:pPr>
        <w:snapToGrid w:val="0"/>
        <w:spacing w:line="360" w:lineRule="auto"/>
        <w:ind w:firstLine="560" w:firstLineChars="200"/>
        <w:rPr>
          <w:rFonts w:ascii="Times New Roman Regular" w:hAnsi="Times New Roman Regular" w:eastAsia="宋体" w:cs="Times New Roman Regular"/>
          <w:color w:val="auto"/>
          <w:sz w:val="28"/>
          <w:szCs w:val="28"/>
          <w:highlight w:val="none"/>
        </w:rPr>
      </w:pPr>
      <w:r>
        <w:rPr>
          <w:rFonts w:ascii="Times New Roman Regular" w:hAnsi="Times New Roman Regular" w:eastAsia="宋体" w:cs="Times New Roman Regular"/>
          <w:color w:val="auto"/>
          <w:sz w:val="28"/>
          <w:szCs w:val="28"/>
          <w:highlight w:val="none"/>
        </w:rPr>
        <w:t>对该矿山的安全运行管理单元用安全检查表法进行了4项检查，均符合安全要求，检查结果表明，</w:t>
      </w:r>
      <w:r>
        <w:rPr>
          <w:rFonts w:hint="eastAsia" w:ascii="Times New Roman Regular" w:hAnsi="Times New Roman Regular" w:eastAsia="宋体" w:cs="Times New Roman Regular"/>
          <w:color w:val="auto"/>
          <w:sz w:val="28"/>
          <w:szCs w:val="28"/>
          <w:highlight w:val="none"/>
        </w:rPr>
        <w:t>本溪星光硅质原料有限公司</w:t>
      </w:r>
      <w:r>
        <w:rPr>
          <w:rFonts w:ascii="Times New Roman Regular" w:hAnsi="Times New Roman Regular" w:eastAsia="宋体" w:cs="Times New Roman Regular"/>
          <w:color w:val="auto"/>
          <w:sz w:val="28"/>
          <w:szCs w:val="28"/>
          <w:highlight w:val="none"/>
        </w:rPr>
        <w:t>（玻璃用石英岩）露天开采建设项目安全运行管理单元符合设计要求，能够满足矿山安全生产条件。</w:t>
      </w:r>
    </w:p>
    <w:p w14:paraId="182E92CF">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3.10.3应急救援</w:t>
      </w:r>
    </w:p>
    <w:p w14:paraId="4DC2CBD1">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10</w:t>
      </w:r>
      <w:r>
        <w:rPr>
          <w:rFonts w:ascii="黑体" w:hAnsi="黑体" w:eastAsia="黑体" w:cs="黑体"/>
          <w:bCs/>
          <w:color w:val="auto"/>
          <w:sz w:val="24"/>
          <w:highlight w:val="none"/>
          <w:lang w:val="zh-CN"/>
        </w:rPr>
        <w:t>-</w:t>
      </w:r>
      <w:r>
        <w:rPr>
          <w:rFonts w:ascii="黑体" w:hAnsi="黑体" w:eastAsia="黑体" w:cs="黑体"/>
          <w:bCs/>
          <w:color w:val="auto"/>
          <w:sz w:val="24"/>
          <w:highlight w:val="none"/>
        </w:rPr>
        <w:t>3应急救援</w:t>
      </w:r>
      <w:r>
        <w:rPr>
          <w:rFonts w:ascii="黑体" w:hAnsi="黑体" w:eastAsia="黑体" w:cs="黑体"/>
          <w:bCs/>
          <w:color w:val="auto"/>
          <w:sz w:val="24"/>
          <w:highlight w:val="none"/>
          <w:lang w:val="zh-CN"/>
        </w:rPr>
        <w:t>单元安全检查表</w:t>
      </w:r>
    </w:p>
    <w:tbl>
      <w:tblPr>
        <w:tblStyle w:val="14"/>
        <w:tblW w:w="5000" w:type="pct"/>
        <w:jc w:val="center"/>
        <w:tblLayout w:type="fixed"/>
        <w:tblCellMar>
          <w:top w:w="0" w:type="dxa"/>
          <w:left w:w="108" w:type="dxa"/>
          <w:bottom w:w="0" w:type="dxa"/>
          <w:right w:w="108" w:type="dxa"/>
        </w:tblCellMar>
      </w:tblPr>
      <w:tblGrid>
        <w:gridCol w:w="666"/>
        <w:gridCol w:w="2595"/>
        <w:gridCol w:w="2149"/>
        <w:gridCol w:w="2298"/>
        <w:gridCol w:w="814"/>
      </w:tblGrid>
      <w:tr w14:paraId="29C92DFC">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4511E8BE">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序号</w:t>
            </w:r>
          </w:p>
        </w:tc>
        <w:tc>
          <w:tcPr>
            <w:tcW w:w="2595" w:type="dxa"/>
            <w:tcBorders>
              <w:top w:val="single" w:color="000000" w:sz="4" w:space="0"/>
              <w:left w:val="single" w:color="000000" w:sz="4" w:space="0"/>
              <w:bottom w:val="single" w:color="000000" w:sz="4" w:space="0"/>
              <w:right w:val="single" w:color="000000" w:sz="4" w:space="0"/>
            </w:tcBorders>
            <w:vAlign w:val="center"/>
          </w:tcPr>
          <w:p w14:paraId="5B1A965E">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检查内容</w:t>
            </w:r>
          </w:p>
        </w:tc>
        <w:tc>
          <w:tcPr>
            <w:tcW w:w="2149" w:type="dxa"/>
            <w:tcBorders>
              <w:top w:val="single" w:color="000000" w:sz="4" w:space="0"/>
              <w:left w:val="single" w:color="000000" w:sz="4" w:space="0"/>
              <w:bottom w:val="single" w:color="000000" w:sz="4" w:space="0"/>
              <w:right w:val="single" w:color="000000" w:sz="4" w:space="0"/>
            </w:tcBorders>
            <w:vAlign w:val="center"/>
          </w:tcPr>
          <w:p w14:paraId="260769B8">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检查依据</w:t>
            </w:r>
          </w:p>
        </w:tc>
        <w:tc>
          <w:tcPr>
            <w:tcW w:w="2298" w:type="dxa"/>
            <w:tcBorders>
              <w:top w:val="single" w:color="000000" w:sz="4" w:space="0"/>
              <w:left w:val="single" w:color="000000" w:sz="4" w:space="0"/>
              <w:bottom w:val="single" w:color="000000" w:sz="4" w:space="0"/>
              <w:right w:val="single" w:color="000000" w:sz="4" w:space="0"/>
            </w:tcBorders>
            <w:vAlign w:val="center"/>
          </w:tcPr>
          <w:p w14:paraId="056F7BF5">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事实记录</w:t>
            </w:r>
          </w:p>
        </w:tc>
        <w:tc>
          <w:tcPr>
            <w:tcW w:w="814" w:type="dxa"/>
            <w:tcBorders>
              <w:top w:val="single" w:color="000000" w:sz="4" w:space="0"/>
              <w:left w:val="single" w:color="000000" w:sz="4" w:space="0"/>
              <w:bottom w:val="single" w:color="000000" w:sz="4" w:space="0"/>
              <w:right w:val="single" w:color="000000" w:sz="4" w:space="0"/>
            </w:tcBorders>
            <w:vAlign w:val="center"/>
          </w:tcPr>
          <w:p w14:paraId="20F31DC1">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结论</w:t>
            </w:r>
          </w:p>
        </w:tc>
      </w:tr>
      <w:tr w14:paraId="71DFBD41">
        <w:trPr>
          <w:trHeight w:val="1825"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25F5F138">
            <w:pPr>
              <w:numPr>
                <w:ilvl w:val="0"/>
                <w:numId w:val="15"/>
              </w:numPr>
              <w:tabs>
                <w:tab w:val="clear" w:pos="0"/>
              </w:tabs>
              <w:snapToGrid w:val="0"/>
              <w:spacing w:line="240" w:lineRule="exact"/>
              <w:jc w:val="center"/>
              <w:rPr>
                <w:rFonts w:eastAsia="仿宋"/>
                <w:color w:val="auto"/>
                <w:highlight w:val="none"/>
              </w:rPr>
            </w:pPr>
          </w:p>
        </w:tc>
        <w:tc>
          <w:tcPr>
            <w:tcW w:w="2595" w:type="dxa"/>
            <w:tcBorders>
              <w:top w:val="single" w:color="000000" w:sz="4" w:space="0"/>
              <w:left w:val="single" w:color="000000" w:sz="4" w:space="0"/>
              <w:bottom w:val="single" w:color="000000" w:sz="4" w:space="0"/>
              <w:right w:val="single" w:color="000000" w:sz="4" w:space="0"/>
            </w:tcBorders>
            <w:vAlign w:val="center"/>
          </w:tcPr>
          <w:p w14:paraId="6733AE8F">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企业应制定应急救援预案。</w:t>
            </w:r>
          </w:p>
        </w:tc>
        <w:tc>
          <w:tcPr>
            <w:tcW w:w="2149" w:type="dxa"/>
            <w:tcBorders>
              <w:top w:val="single" w:color="000000" w:sz="4" w:space="0"/>
              <w:left w:val="single" w:color="000000" w:sz="4" w:space="0"/>
              <w:bottom w:val="single" w:color="000000" w:sz="4" w:space="0"/>
              <w:right w:val="single" w:color="000000" w:sz="4" w:space="0"/>
            </w:tcBorders>
            <w:vAlign w:val="center"/>
          </w:tcPr>
          <w:p w14:paraId="44BC8D2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《辽宁省安全生产督管理局关于进一步规范非煤矿矿山安全生产行政许可管理工作的通知》（辽安监非煤）[2018]29号）</w:t>
            </w:r>
          </w:p>
        </w:tc>
        <w:tc>
          <w:tcPr>
            <w:tcW w:w="2298" w:type="dxa"/>
            <w:tcBorders>
              <w:top w:val="single" w:color="000000" w:sz="4" w:space="0"/>
              <w:left w:val="single" w:color="000000" w:sz="4" w:space="0"/>
              <w:bottom w:val="single" w:color="000000" w:sz="4" w:space="0"/>
              <w:right w:val="single" w:color="000000" w:sz="4" w:space="0"/>
            </w:tcBorders>
            <w:vAlign w:val="center"/>
          </w:tcPr>
          <w:p w14:paraId="107FC58C">
            <w:pPr>
              <w:snapToGrid w:val="0"/>
              <w:spacing w:line="240" w:lineRule="exact"/>
              <w:rPr>
                <w:rFonts w:ascii="Times New Roman Regular" w:hAnsi="Times New Roman Regular" w:cs="Times New Roman Regular"/>
                <w:color w:val="auto"/>
                <w:szCs w:val="21"/>
                <w:highlight w:val="none"/>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10CA3E11">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39BBBA1D">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3FEC78CA">
        <w:trPr>
          <w:trHeight w:val="1215"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2F6C54D6">
            <w:pPr>
              <w:numPr>
                <w:ilvl w:val="0"/>
                <w:numId w:val="15"/>
              </w:numPr>
              <w:tabs>
                <w:tab w:val="clear" w:pos="0"/>
              </w:tabs>
              <w:snapToGrid w:val="0"/>
              <w:spacing w:line="240" w:lineRule="exact"/>
              <w:jc w:val="center"/>
              <w:rPr>
                <w:rFonts w:eastAsia="仿宋"/>
                <w:color w:val="auto"/>
                <w:highlight w:val="none"/>
              </w:rPr>
            </w:pPr>
          </w:p>
        </w:tc>
        <w:tc>
          <w:tcPr>
            <w:tcW w:w="2595" w:type="dxa"/>
            <w:tcBorders>
              <w:top w:val="single" w:color="000000" w:sz="4" w:space="0"/>
              <w:left w:val="single" w:color="000000" w:sz="4" w:space="0"/>
              <w:bottom w:val="single" w:color="000000" w:sz="4" w:space="0"/>
              <w:right w:val="single" w:color="000000" w:sz="4" w:space="0"/>
            </w:tcBorders>
            <w:vAlign w:val="center"/>
          </w:tcPr>
          <w:p w14:paraId="69FF50B5">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矿山企业应当至少每半年组织1次生产安全事故应急预案演练。</w:t>
            </w:r>
          </w:p>
        </w:tc>
        <w:tc>
          <w:tcPr>
            <w:tcW w:w="2149" w:type="dxa"/>
            <w:tcBorders>
              <w:top w:val="single" w:color="000000" w:sz="4" w:space="0"/>
              <w:left w:val="single" w:color="000000" w:sz="4" w:space="0"/>
              <w:bottom w:val="single" w:color="000000" w:sz="4" w:space="0"/>
              <w:right w:val="single" w:color="000000" w:sz="4" w:space="0"/>
            </w:tcBorders>
            <w:vAlign w:val="center"/>
          </w:tcPr>
          <w:p w14:paraId="02C82E1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《国家矿山安全监察局关于加强矿山应急救援工作的通知》（矿安〔2024〕8号）</w:t>
            </w:r>
          </w:p>
        </w:tc>
        <w:tc>
          <w:tcPr>
            <w:tcW w:w="2298" w:type="dxa"/>
            <w:tcBorders>
              <w:top w:val="single" w:color="000000" w:sz="4" w:space="0"/>
              <w:left w:val="single" w:color="000000" w:sz="4" w:space="0"/>
              <w:bottom w:val="single" w:color="000000" w:sz="4" w:space="0"/>
              <w:right w:val="single" w:color="000000" w:sz="4" w:space="0"/>
            </w:tcBorders>
            <w:vAlign w:val="center"/>
          </w:tcPr>
          <w:p w14:paraId="549CBEE8">
            <w:pPr>
              <w:snapToGrid w:val="0"/>
              <w:spacing w:line="240" w:lineRule="exact"/>
              <w:rPr>
                <w:rFonts w:ascii="Times New Roman Regular" w:hAnsi="Times New Roman Regular" w:cs="Times New Roman Regular"/>
                <w:color w:val="auto"/>
                <w:szCs w:val="21"/>
                <w:highlight w:val="none"/>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1C54BDF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7A08D551">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562CC3EA">
        <w:trPr>
          <w:trHeight w:val="1139"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6DE2BAAB">
            <w:pPr>
              <w:numPr>
                <w:ilvl w:val="0"/>
                <w:numId w:val="15"/>
              </w:numPr>
              <w:tabs>
                <w:tab w:val="clear" w:pos="0"/>
              </w:tabs>
              <w:snapToGrid w:val="0"/>
              <w:spacing w:line="240" w:lineRule="exact"/>
              <w:jc w:val="center"/>
              <w:rPr>
                <w:rFonts w:eastAsia="仿宋"/>
                <w:color w:val="auto"/>
                <w:highlight w:val="none"/>
              </w:rPr>
            </w:pPr>
          </w:p>
        </w:tc>
        <w:tc>
          <w:tcPr>
            <w:tcW w:w="2595" w:type="dxa"/>
            <w:tcBorders>
              <w:top w:val="single" w:color="000000" w:sz="4" w:space="0"/>
              <w:left w:val="single" w:color="000000" w:sz="4" w:space="0"/>
              <w:bottom w:val="single" w:color="000000" w:sz="4" w:space="0"/>
              <w:right w:val="single" w:color="000000" w:sz="4" w:space="0"/>
            </w:tcBorders>
            <w:vAlign w:val="center"/>
          </w:tcPr>
          <w:p w14:paraId="2E20116E">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落实应急救援装备和物资储备。</w:t>
            </w:r>
          </w:p>
        </w:tc>
        <w:tc>
          <w:tcPr>
            <w:tcW w:w="2149" w:type="dxa"/>
            <w:tcBorders>
              <w:top w:val="single" w:color="000000" w:sz="4" w:space="0"/>
              <w:left w:val="single" w:color="000000" w:sz="4" w:space="0"/>
              <w:bottom w:val="single" w:color="000000" w:sz="4" w:space="0"/>
              <w:right w:val="single" w:color="000000" w:sz="4" w:space="0"/>
            </w:tcBorders>
            <w:vAlign w:val="center"/>
          </w:tcPr>
          <w:p w14:paraId="1F49849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《安全设施设计》</w:t>
            </w:r>
          </w:p>
        </w:tc>
        <w:tc>
          <w:tcPr>
            <w:tcW w:w="2298" w:type="dxa"/>
            <w:tcBorders>
              <w:top w:val="single" w:color="000000" w:sz="4" w:space="0"/>
              <w:left w:val="single" w:color="000000" w:sz="4" w:space="0"/>
              <w:bottom w:val="single" w:color="000000" w:sz="4" w:space="0"/>
              <w:right w:val="single" w:color="000000" w:sz="4" w:space="0"/>
            </w:tcBorders>
            <w:vAlign w:val="center"/>
          </w:tcPr>
          <w:p w14:paraId="6270C10A">
            <w:pPr>
              <w:snapToGrid w:val="0"/>
              <w:spacing w:line="240" w:lineRule="exact"/>
              <w:rPr>
                <w:rFonts w:ascii="Times New Roman Regular" w:hAnsi="Times New Roman Regular" w:cs="Times New Roman Regular"/>
                <w:color w:val="auto"/>
                <w:szCs w:val="21"/>
                <w:highlight w:val="none"/>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1AAA863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1AEB767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r w14:paraId="36F2C198">
        <w:trPr>
          <w:trHeight w:val="1725" w:hRule="atLeast"/>
          <w:jc w:val="center"/>
        </w:trPr>
        <w:tc>
          <w:tcPr>
            <w:tcW w:w="666" w:type="dxa"/>
            <w:tcBorders>
              <w:top w:val="single" w:color="000000" w:sz="4" w:space="0"/>
              <w:left w:val="single" w:color="000000" w:sz="4" w:space="0"/>
              <w:bottom w:val="single" w:color="000000" w:sz="4" w:space="0"/>
              <w:right w:val="single" w:color="000000" w:sz="4" w:space="0"/>
            </w:tcBorders>
            <w:vAlign w:val="center"/>
          </w:tcPr>
          <w:p w14:paraId="0E64DE8C">
            <w:pPr>
              <w:numPr>
                <w:ilvl w:val="0"/>
                <w:numId w:val="15"/>
              </w:numPr>
              <w:tabs>
                <w:tab w:val="clear" w:pos="0"/>
              </w:tabs>
              <w:snapToGrid w:val="0"/>
              <w:spacing w:line="240" w:lineRule="exact"/>
              <w:jc w:val="center"/>
              <w:rPr>
                <w:rFonts w:eastAsia="仿宋"/>
                <w:color w:val="auto"/>
                <w:highlight w:val="none"/>
              </w:rPr>
            </w:pPr>
          </w:p>
        </w:tc>
        <w:tc>
          <w:tcPr>
            <w:tcW w:w="2595" w:type="dxa"/>
            <w:tcBorders>
              <w:top w:val="single" w:color="000000" w:sz="4" w:space="0"/>
              <w:left w:val="single" w:color="000000" w:sz="4" w:space="0"/>
              <w:bottom w:val="single" w:color="000000" w:sz="4" w:space="0"/>
              <w:right w:val="single" w:color="000000" w:sz="4" w:space="0"/>
            </w:tcBorders>
            <w:vAlign w:val="center"/>
          </w:tcPr>
          <w:p w14:paraId="4EBA61F9">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企业应提供设立事故应急救援组织的文件或者与矿山救护队、其他应急救援组织签订的救护协议。</w:t>
            </w:r>
          </w:p>
        </w:tc>
        <w:tc>
          <w:tcPr>
            <w:tcW w:w="2149" w:type="dxa"/>
            <w:tcBorders>
              <w:top w:val="single" w:color="000000" w:sz="4" w:space="0"/>
              <w:left w:val="single" w:color="000000" w:sz="4" w:space="0"/>
              <w:bottom w:val="single" w:color="000000" w:sz="4" w:space="0"/>
              <w:right w:val="single" w:color="000000" w:sz="4" w:space="0"/>
            </w:tcBorders>
            <w:vAlign w:val="center"/>
          </w:tcPr>
          <w:p w14:paraId="5F4D6160">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298" w:type="dxa"/>
            <w:tcBorders>
              <w:top w:val="single" w:color="000000" w:sz="4" w:space="0"/>
              <w:left w:val="single" w:color="000000" w:sz="4" w:space="0"/>
              <w:bottom w:val="single" w:color="000000" w:sz="4" w:space="0"/>
              <w:right w:val="single" w:color="000000" w:sz="4" w:space="0"/>
            </w:tcBorders>
            <w:vAlign w:val="center"/>
          </w:tcPr>
          <w:p w14:paraId="369D8A80">
            <w:pPr>
              <w:snapToGrid w:val="0"/>
              <w:spacing w:line="240" w:lineRule="exact"/>
              <w:rPr>
                <w:rFonts w:ascii="Times New Roman Regular" w:hAnsi="Times New Roman Regular" w:cs="Times New Roman Regular"/>
                <w:color w:val="auto"/>
                <w:szCs w:val="21"/>
                <w:highlight w:val="none"/>
              </w:rPr>
            </w:pPr>
          </w:p>
        </w:tc>
        <w:tc>
          <w:tcPr>
            <w:tcW w:w="814" w:type="dxa"/>
            <w:tcBorders>
              <w:top w:val="single" w:color="000000" w:sz="4" w:space="0"/>
              <w:left w:val="single" w:color="000000" w:sz="4" w:space="0"/>
              <w:bottom w:val="single" w:color="000000" w:sz="4" w:space="0"/>
              <w:right w:val="single" w:color="000000" w:sz="4" w:space="0"/>
            </w:tcBorders>
            <w:vAlign w:val="center"/>
          </w:tcPr>
          <w:p w14:paraId="54D7162F">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w:t>
            </w:r>
          </w:p>
          <w:p w14:paraId="5A7AE011">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要求</w:t>
            </w:r>
          </w:p>
        </w:tc>
      </w:tr>
    </w:tbl>
    <w:p w14:paraId="19F9C0C2">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1D649278">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对该矿山的应急救援单元用安全检查表法进行了4项检查，均符合安全要求，检查结果表明，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（玻璃用石英岩）露天开采建设项目应急救援单元符合设计要求，能够满足矿山安全生产条件。</w:t>
      </w:r>
    </w:p>
    <w:p w14:paraId="3653BDB7">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38" w:name="_Toc26528"/>
      <w:bookmarkStart w:id="139" w:name="_Toc749068338"/>
      <w:bookmarkStart w:id="140" w:name="_Toc16716"/>
      <w:r>
        <w:rPr>
          <w:rFonts w:ascii="Times New Roman Regular" w:hAnsi="Times New Roman Regular" w:eastAsia="黑体" w:cs="Times New Roman Regular"/>
          <w:color w:val="auto"/>
          <w:sz w:val="30"/>
          <w:highlight w:val="none"/>
        </w:rPr>
        <w:t>3.1</w:t>
      </w:r>
      <w:bookmarkStart w:id="141" w:name="_Toc7882"/>
      <w:bookmarkStart w:id="142" w:name="_Toc22661"/>
      <w:r>
        <w:rPr>
          <w:rFonts w:ascii="Times New Roman Regular" w:hAnsi="Times New Roman Regular" w:eastAsia="黑体" w:cs="Times New Roman Regular"/>
          <w:color w:val="auto"/>
          <w:sz w:val="30"/>
          <w:highlight w:val="none"/>
        </w:rPr>
        <w:t>1重大事故隐患判定标准单元</w:t>
      </w:r>
      <w:bookmarkEnd w:id="138"/>
      <w:bookmarkEnd w:id="139"/>
      <w:bookmarkEnd w:id="140"/>
      <w:bookmarkEnd w:id="141"/>
      <w:bookmarkEnd w:id="142"/>
    </w:p>
    <w:p w14:paraId="45A1F131">
      <w:pPr>
        <w:spacing w:line="360" w:lineRule="auto"/>
        <w:ind w:firstLine="56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根据矿安〔2022〕88号文件及矿安〔2024〕41号，采用安全检查表法对重大事故隐患判定标准单元进行评价，详见表3.11-1。</w:t>
      </w:r>
    </w:p>
    <w:p w14:paraId="09CD76B0">
      <w:pPr>
        <w:adjustRightInd w:val="0"/>
        <w:snapToGrid w:val="0"/>
        <w:spacing w:line="400" w:lineRule="exact"/>
        <w:jc w:val="center"/>
        <w:rPr>
          <w:rFonts w:hint="eastAsia" w:ascii="黑体" w:hAnsi="黑体" w:eastAsia="黑体" w:cs="黑体"/>
          <w:bCs/>
          <w:color w:val="auto"/>
          <w:sz w:val="24"/>
          <w:highlight w:val="none"/>
          <w:lang w:val="zh-CN"/>
        </w:rPr>
      </w:pPr>
      <w:r>
        <w:rPr>
          <w:rFonts w:ascii="黑体" w:hAnsi="黑体" w:eastAsia="黑体" w:cs="黑体"/>
          <w:bCs/>
          <w:color w:val="auto"/>
          <w:sz w:val="24"/>
          <w:highlight w:val="none"/>
          <w:lang w:val="zh-CN"/>
        </w:rPr>
        <w:t>表3</w:t>
      </w:r>
      <w:r>
        <w:rPr>
          <w:rFonts w:ascii="黑体" w:hAnsi="黑体" w:eastAsia="黑体" w:cs="黑体"/>
          <w:bCs/>
          <w:color w:val="auto"/>
          <w:sz w:val="24"/>
          <w:highlight w:val="none"/>
        </w:rPr>
        <w:t>.11</w:t>
      </w:r>
      <w:r>
        <w:rPr>
          <w:rFonts w:ascii="黑体" w:hAnsi="黑体" w:eastAsia="黑体" w:cs="黑体"/>
          <w:bCs/>
          <w:color w:val="auto"/>
          <w:sz w:val="24"/>
          <w:highlight w:val="none"/>
          <w:lang w:val="zh-CN"/>
        </w:rPr>
        <w:t>-1 重大事故隐患判定单元安全检查表</w:t>
      </w:r>
    </w:p>
    <w:tbl>
      <w:tblPr>
        <w:tblStyle w:val="14"/>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3130"/>
        <w:gridCol w:w="1157"/>
        <w:gridCol w:w="2564"/>
        <w:gridCol w:w="813"/>
      </w:tblGrid>
      <w:tr w14:paraId="3E2114C6">
        <w:trPr>
          <w:trHeight w:val="609" w:hRule="atLeast"/>
          <w:tblHeader/>
        </w:trPr>
        <w:tc>
          <w:tcPr>
            <w:tcW w:w="860" w:type="dxa"/>
            <w:vAlign w:val="center"/>
          </w:tcPr>
          <w:p w14:paraId="2A4EF83C">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项目</w:t>
            </w:r>
          </w:p>
        </w:tc>
        <w:tc>
          <w:tcPr>
            <w:tcW w:w="3130" w:type="dxa"/>
            <w:vAlign w:val="center"/>
          </w:tcPr>
          <w:p w14:paraId="3295D56A">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检查内容</w:t>
            </w:r>
          </w:p>
        </w:tc>
        <w:tc>
          <w:tcPr>
            <w:tcW w:w="1157" w:type="dxa"/>
            <w:vAlign w:val="center"/>
          </w:tcPr>
          <w:p w14:paraId="3928FF27">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检查方法</w:t>
            </w:r>
          </w:p>
        </w:tc>
        <w:tc>
          <w:tcPr>
            <w:tcW w:w="2564" w:type="dxa"/>
            <w:vAlign w:val="center"/>
          </w:tcPr>
          <w:p w14:paraId="74D1451F">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事实记录</w:t>
            </w:r>
          </w:p>
        </w:tc>
        <w:tc>
          <w:tcPr>
            <w:tcW w:w="813" w:type="dxa"/>
            <w:vAlign w:val="center"/>
          </w:tcPr>
          <w:p w14:paraId="1B559AD1">
            <w:pPr>
              <w:snapToGrid w:val="0"/>
              <w:spacing w:line="240" w:lineRule="exact"/>
              <w:jc w:val="center"/>
              <w:rPr>
                <w:rFonts w:ascii="Times New Roman Regular" w:hAnsi="Times New Roman Regular" w:cs="Times New Roman Regular"/>
                <w:b/>
                <w:bCs/>
                <w:color w:val="auto"/>
                <w:szCs w:val="21"/>
                <w:highlight w:val="none"/>
              </w:rPr>
            </w:pPr>
            <w:r>
              <w:rPr>
                <w:rFonts w:ascii="Times New Roman Regular" w:hAnsi="Times New Roman Regular" w:cs="Times New Roman Regular"/>
                <w:b/>
                <w:bCs/>
                <w:color w:val="auto"/>
                <w:szCs w:val="21"/>
                <w:highlight w:val="none"/>
              </w:rPr>
              <w:t>结论</w:t>
            </w:r>
          </w:p>
        </w:tc>
      </w:tr>
      <w:tr w14:paraId="1A581DDB">
        <w:trPr>
          <w:trHeight w:val="1285" w:hRule="atLeast"/>
        </w:trPr>
        <w:tc>
          <w:tcPr>
            <w:tcW w:w="860" w:type="dxa"/>
            <w:vMerge w:val="restart"/>
            <w:textDirection w:val="tbRlV"/>
            <w:vAlign w:val="center"/>
          </w:tcPr>
          <w:p w14:paraId="1626C966">
            <w:pPr>
              <w:snapToGrid w:val="0"/>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金属非金属矿山重大事故隐患判定标准</w:t>
            </w:r>
          </w:p>
        </w:tc>
        <w:tc>
          <w:tcPr>
            <w:tcW w:w="3130" w:type="dxa"/>
            <w:vAlign w:val="center"/>
          </w:tcPr>
          <w:p w14:paraId="6908FCE2">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1.地下开采转露天开采前，未探明采空区和溶洞，或者未按设计处理对露天开采安全有威胁的采空区和溶洞。</w:t>
            </w:r>
          </w:p>
        </w:tc>
        <w:tc>
          <w:tcPr>
            <w:tcW w:w="1157" w:type="dxa"/>
            <w:vAlign w:val="center"/>
          </w:tcPr>
          <w:p w14:paraId="18DA581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0B728370">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432916AF">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不涉及</w:t>
            </w:r>
          </w:p>
        </w:tc>
      </w:tr>
      <w:tr w14:paraId="2019753D">
        <w:trPr>
          <w:trHeight w:val="990" w:hRule="atLeast"/>
        </w:trPr>
        <w:tc>
          <w:tcPr>
            <w:tcW w:w="860" w:type="dxa"/>
            <w:vMerge w:val="continue"/>
            <w:vAlign w:val="center"/>
          </w:tcPr>
          <w:p w14:paraId="417E0BB6">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1B9424F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2.使用国家明令禁止使用的设备、材料或者工艺。</w:t>
            </w:r>
          </w:p>
        </w:tc>
        <w:tc>
          <w:tcPr>
            <w:tcW w:w="1157" w:type="dxa"/>
            <w:vAlign w:val="center"/>
          </w:tcPr>
          <w:p w14:paraId="1D5A6455">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2FC7D37E">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20094E9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0A4D3CB1">
        <w:trPr>
          <w:trHeight w:val="949" w:hRule="atLeast"/>
        </w:trPr>
        <w:tc>
          <w:tcPr>
            <w:tcW w:w="860" w:type="dxa"/>
            <w:vMerge w:val="continue"/>
            <w:vAlign w:val="center"/>
          </w:tcPr>
          <w:p w14:paraId="0BB37257">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7E362A8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3.未采用自上而下的开采顺序分台阶或者分层开采。</w:t>
            </w:r>
          </w:p>
        </w:tc>
        <w:tc>
          <w:tcPr>
            <w:tcW w:w="1157" w:type="dxa"/>
            <w:vAlign w:val="center"/>
          </w:tcPr>
          <w:p w14:paraId="7F0A5C5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4B85C455">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65C9D06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328ABAC7">
        <w:trPr>
          <w:trHeight w:val="999" w:hRule="atLeast"/>
        </w:trPr>
        <w:tc>
          <w:tcPr>
            <w:tcW w:w="860" w:type="dxa"/>
            <w:vMerge w:val="continue"/>
            <w:vAlign w:val="center"/>
          </w:tcPr>
          <w:p w14:paraId="501DFF08">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29CDC09B">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4.工作帮坡角大于设计工作帮坡角，或者最终边坡台阶高度超过设计高度。</w:t>
            </w:r>
          </w:p>
        </w:tc>
        <w:tc>
          <w:tcPr>
            <w:tcW w:w="1157" w:type="dxa"/>
            <w:vAlign w:val="center"/>
          </w:tcPr>
          <w:p w14:paraId="5562C6F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49779E3D">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0CFE5FF5">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15B3ECA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4D580701">
        <w:trPr>
          <w:trHeight w:val="1125" w:hRule="atLeast"/>
        </w:trPr>
        <w:tc>
          <w:tcPr>
            <w:tcW w:w="860" w:type="dxa"/>
            <w:vMerge w:val="continue"/>
            <w:vAlign w:val="center"/>
          </w:tcPr>
          <w:p w14:paraId="0F2C44A7">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305284C6">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5.开采或者破坏设计要求保留的矿（岩）柱或者挂帮矿体。</w:t>
            </w:r>
          </w:p>
        </w:tc>
        <w:tc>
          <w:tcPr>
            <w:tcW w:w="1157" w:type="dxa"/>
            <w:vAlign w:val="center"/>
          </w:tcPr>
          <w:p w14:paraId="68BC6C0E">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1F8A43E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165BE790">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5ECF2F5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53CA9B83">
        <w:trPr>
          <w:trHeight w:val="1586" w:hRule="atLeast"/>
        </w:trPr>
        <w:tc>
          <w:tcPr>
            <w:tcW w:w="860" w:type="dxa"/>
            <w:vMerge w:val="continue"/>
            <w:vAlign w:val="center"/>
          </w:tcPr>
          <w:p w14:paraId="45118881">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4CAEA03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6.未按有关国家标准或者行业标准对采场边坡、排土场边坡进行稳定性分析。</w:t>
            </w:r>
          </w:p>
        </w:tc>
        <w:tc>
          <w:tcPr>
            <w:tcW w:w="1157" w:type="dxa"/>
            <w:vAlign w:val="center"/>
          </w:tcPr>
          <w:p w14:paraId="624558A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tc>
        <w:tc>
          <w:tcPr>
            <w:tcW w:w="2564" w:type="dxa"/>
            <w:vAlign w:val="center"/>
          </w:tcPr>
          <w:p w14:paraId="19664C52">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048A96DF">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0C2E4246">
        <w:trPr>
          <w:cantSplit/>
          <w:trHeight w:val="2481" w:hRule="atLeast"/>
        </w:trPr>
        <w:tc>
          <w:tcPr>
            <w:tcW w:w="860" w:type="dxa"/>
            <w:vMerge w:val="continue"/>
            <w:textDirection w:val="tbRlV"/>
            <w:vAlign w:val="center"/>
          </w:tcPr>
          <w:p w14:paraId="1EBCDAC4">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4E215370">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7.边坡存在下列情形之一的：</w:t>
            </w:r>
          </w:p>
          <w:p w14:paraId="6F8ADF67">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（1）高度200米及以上的采场边坡未进行在线监测；</w:t>
            </w:r>
          </w:p>
          <w:p w14:paraId="3DA96BF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（2）高度200米及以上的排土场边坡未建立边坡稳定监测系统；</w:t>
            </w:r>
          </w:p>
          <w:p w14:paraId="279F3B1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（3）关闭、破坏监测系统或者隐瞒、篡改、销毁其相关数据、信息。</w:t>
            </w:r>
          </w:p>
        </w:tc>
        <w:tc>
          <w:tcPr>
            <w:tcW w:w="1157" w:type="dxa"/>
            <w:vAlign w:val="center"/>
          </w:tcPr>
          <w:p w14:paraId="22AADE30">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101AA272">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68D69C12">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不涉及</w:t>
            </w:r>
          </w:p>
        </w:tc>
      </w:tr>
      <w:tr w14:paraId="5D69E2CB">
        <w:trPr>
          <w:trHeight w:val="2766" w:hRule="atLeast"/>
        </w:trPr>
        <w:tc>
          <w:tcPr>
            <w:tcW w:w="860" w:type="dxa"/>
            <w:vMerge w:val="continue"/>
            <w:textDirection w:val="tbRlV"/>
            <w:vAlign w:val="center"/>
          </w:tcPr>
          <w:p w14:paraId="65B121D6">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576C079A">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8.边坡出现滑移现象，存在下列情形之一的：</w:t>
            </w:r>
          </w:p>
          <w:p w14:paraId="666C7842">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（1）边坡出现横向及纵向放射状裂缝；</w:t>
            </w:r>
          </w:p>
          <w:p w14:paraId="6A4E6998">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（2）坡体前缘坡脚处出现上隆（凸起）现象，后缘的裂缝急剧扩展；</w:t>
            </w:r>
          </w:p>
          <w:p w14:paraId="5D35E27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（3）位移观测资料显示的水平位移量或者垂直位移量出现加速变化的趋势。</w:t>
            </w:r>
          </w:p>
        </w:tc>
        <w:tc>
          <w:tcPr>
            <w:tcW w:w="1157" w:type="dxa"/>
            <w:vAlign w:val="center"/>
          </w:tcPr>
          <w:p w14:paraId="773D6E1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0AB5E637">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7F4D8EBD">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3FA2BC5F">
        <w:trPr>
          <w:trHeight w:val="1192" w:hRule="atLeast"/>
        </w:trPr>
        <w:tc>
          <w:tcPr>
            <w:tcW w:w="860" w:type="dxa"/>
            <w:vMerge w:val="continue"/>
            <w:vAlign w:val="center"/>
          </w:tcPr>
          <w:p w14:paraId="422E6295">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0888C9FF">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9.运输道路坡度大于设计坡度10%以上。</w:t>
            </w:r>
          </w:p>
        </w:tc>
        <w:tc>
          <w:tcPr>
            <w:tcW w:w="1157" w:type="dxa"/>
            <w:vAlign w:val="center"/>
          </w:tcPr>
          <w:p w14:paraId="02B9E34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3050D1A4">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278758EC">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0E6B262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7F32553A">
        <w:trPr>
          <w:trHeight w:val="1021" w:hRule="atLeast"/>
        </w:trPr>
        <w:tc>
          <w:tcPr>
            <w:tcW w:w="860" w:type="dxa"/>
            <w:vMerge w:val="continue"/>
            <w:vAlign w:val="center"/>
          </w:tcPr>
          <w:p w14:paraId="61215011">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560987EC">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10.凹陷露天矿山未按设计建设防洪、排洪设施。</w:t>
            </w:r>
          </w:p>
        </w:tc>
        <w:tc>
          <w:tcPr>
            <w:tcW w:w="1157" w:type="dxa"/>
            <w:vAlign w:val="center"/>
          </w:tcPr>
          <w:p w14:paraId="46B04A37">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741C05E1">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721A8A2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70BBDF37">
        <w:trPr>
          <w:trHeight w:val="2401" w:hRule="atLeast"/>
        </w:trPr>
        <w:tc>
          <w:tcPr>
            <w:tcW w:w="860" w:type="dxa"/>
            <w:vMerge w:val="continue"/>
            <w:vAlign w:val="center"/>
          </w:tcPr>
          <w:p w14:paraId="48FC7D4B">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195F7D64">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11.排土场存在下列情形之一的：</w:t>
            </w:r>
          </w:p>
          <w:p w14:paraId="7F5A2251">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（1）在平均坡度大于1:5的地基上顺坡排土，未按设计采取安全措施；</w:t>
            </w:r>
          </w:p>
          <w:p w14:paraId="3FE37815">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（2）排土场总堆置高度2倍范围以内有人员密集场所，未按设计采取安全措施；</w:t>
            </w:r>
          </w:p>
          <w:p w14:paraId="1482A4CF">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（3）山坡排土场周围未按设计修筑截、排水设施。</w:t>
            </w:r>
          </w:p>
        </w:tc>
        <w:tc>
          <w:tcPr>
            <w:tcW w:w="1157" w:type="dxa"/>
            <w:vAlign w:val="center"/>
          </w:tcPr>
          <w:p w14:paraId="72F9513E">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61AEB2A1">
            <w:pPr>
              <w:snapToGrid w:val="0"/>
              <w:spacing w:line="240" w:lineRule="exact"/>
              <w:jc w:val="center"/>
              <w:rPr>
                <w:rFonts w:ascii="Times New Roman Regular" w:hAnsi="Times New Roman Regular" w:cs="Times New Roman Regular"/>
                <w:color w:val="auto"/>
                <w:szCs w:val="21"/>
                <w:highlight w:val="none"/>
              </w:rPr>
            </w:pPr>
            <w:bookmarkStart w:id="193" w:name="_GoBack"/>
            <w:bookmarkEnd w:id="193"/>
          </w:p>
        </w:tc>
        <w:tc>
          <w:tcPr>
            <w:tcW w:w="813" w:type="dxa"/>
            <w:vAlign w:val="center"/>
          </w:tcPr>
          <w:p w14:paraId="0607B51D">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1ABBF688">
        <w:trPr>
          <w:trHeight w:val="1090" w:hRule="atLeast"/>
        </w:trPr>
        <w:tc>
          <w:tcPr>
            <w:tcW w:w="860" w:type="dxa"/>
            <w:vMerge w:val="continue"/>
            <w:vAlign w:val="center"/>
          </w:tcPr>
          <w:p w14:paraId="726F3E55">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30B73EBD">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12.露天采场未按设计设置安全平台和清扫平台。</w:t>
            </w:r>
          </w:p>
        </w:tc>
        <w:tc>
          <w:tcPr>
            <w:tcW w:w="1157" w:type="dxa"/>
            <w:vAlign w:val="center"/>
          </w:tcPr>
          <w:p w14:paraId="00EE95E1">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5BF89B93">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6B753124">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09EB161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26CE4A62">
        <w:trPr>
          <w:trHeight w:val="763" w:hRule="atLeast"/>
        </w:trPr>
        <w:tc>
          <w:tcPr>
            <w:tcW w:w="860" w:type="dxa"/>
            <w:vMerge w:val="continue"/>
            <w:textDirection w:val="tbRlV"/>
            <w:vAlign w:val="center"/>
          </w:tcPr>
          <w:p w14:paraId="37ED8863">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2E9614A9">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13.擅自对在用排土场进行回采作业。</w:t>
            </w:r>
          </w:p>
        </w:tc>
        <w:tc>
          <w:tcPr>
            <w:tcW w:w="1157" w:type="dxa"/>
            <w:vAlign w:val="center"/>
          </w:tcPr>
          <w:p w14:paraId="4EA350F0">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6A64F435">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3DF97A1C">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018E550F">
        <w:trPr>
          <w:trHeight w:val="1302" w:hRule="atLeast"/>
        </w:trPr>
        <w:tc>
          <w:tcPr>
            <w:tcW w:w="860" w:type="dxa"/>
            <w:vMerge w:val="continue"/>
            <w:textDirection w:val="tbRlV"/>
            <w:vAlign w:val="center"/>
          </w:tcPr>
          <w:p w14:paraId="53084CA5">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007134E1">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14.办公区、生活区等人员集聚场所设在危崖、塌陷区、崩落区，或洪水、泥石流、滑坡等灾害威胁范围内。</w:t>
            </w:r>
          </w:p>
        </w:tc>
        <w:tc>
          <w:tcPr>
            <w:tcW w:w="1157" w:type="dxa"/>
            <w:vAlign w:val="center"/>
          </w:tcPr>
          <w:p w14:paraId="1206548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p w14:paraId="17E5D979">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现场勘查</w:t>
            </w:r>
          </w:p>
        </w:tc>
        <w:tc>
          <w:tcPr>
            <w:tcW w:w="2564" w:type="dxa"/>
            <w:vAlign w:val="center"/>
          </w:tcPr>
          <w:p w14:paraId="67D4C3CB">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68683A38">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r w14:paraId="492AC5E6">
        <w:trPr>
          <w:trHeight w:val="895" w:hRule="atLeast"/>
        </w:trPr>
        <w:tc>
          <w:tcPr>
            <w:tcW w:w="860" w:type="dxa"/>
            <w:vMerge w:val="continue"/>
            <w:textDirection w:val="tbRlV"/>
            <w:vAlign w:val="center"/>
          </w:tcPr>
          <w:p w14:paraId="4C61C457">
            <w:pPr>
              <w:snapToGrid w:val="0"/>
              <w:spacing w:line="240" w:lineRule="exact"/>
              <w:jc w:val="center"/>
              <w:rPr>
                <w:rFonts w:ascii="Times New Roman Regular" w:hAnsi="Times New Roman Regular" w:cs="Times New Roman Regular"/>
                <w:color w:val="auto"/>
                <w:szCs w:val="21"/>
                <w:highlight w:val="none"/>
              </w:rPr>
            </w:pPr>
          </w:p>
        </w:tc>
        <w:tc>
          <w:tcPr>
            <w:tcW w:w="3130" w:type="dxa"/>
            <w:vAlign w:val="center"/>
          </w:tcPr>
          <w:p w14:paraId="5DB617AB">
            <w:pPr>
              <w:snapToGrid w:val="0"/>
              <w:spacing w:line="240" w:lineRule="exact"/>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15.遇极端天气露天矿山未及时停止作业、撤出现场作业人员。</w:t>
            </w:r>
          </w:p>
        </w:tc>
        <w:tc>
          <w:tcPr>
            <w:tcW w:w="1157" w:type="dxa"/>
            <w:vAlign w:val="center"/>
          </w:tcPr>
          <w:p w14:paraId="2DB6ED2A">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查阅资料</w:t>
            </w:r>
          </w:p>
        </w:tc>
        <w:tc>
          <w:tcPr>
            <w:tcW w:w="2564" w:type="dxa"/>
            <w:vAlign w:val="center"/>
          </w:tcPr>
          <w:p w14:paraId="5DB52944">
            <w:pPr>
              <w:snapToGrid w:val="0"/>
              <w:spacing w:line="240" w:lineRule="exact"/>
              <w:rPr>
                <w:rFonts w:ascii="Times New Roman Regular" w:hAnsi="Times New Roman Regular" w:cs="Times New Roman Regular"/>
                <w:color w:val="auto"/>
                <w:szCs w:val="21"/>
                <w:highlight w:val="none"/>
              </w:rPr>
            </w:pPr>
          </w:p>
        </w:tc>
        <w:tc>
          <w:tcPr>
            <w:tcW w:w="813" w:type="dxa"/>
            <w:vAlign w:val="center"/>
          </w:tcPr>
          <w:p w14:paraId="09FCFAB6">
            <w:pPr>
              <w:snapToGrid w:val="0"/>
              <w:spacing w:line="240" w:lineRule="exact"/>
              <w:jc w:val="center"/>
              <w:rPr>
                <w:rFonts w:ascii="Times New Roman Regular" w:hAnsi="Times New Roman Regular" w:cs="Times New Roman Regular"/>
                <w:color w:val="auto"/>
                <w:szCs w:val="21"/>
                <w:highlight w:val="none"/>
              </w:rPr>
            </w:pPr>
            <w:r>
              <w:rPr>
                <w:rFonts w:ascii="Times New Roman Regular" w:hAnsi="Times New Roman Regular" w:cs="Times New Roman Regular"/>
                <w:color w:val="auto"/>
                <w:szCs w:val="21"/>
                <w:highlight w:val="none"/>
              </w:rPr>
              <w:t>符合要求</w:t>
            </w:r>
          </w:p>
        </w:tc>
      </w:tr>
    </w:tbl>
    <w:p w14:paraId="08F6E1B9">
      <w:pPr>
        <w:spacing w:line="360" w:lineRule="auto"/>
        <w:ind w:firstLine="573"/>
        <w:rPr>
          <w:rFonts w:ascii="Times New Roman Regular" w:hAnsi="Times New Roman Regular" w:cs="Times New Roman Regular"/>
          <w:bCs/>
          <w:color w:val="auto"/>
          <w:kern w:val="0"/>
          <w:sz w:val="28"/>
          <w:szCs w:val="28"/>
          <w:highlight w:val="none"/>
        </w:rPr>
      </w:pPr>
      <w:r>
        <w:rPr>
          <w:rFonts w:ascii="Times New Roman Regular" w:hAnsi="Times New Roman Regular" w:cs="Times New Roman Regular"/>
          <w:bCs/>
          <w:color w:val="auto"/>
          <w:kern w:val="0"/>
          <w:sz w:val="28"/>
          <w:szCs w:val="28"/>
          <w:highlight w:val="none"/>
        </w:rPr>
        <w:t>评价单元小结：</w:t>
      </w:r>
    </w:p>
    <w:p w14:paraId="023E2F88">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对该矿山的重大事故隐患判定标准单元用安全检查表法进行了15项检查，除</w:t>
      </w:r>
      <w:r>
        <w:rPr>
          <w:rFonts w:hint="eastAsia" w:ascii="Times New Roman Regular" w:hAnsi="Times New Roman Regular" w:cs="Times New Roman Regular"/>
          <w:color w:val="auto"/>
          <w:sz w:val="28"/>
          <w:szCs w:val="28"/>
          <w:highlight w:val="none"/>
        </w:rPr>
        <w:t>2</w:t>
      </w:r>
      <w:r>
        <w:rPr>
          <w:rFonts w:ascii="Times New Roman Regular" w:hAnsi="Times New Roman Regular" w:cs="Times New Roman Regular"/>
          <w:color w:val="auto"/>
          <w:sz w:val="28"/>
          <w:szCs w:val="28"/>
          <w:highlight w:val="none"/>
        </w:rPr>
        <w:t>项不涉及项以外，均符合安全要求，检查结果表明，</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（玻璃用石英岩）露天开采建设项目重大事故隐患判定标准单元</w:t>
      </w:r>
      <w:r>
        <w:rPr>
          <w:rFonts w:hint="eastAsia" w:ascii="Times New Roman Regular" w:hAnsi="Times New Roman Regular" w:cs="Times New Roman Regular"/>
          <w:color w:val="auto"/>
          <w:sz w:val="28"/>
          <w:szCs w:val="28"/>
          <w:highlight w:val="none"/>
        </w:rPr>
        <w:t>不存在重大隐患</w:t>
      </w:r>
      <w:r>
        <w:rPr>
          <w:rFonts w:ascii="Times New Roman Regular" w:hAnsi="Times New Roman Regular" w:cs="Times New Roman Regular"/>
          <w:color w:val="auto"/>
          <w:sz w:val="28"/>
          <w:szCs w:val="28"/>
          <w:highlight w:val="none"/>
        </w:rPr>
        <w:t>，能够满足矿山安全生产条件。</w:t>
      </w:r>
    </w:p>
    <w:p w14:paraId="26B22629">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b/>
          <w:bCs/>
          <w:color w:val="auto"/>
          <w:sz w:val="32"/>
          <w:szCs w:val="32"/>
          <w:highlight w:val="none"/>
        </w:rPr>
      </w:pPr>
      <w:r>
        <w:rPr>
          <w:rFonts w:ascii="Times New Roman Regular" w:hAnsi="Times New Roman Regular" w:cs="Times New Roman Regular"/>
          <w:color w:val="auto"/>
          <w:highlight w:val="none"/>
        </w:rPr>
        <w:br w:type="page"/>
      </w:r>
      <w:bookmarkStart w:id="143" w:name="_Toc12035"/>
      <w:bookmarkStart w:id="144" w:name="_Toc32504"/>
      <w:bookmarkStart w:id="145" w:name="_Toc1042418052"/>
      <w:r>
        <w:rPr>
          <w:rFonts w:ascii="Times New Roman Regular" w:hAnsi="Times New Roman Regular" w:eastAsia="黑体" w:cs="Times New Roman Regular"/>
          <w:b/>
          <w:bCs/>
          <w:color w:val="auto"/>
          <w:kern w:val="44"/>
          <w:sz w:val="32"/>
          <w:szCs w:val="44"/>
          <w:highlight w:val="none"/>
        </w:rPr>
        <w:t>4.安全对策措施建议</w:t>
      </w:r>
      <w:bookmarkEnd w:id="143"/>
      <w:bookmarkEnd w:id="144"/>
      <w:bookmarkEnd w:id="145"/>
    </w:p>
    <w:p w14:paraId="1B6EBDC1">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根据初步设计、安全设施设计及相关规程要求，结合矿山建设现状，对该矿山安全技术和安全管理两个方面补充提出以下安全对策措施：</w:t>
      </w:r>
    </w:p>
    <w:p w14:paraId="02724AD7">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46" w:name="_Toc86052401"/>
      <w:bookmarkStart w:id="147" w:name="_Toc748607738"/>
      <w:bookmarkStart w:id="148" w:name="_Toc2654"/>
      <w:bookmarkStart w:id="149" w:name="_Toc29177"/>
      <w:bookmarkStart w:id="150" w:name="_Toc10599"/>
      <w:r>
        <w:rPr>
          <w:rFonts w:ascii="Times New Roman Regular" w:hAnsi="Times New Roman Regular" w:eastAsia="黑体" w:cs="Times New Roman Regular"/>
          <w:color w:val="auto"/>
          <w:sz w:val="30"/>
          <w:highlight w:val="none"/>
        </w:rPr>
        <w:t>4.1安全技术对策措施及建议</w:t>
      </w:r>
      <w:bookmarkEnd w:id="146"/>
      <w:bookmarkEnd w:id="147"/>
      <w:bookmarkEnd w:id="148"/>
      <w:bookmarkEnd w:id="149"/>
      <w:bookmarkEnd w:id="150"/>
    </w:p>
    <w:p w14:paraId="75ADD6A5">
      <w:pPr>
        <w:snapToGrid w:val="0"/>
        <w:spacing w:line="360" w:lineRule="auto"/>
        <w:ind w:firstLine="560" w:firstLineChars="200"/>
        <w:rPr>
          <w:rFonts w:ascii="Times New Roman Regular" w:hAnsi="Times New Roman Regular" w:cs="Times New Roman Regular"/>
          <w:color w:val="auto"/>
          <w:sz w:val="28"/>
          <w:szCs w:val="28"/>
          <w:highlight w:val="none"/>
        </w:rPr>
      </w:pPr>
      <w:bookmarkStart w:id="151" w:name="_Toc1412"/>
      <w:bookmarkStart w:id="152" w:name="_Toc24490"/>
      <w:bookmarkStart w:id="153" w:name="_Toc28859"/>
      <w:r>
        <w:rPr>
          <w:rFonts w:ascii="Times New Roman Regular" w:hAnsi="Times New Roman Regular" w:cs="Times New Roman Regular"/>
          <w:color w:val="auto"/>
          <w:sz w:val="28"/>
          <w:szCs w:val="28"/>
          <w:highlight w:val="none"/>
        </w:rPr>
        <w:t>（1）日后生产过程中，继续按照设计开采，严禁陡帮开采；</w:t>
      </w:r>
    </w:p>
    <w:p w14:paraId="29106F28">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（2）矿山应保持在临近边坡进行爆破时采用控制爆破措施；</w:t>
      </w:r>
    </w:p>
    <w:p w14:paraId="76851BA2">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（3）矿山爆破后和铲装时，应继续坚持对爆堆进行喷雾降尘；</w:t>
      </w:r>
    </w:p>
    <w:p w14:paraId="6B82085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（4）矿山应继续坚持从上而下处理险石、浮石；</w:t>
      </w:r>
    </w:p>
    <w:p w14:paraId="7686E06C">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（5）矿山应定期更新现状图纸；</w:t>
      </w:r>
    </w:p>
    <w:p w14:paraId="2F5C81F3">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（6）当火车运行至距离矿区一定区域时，禁止进行爆破作业，</w:t>
      </w:r>
      <w:r>
        <w:rPr>
          <w:rFonts w:hint="eastAsia" w:ascii="Times New Roman Regular" w:hAnsi="Times New Roman Regular" w:cs="Times New Roman Regular"/>
          <w:color w:val="auto"/>
          <w:sz w:val="28"/>
          <w:szCs w:val="28"/>
          <w:highlight w:val="none"/>
        </w:rPr>
        <w:t>避免</w:t>
      </w:r>
      <w:r>
        <w:rPr>
          <w:rFonts w:ascii="Times New Roman Regular" w:hAnsi="Times New Roman Regular" w:cs="Times New Roman Regular"/>
          <w:color w:val="auto"/>
          <w:sz w:val="28"/>
          <w:szCs w:val="28"/>
          <w:highlight w:val="none"/>
        </w:rPr>
        <w:t>对人员及财产造成伤害</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保证铁路运输安全</w:t>
      </w:r>
      <w:r>
        <w:rPr>
          <w:rFonts w:hint="eastAsia" w:ascii="Times New Roman Regular" w:hAnsi="Times New Roman Regular" w:cs="Times New Roman Regular"/>
          <w:color w:val="auto"/>
          <w:sz w:val="28"/>
          <w:szCs w:val="28"/>
          <w:highlight w:val="none"/>
        </w:rPr>
        <w:t>；</w:t>
      </w:r>
    </w:p>
    <w:p w14:paraId="0AF224B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7</w:t>
      </w:r>
      <w:r>
        <w:rPr>
          <w:rFonts w:ascii="Times New Roman Regular" w:hAnsi="Times New Roman Regular" w:cs="Times New Roman Regular"/>
          <w:color w:val="auto"/>
          <w:sz w:val="28"/>
          <w:szCs w:val="28"/>
          <w:highlight w:val="none"/>
        </w:rPr>
        <w:t>）每次爆破作业前</w:t>
      </w:r>
      <w:r>
        <w:rPr>
          <w:rFonts w:hint="eastAsia" w:ascii="Times New Roman Regular" w:hAnsi="Times New Roman Regular" w:cs="Times New Roman Regular"/>
          <w:color w:val="auto"/>
          <w:sz w:val="28"/>
          <w:szCs w:val="28"/>
          <w:highlight w:val="none"/>
        </w:rPr>
        <w:t>，应</w:t>
      </w:r>
      <w:r>
        <w:rPr>
          <w:rFonts w:ascii="Times New Roman Regular" w:hAnsi="Times New Roman Regular" w:cs="Times New Roman Regular"/>
          <w:color w:val="auto"/>
          <w:sz w:val="28"/>
          <w:szCs w:val="28"/>
          <w:highlight w:val="none"/>
        </w:rPr>
        <w:t>对矿区的东北方向</w:t>
      </w:r>
      <w:r>
        <w:rPr>
          <w:rFonts w:hint="eastAsia" w:ascii="Times New Roman Regular" w:hAnsi="Times New Roman Regular" w:cs="Times New Roman Regular"/>
          <w:color w:val="auto"/>
          <w:sz w:val="28"/>
          <w:szCs w:val="28"/>
          <w:highlight w:val="none"/>
        </w:rPr>
        <w:t>的</w:t>
      </w:r>
      <w:r>
        <w:rPr>
          <w:rFonts w:ascii="Times New Roman Regular" w:hAnsi="Times New Roman Regular" w:cs="Times New Roman Regular"/>
          <w:color w:val="auto"/>
          <w:sz w:val="28"/>
          <w:szCs w:val="28"/>
          <w:highlight w:val="none"/>
        </w:rPr>
        <w:t>郭长线乡级公路车辆进行疏散等措施，并拉设警戒线，加强警戒范围设定管理</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采取白天爆破等措施</w:t>
      </w:r>
      <w:r>
        <w:rPr>
          <w:rFonts w:hint="eastAsia" w:ascii="Times New Roman Regular" w:hAnsi="Times New Roman Regular" w:cs="Times New Roman Regular"/>
          <w:color w:val="auto"/>
          <w:sz w:val="28"/>
          <w:szCs w:val="28"/>
          <w:highlight w:val="none"/>
        </w:rPr>
        <w:t>；</w:t>
      </w:r>
    </w:p>
    <w:p w14:paraId="0677475E">
      <w:pPr>
        <w:snapToGrid w:val="0"/>
        <w:spacing w:line="360" w:lineRule="auto"/>
        <w:ind w:firstLine="560" w:firstLineChars="200"/>
        <w:rPr>
          <w:rFonts w:hint="eastAsia" w:ascii="Times New Roman Regular" w:hAnsi="Times New Roman Regular" w:cs="Times New Roman Regular"/>
          <w:color w:val="auto"/>
          <w:sz w:val="28"/>
          <w:szCs w:val="28"/>
          <w:highlight w:val="none"/>
          <w:lang w:val="zh-CN"/>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8</w:t>
      </w: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企业应完善爆破相关制度和企业自有破碎厂房相关工作制度，确保爆破作业时破碎厂房无作业人员，其他人员应在</w:t>
      </w:r>
      <w:r>
        <w:rPr>
          <w:rFonts w:ascii="Times New Roman Regular" w:hAnsi="Times New Roman Regular" w:cs="Times New Roman Regular"/>
          <w:color w:val="auto"/>
          <w:sz w:val="28"/>
          <w:szCs w:val="28"/>
          <w:highlight w:val="none"/>
        </w:rPr>
        <w:t>爆破作业前</w:t>
      </w:r>
      <w:r>
        <w:rPr>
          <w:rFonts w:hint="eastAsia" w:ascii="Times New Roman Regular" w:hAnsi="Times New Roman Regular" w:cs="Times New Roman Regular"/>
          <w:color w:val="auto"/>
          <w:sz w:val="28"/>
          <w:szCs w:val="28"/>
          <w:highlight w:val="none"/>
        </w:rPr>
        <w:t>提前</w:t>
      </w:r>
      <w:r>
        <w:rPr>
          <w:rFonts w:ascii="Times New Roman Regular" w:hAnsi="Times New Roman Regular" w:cs="Times New Roman Regular"/>
          <w:color w:val="auto"/>
          <w:sz w:val="28"/>
          <w:szCs w:val="28"/>
          <w:highlight w:val="none"/>
          <w:lang w:val="zh-CN"/>
        </w:rPr>
        <w:t>撤出至爆破警戒线以外</w:t>
      </w:r>
      <w:r>
        <w:rPr>
          <w:rFonts w:hint="eastAsia" w:ascii="Times New Roman Regular" w:hAnsi="Times New Roman Regular" w:cs="Times New Roman Regular"/>
          <w:color w:val="auto"/>
          <w:sz w:val="28"/>
          <w:szCs w:val="28"/>
          <w:highlight w:val="none"/>
          <w:lang w:val="zh-CN"/>
        </w:rPr>
        <w:t>；</w:t>
      </w:r>
    </w:p>
    <w:p w14:paraId="2B7B2C75">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（9）自有破碎厂房在设备维修期间，矿山严禁进行爆破作业；</w:t>
      </w:r>
    </w:p>
    <w:p w14:paraId="28F98E2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10</w:t>
      </w:r>
      <w:r>
        <w:rPr>
          <w:rFonts w:ascii="Times New Roman Regular" w:hAnsi="Times New Roman Regular" w:cs="Times New Roman Regular"/>
          <w:color w:val="auto"/>
          <w:sz w:val="28"/>
          <w:szCs w:val="28"/>
          <w:highlight w:val="none"/>
        </w:rPr>
        <w:t>）企业应派专人对边坡</w:t>
      </w:r>
      <w:r>
        <w:rPr>
          <w:rFonts w:hint="eastAsia" w:ascii="Times New Roman Regular" w:hAnsi="Times New Roman Regular" w:cs="Times New Roman Regular"/>
          <w:color w:val="auto"/>
          <w:sz w:val="28"/>
          <w:szCs w:val="28"/>
          <w:highlight w:val="none"/>
          <w:lang w:val="en-US" w:eastAsia="zh-CN"/>
        </w:rPr>
        <w:t>进行</w:t>
      </w:r>
      <w:r>
        <w:rPr>
          <w:rFonts w:ascii="Times New Roman Regular" w:hAnsi="Times New Roman Regular" w:cs="Times New Roman Regular"/>
          <w:color w:val="auto"/>
          <w:sz w:val="28"/>
          <w:szCs w:val="28"/>
          <w:highlight w:val="none"/>
        </w:rPr>
        <w:t>监测，如遇工作帮裂缝、浮石、伞岩应及时进行处理，按照设计对边坡进行维护和加固；</w:t>
      </w:r>
    </w:p>
    <w:p w14:paraId="08D05AEC">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1</w:t>
      </w:r>
      <w:r>
        <w:rPr>
          <w:rFonts w:hint="eastAsia" w:ascii="Times New Roman Regular" w:hAnsi="Times New Roman Regular" w:cs="Times New Roman Regular"/>
          <w:color w:val="auto"/>
          <w:sz w:val="28"/>
          <w:szCs w:val="28"/>
          <w:highlight w:val="none"/>
          <w:lang w:val="en-US" w:eastAsia="zh-CN"/>
        </w:rPr>
        <w:t>1</w:t>
      </w:r>
      <w:r>
        <w:rPr>
          <w:rFonts w:ascii="Times New Roman Regular" w:hAnsi="Times New Roman Regular" w:cs="Times New Roman Regular"/>
          <w:color w:val="auto"/>
          <w:sz w:val="28"/>
          <w:szCs w:val="28"/>
          <w:highlight w:val="none"/>
        </w:rPr>
        <w:t>）边坡遇到断层时</w:t>
      </w:r>
      <w:r>
        <w:rPr>
          <w:rFonts w:hint="eastAsia" w:ascii="Times New Roman Regular" w:hAnsi="Times New Roman Regular" w:cs="Times New Roman Regular"/>
          <w:color w:val="auto"/>
          <w:sz w:val="28"/>
          <w:szCs w:val="28"/>
          <w:highlight w:val="none"/>
          <w:lang w:eastAsia="zh-CN"/>
        </w:rPr>
        <w:t>，</w:t>
      </w:r>
      <w:r>
        <w:rPr>
          <w:rFonts w:ascii="Times New Roman Regular" w:hAnsi="Times New Roman Regular" w:cs="Times New Roman Regular"/>
          <w:color w:val="auto"/>
          <w:sz w:val="28"/>
          <w:szCs w:val="28"/>
          <w:highlight w:val="none"/>
        </w:rPr>
        <w:t>对断层和破碎带区域采用锚杆（索）加固。锚杆（索）可以深入到稳定的岩层中，将破碎的岩石体与稳定岩体连接起来，提高破碎带的整体稳定性。</w:t>
      </w:r>
    </w:p>
    <w:p w14:paraId="3C3CCBE7">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54" w:name="_Toc1891048440"/>
      <w:r>
        <w:rPr>
          <w:rFonts w:ascii="Times New Roman Regular" w:hAnsi="Times New Roman Regular" w:eastAsia="黑体" w:cs="Times New Roman Regular"/>
          <w:color w:val="auto"/>
          <w:sz w:val="30"/>
          <w:highlight w:val="none"/>
        </w:rPr>
        <w:t>4.2安全管理对策措施</w:t>
      </w:r>
      <w:bookmarkEnd w:id="151"/>
      <w:bookmarkEnd w:id="152"/>
      <w:bookmarkEnd w:id="153"/>
      <w:bookmarkEnd w:id="154"/>
    </w:p>
    <w:p w14:paraId="0367314B">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（1）企业现有安全生产管理制度完善，企业在日后管理过程中应继续保持，并及时进行更新。</w:t>
      </w:r>
    </w:p>
    <w:p w14:paraId="28DAAB9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（2）企业应继续保持边坡管理制度，随着矿山开采的进行，及时补充、更新和完善相关记录。</w:t>
      </w:r>
    </w:p>
    <w:p w14:paraId="67F5932C">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（3）企业应继续保持安全生产投入的长效保障机制。</w:t>
      </w:r>
    </w:p>
    <w:p w14:paraId="7402A724">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4</w:t>
      </w:r>
      <w:r>
        <w:rPr>
          <w:rFonts w:ascii="Times New Roman Regular" w:hAnsi="Times New Roman Regular" w:cs="Times New Roman Regular"/>
          <w:color w:val="auto"/>
          <w:sz w:val="28"/>
          <w:szCs w:val="28"/>
          <w:highlight w:val="none"/>
        </w:rPr>
        <w:t>）主要负责人每月进行重大隐患检查并记录台账。</w:t>
      </w:r>
    </w:p>
    <w:p w14:paraId="24D30A70">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5</w:t>
      </w:r>
      <w:r>
        <w:rPr>
          <w:rFonts w:ascii="Times New Roman Regular" w:hAnsi="Times New Roman Regular" w:cs="Times New Roman Regular"/>
          <w:color w:val="auto"/>
          <w:sz w:val="28"/>
          <w:szCs w:val="28"/>
          <w:highlight w:val="none"/>
        </w:rPr>
        <w:t>）企业应继续保持每年至少进行两次应急预案的演练，并做好相应记录。</w:t>
      </w:r>
    </w:p>
    <w:p w14:paraId="4F4435FD">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w:t>
      </w:r>
      <w:r>
        <w:rPr>
          <w:rFonts w:hint="eastAsia" w:ascii="Times New Roman Regular" w:hAnsi="Times New Roman Regular" w:cs="Times New Roman Regular"/>
          <w:color w:val="auto"/>
          <w:sz w:val="28"/>
          <w:szCs w:val="28"/>
          <w:highlight w:val="none"/>
        </w:rPr>
        <w:t>6</w:t>
      </w:r>
      <w:r>
        <w:rPr>
          <w:rFonts w:ascii="Times New Roman Regular" w:hAnsi="Times New Roman Regular" w:cs="Times New Roman Regular"/>
          <w:color w:val="auto"/>
          <w:sz w:val="28"/>
          <w:szCs w:val="28"/>
          <w:highlight w:val="none"/>
        </w:rPr>
        <w:t>）一旦有关气象部门预报发布暴雨黄色预警信息时，建议企业应做好相对应措施。如遇极端天气，露天矿山应及时停止作业、撤出现场作业人员。</w:t>
      </w:r>
    </w:p>
    <w:p w14:paraId="06D819CF">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b/>
          <w:bCs/>
          <w:color w:val="auto"/>
          <w:sz w:val="32"/>
          <w:szCs w:val="32"/>
          <w:highlight w:val="none"/>
        </w:rPr>
      </w:pPr>
      <w:r>
        <w:rPr>
          <w:rFonts w:ascii="Times New Roman Regular" w:hAnsi="Times New Roman Regular" w:cs="Times New Roman Regular"/>
          <w:color w:val="auto"/>
          <w:highlight w:val="none"/>
        </w:rPr>
        <w:br w:type="page"/>
      </w:r>
      <w:bookmarkStart w:id="155" w:name="_Toc18269"/>
      <w:bookmarkStart w:id="156" w:name="_Toc21996"/>
      <w:bookmarkStart w:id="157" w:name="_Toc86052402"/>
      <w:bookmarkStart w:id="158" w:name="_Toc93155480"/>
      <w:bookmarkStart w:id="159" w:name="_Toc25225"/>
      <w:r>
        <w:rPr>
          <w:rFonts w:ascii="Times New Roman Regular" w:hAnsi="Times New Roman Regular" w:eastAsia="黑体" w:cs="Times New Roman Regular"/>
          <w:b/>
          <w:bCs/>
          <w:color w:val="auto"/>
          <w:kern w:val="44"/>
          <w:sz w:val="32"/>
          <w:szCs w:val="44"/>
          <w:highlight w:val="none"/>
        </w:rPr>
        <w:t>5.评价结论</w:t>
      </w:r>
      <w:bookmarkEnd w:id="155"/>
      <w:bookmarkEnd w:id="156"/>
      <w:bookmarkEnd w:id="157"/>
      <w:bookmarkEnd w:id="158"/>
      <w:bookmarkEnd w:id="159"/>
    </w:p>
    <w:p w14:paraId="2B62C715">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60" w:name="_Toc18125"/>
      <w:bookmarkStart w:id="161" w:name="_Toc148573697"/>
      <w:bookmarkStart w:id="162" w:name="_Toc12094"/>
      <w:bookmarkStart w:id="163" w:name="_Toc13275"/>
      <w:bookmarkStart w:id="164" w:name="_Toc86052403"/>
      <w:r>
        <w:rPr>
          <w:rFonts w:ascii="Times New Roman Regular" w:hAnsi="Times New Roman Regular" w:eastAsia="黑体" w:cs="Times New Roman Regular"/>
          <w:color w:val="auto"/>
          <w:sz w:val="30"/>
          <w:highlight w:val="none"/>
        </w:rPr>
        <w:t>5.1安全设施验收评价综述</w:t>
      </w:r>
      <w:bookmarkEnd w:id="160"/>
      <w:bookmarkEnd w:id="161"/>
      <w:bookmarkEnd w:id="162"/>
      <w:bookmarkEnd w:id="163"/>
      <w:bookmarkEnd w:id="164"/>
    </w:p>
    <w:p w14:paraId="077C42E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根据国家的相关法律、法规、规程及初步设计，对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的各个评价单元进行直接、全面的符合性评价，本安全设施验收评价认定建设单位已按照设计设置了相应的安全设施，其安全生产管理能够满足安全生产需要，能够保证该项目的安全生产。</w:t>
      </w:r>
    </w:p>
    <w:p w14:paraId="451F5C54">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65" w:name="_Toc86052404"/>
      <w:bookmarkStart w:id="166" w:name="_Toc1702127665"/>
      <w:bookmarkStart w:id="167" w:name="_Toc8030"/>
      <w:bookmarkStart w:id="168" w:name="_Toc19298"/>
      <w:bookmarkStart w:id="169" w:name="_Toc1098"/>
      <w:r>
        <w:rPr>
          <w:rFonts w:ascii="Times New Roman Regular" w:hAnsi="Times New Roman Regular" w:eastAsia="黑体" w:cs="Times New Roman Regular"/>
          <w:color w:val="auto"/>
          <w:sz w:val="30"/>
          <w:highlight w:val="none"/>
        </w:rPr>
        <w:t>5.2各评价单元评价结果</w:t>
      </w:r>
      <w:bookmarkEnd w:id="165"/>
      <w:bookmarkEnd w:id="166"/>
      <w:bookmarkEnd w:id="167"/>
      <w:bookmarkEnd w:id="168"/>
      <w:bookmarkEnd w:id="169"/>
    </w:p>
    <w:p w14:paraId="5F25D622">
      <w:pPr>
        <w:pStyle w:val="5"/>
        <w:rPr>
          <w:rFonts w:ascii="Times New Roman Regular" w:hAnsi="Times New Roman Regular" w:cs="Times New Roman Regular"/>
          <w:color w:val="auto"/>
          <w:highlight w:val="none"/>
        </w:rPr>
      </w:pPr>
      <w:bookmarkStart w:id="170" w:name="_Toc86052405"/>
      <w:r>
        <w:rPr>
          <w:rFonts w:ascii="Times New Roman Regular" w:hAnsi="Times New Roman Regular" w:cs="Times New Roman Regular"/>
          <w:color w:val="auto"/>
          <w:highlight w:val="none"/>
        </w:rPr>
        <w:t>5.2.1安全设施“三同时”程序</w:t>
      </w:r>
      <w:bookmarkEnd w:id="170"/>
    </w:p>
    <w:p w14:paraId="4994CB7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（玻璃用石英岩）露天开采建设项目建设程序符合性进行检查，检查结果表明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该矿山的建设程序符合国家有关法律、法规、标准、规范及设计的规定和要求。</w:t>
      </w:r>
    </w:p>
    <w:p w14:paraId="6C4E6A65">
      <w:pPr>
        <w:pStyle w:val="5"/>
        <w:rPr>
          <w:rFonts w:ascii="Times New Roman Regular" w:hAnsi="Times New Roman Regular" w:cs="Times New Roman Regular"/>
          <w:color w:val="auto"/>
          <w:highlight w:val="none"/>
        </w:rPr>
      </w:pPr>
      <w:bookmarkStart w:id="171" w:name="_Toc86052406"/>
      <w:r>
        <w:rPr>
          <w:rFonts w:ascii="Times New Roman Regular" w:hAnsi="Times New Roman Regular" w:cs="Times New Roman Regular"/>
          <w:color w:val="auto"/>
          <w:highlight w:val="none"/>
        </w:rPr>
        <w:t>5.2.2露天采场单元</w:t>
      </w:r>
      <w:bookmarkEnd w:id="171"/>
    </w:p>
    <w:p w14:paraId="1754A08D">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（玻璃用石英岩）露天开采建设项目露天采场单元进行检查，检查结果表明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该矿山露天开采的安全设施、设备、装置及安全管理措施符合设计要求，满足安全生产条件。</w:t>
      </w:r>
    </w:p>
    <w:p w14:paraId="249FFE71">
      <w:pPr>
        <w:pStyle w:val="5"/>
        <w:rPr>
          <w:rFonts w:ascii="Times New Roman Regular" w:hAnsi="Times New Roman Regular" w:cs="Times New Roman Regular"/>
          <w:color w:val="auto"/>
          <w:highlight w:val="none"/>
        </w:rPr>
      </w:pPr>
      <w:bookmarkStart w:id="172" w:name="_Toc86052407"/>
      <w:r>
        <w:rPr>
          <w:rFonts w:ascii="Times New Roman Regular" w:hAnsi="Times New Roman Regular" w:cs="Times New Roman Regular"/>
          <w:color w:val="auto"/>
          <w:highlight w:val="none"/>
        </w:rPr>
        <w:t>5.2.3</w:t>
      </w:r>
      <w:bookmarkEnd w:id="172"/>
      <w:r>
        <w:rPr>
          <w:rFonts w:ascii="Times New Roman Regular" w:hAnsi="Times New Roman Regular" w:cs="Times New Roman Regular"/>
          <w:color w:val="auto"/>
          <w:highlight w:val="none"/>
        </w:rPr>
        <w:t>矿岩运输系统单元</w:t>
      </w:r>
    </w:p>
    <w:p w14:paraId="28F0F7E3">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（玻璃用石英岩）露天开采建设项目矿岩运输系统进行检查，检查结果表明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该矿山开拓运输系统单元符合设计要求，满足安全生产条件。</w:t>
      </w:r>
    </w:p>
    <w:p w14:paraId="3F629A34">
      <w:pPr>
        <w:pStyle w:val="5"/>
        <w:rPr>
          <w:rFonts w:ascii="Times New Roman Regular" w:hAnsi="Times New Roman Regular" w:cs="Times New Roman Regular"/>
          <w:color w:val="auto"/>
          <w:highlight w:val="none"/>
        </w:rPr>
      </w:pPr>
      <w:bookmarkStart w:id="173" w:name="_Toc86052408"/>
      <w:r>
        <w:rPr>
          <w:rFonts w:ascii="Times New Roman Regular" w:hAnsi="Times New Roman Regular" w:cs="Times New Roman Regular"/>
          <w:color w:val="auto"/>
          <w:highlight w:val="none"/>
        </w:rPr>
        <w:t>5.2.4</w:t>
      </w:r>
      <w:bookmarkEnd w:id="173"/>
      <w:r>
        <w:rPr>
          <w:rFonts w:ascii="Times New Roman Regular" w:hAnsi="Times New Roman Regular" w:cs="Times New Roman Regular"/>
          <w:color w:val="auto"/>
          <w:highlight w:val="none"/>
        </w:rPr>
        <w:t>采场防排水系统单元</w:t>
      </w:r>
    </w:p>
    <w:p w14:paraId="44C29575">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（玻璃用石英岩）露天开采建设项目采场防排水系统单元进行检查，检查结果表明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该矿山防排水系统单元符合设计要求，满足安全生产条件。</w:t>
      </w:r>
    </w:p>
    <w:p w14:paraId="77EC77CD">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5供配电系统</w:t>
      </w:r>
      <w:r>
        <w:rPr>
          <w:rFonts w:ascii="Times New Roman Regular" w:hAnsi="Times New Roman Regular" w:cs="Times New Roman Regular"/>
          <w:color w:val="auto"/>
          <w:highlight w:val="none"/>
        </w:rPr>
        <w:t>单元</w:t>
      </w:r>
    </w:p>
    <w:p w14:paraId="45BCEC8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（玻璃用石英岩）露天开采建设项目采场供配电系统单元进行检查，检查结果表明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该矿山供配电系统单元符合设计要求，满足安全生产条件。</w:t>
      </w:r>
    </w:p>
    <w:p w14:paraId="7BCBF1CD">
      <w:pPr>
        <w:pStyle w:val="5"/>
        <w:rPr>
          <w:rFonts w:ascii="Times New Roman Regular" w:hAnsi="Times New Roman Regular" w:cs="Times New Roman Regular"/>
          <w:color w:val="auto"/>
          <w:highlight w:val="none"/>
        </w:rPr>
      </w:pPr>
      <w:bookmarkStart w:id="174" w:name="_Toc86052409"/>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6</w:t>
      </w:r>
      <w:r>
        <w:rPr>
          <w:rFonts w:ascii="Times New Roman Regular" w:hAnsi="Times New Roman Regular" w:cs="Times New Roman Regular"/>
          <w:color w:val="auto"/>
          <w:highlight w:val="none"/>
        </w:rPr>
        <w:t>总平面布置单元</w:t>
      </w:r>
      <w:bookmarkEnd w:id="174"/>
    </w:p>
    <w:p w14:paraId="5A084D17">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（玻璃用石英岩）露天开采建设项目总平面布置进行检查，检查结果表明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该矿山的总平面布置单元符合设计要求，满足安全生产条件。</w:t>
      </w:r>
    </w:p>
    <w:p w14:paraId="0B8262DF">
      <w:pPr>
        <w:pStyle w:val="5"/>
        <w:rPr>
          <w:rFonts w:ascii="Times New Roman Regular" w:hAnsi="Times New Roman Regular" w:cs="Times New Roman Regular"/>
          <w:color w:val="auto"/>
          <w:highlight w:val="none"/>
        </w:rPr>
      </w:pPr>
      <w:bookmarkStart w:id="175" w:name="_Toc86052410"/>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7</w:t>
      </w:r>
      <w:r>
        <w:rPr>
          <w:rFonts w:ascii="Times New Roman Regular" w:hAnsi="Times New Roman Regular" w:cs="Times New Roman Regular"/>
          <w:color w:val="auto"/>
          <w:highlight w:val="none"/>
        </w:rPr>
        <w:t>通信系统单元</w:t>
      </w:r>
      <w:bookmarkEnd w:id="175"/>
    </w:p>
    <w:p w14:paraId="2417ADA0">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通信系统单元进行评价，该矿山通信系统的安全设施、设备、装置及安全管理措施符合国家有关法律、法规、标准、规范及设计的规定和要求，该矿山的通信系统满足安全生产的要求。</w:t>
      </w:r>
    </w:p>
    <w:p w14:paraId="3B6C97D6">
      <w:pPr>
        <w:pStyle w:val="5"/>
        <w:rPr>
          <w:rFonts w:ascii="Times New Roman Regular" w:hAnsi="Times New Roman Regular" w:cs="Times New Roman Regular"/>
          <w:color w:val="auto"/>
          <w:highlight w:val="none"/>
        </w:rPr>
      </w:pPr>
      <w:bookmarkStart w:id="176" w:name="_Toc86052411"/>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8</w:t>
      </w:r>
      <w:r>
        <w:rPr>
          <w:rFonts w:ascii="Times New Roman Regular" w:hAnsi="Times New Roman Regular" w:cs="Times New Roman Regular"/>
          <w:color w:val="auto"/>
          <w:highlight w:val="none"/>
        </w:rPr>
        <w:t>个人安全防护单元</w:t>
      </w:r>
      <w:bookmarkEnd w:id="176"/>
    </w:p>
    <w:p w14:paraId="5009B5D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（玻璃用石英岩）露天开采建设项目个人安全防护进行评价，结果表明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该矿山个人安全防护的安全用品单元符合设计要求，满足安全生产条件。</w:t>
      </w:r>
    </w:p>
    <w:p w14:paraId="1F9310A5">
      <w:pPr>
        <w:pStyle w:val="5"/>
        <w:rPr>
          <w:rFonts w:ascii="Times New Roman Regular" w:hAnsi="Times New Roman Regular" w:cs="Times New Roman Regular"/>
          <w:color w:val="auto"/>
          <w:highlight w:val="none"/>
        </w:rPr>
      </w:pPr>
      <w:bookmarkStart w:id="177" w:name="_Toc86052412"/>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9</w:t>
      </w:r>
      <w:r>
        <w:rPr>
          <w:rFonts w:ascii="Times New Roman Regular" w:hAnsi="Times New Roman Regular" w:cs="Times New Roman Regular"/>
          <w:color w:val="auto"/>
          <w:highlight w:val="none"/>
        </w:rPr>
        <w:t>安全标志单元</w:t>
      </w:r>
      <w:bookmarkEnd w:id="177"/>
    </w:p>
    <w:p w14:paraId="67F23B3E">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通过用安全检查表对</w:t>
      </w:r>
      <w:r>
        <w:rPr>
          <w:rFonts w:hint="eastAsia" w:ascii="Times New Roman Regular" w:hAnsi="Times New Roman Regular" w:cs="Times New Roman Regular"/>
          <w:color w:val="auto"/>
          <w:sz w:val="28"/>
          <w:szCs w:val="28"/>
          <w:highlight w:val="none"/>
        </w:rPr>
        <w:t>本溪星光硅质原料有限公司</w:t>
      </w:r>
      <w:r>
        <w:rPr>
          <w:rFonts w:ascii="Times New Roman Regular" w:hAnsi="Times New Roman Regular" w:cs="Times New Roman Regular"/>
          <w:color w:val="auto"/>
          <w:sz w:val="28"/>
          <w:szCs w:val="28"/>
          <w:highlight w:val="none"/>
        </w:rPr>
        <w:t>（玻璃用石英岩）露天开采建设项目安全标志进行评价，结果表明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该矿山安全标志单元符合设计要求，满足安全生产条件。</w:t>
      </w:r>
    </w:p>
    <w:p w14:paraId="52D7A74B">
      <w:pPr>
        <w:pStyle w:val="5"/>
        <w:rPr>
          <w:rFonts w:ascii="Times New Roman Regular" w:hAnsi="Times New Roman Regular" w:cs="Times New Roman Regular"/>
          <w:color w:val="auto"/>
          <w:highlight w:val="none"/>
        </w:rPr>
      </w:pPr>
      <w:bookmarkStart w:id="178" w:name="_Toc86052413"/>
      <w:r>
        <w:rPr>
          <w:rFonts w:ascii="Times New Roman Regular" w:hAnsi="Times New Roman Regular" w:cs="Times New Roman Regular"/>
          <w:color w:val="auto"/>
          <w:highlight w:val="none"/>
        </w:rPr>
        <w:t>5.2.</w:t>
      </w:r>
      <w:r>
        <w:rPr>
          <w:rFonts w:hint="eastAsia" w:ascii="Times New Roman Regular" w:hAnsi="Times New Roman Regular" w:cs="Times New Roman Regular"/>
          <w:color w:val="auto"/>
          <w:highlight w:val="none"/>
        </w:rPr>
        <w:t>10</w:t>
      </w:r>
      <w:r>
        <w:rPr>
          <w:rFonts w:ascii="Times New Roman Regular" w:hAnsi="Times New Roman Regular" w:cs="Times New Roman Regular"/>
          <w:color w:val="auto"/>
          <w:highlight w:val="none"/>
        </w:rPr>
        <w:t>安全生产管理单元</w:t>
      </w:r>
      <w:bookmarkEnd w:id="178"/>
    </w:p>
    <w:p w14:paraId="3639C60F">
      <w:pPr>
        <w:snapToGrid w:val="0"/>
        <w:spacing w:line="360" w:lineRule="auto"/>
        <w:ind w:firstLine="560" w:firstLineChars="200"/>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通过安全检查表对本项目安全生产管理进行检查，检查结果表明</w:t>
      </w:r>
      <w:r>
        <w:rPr>
          <w:rFonts w:hint="eastAsia" w:ascii="Times New Roman Regular" w:hAnsi="Times New Roman Regular" w:cs="Times New Roman Regular"/>
          <w:color w:val="auto"/>
          <w:sz w:val="28"/>
          <w:szCs w:val="28"/>
          <w:highlight w:val="none"/>
        </w:rPr>
        <w:t>：</w:t>
      </w:r>
      <w:r>
        <w:rPr>
          <w:rFonts w:ascii="Times New Roman Regular" w:hAnsi="Times New Roman Regular" w:cs="Times New Roman Regular"/>
          <w:color w:val="auto"/>
          <w:sz w:val="28"/>
          <w:szCs w:val="28"/>
          <w:highlight w:val="none"/>
        </w:rPr>
        <w:t>该矿山的安全生产管理单元符合设计要求，满足安全生产条件。</w:t>
      </w:r>
    </w:p>
    <w:p w14:paraId="616FF0CF">
      <w:pPr>
        <w:pStyle w:val="5"/>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t>5.2.1</w:t>
      </w:r>
      <w:r>
        <w:rPr>
          <w:rFonts w:hint="eastAsia" w:ascii="Times New Roman Regular" w:hAnsi="Times New Roman Regular" w:cs="Times New Roman Regular"/>
          <w:color w:val="auto"/>
          <w:highlight w:val="none"/>
        </w:rPr>
        <w:t>1</w:t>
      </w:r>
      <w:r>
        <w:rPr>
          <w:rFonts w:ascii="Times New Roman Regular" w:hAnsi="Times New Roman Regular" w:cs="Times New Roman Regular"/>
          <w:color w:val="auto"/>
          <w:highlight w:val="none"/>
        </w:rPr>
        <w:t>重大事故隐患判定标准单元</w:t>
      </w:r>
    </w:p>
    <w:p w14:paraId="1E761A5B">
      <w:pPr>
        <w:spacing w:line="360" w:lineRule="auto"/>
        <w:ind w:firstLine="560"/>
        <w:rPr>
          <w:rFonts w:ascii="Times New Roman Regular" w:hAnsi="Times New Roman Regular" w:cs="Times New Roman Regular"/>
          <w:color w:val="auto"/>
          <w:highlight w:val="none"/>
        </w:rPr>
      </w:pPr>
      <w:r>
        <w:rPr>
          <w:rFonts w:ascii="Times New Roman Regular" w:hAnsi="Times New Roman Regular" w:cs="Times New Roman Regular"/>
          <w:color w:val="auto"/>
          <w:sz w:val="28"/>
          <w:szCs w:val="28"/>
          <w:highlight w:val="none"/>
        </w:rPr>
        <w:t>通过安全检查表对本项目重大事故隐患判定标准单元进行检查，检查结果表明，该矿山的重大事故隐患判定标准单元</w:t>
      </w:r>
      <w:r>
        <w:rPr>
          <w:rFonts w:hint="eastAsia" w:ascii="Times New Roman Regular" w:hAnsi="Times New Roman Regular" w:cs="Times New Roman Regular"/>
          <w:color w:val="auto"/>
          <w:sz w:val="28"/>
          <w:szCs w:val="28"/>
          <w:highlight w:val="none"/>
        </w:rPr>
        <w:t>不存在重大隐患</w:t>
      </w:r>
      <w:r>
        <w:rPr>
          <w:rFonts w:ascii="Times New Roman Regular" w:hAnsi="Times New Roman Regular" w:cs="Times New Roman Regular"/>
          <w:color w:val="auto"/>
          <w:sz w:val="28"/>
          <w:szCs w:val="28"/>
          <w:highlight w:val="none"/>
        </w:rPr>
        <w:t>，满足安全生产条件。</w:t>
      </w:r>
    </w:p>
    <w:p w14:paraId="33DDD0C7">
      <w:pPr>
        <w:pStyle w:val="4"/>
        <w:numPr>
          <w:ilvl w:val="0"/>
          <w:numId w:val="0"/>
        </w:numPr>
        <w:adjustRightInd w:val="0"/>
        <w:snapToGrid w:val="0"/>
        <w:spacing w:before="156" w:beforeLines="50" w:after="156" w:afterLines="50" w:line="336" w:lineRule="auto"/>
        <w:jc w:val="center"/>
        <w:rPr>
          <w:rFonts w:ascii="Times New Roman Regular" w:hAnsi="Times New Roman Regular" w:eastAsia="黑体" w:cs="Times New Roman Regular"/>
          <w:color w:val="auto"/>
          <w:sz w:val="30"/>
          <w:highlight w:val="none"/>
        </w:rPr>
      </w:pPr>
      <w:bookmarkStart w:id="179" w:name="_Toc14373"/>
      <w:bookmarkStart w:id="180" w:name="_Toc1030003968"/>
      <w:bookmarkStart w:id="181" w:name="_Toc9033"/>
      <w:bookmarkStart w:id="182" w:name="_Toc2467"/>
      <w:bookmarkStart w:id="183" w:name="_Toc86052415"/>
      <w:r>
        <w:rPr>
          <w:rFonts w:ascii="Times New Roman Regular" w:hAnsi="Times New Roman Regular" w:eastAsia="黑体" w:cs="Times New Roman Regular"/>
          <w:color w:val="auto"/>
          <w:sz w:val="30"/>
          <w:highlight w:val="none"/>
        </w:rPr>
        <w:t>5.3安全总体评价结论</w:t>
      </w:r>
      <w:bookmarkEnd w:id="179"/>
      <w:bookmarkEnd w:id="180"/>
      <w:bookmarkEnd w:id="181"/>
      <w:bookmarkEnd w:id="182"/>
      <w:bookmarkEnd w:id="183"/>
    </w:p>
    <w:p w14:paraId="5F9F3337">
      <w:pPr>
        <w:snapToGrid w:val="0"/>
        <w:spacing w:line="360" w:lineRule="auto"/>
        <w:ind w:firstLine="560" w:firstLineChars="200"/>
        <w:rPr>
          <w:rFonts w:ascii="Times New Roman Regular" w:hAnsi="Times New Roman Regular" w:cs="Times New Roman Regular"/>
          <w:b/>
          <w:bCs/>
          <w:color w:val="auto"/>
          <w:sz w:val="28"/>
          <w:szCs w:val="28"/>
          <w:highlight w:val="none"/>
        </w:rPr>
      </w:pPr>
      <w:r>
        <w:rPr>
          <w:rFonts w:ascii="Times New Roman Regular" w:hAnsi="Times New Roman Regular" w:cs="Times New Roman Regular"/>
          <w:color w:val="auto"/>
          <w:sz w:val="28"/>
          <w:szCs w:val="28"/>
          <w:highlight w:val="none"/>
        </w:rPr>
        <w:t>按照科学、严谨、客观、公正的原则，本着对工作高度负责的精神，依据国家及地方政府的相关法律、法规、文件及规范的规定，对照按照安监总管一〔2016〕14号文“关于金属非金属矿山建设项目安全设施竣工验收工作的要求”以及《国家矿山安全监察局关于进一步加强非煤矿山安全生产行政许可工作的通知》（矿安〔2024〕70号）提出的安全设施竣工验收要求，以设计的内容进行现场检查，共检查</w:t>
      </w:r>
      <w:r>
        <w:rPr>
          <w:rFonts w:hint="eastAsia" w:ascii="Times New Roman Regular" w:hAnsi="Times New Roman Regular" w:cs="Times New Roman Regular"/>
          <w:color w:val="auto"/>
          <w:sz w:val="28"/>
          <w:szCs w:val="28"/>
          <w:highlight w:val="none"/>
          <w:lang w:val="en-US" w:eastAsia="zh-CN"/>
        </w:rPr>
        <w:t>117</w:t>
      </w:r>
      <w:r>
        <w:rPr>
          <w:rFonts w:ascii="Times New Roman Regular" w:hAnsi="Times New Roman Regular" w:cs="Times New Roman Regular"/>
          <w:color w:val="auto"/>
          <w:sz w:val="28"/>
          <w:szCs w:val="28"/>
          <w:highlight w:val="none"/>
        </w:rPr>
        <w:t>项，其中否决项5项，全部符合要求，除不涉及的一般项以外，一般项全部符合要求，不符合率小于5%。</w:t>
      </w:r>
      <w:r>
        <w:rPr>
          <w:rFonts w:ascii="Times New Roman Regular" w:hAnsi="Times New Roman Regular" w:cs="Times New Roman Regular"/>
          <w:b/>
          <w:bCs/>
          <w:color w:val="auto"/>
          <w:sz w:val="28"/>
          <w:szCs w:val="28"/>
          <w:highlight w:val="none"/>
        </w:rPr>
        <w:t>故本次安全设施验收评价认定，本溪星光硅质原料有限公司（玻璃用石英岩）露天开采建设项目按照《安全设施设计》进行了施工，安全设施建设符合《安全设施设计》，本溪星光硅质原料有限公司（玻璃用石英岩）露天开采建设项目具备安全设施验收及符合安全生产的条件。</w:t>
      </w:r>
    </w:p>
    <w:p w14:paraId="797CA569">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cs="Times New Roman Regular"/>
          <w:color w:val="auto"/>
          <w:highlight w:val="none"/>
        </w:rPr>
      </w:pPr>
      <w:r>
        <w:rPr>
          <w:rFonts w:ascii="Times New Roman Regular" w:hAnsi="Times New Roman Regular" w:cs="Times New Roman Regular"/>
          <w:color w:val="auto"/>
          <w:highlight w:val="none"/>
        </w:rPr>
        <w:br w:type="page"/>
      </w:r>
      <w:bookmarkStart w:id="184" w:name="_Toc16784"/>
      <w:bookmarkStart w:id="185" w:name="_Toc15692"/>
      <w:bookmarkStart w:id="186" w:name="_Toc411011709"/>
      <w:bookmarkStart w:id="187" w:name="_Toc17686"/>
      <w:r>
        <w:rPr>
          <w:rFonts w:ascii="Times New Roman Regular" w:hAnsi="Times New Roman Regular" w:eastAsia="黑体" w:cs="Times New Roman Regular"/>
          <w:b/>
          <w:bCs/>
          <w:color w:val="auto"/>
          <w:kern w:val="44"/>
          <w:sz w:val="32"/>
          <w:szCs w:val="44"/>
          <w:highlight w:val="none"/>
        </w:rPr>
        <w:t>6.附件</w:t>
      </w:r>
      <w:bookmarkEnd w:id="184"/>
      <w:bookmarkEnd w:id="185"/>
      <w:bookmarkEnd w:id="186"/>
      <w:bookmarkEnd w:id="187"/>
    </w:p>
    <w:p w14:paraId="3DE2A495">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营业执照</w:t>
      </w:r>
    </w:p>
    <w:p w14:paraId="3AD0B049">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采矿许可证</w:t>
      </w:r>
    </w:p>
    <w:p w14:paraId="7307B749">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hint="eastAsia" w:ascii="Times New Roman Regular" w:hAnsi="Times New Roman Regular" w:cs="Times New Roman Regular"/>
          <w:color w:val="auto"/>
          <w:sz w:val="28"/>
          <w:szCs w:val="28"/>
          <w:highlight w:val="none"/>
        </w:rPr>
        <w:t>立项批复</w:t>
      </w:r>
    </w:p>
    <w:p w14:paraId="0A0F5266">
      <w:pPr>
        <w:numPr>
          <w:ilvl w:val="0"/>
          <w:numId w:val="16"/>
        </w:numPr>
        <w:snapToGrid w:val="0"/>
        <w:spacing w:line="500" w:lineRule="exact"/>
        <w:rPr>
          <w:rFonts w:ascii="Times New Roman Regular" w:hAnsi="Times New Roman Regular" w:cs="Times New Roman Regular"/>
          <w:color w:val="auto"/>
          <w:sz w:val="28"/>
          <w:szCs w:val="28"/>
          <w:highlight w:val="none"/>
        </w:rPr>
      </w:pPr>
      <w:bookmarkStart w:id="188" w:name="_Hlk60923292"/>
      <w:r>
        <w:rPr>
          <w:rFonts w:hint="eastAsia" w:ascii="Times New Roman Regular" w:hAnsi="Times New Roman Regular" w:cs="Times New Roman Regular"/>
          <w:color w:val="auto"/>
          <w:sz w:val="28"/>
          <w:szCs w:val="28"/>
          <w:highlight w:val="none"/>
        </w:rPr>
        <w:t>安全设施设计</w:t>
      </w:r>
      <w:r>
        <w:rPr>
          <w:rFonts w:ascii="Times New Roman Regular" w:hAnsi="Times New Roman Regular" w:cs="Times New Roman Regular"/>
          <w:color w:val="auto"/>
          <w:sz w:val="28"/>
          <w:szCs w:val="28"/>
          <w:highlight w:val="none"/>
        </w:rPr>
        <w:t>批复</w:t>
      </w:r>
    </w:p>
    <w:p w14:paraId="08D8D5AB">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建设项目施工单位营业执照、资质证书</w:t>
      </w:r>
    </w:p>
    <w:p w14:paraId="0189C6F5">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施工监理单位营业执照、资质证书</w:t>
      </w:r>
    </w:p>
    <w:p w14:paraId="1DA26392">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全员安全生产责任制全文</w:t>
      </w:r>
    </w:p>
    <w:p w14:paraId="79D2A537">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安全管理规章制度、操作规程目录</w:t>
      </w:r>
    </w:p>
    <w:p w14:paraId="211917C5">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成立安全管理机构文件</w:t>
      </w:r>
    </w:p>
    <w:p w14:paraId="5AB1A845">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主要负责人及专职安全管理人员证件</w:t>
      </w:r>
    </w:p>
    <w:p w14:paraId="6C9158BF">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特种作业人员证</w:t>
      </w:r>
    </w:p>
    <w:p w14:paraId="1F0696FE">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安全生产费用提取计划及使用情况</w:t>
      </w:r>
    </w:p>
    <w:p w14:paraId="5ADB4EA3">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从业人员缴纳保险凭证</w:t>
      </w:r>
    </w:p>
    <w:p w14:paraId="2A649E2E">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应急预案备案登记表</w:t>
      </w:r>
    </w:p>
    <w:p w14:paraId="711511D1">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爆破协议及爆破作业单位营业执照和资质</w:t>
      </w:r>
    </w:p>
    <w:p w14:paraId="5059673A">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安全教育培训材料</w:t>
      </w:r>
    </w:p>
    <w:bookmarkEnd w:id="188"/>
    <w:p w14:paraId="10D9EFEB">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成立兼职救援队文件及相邻矿山应急救援互助协议书</w:t>
      </w:r>
    </w:p>
    <w:p w14:paraId="13D5C7AA">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劳保用品发放记录</w:t>
      </w:r>
    </w:p>
    <w:p w14:paraId="0B598E91">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特种设备检测报告</w:t>
      </w:r>
    </w:p>
    <w:p w14:paraId="05BF00EF">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技术人员证件</w:t>
      </w:r>
    </w:p>
    <w:p w14:paraId="0B938368">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注册安全工程师证件</w:t>
      </w:r>
    </w:p>
    <w:p w14:paraId="649A907D">
      <w:pPr>
        <w:numPr>
          <w:ilvl w:val="0"/>
          <w:numId w:val="16"/>
        </w:numPr>
        <w:snapToGrid w:val="0"/>
        <w:spacing w:line="500" w:lineRule="exact"/>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爆破设计与施工方案</w:t>
      </w:r>
    </w:p>
    <w:p w14:paraId="6886BE61">
      <w:pPr>
        <w:numPr>
          <w:ilvl w:val="0"/>
          <w:numId w:val="16"/>
        </w:numPr>
        <w:snapToGrid w:val="0"/>
        <w:spacing w:line="500" w:lineRule="exact"/>
        <w:rPr>
          <w:rFonts w:hint="default" w:ascii="Times New Roman Regular" w:hAnsi="Times New Roman Regular" w:eastAsia="宋体" w:cs="Times New Roman Regular"/>
          <w:color w:val="auto"/>
          <w:sz w:val="28"/>
          <w:szCs w:val="28"/>
          <w:highlight w:val="none"/>
          <w:lang w:val="en-US" w:eastAsia="zh-CN"/>
        </w:rPr>
      </w:pPr>
      <w:r>
        <w:rPr>
          <w:rFonts w:hint="eastAsia" w:ascii="Times New Roman Regular" w:hAnsi="Times New Roman Regular" w:eastAsia="宋体" w:cs="Times New Roman Regular"/>
          <w:color w:val="auto"/>
          <w:sz w:val="28"/>
          <w:szCs w:val="28"/>
          <w:highlight w:val="none"/>
          <w:lang w:val="en-US" w:eastAsia="zh-CN"/>
        </w:rPr>
        <w:t>边坡人工检测记录</w:t>
      </w:r>
    </w:p>
    <w:p w14:paraId="3524D133">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边坡稳定性分析报告及结论</w:t>
      </w:r>
    </w:p>
    <w:p w14:paraId="5D6FAB9D">
      <w:pPr>
        <w:numPr>
          <w:ilvl w:val="0"/>
          <w:numId w:val="16"/>
        </w:numPr>
        <w:snapToGrid w:val="0"/>
        <w:spacing w:line="500" w:lineRule="exact"/>
        <w:rPr>
          <w:rFonts w:ascii="Times New Roman Regular" w:hAnsi="Times New Roman Regular" w:eastAsia="宋体" w:cs="Times New Roman Regular"/>
          <w:color w:val="auto"/>
          <w:sz w:val="28"/>
          <w:szCs w:val="28"/>
          <w:highlight w:val="none"/>
        </w:rPr>
      </w:pPr>
      <w:r>
        <w:rPr>
          <w:rFonts w:hint="eastAsia" w:ascii="Times New Roman Regular" w:hAnsi="Times New Roman Regular" w:eastAsia="宋体" w:cs="Times New Roman Regular"/>
          <w:color w:val="auto"/>
          <w:sz w:val="28"/>
          <w:szCs w:val="28"/>
          <w:highlight w:val="none"/>
        </w:rPr>
        <w:t>隐蔽致灾因素普查</w:t>
      </w:r>
      <w:r>
        <w:rPr>
          <w:rFonts w:ascii="Times New Roman Regular" w:hAnsi="Times New Roman Regular" w:eastAsia="宋体" w:cs="Times New Roman Regular"/>
          <w:color w:val="auto"/>
          <w:sz w:val="28"/>
          <w:szCs w:val="28"/>
          <w:highlight w:val="none"/>
        </w:rPr>
        <w:t>报告及结论</w:t>
      </w:r>
    </w:p>
    <w:p w14:paraId="607A4FA4">
      <w:pPr>
        <w:numPr>
          <w:ilvl w:val="0"/>
          <w:numId w:val="16"/>
        </w:numPr>
        <w:snapToGrid w:val="0"/>
        <w:spacing w:line="500" w:lineRule="exact"/>
        <w:rPr>
          <w:rFonts w:ascii="Times New Roman Regular" w:hAnsi="Times New Roman Regular" w:cs="Times New Roman Regular"/>
          <w:color w:val="auto"/>
          <w:sz w:val="28"/>
          <w:szCs w:val="28"/>
          <w:highlight w:val="none"/>
        </w:rPr>
      </w:pPr>
      <w:r>
        <w:rPr>
          <w:rFonts w:ascii="Times New Roman Regular" w:hAnsi="Times New Roman Regular" w:cs="Times New Roman Regular"/>
          <w:color w:val="auto"/>
          <w:sz w:val="28"/>
          <w:szCs w:val="28"/>
          <w:highlight w:val="none"/>
        </w:rPr>
        <w:t>试运行报告</w:t>
      </w:r>
    </w:p>
    <w:p w14:paraId="4F4E36AC">
      <w:pPr>
        <w:rPr>
          <w:rFonts w:ascii="Times New Roman Regular" w:hAnsi="Times New Roman Regular" w:eastAsia="黑体" w:cs="Times New Roman Regular"/>
          <w:b/>
          <w:bCs/>
          <w:color w:val="auto"/>
          <w:kern w:val="44"/>
          <w:sz w:val="32"/>
          <w:szCs w:val="44"/>
          <w:highlight w:val="none"/>
        </w:rPr>
      </w:pPr>
      <w:bookmarkStart w:id="189" w:name="_Toc21134"/>
      <w:bookmarkStart w:id="190" w:name="_Toc14478"/>
      <w:bookmarkStart w:id="191" w:name="_Toc25961"/>
      <w:r>
        <w:rPr>
          <w:rFonts w:ascii="Times New Roman Regular" w:hAnsi="Times New Roman Regular" w:eastAsia="黑体" w:cs="Times New Roman Regular"/>
          <w:b/>
          <w:bCs/>
          <w:color w:val="auto"/>
          <w:kern w:val="44"/>
          <w:sz w:val="32"/>
          <w:szCs w:val="44"/>
          <w:highlight w:val="none"/>
        </w:rPr>
        <w:br w:type="page"/>
      </w:r>
    </w:p>
    <w:p w14:paraId="06943423">
      <w:pPr>
        <w:keepNext w:val="0"/>
        <w:keepLines w:val="0"/>
        <w:pageBreakBefore w:val="0"/>
        <w:widowControl w:val="0"/>
        <w:kinsoku/>
        <w:wordWrap/>
        <w:overflowPunct/>
        <w:topLinePunct w:val="0"/>
        <w:autoSpaceDE/>
        <w:autoSpaceDN/>
        <w:bidi w:val="0"/>
        <w:adjustRightInd/>
        <w:snapToGrid w:val="0"/>
        <w:spacing w:before="157" w:beforeLines="50" w:after="157" w:afterLines="50" w:line="360" w:lineRule="auto"/>
        <w:jc w:val="center"/>
        <w:textAlignment w:val="auto"/>
        <w:outlineLvl w:val="0"/>
        <w:rPr>
          <w:rFonts w:ascii="Times New Roman Regular" w:hAnsi="Times New Roman Regular" w:eastAsia="黑体" w:cs="Times New Roman Regular"/>
          <w:b/>
          <w:bCs/>
          <w:color w:val="auto"/>
          <w:kern w:val="44"/>
          <w:sz w:val="32"/>
          <w:szCs w:val="44"/>
          <w:highlight w:val="none"/>
        </w:rPr>
      </w:pPr>
      <w:bookmarkStart w:id="192" w:name="_Toc1566384411"/>
      <w:r>
        <w:rPr>
          <w:rFonts w:ascii="Times New Roman Regular" w:hAnsi="Times New Roman Regular" w:eastAsia="黑体" w:cs="Times New Roman Regular"/>
          <w:b/>
          <w:bCs/>
          <w:color w:val="auto"/>
          <w:kern w:val="44"/>
          <w:sz w:val="32"/>
          <w:szCs w:val="44"/>
          <w:highlight w:val="none"/>
        </w:rPr>
        <w:t>7.附图</w:t>
      </w:r>
      <w:bookmarkEnd w:id="189"/>
      <w:bookmarkEnd w:id="190"/>
      <w:bookmarkEnd w:id="191"/>
      <w:bookmarkEnd w:id="192"/>
    </w:p>
    <w:p w14:paraId="1D052582">
      <w:pPr>
        <w:snapToGrid w:val="0"/>
        <w:spacing w:line="500" w:lineRule="exact"/>
        <w:rPr>
          <w:rFonts w:hint="eastAsia"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rPr>
        <w:t>（1）地质地形图</w:t>
      </w:r>
      <w:r>
        <w:rPr>
          <w:rFonts w:hint="eastAsia" w:ascii="Times New Roman Regular" w:hAnsi="Times New Roman Regular" w:eastAsia="宋体" w:cs="Times New Roman Regular"/>
          <w:color w:val="auto"/>
          <w:sz w:val="28"/>
          <w:szCs w:val="28"/>
          <w:highlight w:val="none"/>
          <w:lang w:eastAsia="zh-CN"/>
        </w:rPr>
        <w:t>；</w:t>
      </w:r>
    </w:p>
    <w:p w14:paraId="4ACACA95">
      <w:pPr>
        <w:snapToGrid w:val="0"/>
        <w:spacing w:line="500" w:lineRule="exact"/>
        <w:rPr>
          <w:rFonts w:hint="eastAsia" w:ascii="Times New Roman Regular" w:hAnsi="Times New Roman Regular" w:eastAsia="宋体" w:cs="Times New Roman Regular"/>
          <w:color w:val="auto"/>
          <w:sz w:val="28"/>
          <w:szCs w:val="28"/>
          <w:highlight w:val="none"/>
          <w:lang w:eastAsia="zh-CN"/>
        </w:rPr>
      </w:pP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lang w:val="en-US" w:eastAsia="zh-CN"/>
        </w:rPr>
        <w:t>2</w:t>
      </w: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rPr>
        <w:t>竣工图</w:t>
      </w:r>
      <w:r>
        <w:rPr>
          <w:rFonts w:hint="eastAsia" w:ascii="Times New Roman Regular" w:hAnsi="Times New Roman Regular" w:eastAsia="宋体" w:cs="Times New Roman Regular"/>
          <w:color w:val="auto"/>
          <w:sz w:val="28"/>
          <w:szCs w:val="28"/>
          <w:highlight w:val="none"/>
          <w:lang w:eastAsia="zh-CN"/>
        </w:rPr>
        <w:t>；</w:t>
      </w:r>
    </w:p>
    <w:p w14:paraId="14ADD83A">
      <w:pPr>
        <w:snapToGrid w:val="0"/>
        <w:spacing w:line="500" w:lineRule="exact"/>
        <w:rPr>
          <w:rFonts w:hint="eastAsia" w:ascii="Times New Roman Regular" w:hAnsi="Times New Roman Regular" w:eastAsia="宋体" w:cs="Times New Roman Regular"/>
          <w:color w:val="auto"/>
          <w:sz w:val="28"/>
          <w:szCs w:val="28"/>
          <w:highlight w:val="none"/>
          <w:lang w:eastAsia="zh-CN"/>
        </w:rPr>
      </w:pP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lang w:val="en-US" w:eastAsia="zh-CN"/>
        </w:rPr>
        <w:t>3</w:t>
      </w:r>
      <w:r>
        <w:rPr>
          <w:rFonts w:ascii="Times New Roman Regular" w:hAnsi="Times New Roman Regular" w:eastAsia="宋体" w:cs="Times New Roman Regular"/>
          <w:color w:val="auto"/>
          <w:sz w:val="28"/>
          <w:szCs w:val="28"/>
          <w:highlight w:val="none"/>
        </w:rPr>
        <w:t>）</w:t>
      </w:r>
      <w:r>
        <w:rPr>
          <w:rFonts w:hint="eastAsia" w:ascii="Times New Roman Regular" w:hAnsi="Times New Roman Regular" w:eastAsia="宋体" w:cs="Times New Roman Regular"/>
          <w:color w:val="auto"/>
          <w:sz w:val="28"/>
          <w:szCs w:val="28"/>
          <w:highlight w:val="none"/>
        </w:rPr>
        <w:t>竣工A-A剖面图</w:t>
      </w:r>
      <w:r>
        <w:rPr>
          <w:rFonts w:hint="eastAsia" w:ascii="Times New Roman Regular" w:hAnsi="Times New Roman Regular" w:eastAsia="宋体" w:cs="Times New Roman Regular"/>
          <w:color w:val="auto"/>
          <w:sz w:val="28"/>
          <w:szCs w:val="28"/>
          <w:highlight w:val="none"/>
          <w:lang w:eastAsia="zh-CN"/>
        </w:rPr>
        <w:t>；</w:t>
      </w:r>
    </w:p>
    <w:p w14:paraId="669FD380">
      <w:pPr>
        <w:snapToGrid w:val="0"/>
        <w:spacing w:line="500" w:lineRule="exact"/>
        <w:rPr>
          <w:rFonts w:hint="default" w:ascii="Times New Roman Regular" w:hAnsi="Times New Roman Regular" w:eastAsia="宋体" w:cs="Times New Roman Regular"/>
          <w:color w:val="auto"/>
          <w:sz w:val="28"/>
          <w:szCs w:val="28"/>
          <w:highlight w:val="none"/>
          <w:lang w:val="en-US"/>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回采工艺及采场工程布置图</w:t>
      </w:r>
      <w:r>
        <w:rPr>
          <w:rFonts w:hint="eastAsia" w:ascii="Times New Roman Regular" w:hAnsi="Times New Roman Regular" w:eastAsia="宋体" w:cs="Times New Roman Regular"/>
          <w:color w:val="auto"/>
          <w:sz w:val="28"/>
          <w:szCs w:val="28"/>
          <w:highlight w:val="none"/>
          <w:lang w:val="en-US" w:eastAsia="zh-CN"/>
        </w:rPr>
        <w:t>；</w:t>
      </w:r>
    </w:p>
    <w:p w14:paraId="4E500A0F">
      <w:pPr>
        <w:snapToGrid w:val="0"/>
        <w:spacing w:line="500" w:lineRule="exact"/>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炮孔布置图</w:t>
      </w:r>
      <w:r>
        <w:rPr>
          <w:rFonts w:hint="eastAsia" w:ascii="Times New Roman Regular" w:hAnsi="Times New Roman Regular" w:eastAsia="宋体" w:cs="Times New Roman Regular"/>
          <w:color w:val="auto"/>
          <w:sz w:val="28"/>
          <w:szCs w:val="28"/>
          <w:highlight w:val="none"/>
          <w:lang w:val="en-US" w:eastAsia="zh-CN"/>
        </w:rPr>
        <w:t>。</w:t>
      </w:r>
    </w:p>
    <w:sectPr>
      <w:headerReference r:id="rId3" w:type="default"/>
      <w:footerReference r:id="rId4"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0"/>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
    <w:altName w:val="仿宋-简"/>
    <w:panose1 w:val="02010609060101010101"/>
    <w:charset w:val="86"/>
    <w:family w:val="modern"/>
    <w:pitch w:val="default"/>
    <w:sig w:usb0="00000000" w:usb1="00000000" w:usb2="00000016" w:usb3="00000000" w:csb0="00040001" w:csb1="00000000"/>
  </w:font>
  <w:font w:name="方正仿宋_GBK">
    <w:altName w:val="仿宋-简"/>
    <w:panose1 w:val="02000000000000000000"/>
    <w:charset w:val="86"/>
    <w:family w:val="auto"/>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PingFang SC">
    <w:panose1 w:val="020B0400000000000000"/>
    <w:charset w:val="86"/>
    <w:family w:val="auto"/>
    <w:pitch w:val="default"/>
    <w:sig w:usb0="A00002FF" w:usb1="7ACFFDFB" w:usb2="00000017"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简">
    <w:panose1 w:val="02010609060101010101"/>
    <w:charset w:val="86"/>
    <w:family w:val="auto"/>
    <w:pitch w:val="default"/>
    <w:sig w:usb0="A00002BF" w:usb1="3ACF7CFA" w:usb2="00000016" w:usb3="00000000" w:csb0="00040001" w:csb1="00000000"/>
  </w:font>
  <w:font w:name="Tahoma">
    <w:panose1 w:val="020B0604030504040204"/>
    <w:charset w:val="00"/>
    <w:family w:val="auto"/>
    <w:pitch w:val="default"/>
    <w:sig w:usb0="E1002AFF" w:usb1="C000605B" w:usb2="00000029" w:usb3="00000000" w:csb0="200101FF" w:csb1="2028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5F6">
    <w:pPr>
      <w:pBdr>
        <w:top w:val="single" w:color="auto" w:sz="4" w:space="1"/>
        <w:left w:val="none" w:color="000000" w:sz="0" w:space="0"/>
        <w:bottom w:val="none" w:color="000000" w:sz="0" w:space="0"/>
        <w:right w:val="none" w:color="000000" w:sz="0" w:space="0"/>
      </w:pBdr>
      <w:tabs>
        <w:tab w:val="center" w:pos="4153"/>
        <w:tab w:val="right" w:pos="8306"/>
      </w:tabs>
      <w:snapToGrid w:val="0"/>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CCF8206">
                          <w:pPr>
                            <w:pStyle w:val="9"/>
                          </w:pPr>
                          <w:r>
                            <w:fldChar w:fldCharType="begin"/>
                          </w:r>
                          <w:r>
                            <w:instrText xml:space="preserve"> PAGE  \* MERGEFORMAT </w:instrText>
                          </w:r>
                          <w:r>
                            <w:fldChar w:fldCharType="separate"/>
                          </w:r>
                          <w:r>
                            <w:t>4</w:t>
                          </w:r>
                          <w:r>
                            <w:fldChar w:fldCharType="end"/>
                          </w:r>
                        </w:p>
                      </w:txbxContent>
                    </wps:txbx>
                    <wps:bodyPr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D7NAOPXAQAAswMAAA4AAAAAAAAAAQAgAAAA&#10;HgEAAGRycy9lMm9Eb2MueG1sUEsFBgAAAAAGAAYAWQEAAGcFAAAAAA==&#10;">
              <v:fill on="f" focussize="0,0"/>
              <v:stroke on="f"/>
              <v:imagedata o:title=""/>
              <o:lock v:ext="edit" aspectratio="f"/>
              <v:textbox inset="0mm,0mm,0mm,0mm" style="mso-fit-shape-to-text:t;">
                <w:txbxContent>
                  <w:p w14:paraId="4CCF8206">
                    <w:pPr>
                      <w:pStyle w:val="9"/>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rPr>
      <w:drawing>
        <wp:inline distT="0" distB="0" distL="114300" distR="114300">
          <wp:extent cx="361315" cy="136525"/>
          <wp:effectExtent l="0" t="0" r="0" b="15875"/>
          <wp:docPr id="13"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rPr>
      <w:t>辽宁诺诚安全科技有限公司</w:t>
    </w:r>
  </w:p>
  <w:p w14:paraId="3B801B6F">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E8A2">
    <w:pPr>
      <w:pStyle w:val="10"/>
      <w:pBdr>
        <w:bottom w:val="single" w:color="auto" w:sz="4" w:space="1"/>
      </w:pBdr>
      <w:jc w:val="center"/>
    </w:pPr>
    <w:r>
      <w:rPr>
        <w:rFonts w:hint="eastAsia" w:ascii="宋体" w:hAnsi="宋体"/>
        <w:szCs w:val="28"/>
      </w:rPr>
      <w:t>本溪星光硅质原料有限公司（玻璃用石英岩矿）露天开采建设项目</w:t>
    </w:r>
    <w:r>
      <w:rPr>
        <w:rFonts w:hint="eastAsia"/>
      </w:rPr>
      <w:t>安全设施验收评价报告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C13A9"/>
    <w:multiLevelType w:val="singleLevel"/>
    <w:tmpl w:val="AFDC13A9"/>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
    <w:nsid w:val="B6F6F5D0"/>
    <w:multiLevelType w:val="singleLevel"/>
    <w:tmpl w:val="B6F6F5D0"/>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2">
    <w:nsid w:val="B7FEC0B5"/>
    <w:multiLevelType w:val="singleLevel"/>
    <w:tmpl w:val="B7FEC0B5"/>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3">
    <w:nsid w:val="D79E00A3"/>
    <w:multiLevelType w:val="singleLevel"/>
    <w:tmpl w:val="D79E00A3"/>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4">
    <w:nsid w:val="D7CE638A"/>
    <w:multiLevelType w:val="singleLevel"/>
    <w:tmpl w:val="D7CE638A"/>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5">
    <w:nsid w:val="DDAF8AF5"/>
    <w:multiLevelType w:val="singleLevel"/>
    <w:tmpl w:val="DDAF8AF5"/>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6">
    <w:nsid w:val="DDBEE112"/>
    <w:multiLevelType w:val="singleLevel"/>
    <w:tmpl w:val="DDBEE112"/>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7">
    <w:nsid w:val="DDEEA0A2"/>
    <w:multiLevelType w:val="singleLevel"/>
    <w:tmpl w:val="DDEEA0A2"/>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8">
    <w:nsid w:val="E7FEE641"/>
    <w:multiLevelType w:val="singleLevel"/>
    <w:tmpl w:val="E7FEE641"/>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9">
    <w:nsid w:val="F155048B"/>
    <w:multiLevelType w:val="singleLevel"/>
    <w:tmpl w:val="F155048B"/>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0">
    <w:nsid w:val="F7EA9DDF"/>
    <w:multiLevelType w:val="singleLevel"/>
    <w:tmpl w:val="F7EA9DDF"/>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1">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pStyle w:val="5"/>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2">
    <w:nsid w:val="0FFD0181"/>
    <w:multiLevelType w:val="singleLevel"/>
    <w:tmpl w:val="0FFD0181"/>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3">
    <w:nsid w:val="1F7C6D8C"/>
    <w:multiLevelType w:val="singleLevel"/>
    <w:tmpl w:val="1F7C6D8C"/>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abstractNum w:abstractNumId="14">
    <w:nsid w:val="377F1049"/>
    <w:multiLevelType w:val="singleLevel"/>
    <w:tmpl w:val="377F1049"/>
    <w:lvl w:ilvl="0" w:tentative="0">
      <w:start w:val="1"/>
      <w:numFmt w:val="decimal"/>
      <w:lvlText w:val="(%1)"/>
      <w:lvlJc w:val="left"/>
      <w:pPr>
        <w:ind w:left="425" w:hanging="425"/>
      </w:pPr>
      <w:rPr>
        <w:rFonts w:hint="default"/>
      </w:rPr>
    </w:lvl>
  </w:abstractNum>
  <w:abstractNum w:abstractNumId="15">
    <w:nsid w:val="77BA6D33"/>
    <w:multiLevelType w:val="singleLevel"/>
    <w:tmpl w:val="77BA6D33"/>
    <w:lvl w:ilvl="0" w:tentative="0">
      <w:start w:val="1"/>
      <w:numFmt w:val="decimal"/>
      <w:suff w:val="nothing"/>
      <w:lvlText w:val="%1"/>
      <w:lvlJc w:val="left"/>
      <w:pPr>
        <w:tabs>
          <w:tab w:val="left" w:pos="0"/>
        </w:tabs>
        <w:ind w:left="0" w:firstLine="0"/>
      </w:pPr>
      <w:rPr>
        <w:rFonts w:hint="default" w:ascii="Times New Roman Regular" w:hAnsi="Times New Roman Regular" w:cs="Times New Roman Regular"/>
      </w:rPr>
    </w:lvl>
  </w:abstractNum>
  <w:num w:numId="1">
    <w:abstractNumId w:val="11"/>
  </w:num>
  <w:num w:numId="2">
    <w:abstractNumId w:val="4"/>
  </w:num>
  <w:num w:numId="3">
    <w:abstractNumId w:val="6"/>
  </w:num>
  <w:num w:numId="4">
    <w:abstractNumId w:val="10"/>
  </w:num>
  <w:num w:numId="5">
    <w:abstractNumId w:val="13"/>
  </w:num>
  <w:num w:numId="6">
    <w:abstractNumId w:val="3"/>
  </w:num>
  <w:num w:numId="7">
    <w:abstractNumId w:val="9"/>
  </w:num>
  <w:num w:numId="8">
    <w:abstractNumId w:val="1"/>
  </w:num>
  <w:num w:numId="9">
    <w:abstractNumId w:val="0"/>
  </w:num>
  <w:num w:numId="10">
    <w:abstractNumId w:val="7"/>
  </w:num>
  <w:num w:numId="11">
    <w:abstractNumId w:val="12"/>
  </w:num>
  <w:num w:numId="12">
    <w:abstractNumId w:val="15"/>
  </w:num>
  <w:num w:numId="13">
    <w:abstractNumId w:val="5"/>
  </w:num>
  <w:num w:numId="14">
    <w:abstractNumId w:val="2"/>
  </w:num>
  <w:num w:numId="15">
    <w:abstractNumId w:val="8"/>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ODljNmZmMDZjMjI1YjA2Yjk2M2IwYjkyOTYzMWQifQ=="/>
  </w:docVars>
  <w:rsids>
    <w:rsidRoot w:val="006C4677"/>
    <w:rsid w:val="00216108"/>
    <w:rsid w:val="00297590"/>
    <w:rsid w:val="006155F9"/>
    <w:rsid w:val="006C4677"/>
    <w:rsid w:val="006D7959"/>
    <w:rsid w:val="007965B0"/>
    <w:rsid w:val="00B0240A"/>
    <w:rsid w:val="00DB0F9F"/>
    <w:rsid w:val="01001B5E"/>
    <w:rsid w:val="017A08D8"/>
    <w:rsid w:val="0189027E"/>
    <w:rsid w:val="01922F11"/>
    <w:rsid w:val="01E647F9"/>
    <w:rsid w:val="022F0ECA"/>
    <w:rsid w:val="025E6589"/>
    <w:rsid w:val="028C7F09"/>
    <w:rsid w:val="029F53A6"/>
    <w:rsid w:val="02A82A26"/>
    <w:rsid w:val="02F342AC"/>
    <w:rsid w:val="0333773A"/>
    <w:rsid w:val="036F4D79"/>
    <w:rsid w:val="03BB17E3"/>
    <w:rsid w:val="03EA43FF"/>
    <w:rsid w:val="0455562B"/>
    <w:rsid w:val="049727D9"/>
    <w:rsid w:val="064F3647"/>
    <w:rsid w:val="0677091A"/>
    <w:rsid w:val="06DD1708"/>
    <w:rsid w:val="071D4AEC"/>
    <w:rsid w:val="075A5915"/>
    <w:rsid w:val="0764271A"/>
    <w:rsid w:val="07663989"/>
    <w:rsid w:val="078B1598"/>
    <w:rsid w:val="08125054"/>
    <w:rsid w:val="0841303F"/>
    <w:rsid w:val="08935065"/>
    <w:rsid w:val="08DA2C94"/>
    <w:rsid w:val="08E304A9"/>
    <w:rsid w:val="08F24482"/>
    <w:rsid w:val="093A0467"/>
    <w:rsid w:val="096D1B04"/>
    <w:rsid w:val="09CD27F9"/>
    <w:rsid w:val="0ABC5CC2"/>
    <w:rsid w:val="0B1311D4"/>
    <w:rsid w:val="0B8A14FE"/>
    <w:rsid w:val="0BB32E14"/>
    <w:rsid w:val="0BD653D1"/>
    <w:rsid w:val="0BF547BF"/>
    <w:rsid w:val="0BF55C55"/>
    <w:rsid w:val="0C6E3648"/>
    <w:rsid w:val="0CE04879"/>
    <w:rsid w:val="0D75536F"/>
    <w:rsid w:val="0E023630"/>
    <w:rsid w:val="0E0E7846"/>
    <w:rsid w:val="0ED31F6D"/>
    <w:rsid w:val="0F284331"/>
    <w:rsid w:val="0F646DB7"/>
    <w:rsid w:val="0F9067A2"/>
    <w:rsid w:val="0F9D3360"/>
    <w:rsid w:val="11287656"/>
    <w:rsid w:val="11366ED6"/>
    <w:rsid w:val="11A80F8D"/>
    <w:rsid w:val="11AE62E6"/>
    <w:rsid w:val="123476D9"/>
    <w:rsid w:val="125E1406"/>
    <w:rsid w:val="12960941"/>
    <w:rsid w:val="12F552B2"/>
    <w:rsid w:val="13197383"/>
    <w:rsid w:val="133A5989"/>
    <w:rsid w:val="13503AE2"/>
    <w:rsid w:val="144274A8"/>
    <w:rsid w:val="14927045"/>
    <w:rsid w:val="14A63D74"/>
    <w:rsid w:val="14DF082A"/>
    <w:rsid w:val="14EB1705"/>
    <w:rsid w:val="14F30E2B"/>
    <w:rsid w:val="14F97A8F"/>
    <w:rsid w:val="158A56F8"/>
    <w:rsid w:val="15AF2D18"/>
    <w:rsid w:val="15B074DA"/>
    <w:rsid w:val="15CC6A85"/>
    <w:rsid w:val="15FA6E84"/>
    <w:rsid w:val="160B30AA"/>
    <w:rsid w:val="16481179"/>
    <w:rsid w:val="1686445B"/>
    <w:rsid w:val="16A158ED"/>
    <w:rsid w:val="16AB5261"/>
    <w:rsid w:val="16C51832"/>
    <w:rsid w:val="17052AB3"/>
    <w:rsid w:val="17822D57"/>
    <w:rsid w:val="17BFADB8"/>
    <w:rsid w:val="17F17890"/>
    <w:rsid w:val="18150414"/>
    <w:rsid w:val="181D3A42"/>
    <w:rsid w:val="18903CAB"/>
    <w:rsid w:val="18AE3FE9"/>
    <w:rsid w:val="195C6C9D"/>
    <w:rsid w:val="19B673B1"/>
    <w:rsid w:val="19E31EED"/>
    <w:rsid w:val="19E424E4"/>
    <w:rsid w:val="1A1C0AE5"/>
    <w:rsid w:val="1A31181B"/>
    <w:rsid w:val="1A3A0A9D"/>
    <w:rsid w:val="1A8011C2"/>
    <w:rsid w:val="1AE05FCF"/>
    <w:rsid w:val="1B0C23A3"/>
    <w:rsid w:val="1B1900C2"/>
    <w:rsid w:val="1B4D72F6"/>
    <w:rsid w:val="1B9300D7"/>
    <w:rsid w:val="1BB47375"/>
    <w:rsid w:val="1BFA0945"/>
    <w:rsid w:val="1C266B4D"/>
    <w:rsid w:val="1C4E19E1"/>
    <w:rsid w:val="1C651C82"/>
    <w:rsid w:val="1C6F68EF"/>
    <w:rsid w:val="1CD441F2"/>
    <w:rsid w:val="1D284ADA"/>
    <w:rsid w:val="1D4200C7"/>
    <w:rsid w:val="1D4C40DE"/>
    <w:rsid w:val="1D4D46B4"/>
    <w:rsid w:val="1D7514F7"/>
    <w:rsid w:val="1DD6275A"/>
    <w:rsid w:val="1DEB2150"/>
    <w:rsid w:val="1DF951D0"/>
    <w:rsid w:val="1E937097"/>
    <w:rsid w:val="1EA50D59"/>
    <w:rsid w:val="1EC04CF7"/>
    <w:rsid w:val="1ED5D145"/>
    <w:rsid w:val="1EE61E60"/>
    <w:rsid w:val="1EEC41F6"/>
    <w:rsid w:val="1F0A295D"/>
    <w:rsid w:val="1F0C54A8"/>
    <w:rsid w:val="1F9F39DB"/>
    <w:rsid w:val="1FCD6C57"/>
    <w:rsid w:val="20083B91"/>
    <w:rsid w:val="20611216"/>
    <w:rsid w:val="20634936"/>
    <w:rsid w:val="20F70E96"/>
    <w:rsid w:val="225C2514"/>
    <w:rsid w:val="22612C98"/>
    <w:rsid w:val="22D24D9C"/>
    <w:rsid w:val="22D82791"/>
    <w:rsid w:val="23402746"/>
    <w:rsid w:val="23716BCD"/>
    <w:rsid w:val="237A5348"/>
    <w:rsid w:val="23C158FA"/>
    <w:rsid w:val="23D64EBA"/>
    <w:rsid w:val="23ED140E"/>
    <w:rsid w:val="24057C50"/>
    <w:rsid w:val="25603EED"/>
    <w:rsid w:val="257537F7"/>
    <w:rsid w:val="25975A27"/>
    <w:rsid w:val="25E90563"/>
    <w:rsid w:val="2602624C"/>
    <w:rsid w:val="260A783C"/>
    <w:rsid w:val="261C7E55"/>
    <w:rsid w:val="26705E20"/>
    <w:rsid w:val="267E41B4"/>
    <w:rsid w:val="26992EFC"/>
    <w:rsid w:val="26AA7631"/>
    <w:rsid w:val="26AE6331"/>
    <w:rsid w:val="26C23E6E"/>
    <w:rsid w:val="27142B25"/>
    <w:rsid w:val="271F34B9"/>
    <w:rsid w:val="27D96DCB"/>
    <w:rsid w:val="284B3C34"/>
    <w:rsid w:val="285E282E"/>
    <w:rsid w:val="286A1747"/>
    <w:rsid w:val="28791C83"/>
    <w:rsid w:val="28C92F8A"/>
    <w:rsid w:val="28D9448E"/>
    <w:rsid w:val="29026D25"/>
    <w:rsid w:val="296770A5"/>
    <w:rsid w:val="29AA34D7"/>
    <w:rsid w:val="29E873BB"/>
    <w:rsid w:val="29F42597"/>
    <w:rsid w:val="2A896CB1"/>
    <w:rsid w:val="2A96771B"/>
    <w:rsid w:val="2AB90504"/>
    <w:rsid w:val="2ABF3794"/>
    <w:rsid w:val="2B1A4DBB"/>
    <w:rsid w:val="2B1B10B7"/>
    <w:rsid w:val="2B9608D4"/>
    <w:rsid w:val="2BA25B20"/>
    <w:rsid w:val="2BFEA5B5"/>
    <w:rsid w:val="2C8114F5"/>
    <w:rsid w:val="2D573BCE"/>
    <w:rsid w:val="2DA600E5"/>
    <w:rsid w:val="2DB815CA"/>
    <w:rsid w:val="2DDD432C"/>
    <w:rsid w:val="2DFE513E"/>
    <w:rsid w:val="2E0221C2"/>
    <w:rsid w:val="2E865B3B"/>
    <w:rsid w:val="2EB62660"/>
    <w:rsid w:val="2EEB47D5"/>
    <w:rsid w:val="2F56527B"/>
    <w:rsid w:val="2F5C0D20"/>
    <w:rsid w:val="2F921202"/>
    <w:rsid w:val="2FFE3A4B"/>
    <w:rsid w:val="30EB1EB0"/>
    <w:rsid w:val="31036D23"/>
    <w:rsid w:val="3107274E"/>
    <w:rsid w:val="315F792B"/>
    <w:rsid w:val="31613D60"/>
    <w:rsid w:val="318B2AE2"/>
    <w:rsid w:val="318B71BE"/>
    <w:rsid w:val="31E75B54"/>
    <w:rsid w:val="322F7E08"/>
    <w:rsid w:val="324515F1"/>
    <w:rsid w:val="327318E0"/>
    <w:rsid w:val="32AC2960"/>
    <w:rsid w:val="336A0240"/>
    <w:rsid w:val="33CF4883"/>
    <w:rsid w:val="33EC30E5"/>
    <w:rsid w:val="34A410F6"/>
    <w:rsid w:val="34F44C19"/>
    <w:rsid w:val="351F7AFD"/>
    <w:rsid w:val="353E11C7"/>
    <w:rsid w:val="358B2B82"/>
    <w:rsid w:val="35CE3680"/>
    <w:rsid w:val="36260A17"/>
    <w:rsid w:val="36554AE1"/>
    <w:rsid w:val="36586794"/>
    <w:rsid w:val="367F3685"/>
    <w:rsid w:val="36F744C4"/>
    <w:rsid w:val="372E4BCB"/>
    <w:rsid w:val="3796084F"/>
    <w:rsid w:val="37C971E1"/>
    <w:rsid w:val="3813768A"/>
    <w:rsid w:val="381476C1"/>
    <w:rsid w:val="382749B1"/>
    <w:rsid w:val="384A4956"/>
    <w:rsid w:val="39116CC3"/>
    <w:rsid w:val="391843BD"/>
    <w:rsid w:val="395E9150"/>
    <w:rsid w:val="3A2175DD"/>
    <w:rsid w:val="3A37633D"/>
    <w:rsid w:val="3A3909FC"/>
    <w:rsid w:val="3ABB0ACE"/>
    <w:rsid w:val="3AE66D7E"/>
    <w:rsid w:val="3AF53A70"/>
    <w:rsid w:val="3B7BBA2E"/>
    <w:rsid w:val="3B9F19E5"/>
    <w:rsid w:val="3BF3FD85"/>
    <w:rsid w:val="3C122E3A"/>
    <w:rsid w:val="3C5A766D"/>
    <w:rsid w:val="3C5E5292"/>
    <w:rsid w:val="3CAF79B9"/>
    <w:rsid w:val="3CBF7F6D"/>
    <w:rsid w:val="3CCE1DC0"/>
    <w:rsid w:val="3CF80B2B"/>
    <w:rsid w:val="3D2C012D"/>
    <w:rsid w:val="3D64415A"/>
    <w:rsid w:val="3D6647D3"/>
    <w:rsid w:val="3D6B60BB"/>
    <w:rsid w:val="3D6D517E"/>
    <w:rsid w:val="3D7931DD"/>
    <w:rsid w:val="3D7FC870"/>
    <w:rsid w:val="3DB73559"/>
    <w:rsid w:val="3DC806BF"/>
    <w:rsid w:val="3DEFEA31"/>
    <w:rsid w:val="3E0F5967"/>
    <w:rsid w:val="3E1D613B"/>
    <w:rsid w:val="3E210C58"/>
    <w:rsid w:val="3E6F7908"/>
    <w:rsid w:val="3E925A00"/>
    <w:rsid w:val="3ECE7986"/>
    <w:rsid w:val="3EF14B6E"/>
    <w:rsid w:val="3F37BFEC"/>
    <w:rsid w:val="3F3E0261"/>
    <w:rsid w:val="3F400613"/>
    <w:rsid w:val="3F5E61F1"/>
    <w:rsid w:val="3F5F4D54"/>
    <w:rsid w:val="3F970D0B"/>
    <w:rsid w:val="3FAE21A9"/>
    <w:rsid w:val="3FDC4F98"/>
    <w:rsid w:val="3FF80017"/>
    <w:rsid w:val="3FFCC519"/>
    <w:rsid w:val="4029149F"/>
    <w:rsid w:val="403F39C6"/>
    <w:rsid w:val="406C20F8"/>
    <w:rsid w:val="406E7B8B"/>
    <w:rsid w:val="40B36C5D"/>
    <w:rsid w:val="41FF7927"/>
    <w:rsid w:val="4236590A"/>
    <w:rsid w:val="424478FA"/>
    <w:rsid w:val="42755200"/>
    <w:rsid w:val="429B2AAA"/>
    <w:rsid w:val="42AE24C0"/>
    <w:rsid w:val="42BB688A"/>
    <w:rsid w:val="44143410"/>
    <w:rsid w:val="445A48D8"/>
    <w:rsid w:val="44730168"/>
    <w:rsid w:val="447D21A2"/>
    <w:rsid w:val="448F6DA2"/>
    <w:rsid w:val="44C456B5"/>
    <w:rsid w:val="44EA41C0"/>
    <w:rsid w:val="44FA4902"/>
    <w:rsid w:val="45410B19"/>
    <w:rsid w:val="45930358"/>
    <w:rsid w:val="45F27376"/>
    <w:rsid w:val="45F46273"/>
    <w:rsid w:val="461F3847"/>
    <w:rsid w:val="4651096A"/>
    <w:rsid w:val="4657234D"/>
    <w:rsid w:val="469C746C"/>
    <w:rsid w:val="46C2478C"/>
    <w:rsid w:val="476303C4"/>
    <w:rsid w:val="4A496B89"/>
    <w:rsid w:val="4ABD5F51"/>
    <w:rsid w:val="4AC5484B"/>
    <w:rsid w:val="4AEF1454"/>
    <w:rsid w:val="4B102A00"/>
    <w:rsid w:val="4B424363"/>
    <w:rsid w:val="4B512F57"/>
    <w:rsid w:val="4B864AA8"/>
    <w:rsid w:val="4B9C0B86"/>
    <w:rsid w:val="4BA23F96"/>
    <w:rsid w:val="4BA94154"/>
    <w:rsid w:val="4BC44511"/>
    <w:rsid w:val="4C3468FE"/>
    <w:rsid w:val="4C413C64"/>
    <w:rsid w:val="4C6D023D"/>
    <w:rsid w:val="4C7A59F3"/>
    <w:rsid w:val="4C86492D"/>
    <w:rsid w:val="4C9A4A62"/>
    <w:rsid w:val="4C9B3AB5"/>
    <w:rsid w:val="4CBA1C35"/>
    <w:rsid w:val="4D08244C"/>
    <w:rsid w:val="4D175819"/>
    <w:rsid w:val="4D49697D"/>
    <w:rsid w:val="4DB13914"/>
    <w:rsid w:val="4DE979A7"/>
    <w:rsid w:val="4E1B3100"/>
    <w:rsid w:val="4E263FEB"/>
    <w:rsid w:val="4E717EDB"/>
    <w:rsid w:val="4EC22FDB"/>
    <w:rsid w:val="4ED22FCE"/>
    <w:rsid w:val="4F587392"/>
    <w:rsid w:val="4F705894"/>
    <w:rsid w:val="4F711193"/>
    <w:rsid w:val="4F8C289D"/>
    <w:rsid w:val="4FAB0C4B"/>
    <w:rsid w:val="50DC432B"/>
    <w:rsid w:val="50DD15F3"/>
    <w:rsid w:val="51152674"/>
    <w:rsid w:val="512F0176"/>
    <w:rsid w:val="51772672"/>
    <w:rsid w:val="521E1A19"/>
    <w:rsid w:val="527564F8"/>
    <w:rsid w:val="52A24BBC"/>
    <w:rsid w:val="53BC5DC5"/>
    <w:rsid w:val="53D03F8C"/>
    <w:rsid w:val="54106644"/>
    <w:rsid w:val="54305667"/>
    <w:rsid w:val="54785C22"/>
    <w:rsid w:val="549A3407"/>
    <w:rsid w:val="54C02651"/>
    <w:rsid w:val="54C3004D"/>
    <w:rsid w:val="54D03085"/>
    <w:rsid w:val="54DE30F3"/>
    <w:rsid w:val="54EF396B"/>
    <w:rsid w:val="54FE654D"/>
    <w:rsid w:val="559612BE"/>
    <w:rsid w:val="56CB08C0"/>
    <w:rsid w:val="570A0313"/>
    <w:rsid w:val="572755FA"/>
    <w:rsid w:val="573808CC"/>
    <w:rsid w:val="583918E7"/>
    <w:rsid w:val="58627AA0"/>
    <w:rsid w:val="58655677"/>
    <w:rsid w:val="5870652C"/>
    <w:rsid w:val="58E6172A"/>
    <w:rsid w:val="59034EBC"/>
    <w:rsid w:val="596A75AC"/>
    <w:rsid w:val="599E28E8"/>
    <w:rsid w:val="59A37FFC"/>
    <w:rsid w:val="59B34428"/>
    <w:rsid w:val="5A214039"/>
    <w:rsid w:val="5A7B3844"/>
    <w:rsid w:val="5ADD1D2B"/>
    <w:rsid w:val="5B1A65A9"/>
    <w:rsid w:val="5B287541"/>
    <w:rsid w:val="5B3F487C"/>
    <w:rsid w:val="5B5FCE6C"/>
    <w:rsid w:val="5B7C52C3"/>
    <w:rsid w:val="5BB86E12"/>
    <w:rsid w:val="5BBD129A"/>
    <w:rsid w:val="5BD33941"/>
    <w:rsid w:val="5BE0347B"/>
    <w:rsid w:val="5BE70AC5"/>
    <w:rsid w:val="5C276FF2"/>
    <w:rsid w:val="5C2B0833"/>
    <w:rsid w:val="5C9246E2"/>
    <w:rsid w:val="5CC04DB0"/>
    <w:rsid w:val="5D1C6EE7"/>
    <w:rsid w:val="5DDF09F3"/>
    <w:rsid w:val="5DEF02B7"/>
    <w:rsid w:val="5DFED8CC"/>
    <w:rsid w:val="5E042F60"/>
    <w:rsid w:val="5E33647B"/>
    <w:rsid w:val="5E5024B1"/>
    <w:rsid w:val="5F281DF9"/>
    <w:rsid w:val="60A32942"/>
    <w:rsid w:val="6126423F"/>
    <w:rsid w:val="61414BDD"/>
    <w:rsid w:val="61D61574"/>
    <w:rsid w:val="623B0C51"/>
    <w:rsid w:val="6338369F"/>
    <w:rsid w:val="63847A21"/>
    <w:rsid w:val="63C05D5D"/>
    <w:rsid w:val="63D6580C"/>
    <w:rsid w:val="640730D3"/>
    <w:rsid w:val="642D0BA5"/>
    <w:rsid w:val="64373C6C"/>
    <w:rsid w:val="646D2B6C"/>
    <w:rsid w:val="647C0EDF"/>
    <w:rsid w:val="64A22A14"/>
    <w:rsid w:val="64FE0F2B"/>
    <w:rsid w:val="65566374"/>
    <w:rsid w:val="65982E30"/>
    <w:rsid w:val="65E544AC"/>
    <w:rsid w:val="660123EB"/>
    <w:rsid w:val="666220EC"/>
    <w:rsid w:val="667F2AF6"/>
    <w:rsid w:val="66934D57"/>
    <w:rsid w:val="669A6948"/>
    <w:rsid w:val="66EA796E"/>
    <w:rsid w:val="6727453F"/>
    <w:rsid w:val="67312331"/>
    <w:rsid w:val="67630DA0"/>
    <w:rsid w:val="677F7E04"/>
    <w:rsid w:val="67B76FC5"/>
    <w:rsid w:val="67FFC003"/>
    <w:rsid w:val="687165D8"/>
    <w:rsid w:val="68923EB0"/>
    <w:rsid w:val="68A05824"/>
    <w:rsid w:val="68DC1D13"/>
    <w:rsid w:val="69845FCA"/>
    <w:rsid w:val="69BE0825"/>
    <w:rsid w:val="69DA7340"/>
    <w:rsid w:val="6A1F2798"/>
    <w:rsid w:val="6A2E14B8"/>
    <w:rsid w:val="6A355AC5"/>
    <w:rsid w:val="6A72034D"/>
    <w:rsid w:val="6AFF1F36"/>
    <w:rsid w:val="6B5F5372"/>
    <w:rsid w:val="6B67304C"/>
    <w:rsid w:val="6B810CE3"/>
    <w:rsid w:val="6BBC2CCB"/>
    <w:rsid w:val="6C2E529B"/>
    <w:rsid w:val="6C5A21CA"/>
    <w:rsid w:val="6C6C1AA2"/>
    <w:rsid w:val="6CA10C42"/>
    <w:rsid w:val="6CA32F55"/>
    <w:rsid w:val="6D114FA8"/>
    <w:rsid w:val="6D1E1E6D"/>
    <w:rsid w:val="6D53301E"/>
    <w:rsid w:val="6DC65091"/>
    <w:rsid w:val="6DE210EC"/>
    <w:rsid w:val="6E283B85"/>
    <w:rsid w:val="6E3C24F4"/>
    <w:rsid w:val="6E6FA048"/>
    <w:rsid w:val="6EC31A71"/>
    <w:rsid w:val="6F0370AB"/>
    <w:rsid w:val="6F066BC0"/>
    <w:rsid w:val="6F1F174B"/>
    <w:rsid w:val="6F4F69CA"/>
    <w:rsid w:val="6F582C19"/>
    <w:rsid w:val="6F780BD4"/>
    <w:rsid w:val="6FD64C81"/>
    <w:rsid w:val="6FE95C1F"/>
    <w:rsid w:val="6FFE7B2F"/>
    <w:rsid w:val="6FFF334D"/>
    <w:rsid w:val="703F66AC"/>
    <w:rsid w:val="7047527A"/>
    <w:rsid w:val="70A166FF"/>
    <w:rsid w:val="70BA4ED8"/>
    <w:rsid w:val="70C73077"/>
    <w:rsid w:val="70D43B68"/>
    <w:rsid w:val="70E30808"/>
    <w:rsid w:val="70EC3A8C"/>
    <w:rsid w:val="710C729B"/>
    <w:rsid w:val="712D2E80"/>
    <w:rsid w:val="71625E4F"/>
    <w:rsid w:val="71A25330"/>
    <w:rsid w:val="71A52970"/>
    <w:rsid w:val="71CA2BC1"/>
    <w:rsid w:val="72774014"/>
    <w:rsid w:val="729329B5"/>
    <w:rsid w:val="729F1529"/>
    <w:rsid w:val="72BF01D1"/>
    <w:rsid w:val="72DE0E6E"/>
    <w:rsid w:val="72DE6D10"/>
    <w:rsid w:val="7301400E"/>
    <w:rsid w:val="731D6723"/>
    <w:rsid w:val="73280CCD"/>
    <w:rsid w:val="73AC64BF"/>
    <w:rsid w:val="743E3F7B"/>
    <w:rsid w:val="74935B2A"/>
    <w:rsid w:val="74D0554E"/>
    <w:rsid w:val="75217819"/>
    <w:rsid w:val="75B635F5"/>
    <w:rsid w:val="75C54221"/>
    <w:rsid w:val="75CF5E6C"/>
    <w:rsid w:val="75D73A7B"/>
    <w:rsid w:val="761D720D"/>
    <w:rsid w:val="769B5C6C"/>
    <w:rsid w:val="76B84CB2"/>
    <w:rsid w:val="76C74A95"/>
    <w:rsid w:val="76E01F41"/>
    <w:rsid w:val="76FF6E6C"/>
    <w:rsid w:val="77406424"/>
    <w:rsid w:val="774B1E11"/>
    <w:rsid w:val="7779522D"/>
    <w:rsid w:val="7795175E"/>
    <w:rsid w:val="77AE06D7"/>
    <w:rsid w:val="77BFDC8B"/>
    <w:rsid w:val="77EF5130"/>
    <w:rsid w:val="77FD3280"/>
    <w:rsid w:val="77FFB995"/>
    <w:rsid w:val="785A16B6"/>
    <w:rsid w:val="785A6E3C"/>
    <w:rsid w:val="78685D53"/>
    <w:rsid w:val="78810ADD"/>
    <w:rsid w:val="788A2CE1"/>
    <w:rsid w:val="788B5AA2"/>
    <w:rsid w:val="78AD248D"/>
    <w:rsid w:val="78DE0702"/>
    <w:rsid w:val="796D4705"/>
    <w:rsid w:val="79F24465"/>
    <w:rsid w:val="79FF73EF"/>
    <w:rsid w:val="7A08038F"/>
    <w:rsid w:val="7A122D74"/>
    <w:rsid w:val="7AFBF5C7"/>
    <w:rsid w:val="7B2FB396"/>
    <w:rsid w:val="7B7E6D3A"/>
    <w:rsid w:val="7B8A0112"/>
    <w:rsid w:val="7BAE2B0D"/>
    <w:rsid w:val="7BB73185"/>
    <w:rsid w:val="7BFF4F22"/>
    <w:rsid w:val="7BFF6F31"/>
    <w:rsid w:val="7C452B43"/>
    <w:rsid w:val="7C67553E"/>
    <w:rsid w:val="7CA968AE"/>
    <w:rsid w:val="7CD65B3E"/>
    <w:rsid w:val="7D4D5F01"/>
    <w:rsid w:val="7D853842"/>
    <w:rsid w:val="7DA2702F"/>
    <w:rsid w:val="7DA940DA"/>
    <w:rsid w:val="7E0EDDFC"/>
    <w:rsid w:val="7E1200BB"/>
    <w:rsid w:val="7E37B783"/>
    <w:rsid w:val="7E5F4547"/>
    <w:rsid w:val="7E94642C"/>
    <w:rsid w:val="7ED14F91"/>
    <w:rsid w:val="7EE23EEF"/>
    <w:rsid w:val="7EFE05D4"/>
    <w:rsid w:val="7EFFA4D3"/>
    <w:rsid w:val="7F187DBF"/>
    <w:rsid w:val="7F4A4D43"/>
    <w:rsid w:val="7F7F5047"/>
    <w:rsid w:val="7FA721F4"/>
    <w:rsid w:val="7FBF19CA"/>
    <w:rsid w:val="7FCF1906"/>
    <w:rsid w:val="7FD77D95"/>
    <w:rsid w:val="7FFDB601"/>
    <w:rsid w:val="7FFF057B"/>
    <w:rsid w:val="94FD9641"/>
    <w:rsid w:val="969BC1B2"/>
    <w:rsid w:val="97FBEDE6"/>
    <w:rsid w:val="996EED36"/>
    <w:rsid w:val="99EFBF8C"/>
    <w:rsid w:val="9BD32563"/>
    <w:rsid w:val="9CBBFF47"/>
    <w:rsid w:val="9FF31880"/>
    <w:rsid w:val="AD9A84B9"/>
    <w:rsid w:val="AECF4068"/>
    <w:rsid w:val="AEFBFDAE"/>
    <w:rsid w:val="AFD7A71A"/>
    <w:rsid w:val="B38789A1"/>
    <w:rsid w:val="B7E703BD"/>
    <w:rsid w:val="B7FB6DE8"/>
    <w:rsid w:val="BDBFA70A"/>
    <w:rsid w:val="BE7F88AF"/>
    <w:rsid w:val="BF9D801B"/>
    <w:rsid w:val="BFB7CCA2"/>
    <w:rsid w:val="C2EDA1A9"/>
    <w:rsid w:val="CBEF561A"/>
    <w:rsid w:val="D7FF0A53"/>
    <w:rsid w:val="DAB82933"/>
    <w:rsid w:val="DBEB5F6F"/>
    <w:rsid w:val="DCF3A35A"/>
    <w:rsid w:val="E761C74E"/>
    <w:rsid w:val="E7C4E2A8"/>
    <w:rsid w:val="E7DD874F"/>
    <w:rsid w:val="EC2DD73D"/>
    <w:rsid w:val="EDFCB8BA"/>
    <w:rsid w:val="EE778FC0"/>
    <w:rsid w:val="EEEF7737"/>
    <w:rsid w:val="EF76654A"/>
    <w:rsid w:val="EFFE04DF"/>
    <w:rsid w:val="F39B5E91"/>
    <w:rsid w:val="F3D7466E"/>
    <w:rsid w:val="F3FEE45E"/>
    <w:rsid w:val="F4AF5271"/>
    <w:rsid w:val="F5DFFA2A"/>
    <w:rsid w:val="F9F65F98"/>
    <w:rsid w:val="FAEEAD44"/>
    <w:rsid w:val="FB6FEC74"/>
    <w:rsid w:val="FBDE9F45"/>
    <w:rsid w:val="FD69F74F"/>
    <w:rsid w:val="FD9E738E"/>
    <w:rsid w:val="FD9FF569"/>
    <w:rsid w:val="FDDDF294"/>
    <w:rsid w:val="FEEF90FD"/>
    <w:rsid w:val="FEFD23F1"/>
    <w:rsid w:val="FF8F1BFA"/>
    <w:rsid w:val="FFBEDC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100" w:beforeAutospacing="1"/>
      <w:outlineLvl w:val="0"/>
    </w:pPr>
    <w:rPr>
      <w:rFonts w:ascii="Arial" w:hAnsi="Arial"/>
      <w:b/>
      <w:bCs/>
      <w:kern w:val="0"/>
      <w:sz w:val="32"/>
      <w:szCs w:val="44"/>
    </w:rPr>
  </w:style>
  <w:style w:type="paragraph" w:styleId="4">
    <w:name w:val="heading 2"/>
    <w:basedOn w:val="1"/>
    <w:next w:val="1"/>
    <w:qFormat/>
    <w:uiPriority w:val="0"/>
    <w:pPr>
      <w:keepNext/>
      <w:keepLines/>
      <w:numPr>
        <w:ilvl w:val="1"/>
        <w:numId w:val="1"/>
      </w:numPr>
      <w:spacing w:before="60" w:after="60" w:line="360" w:lineRule="auto"/>
      <w:outlineLvl w:val="1"/>
    </w:pPr>
    <w:rPr>
      <w:b/>
      <w:bCs/>
      <w:sz w:val="28"/>
      <w:szCs w:val="32"/>
    </w:rPr>
  </w:style>
  <w:style w:type="paragraph" w:styleId="5">
    <w:name w:val="heading 3"/>
    <w:basedOn w:val="1"/>
    <w:next w:val="1"/>
    <w:qFormat/>
    <w:uiPriority w:val="0"/>
    <w:pPr>
      <w:keepNext/>
      <w:keepLines/>
      <w:numPr>
        <w:ilvl w:val="2"/>
        <w:numId w:val="1"/>
      </w:numPr>
      <w:spacing w:before="60" w:after="60" w:line="360" w:lineRule="auto"/>
      <w:outlineLvl w:val="2"/>
    </w:pPr>
    <w:rPr>
      <w:b/>
      <w:color w:val="000000"/>
      <w:sz w:val="28"/>
      <w:szCs w:val="28"/>
    </w:rPr>
  </w:style>
  <w:style w:type="paragraph" w:styleId="6">
    <w:name w:val="heading 4"/>
    <w:basedOn w:val="1"/>
    <w:next w:val="1"/>
    <w:semiHidden/>
    <w:unhideWhenUsed/>
    <w:qFormat/>
    <w:uiPriority w:val="0"/>
    <w:pPr>
      <w:keepNext/>
      <w:keepLines/>
      <w:spacing w:before="280" w:after="290" w:line="372" w:lineRule="auto"/>
      <w:outlineLvl w:val="3"/>
    </w:pPr>
    <w:rPr>
      <w:rFonts w:ascii="Arial" w:hAnsi="Arial" w:eastAsia="黑体"/>
      <w:b/>
      <w:sz w:val="28"/>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2">
    <w:name w:val="Body Text First Indent 2"/>
    <w:basedOn w:val="1"/>
    <w:unhideWhenUsed/>
    <w:qFormat/>
    <w:uiPriority w:val="99"/>
    <w:pPr>
      <w:ind w:firstLine="200"/>
    </w:pPr>
    <w:rPr>
      <w:rFonts w:ascii="Times New Roman" w:hAnsi="Times New Roman" w:eastAsia="仿宋"/>
    </w:r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uiPriority w:val="0"/>
  </w:style>
  <w:style w:type="paragraph" w:styleId="12">
    <w:name w:val="table of figures"/>
    <w:basedOn w:val="1"/>
    <w:next w:val="1"/>
    <w:qFormat/>
    <w:uiPriority w:val="0"/>
    <w:pPr>
      <w:autoSpaceDE w:val="0"/>
      <w:autoSpaceDN w:val="0"/>
      <w:adjustRightInd w:val="0"/>
      <w:snapToGrid w:val="0"/>
      <w:spacing w:line="360" w:lineRule="auto"/>
      <w:ind w:left="200" w:leftChars="200" w:hanging="200" w:hangingChars="200"/>
    </w:pPr>
    <w:rPr>
      <w:spacing w:val="-2"/>
      <w:kern w:val="0"/>
      <w:sz w:val="28"/>
      <w:szCs w:val="20"/>
    </w:rPr>
  </w:style>
  <w:style w:type="paragraph" w:styleId="13">
    <w:name w:val="toc 2"/>
    <w:basedOn w:val="1"/>
    <w:next w:val="1"/>
    <w:qFormat/>
    <w:uiPriority w:val="0"/>
    <w:pPr>
      <w:ind w:left="420" w:left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表内容"/>
    <w:basedOn w:val="1"/>
    <w:qFormat/>
    <w:uiPriority w:val="0"/>
    <w:pPr>
      <w:widowControl/>
      <w:jc w:val="center"/>
    </w:pPr>
    <w:rPr>
      <w:rFonts w:ascii="仿宋_GB2312" w:hAnsi="仿宋_GB2312" w:eastAsia="仿宋_GB2312" w:cs="宋体"/>
      <w:kern w:val="0"/>
      <w:sz w:val="24"/>
    </w:rPr>
  </w:style>
  <w:style w:type="paragraph" w:customStyle="1" w:styleId="19">
    <w:name w:val="标正"/>
    <w:basedOn w:val="1"/>
    <w:qFormat/>
    <w:uiPriority w:val="0"/>
    <w:pPr>
      <w:spacing w:line="480" w:lineRule="exact"/>
      <w:ind w:firstLine="560" w:firstLineChars="200"/>
    </w:pPr>
    <w:rPr>
      <w:rFonts w:ascii="仿宋_GB2312" w:hAnsi="Times New Roman" w:eastAsia="仿宋_GB2312"/>
      <w:kern w:val="0"/>
      <w:sz w:val="28"/>
    </w:rPr>
  </w:style>
  <w:style w:type="paragraph" w:styleId="20">
    <w:name w:val="List Paragraph"/>
    <w:basedOn w:val="1"/>
    <w:qFormat/>
    <w:uiPriority w:val="1"/>
    <w:pPr>
      <w:spacing w:before="43"/>
      <w:ind w:left="952" w:hanging="841"/>
    </w:pPr>
    <w:rPr>
      <w:rFonts w:ascii="宋体" w:hAnsi="宋体" w:cs="宋体"/>
      <w:lang w:eastAsia="en-US"/>
    </w:rPr>
  </w:style>
  <w:style w:type="paragraph" w:customStyle="1" w:styleId="21">
    <w:name w:val="WPSOffice手动目录 1"/>
    <w:qFormat/>
    <w:uiPriority w:val="0"/>
    <w:rPr>
      <w:rFonts w:ascii="Times New Roman" w:hAnsi="Times New Roman" w:eastAsia="宋体" w:cs="Times New Roman"/>
      <w:lang w:val="en-US" w:eastAsia="zh-CN" w:bidi="ar-SA"/>
    </w:rPr>
  </w:style>
  <w:style w:type="paragraph" w:customStyle="1" w:styleId="2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3">
    <w:name w:val="文本"/>
    <w:qFormat/>
    <w:uiPriority w:val="0"/>
    <w:pPr>
      <w:adjustRightInd w:val="0"/>
      <w:snapToGrid w:val="0"/>
      <w:spacing w:line="360" w:lineRule="auto"/>
      <w:ind w:firstLine="560" w:firstLineChars="200"/>
      <w:jc w:val="both"/>
    </w:pPr>
    <w:rPr>
      <w:rFonts w:ascii="Times New Roman" w:hAnsi="Times New Roman" w:eastAsia="宋体" w:cstheme="minorBidi"/>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69</Pages>
  <Words>42706</Words>
  <Characters>48462</Characters>
  <Lines>2132</Lines>
  <Paragraphs>2010</Paragraphs>
  <TotalTime>15</TotalTime>
  <ScaleCrop>false</ScaleCrop>
  <LinksUpToDate>false</LinksUpToDate>
  <CharactersWithSpaces>49145</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2024-11-20T16:22:00Z</dcterms:created>
  <dc:creator>Administrator</dc:creator>
  <cp:lastModifiedBy>冯蒴</cp:lastModifiedBy>
  <dcterms:modified xsi:type="dcterms:W3CDTF">2026-11-05T20:57:43Z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BE5DB07581074CC69B3C049E552A1CAB_13</vt:lpwstr>
  </property>
  <property fmtid="{D5CDD505-2E9C-101B-9397-08002B2CF9AE}" pid="4" name="KSOTemplateDocerSaveRecord">
    <vt:lpwstr>eyJoZGlkIjoiMzEwNTM5NzYwMDRjMzkwZTVkZjY2ODkwMGIxNGU0OTUiLCJ1c2VySWQiOiIzMDYzMjgwMjcifQ==</vt:lpwstr>
  </property>
</Properties>
</file>